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022" w:rsidRDefault="00AF1FB3" w:rsidP="0062681D">
      <w:pPr>
        <w:pStyle w:val="Title"/>
      </w:pPr>
      <w:r>
        <w:t>PRODUCT INFORMATION</w:t>
      </w:r>
    </w:p>
    <w:p w:rsidR="00AF1FB3" w:rsidRDefault="00DF07E9" w:rsidP="00DB6AA6">
      <w:pPr>
        <w:pStyle w:val="PISubtitle"/>
      </w:pPr>
      <w:proofErr w:type="gramStart"/>
      <w:r>
        <w:t>INLYTA</w:t>
      </w:r>
      <w:r w:rsidR="00DB6AA6">
        <w:t xml:space="preserve">  (</w:t>
      </w:r>
      <w:proofErr w:type="spellStart"/>
      <w:proofErr w:type="gramEnd"/>
      <w:r>
        <w:t>axitinib</w:t>
      </w:r>
      <w:proofErr w:type="spellEnd"/>
      <w:r w:rsidR="00DB6AA6">
        <w:t>)</w:t>
      </w:r>
    </w:p>
    <w:p w:rsidR="00731A50" w:rsidRDefault="00731A50" w:rsidP="00731A50">
      <w:pPr>
        <w:pStyle w:val="PIHeading1"/>
      </w:pPr>
      <w:r>
        <w:t>Name of the medicine</w:t>
      </w:r>
    </w:p>
    <w:p w:rsidR="00731A50" w:rsidRPr="00AB2BBB" w:rsidRDefault="00731A50" w:rsidP="00731A50">
      <w:pPr>
        <w:pStyle w:val="PINormal"/>
        <w:rPr>
          <w:rStyle w:val="BlueText"/>
          <w:color w:val="auto"/>
        </w:rPr>
      </w:pPr>
      <w:proofErr w:type="spellStart"/>
      <w:r w:rsidRPr="009A2541">
        <w:t>Axitinib</w:t>
      </w:r>
      <w:proofErr w:type="spellEnd"/>
      <w:r w:rsidRPr="009A2541">
        <w:t xml:space="preserve"> has the </w:t>
      </w:r>
      <w:r w:rsidRPr="002C6DC6">
        <w:t xml:space="preserve">chemical name </w:t>
      </w:r>
      <w:r w:rsidRPr="002C6DC6">
        <w:rPr>
          <w:i/>
        </w:rPr>
        <w:t>N</w:t>
      </w:r>
      <w:r w:rsidRPr="002C6DC6">
        <w:t>-methyl-2</w:t>
      </w:r>
      <w:proofErr w:type="gramStart"/>
      <w:r w:rsidRPr="002C6DC6">
        <w:noBreakHyphen/>
        <w:t>[</w:t>
      </w:r>
      <w:proofErr w:type="gramEnd"/>
      <w:r w:rsidRPr="002C6DC6">
        <w:t>3</w:t>
      </w:r>
      <w:r w:rsidRPr="002C6DC6">
        <w:noBreakHyphen/>
        <w:t>((</w:t>
      </w:r>
      <w:r w:rsidRPr="002C6DC6">
        <w:rPr>
          <w:i/>
        </w:rPr>
        <w:t>E</w:t>
      </w:r>
      <w:r>
        <w:t>)-2</w:t>
      </w:r>
      <w:r>
        <w:noBreakHyphen/>
        <w:t>pyridin-2</w:t>
      </w:r>
      <w:r>
        <w:noBreakHyphen/>
        <w:t>yl-vinyl)-1</w:t>
      </w:r>
      <w:r w:rsidRPr="002C6DC6">
        <w:rPr>
          <w:i/>
        </w:rPr>
        <w:t>H</w:t>
      </w:r>
      <w:r w:rsidRPr="002C6DC6">
        <w:t>-indazol-6</w:t>
      </w:r>
      <w:r w:rsidRPr="002C6DC6">
        <w:noBreakHyphen/>
        <w:t>ylsulfanyl]-benzamide.</w:t>
      </w:r>
      <w:r w:rsidR="00BE0639">
        <w:t xml:space="preserve"> </w:t>
      </w:r>
      <w:r w:rsidRPr="006727E6">
        <w:rPr>
          <w:rStyle w:val="superscriptChar"/>
          <w:i/>
        </w:rPr>
        <w:t xml:space="preserve"> </w:t>
      </w:r>
      <w:r w:rsidRPr="009A2541">
        <w:t>The molecular formula is C</w:t>
      </w:r>
      <w:r w:rsidRPr="009A2541">
        <w:rPr>
          <w:vertAlign w:val="subscript"/>
        </w:rPr>
        <w:t>22</w:t>
      </w:r>
      <w:r w:rsidRPr="009A2541">
        <w:t>H</w:t>
      </w:r>
      <w:r w:rsidRPr="009A2541">
        <w:rPr>
          <w:vertAlign w:val="subscript"/>
        </w:rPr>
        <w:t>18</w:t>
      </w:r>
      <w:r w:rsidRPr="009A2541">
        <w:t>N</w:t>
      </w:r>
      <w:r w:rsidRPr="009A2541">
        <w:rPr>
          <w:vertAlign w:val="subscript"/>
        </w:rPr>
        <w:t>4</w:t>
      </w:r>
      <w:r w:rsidRPr="009A2541">
        <w:t xml:space="preserve">OS and the molecular weight is 386.47 </w:t>
      </w:r>
      <w:smartTag w:uri="urn:schemas-microsoft-com:office:smarttags" w:element="PlaceType">
        <w:smartTag w:uri="urn:schemas-microsoft-com:office:smarttags" w:element="City">
          <w:r w:rsidRPr="009A2541">
            <w:t>Daltons</w:t>
          </w:r>
        </w:smartTag>
      </w:smartTag>
      <w:r w:rsidRPr="009A2541">
        <w:t>.</w:t>
      </w:r>
      <w:r w:rsidR="00BE0639">
        <w:t xml:space="preserve"> </w:t>
      </w:r>
      <w:r w:rsidRPr="009A2541">
        <w:t xml:space="preserve"> </w:t>
      </w:r>
      <w:r w:rsidR="000C1202" w:rsidRPr="00342D6F">
        <w:rPr>
          <w:rStyle w:val="BlueText"/>
          <w:color w:val="auto"/>
        </w:rPr>
        <w:t>The CAS Registry Number is 319460-85-0.</w:t>
      </w:r>
      <w:r w:rsidR="000C1202">
        <w:rPr>
          <w:rStyle w:val="BlueText"/>
        </w:rPr>
        <w:t xml:space="preserve"> </w:t>
      </w:r>
      <w:r w:rsidRPr="004320C9">
        <w:rPr>
          <w:rStyle w:val="BlueText"/>
          <w:color w:val="auto"/>
        </w:rPr>
        <w:t>T</w:t>
      </w:r>
      <w:r w:rsidRPr="009A2541">
        <w:t>he chemical structure is:</w:t>
      </w:r>
    </w:p>
    <w:p w:rsidR="00731A50" w:rsidRPr="00AB2BBB" w:rsidRDefault="00AB2BBB" w:rsidP="00731A50">
      <w:pPr>
        <w:pStyle w:val="PINormal"/>
        <w:jc w:val="center"/>
        <w:rPr>
          <w:rStyle w:val="BlueText"/>
          <w:color w:val="auto"/>
        </w:rPr>
      </w:pPr>
      <w:r>
        <w:object w:dxaOrig="6009" w:dyaOrig="4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chemical structure for axitinib" style="width:133.35pt;height:101.35pt" o:ole="">
            <v:imagedata r:id="rId8" o:title=""/>
          </v:shape>
          <o:OLEObject Type="Embed" ProgID="ChemDraw.Document.6.0" ShapeID="_x0000_i1025" DrawAspect="Content" ObjectID="_1439126432" r:id="rId9"/>
        </w:object>
      </w:r>
    </w:p>
    <w:p w:rsidR="00AF1FB3" w:rsidRDefault="00AF1FB3" w:rsidP="0062681D">
      <w:pPr>
        <w:pStyle w:val="PIHeading1"/>
      </w:pPr>
      <w:r>
        <w:t>DESCRIPTION</w:t>
      </w:r>
    </w:p>
    <w:p w:rsidR="00BE0639" w:rsidRDefault="00731A50" w:rsidP="00731A50">
      <w:pPr>
        <w:pStyle w:val="PINormal"/>
        <w:rPr>
          <w:rStyle w:val="superscriptChar"/>
        </w:rPr>
      </w:pPr>
      <w:proofErr w:type="spellStart"/>
      <w:r w:rsidRPr="009A2541">
        <w:t>Axitinib</w:t>
      </w:r>
      <w:proofErr w:type="spellEnd"/>
      <w:r w:rsidRPr="009A2541">
        <w:t xml:space="preserve"> is a white to </w:t>
      </w:r>
      <w:r>
        <w:t>light</w:t>
      </w:r>
      <w:r w:rsidR="00C50B0F">
        <w:t>-</w:t>
      </w:r>
      <w:r w:rsidRPr="009A2541">
        <w:t xml:space="preserve">yellow powder </w:t>
      </w:r>
      <w:r>
        <w:t xml:space="preserve">with a </w:t>
      </w:r>
      <w:proofErr w:type="spellStart"/>
      <w:r>
        <w:t>pKa</w:t>
      </w:r>
      <w:proofErr w:type="spellEnd"/>
      <w:r>
        <w:t xml:space="preserve"> of 4.8</w:t>
      </w:r>
      <w:r w:rsidRPr="009A2541">
        <w:t>.</w:t>
      </w:r>
      <w:r w:rsidRPr="009A2541">
        <w:rPr>
          <w:rStyle w:val="superscriptChar"/>
        </w:rPr>
        <w:t xml:space="preserve"> </w:t>
      </w:r>
      <w:r w:rsidRPr="009A2541">
        <w:rPr>
          <w:rStyle w:val="BlueText"/>
        </w:rPr>
        <w:t xml:space="preserve"> </w:t>
      </w:r>
      <w:r w:rsidRPr="009A2541">
        <w:t xml:space="preserve">The solubility of </w:t>
      </w:r>
      <w:proofErr w:type="spellStart"/>
      <w:r w:rsidRPr="009A2541">
        <w:t>axitinib</w:t>
      </w:r>
      <w:proofErr w:type="spellEnd"/>
      <w:r w:rsidRPr="009A2541">
        <w:t xml:space="preserve"> in aqu</w:t>
      </w:r>
      <w:r>
        <w:t>eous media over the range pH 1.1 to pH 7</w:t>
      </w:r>
      <w:r w:rsidRPr="009A2541">
        <w:t xml:space="preserve">.8 is in excess of 0.2 </w:t>
      </w:r>
      <w:r w:rsidRPr="009A2541">
        <w:sym w:font="Symbol" w:char="F06D"/>
      </w:r>
      <w:r w:rsidRPr="009A2541">
        <w:t>g/</w:t>
      </w:r>
      <w:proofErr w:type="spellStart"/>
      <w:r w:rsidRPr="009A2541">
        <w:t>mL.</w:t>
      </w:r>
      <w:proofErr w:type="spellEnd"/>
      <w:r w:rsidRPr="009A2541">
        <w:rPr>
          <w:rStyle w:val="BlueText"/>
        </w:rPr>
        <w:t xml:space="preserve"> </w:t>
      </w:r>
      <w:r w:rsidR="00BE0639">
        <w:rPr>
          <w:rStyle w:val="BlueText"/>
        </w:rPr>
        <w:t xml:space="preserve"> </w:t>
      </w:r>
      <w:r w:rsidRPr="009A2541">
        <w:t xml:space="preserve">The </w:t>
      </w:r>
      <w:r>
        <w:t>partition</w:t>
      </w:r>
      <w:r w:rsidRPr="009A2541">
        <w:t xml:space="preserve"> coefficient (</w:t>
      </w:r>
      <w:r>
        <w:t>n-</w:t>
      </w:r>
      <w:proofErr w:type="spellStart"/>
      <w:r w:rsidRPr="009A2541">
        <w:t>octanol</w:t>
      </w:r>
      <w:proofErr w:type="spellEnd"/>
      <w:r w:rsidRPr="009A2541">
        <w:t xml:space="preserve">/water) </w:t>
      </w:r>
      <w:r>
        <w:t>is 3.5</w:t>
      </w:r>
      <w:r w:rsidRPr="009A2541">
        <w:t>.</w:t>
      </w:r>
    </w:p>
    <w:p w:rsidR="00731A50" w:rsidRPr="009A2541" w:rsidRDefault="00731A50" w:rsidP="00731A50">
      <w:pPr>
        <w:pStyle w:val="PINormal"/>
      </w:pPr>
      <w:r w:rsidRPr="009A2541">
        <w:t xml:space="preserve">INLYTA is supplied as </w:t>
      </w:r>
      <w:r>
        <w:t xml:space="preserve">red film-coated </w:t>
      </w:r>
      <w:r w:rsidRPr="009A2541">
        <w:t xml:space="preserve">tablets containing </w:t>
      </w:r>
      <w:r>
        <w:t xml:space="preserve">either </w:t>
      </w:r>
      <w:r w:rsidRPr="009A2541">
        <w:t xml:space="preserve">1 mg or 5 mg </w:t>
      </w:r>
      <w:r>
        <w:t xml:space="preserve">of </w:t>
      </w:r>
      <w:proofErr w:type="spellStart"/>
      <w:r>
        <w:t>axitinib</w:t>
      </w:r>
      <w:proofErr w:type="spellEnd"/>
      <w:r>
        <w:t xml:space="preserve"> </w:t>
      </w:r>
      <w:r w:rsidRPr="009A2541">
        <w:t>together with cellulose</w:t>
      </w:r>
      <w:r w:rsidR="00837E10">
        <w:t xml:space="preserve"> - microcrystalline</w:t>
      </w:r>
      <w:r w:rsidRPr="009A2541">
        <w:t xml:space="preserve">, lactose, </w:t>
      </w:r>
      <w:proofErr w:type="spellStart"/>
      <w:r w:rsidRPr="009A2541">
        <w:t>croscarmellose</w:t>
      </w:r>
      <w:proofErr w:type="spellEnd"/>
      <w:r w:rsidRPr="009A2541">
        <w:t xml:space="preserve"> sodium, magnesium </w:t>
      </w:r>
      <w:proofErr w:type="spellStart"/>
      <w:r w:rsidRPr="009A2541">
        <w:t>stearate</w:t>
      </w:r>
      <w:proofErr w:type="spellEnd"/>
      <w:r w:rsidRPr="009A2541">
        <w:t xml:space="preserve">, and </w:t>
      </w:r>
      <w:proofErr w:type="spellStart"/>
      <w:r w:rsidRPr="009A2541">
        <w:t>Opadry</w:t>
      </w:r>
      <w:proofErr w:type="spellEnd"/>
      <w:r w:rsidRPr="009A2541">
        <w:t xml:space="preserve"> II red </w:t>
      </w:r>
      <w:r>
        <w:t xml:space="preserve">32K15441 </w:t>
      </w:r>
      <w:r w:rsidRPr="009A2541">
        <w:t>as inactive ingredients.</w:t>
      </w:r>
      <w:r w:rsidRPr="009A2541">
        <w:rPr>
          <w:rStyle w:val="superscriptChar"/>
        </w:rPr>
        <w:t xml:space="preserve"> </w:t>
      </w:r>
      <w:r w:rsidR="00BE0639">
        <w:rPr>
          <w:rStyle w:val="superscriptChar"/>
        </w:rPr>
        <w:t xml:space="preserve"> </w:t>
      </w:r>
      <w:proofErr w:type="gramStart"/>
      <w:r w:rsidRPr="009A2541">
        <w:t xml:space="preserve">The </w:t>
      </w:r>
      <w:proofErr w:type="spellStart"/>
      <w:r w:rsidRPr="009A2541">
        <w:t>Opadry</w:t>
      </w:r>
      <w:proofErr w:type="spellEnd"/>
      <w:r w:rsidRPr="009A2541">
        <w:t xml:space="preserve"> II red </w:t>
      </w:r>
      <w:r w:rsidRPr="00B040F9">
        <w:t>32K15441</w:t>
      </w:r>
      <w:r w:rsidR="004320C9">
        <w:t xml:space="preserve"> </w:t>
      </w:r>
      <w:r w:rsidRPr="009A2541">
        <w:t xml:space="preserve">film coating contains lactose, </w:t>
      </w:r>
      <w:r w:rsidRPr="00B85DB0">
        <w:t>HPMC 2910/</w:t>
      </w:r>
      <w:proofErr w:type="spellStart"/>
      <w:r w:rsidRPr="00B85DB0">
        <w:t>Hypromellose</w:t>
      </w:r>
      <w:proofErr w:type="spellEnd"/>
      <w:r w:rsidRPr="00B85DB0">
        <w:t xml:space="preserve"> 15cP</w:t>
      </w:r>
      <w:r w:rsidRPr="009A2541">
        <w:t>, titanium dioxide, glycerol triacetate, and iron oxide</w:t>
      </w:r>
      <w:r w:rsidR="00227A6E">
        <w:t xml:space="preserve"> red</w:t>
      </w:r>
      <w:r w:rsidRPr="009A2541">
        <w:t>.</w:t>
      </w:r>
      <w:proofErr w:type="gramEnd"/>
    </w:p>
    <w:p w:rsidR="00514885" w:rsidRDefault="00514885" w:rsidP="0062681D">
      <w:pPr>
        <w:pStyle w:val="PIHeading1"/>
      </w:pPr>
      <w:r>
        <w:t>PHARMACOLOGY</w:t>
      </w:r>
    </w:p>
    <w:p w:rsidR="00955E31" w:rsidRDefault="00955E31" w:rsidP="0062681D">
      <w:pPr>
        <w:pStyle w:val="PIHeading2"/>
      </w:pPr>
      <w:r>
        <w:t>Mechanism of Action</w:t>
      </w:r>
    </w:p>
    <w:p w:rsidR="00955E31" w:rsidRPr="00AB2BBB" w:rsidRDefault="00955E31" w:rsidP="00955E31">
      <w:pPr>
        <w:pStyle w:val="PINormal"/>
      </w:pPr>
      <w:proofErr w:type="spellStart"/>
      <w:r>
        <w:t>Axitinib</w:t>
      </w:r>
      <w:proofErr w:type="spellEnd"/>
      <w:r>
        <w:t xml:space="preserve"> is a selective </w:t>
      </w:r>
      <w:r w:rsidRPr="009A2541">
        <w:t xml:space="preserve">tyrosine </w:t>
      </w:r>
      <w:proofErr w:type="spellStart"/>
      <w:r w:rsidRPr="009A2541">
        <w:t>kinase</w:t>
      </w:r>
      <w:proofErr w:type="spellEnd"/>
      <w:r w:rsidRPr="009A2541">
        <w:t xml:space="preserve"> </w:t>
      </w:r>
      <w:r>
        <w:t>inhibitor</w:t>
      </w:r>
      <w:r w:rsidRPr="009A2541">
        <w:t xml:space="preserve"> of </w:t>
      </w:r>
      <w:r>
        <w:t>vascular endothelial growth factor receptor</w:t>
      </w:r>
      <w:r w:rsidR="006B6078">
        <w:t>s</w:t>
      </w:r>
      <w:r>
        <w:t xml:space="preserve"> (VEGFR)-</w:t>
      </w:r>
      <w:r w:rsidRPr="009A2541">
        <w:t xml:space="preserve">1, </w:t>
      </w:r>
      <w:r>
        <w:t>VEGFR-</w:t>
      </w:r>
      <w:r w:rsidRPr="009A2541">
        <w:t xml:space="preserve">2, and </w:t>
      </w:r>
      <w:r>
        <w:t>VEGFR-</w:t>
      </w:r>
      <w:r w:rsidRPr="009A2541">
        <w:t>3.</w:t>
      </w:r>
      <w:r w:rsidR="00BE0639">
        <w:t xml:space="preserve"> </w:t>
      </w:r>
      <w:r w:rsidRPr="009A2541">
        <w:t xml:space="preserve"> These receptors are implicated in pathologic</w:t>
      </w:r>
      <w:r w:rsidR="006B6078">
        <w:t>al</w:t>
      </w:r>
      <w:r w:rsidRPr="009A2541">
        <w:t xml:space="preserve"> angiogenesis, tumo</w:t>
      </w:r>
      <w:r w:rsidR="00211479">
        <w:t>u</w:t>
      </w:r>
      <w:r w:rsidRPr="009A2541">
        <w:t>r growth, and metastatic progression of cancer.</w:t>
      </w:r>
      <w:r w:rsidRPr="009A2541">
        <w:rPr>
          <w:rStyle w:val="BlueText"/>
        </w:rPr>
        <w:t xml:space="preserve"> </w:t>
      </w:r>
      <w:r w:rsidR="00BE0639">
        <w:rPr>
          <w:rStyle w:val="BlueText"/>
        </w:rPr>
        <w:t xml:space="preserve"> </w:t>
      </w:r>
      <w:proofErr w:type="spellStart"/>
      <w:r w:rsidRPr="009A2541">
        <w:t>Axitinib</w:t>
      </w:r>
      <w:proofErr w:type="spellEnd"/>
      <w:r w:rsidRPr="009A2541">
        <w:t xml:space="preserve"> has been shown to inhibit VEGF-mediated endothelial cell proliferation and survival.</w:t>
      </w:r>
      <w:r w:rsidR="00BE0639">
        <w:t xml:space="preserve"> </w:t>
      </w:r>
      <w:r w:rsidRPr="009A2541">
        <w:t xml:space="preserve"> </w:t>
      </w:r>
      <w:proofErr w:type="spellStart"/>
      <w:r w:rsidRPr="009A2541">
        <w:t>Axitinib</w:t>
      </w:r>
      <w:proofErr w:type="spellEnd"/>
      <w:r w:rsidRPr="009A2541">
        <w:t xml:space="preserve"> inhibited the </w:t>
      </w:r>
      <w:proofErr w:type="spellStart"/>
      <w:r w:rsidRPr="009A2541">
        <w:t>phosphorylation</w:t>
      </w:r>
      <w:proofErr w:type="spellEnd"/>
      <w:r w:rsidRPr="009A2541">
        <w:t xml:space="preserve"> of VEGFR-2 in </w:t>
      </w:r>
      <w:proofErr w:type="spellStart"/>
      <w:r w:rsidRPr="009A2541">
        <w:t>xenograft</w:t>
      </w:r>
      <w:proofErr w:type="spellEnd"/>
      <w:r w:rsidRPr="009A2541">
        <w:t xml:space="preserve"> </w:t>
      </w:r>
      <w:r w:rsidR="00211479">
        <w:t>tumour</w:t>
      </w:r>
      <w:r w:rsidRPr="009A2541">
        <w:t xml:space="preserve"> vasculature that expressed the target </w:t>
      </w:r>
      <w:r w:rsidRPr="002E3DEA">
        <w:rPr>
          <w:i/>
          <w:iCs/>
        </w:rPr>
        <w:t>in vivo</w:t>
      </w:r>
      <w:r w:rsidRPr="009A2541">
        <w:t xml:space="preserve"> and produced </w:t>
      </w:r>
      <w:r w:rsidR="00211479">
        <w:t>tumour</w:t>
      </w:r>
      <w:r w:rsidRPr="009A2541">
        <w:t xml:space="preserve"> growth </w:t>
      </w:r>
      <w:r w:rsidR="004232CD">
        <w:t>delay, regression, and inhibition of</w:t>
      </w:r>
      <w:r w:rsidRPr="009A2541">
        <w:t xml:space="preserve"> metastases in many</w:t>
      </w:r>
      <w:r w:rsidR="00AB2BBB">
        <w:t xml:space="preserve"> experimental models of cancer.</w:t>
      </w:r>
    </w:p>
    <w:p w:rsidR="00514885" w:rsidRDefault="00514885" w:rsidP="0062681D">
      <w:pPr>
        <w:pStyle w:val="PIHeading2"/>
      </w:pPr>
      <w:proofErr w:type="spellStart"/>
      <w:r>
        <w:t>Pharmacodynamics</w:t>
      </w:r>
      <w:proofErr w:type="spellEnd"/>
    </w:p>
    <w:p w:rsidR="00955E31" w:rsidRPr="00AB2BBB" w:rsidRDefault="00955E31" w:rsidP="00955E31">
      <w:pPr>
        <w:pStyle w:val="PINormal"/>
        <w:rPr>
          <w:rStyle w:val="BlueText"/>
          <w:color w:val="auto"/>
        </w:rPr>
      </w:pPr>
      <w:r w:rsidRPr="009A2541">
        <w:t xml:space="preserve">In a randomized, 2-way crossover study, 35 healthy subjects were administered a single oral dose of INLYTA (5 mg) in the absence and presence of 400 mg </w:t>
      </w:r>
      <w:proofErr w:type="spellStart"/>
      <w:r w:rsidRPr="009A2541">
        <w:t>ketoconazole</w:t>
      </w:r>
      <w:proofErr w:type="spellEnd"/>
      <w:r w:rsidRPr="009A2541">
        <w:t xml:space="preserve"> for 7 days. Results of this study indicated that INLYTA plasma exposures up to 2-fold greater than </w:t>
      </w:r>
      <w:r w:rsidR="00A23719">
        <w:t xml:space="preserve">the </w:t>
      </w:r>
      <w:r w:rsidRPr="009A2541">
        <w:t>therapeutic levels expected following a 5 mg dose di</w:t>
      </w:r>
      <w:r w:rsidR="00A2024E">
        <w:t>d not produce clinically-</w:t>
      </w:r>
      <w:r w:rsidRPr="009A2541">
        <w:t xml:space="preserve">significant QT </w:t>
      </w:r>
      <w:r>
        <w:t xml:space="preserve">interval </w:t>
      </w:r>
      <w:r w:rsidRPr="009A2541">
        <w:t>prolongation.</w:t>
      </w:r>
    </w:p>
    <w:p w:rsidR="00565C36" w:rsidRDefault="00565C36" w:rsidP="0062681D">
      <w:pPr>
        <w:pStyle w:val="PIHeading2"/>
      </w:pPr>
      <w:r>
        <w:lastRenderedPageBreak/>
        <w:t>Pharmacokinetics</w:t>
      </w:r>
    </w:p>
    <w:p w:rsidR="00565C36" w:rsidRDefault="00565C36" w:rsidP="0062681D">
      <w:pPr>
        <w:pStyle w:val="PIHeading3"/>
      </w:pPr>
      <w:r>
        <w:t>Absorption</w:t>
      </w:r>
      <w:r w:rsidR="00894D9E">
        <w:t xml:space="preserve"> and Distribution</w:t>
      </w:r>
    </w:p>
    <w:p w:rsidR="00334221" w:rsidRDefault="00334221" w:rsidP="00334221">
      <w:pPr>
        <w:pStyle w:val="PINormal"/>
      </w:pPr>
      <w:r w:rsidRPr="009A2541">
        <w:t xml:space="preserve">After oral administration of INLYTA tablets, the mean absolute bioavailability is 58% compared to intravenous administration. </w:t>
      </w:r>
      <w:r>
        <w:t xml:space="preserve"> </w:t>
      </w:r>
      <w:r w:rsidRPr="0037254E">
        <w:t xml:space="preserve">The plasma half life of INLYTA ranges </w:t>
      </w:r>
      <w:r w:rsidRPr="00C949D0">
        <w:t>from 2.5 to 6.1 hours.</w:t>
      </w:r>
      <w:r>
        <w:t xml:space="preserve"> </w:t>
      </w:r>
      <w:r w:rsidRPr="00C949D0">
        <w:rPr>
          <w:color w:val="000080"/>
        </w:rPr>
        <w:t xml:space="preserve"> </w:t>
      </w:r>
      <w:r>
        <w:t>Dosing of INLYTA at 5 mg twice daily resulted in &lt;</w:t>
      </w:r>
      <w:r w:rsidRPr="009A2541">
        <w:t xml:space="preserve">2-fold accumulation compared to administration of a single dose. </w:t>
      </w:r>
      <w:r>
        <w:rPr>
          <w:rStyle w:val="BlueText"/>
        </w:rPr>
        <w:t xml:space="preserve"> </w:t>
      </w:r>
      <w:r w:rsidRPr="009A2541">
        <w:t xml:space="preserve">Based on the short half-life of </w:t>
      </w:r>
      <w:proofErr w:type="spellStart"/>
      <w:r w:rsidRPr="009A2541">
        <w:t>axitinib</w:t>
      </w:r>
      <w:proofErr w:type="spellEnd"/>
      <w:r w:rsidRPr="009A2541">
        <w:t>, st</w:t>
      </w:r>
      <w:r>
        <w:t xml:space="preserve">eady state is expected within 2 to </w:t>
      </w:r>
      <w:r w:rsidR="00AB2BBB">
        <w:t>3 days of the initial dose.</w:t>
      </w:r>
    </w:p>
    <w:p w:rsidR="00894D9E" w:rsidRPr="00211479" w:rsidRDefault="00894D9E" w:rsidP="00894D9E">
      <w:pPr>
        <w:pStyle w:val="PINormal"/>
        <w:rPr>
          <w:rStyle w:val="BlueText"/>
          <w:b/>
          <w:bCs/>
          <w:color w:val="000000"/>
          <w:u w:val="single"/>
        </w:rPr>
      </w:pPr>
      <w:r w:rsidRPr="009A2541">
        <w:t xml:space="preserve">Peak </w:t>
      </w:r>
      <w:proofErr w:type="spellStart"/>
      <w:r w:rsidRPr="009A2541">
        <w:t>axitinib</w:t>
      </w:r>
      <w:proofErr w:type="spellEnd"/>
      <w:r w:rsidRPr="009A2541">
        <w:t xml:space="preserve"> concentrations in plasma are generally reached within 4 hours following oral administration of INLYTA with the median </w:t>
      </w:r>
      <w:proofErr w:type="spellStart"/>
      <w:r w:rsidRPr="009A2541">
        <w:t>T</w:t>
      </w:r>
      <w:r w:rsidRPr="009A2541">
        <w:rPr>
          <w:vertAlign w:val="subscript"/>
        </w:rPr>
        <w:t>max</w:t>
      </w:r>
      <w:proofErr w:type="spellEnd"/>
      <w:r w:rsidR="005B0D1A">
        <w:t xml:space="preserve"> ranging from 2.5 to </w:t>
      </w:r>
      <w:r w:rsidRPr="009A2541">
        <w:t>4.1 hours.</w:t>
      </w:r>
      <w:r w:rsidRPr="009A2541">
        <w:rPr>
          <w:rStyle w:val="superscriptChar"/>
        </w:rPr>
        <w:t xml:space="preserve"> </w:t>
      </w:r>
      <w:r w:rsidRPr="009A2541">
        <w:t xml:space="preserve"> Administration of INLYTA with a moderate fat meal resulted in 10% lower exposure compared to overnight fasting.</w:t>
      </w:r>
      <w:r w:rsidR="00BE0639">
        <w:t xml:space="preserve"> </w:t>
      </w:r>
      <w:r w:rsidRPr="009A2541">
        <w:t xml:space="preserve"> A high fat, high-calorie meal resulted in 19% higher exposure compared to overnight fasting.</w:t>
      </w:r>
      <w:r w:rsidR="00BE0639">
        <w:t xml:space="preserve"> </w:t>
      </w:r>
      <w:r w:rsidRPr="009A2541">
        <w:t xml:space="preserve"> INLYTA may be administered with or without food </w:t>
      </w:r>
      <w:r w:rsidR="00211479" w:rsidRPr="00211479">
        <w:t>(</w:t>
      </w:r>
      <w:r w:rsidRPr="00211479">
        <w:t>See Dosage and Administration</w:t>
      </w:r>
      <w:r w:rsidR="00211479">
        <w:t>).</w:t>
      </w:r>
    </w:p>
    <w:p w:rsidR="00894D9E" w:rsidRPr="009A2541" w:rsidRDefault="00894D9E" w:rsidP="00894D9E">
      <w:pPr>
        <w:pStyle w:val="PINormal"/>
      </w:pPr>
      <w:r w:rsidRPr="009A2541">
        <w:t xml:space="preserve">The average </w:t>
      </w:r>
      <w:proofErr w:type="spellStart"/>
      <w:r w:rsidRPr="009A2541">
        <w:t>C</w:t>
      </w:r>
      <w:r w:rsidRPr="009A2541">
        <w:rPr>
          <w:vertAlign w:val="subscript"/>
        </w:rPr>
        <w:t>max</w:t>
      </w:r>
      <w:proofErr w:type="spellEnd"/>
      <w:r w:rsidRPr="009A2541">
        <w:t xml:space="preserve"> and </w:t>
      </w:r>
      <w:r w:rsidR="00F22DB6">
        <w:t>area under the curve (</w:t>
      </w:r>
      <w:r w:rsidRPr="009A2541">
        <w:t>AUC</w:t>
      </w:r>
      <w:r w:rsidR="00F22DB6">
        <w:t>)</w:t>
      </w:r>
      <w:r w:rsidRPr="009A2541">
        <w:t xml:space="preserve"> increased proportionally</w:t>
      </w:r>
      <w:r w:rsidR="006C7703">
        <w:t xml:space="preserve"> over an</w:t>
      </w:r>
      <w:r w:rsidRPr="009A2541">
        <w:t xml:space="preserve"> INLYTA dosing range of 5 to 10 mg.</w:t>
      </w:r>
      <w:r w:rsidR="00BE0639">
        <w:t xml:space="preserve"> </w:t>
      </w:r>
      <w:r w:rsidRPr="009A2541">
        <w:t xml:space="preserve"> </w:t>
      </w:r>
      <w:r w:rsidRPr="002E3DEA">
        <w:rPr>
          <w:i/>
        </w:rPr>
        <w:t>In vitro</w:t>
      </w:r>
      <w:r w:rsidRPr="009A2541">
        <w:t xml:space="preserve"> binding of </w:t>
      </w:r>
      <w:proofErr w:type="spellStart"/>
      <w:r w:rsidRPr="009A2541">
        <w:t>axitinib</w:t>
      </w:r>
      <w:proofErr w:type="spellEnd"/>
      <w:r w:rsidRPr="009A2541">
        <w:t xml:space="preserve"> to human plasma proteins is </w:t>
      </w:r>
      <w:r>
        <w:t>&gt;</w:t>
      </w:r>
      <w:r w:rsidRPr="009A2541">
        <w:t>99% with preferential binding to albumin and moderate binding to α</w:t>
      </w:r>
      <w:r w:rsidRPr="009A2541">
        <w:rPr>
          <w:vertAlign w:val="subscript"/>
        </w:rPr>
        <w:t>1</w:t>
      </w:r>
      <w:r w:rsidRPr="009A2541">
        <w:t>-acid glycoprotein.</w:t>
      </w:r>
      <w:r w:rsidR="00BE0639">
        <w:t xml:space="preserve"> </w:t>
      </w:r>
      <w:r w:rsidRPr="009A2541">
        <w:rPr>
          <w:rStyle w:val="superscriptChar"/>
        </w:rPr>
        <w:t xml:space="preserve"> </w:t>
      </w:r>
      <w:r w:rsidRPr="009A2541">
        <w:t xml:space="preserve">At the 5 mg twice daily dose in the fed state, the geometric mean peak plasma concentration and 24-hour AUC were </w:t>
      </w:r>
      <w:proofErr w:type="gramStart"/>
      <w:r w:rsidRPr="009A2541">
        <w:t xml:space="preserve">27.8 </w:t>
      </w:r>
      <w:proofErr w:type="spellStart"/>
      <w:r w:rsidRPr="009A2541">
        <w:t>ng</w:t>
      </w:r>
      <w:proofErr w:type="spellEnd"/>
      <w:r w:rsidRPr="009A2541">
        <w:t>/</w:t>
      </w:r>
      <w:proofErr w:type="spellStart"/>
      <w:r w:rsidRPr="009A2541">
        <w:t>mL</w:t>
      </w:r>
      <w:proofErr w:type="spellEnd"/>
      <w:proofErr w:type="gramEnd"/>
      <w:r w:rsidRPr="009A2541">
        <w:t xml:space="preserve"> and 265 </w:t>
      </w:r>
      <w:proofErr w:type="spellStart"/>
      <w:r w:rsidRPr="009A2541">
        <w:t>ng.h</w:t>
      </w:r>
      <w:proofErr w:type="spellEnd"/>
      <w:r w:rsidRPr="009A2541">
        <w:t>/</w:t>
      </w:r>
      <w:proofErr w:type="spellStart"/>
      <w:r w:rsidRPr="009A2541">
        <w:t>mL</w:t>
      </w:r>
      <w:proofErr w:type="spellEnd"/>
      <w:r w:rsidRPr="009A2541">
        <w:t>, respectively in patients with advanced RCC.</w:t>
      </w:r>
      <w:r w:rsidRPr="009A2541">
        <w:rPr>
          <w:rStyle w:val="superscriptChar"/>
        </w:rPr>
        <w:t xml:space="preserve"> </w:t>
      </w:r>
      <w:r w:rsidR="00BE0639">
        <w:rPr>
          <w:rStyle w:val="superscriptChar"/>
        </w:rPr>
        <w:t xml:space="preserve"> </w:t>
      </w:r>
      <w:r w:rsidRPr="009A2541">
        <w:t xml:space="preserve">The geometric mean oral clearance and apparent volume of distribution were </w:t>
      </w:r>
      <w:r w:rsidR="00AB2BBB">
        <w:t>38 L/h and 160 L, respectively.</w:t>
      </w:r>
    </w:p>
    <w:p w:rsidR="00F939BD" w:rsidRDefault="00F939BD" w:rsidP="0062681D">
      <w:pPr>
        <w:pStyle w:val="PIHeading3"/>
      </w:pPr>
      <w:r>
        <w:t>Metabolism</w:t>
      </w:r>
      <w:r w:rsidR="00894D9E">
        <w:t xml:space="preserve"> and Elimination</w:t>
      </w:r>
    </w:p>
    <w:p w:rsidR="00894D9E" w:rsidRPr="00602797" w:rsidRDefault="00894D9E" w:rsidP="00894D9E">
      <w:pPr>
        <w:pStyle w:val="PINormal"/>
        <w:rPr>
          <w:rStyle w:val="BlueText"/>
          <w:b/>
          <w:bCs/>
          <w:color w:val="000000"/>
          <w:u w:val="single"/>
        </w:rPr>
      </w:pPr>
      <w:proofErr w:type="spellStart"/>
      <w:r w:rsidRPr="009A2541">
        <w:t>Axitinib</w:t>
      </w:r>
      <w:proofErr w:type="spellEnd"/>
      <w:r w:rsidRPr="009A2541">
        <w:t xml:space="preserve"> is metabolized primarily in the liver by CYP3A4/5 and to a lesser extent by CYP1A2, CYP2C19, and UGT1A1.</w:t>
      </w:r>
      <w:r w:rsidR="00BE0639">
        <w:t xml:space="preserve"> </w:t>
      </w:r>
      <w:r w:rsidRPr="009A2541">
        <w:t xml:space="preserve"> Follo</w:t>
      </w:r>
      <w:r>
        <w:t>wing oral administration of a 5-</w:t>
      </w:r>
      <w:r w:rsidRPr="009A2541">
        <w:t xml:space="preserve">mg radioactive dose of </w:t>
      </w:r>
      <w:proofErr w:type="spellStart"/>
      <w:r w:rsidRPr="009A2541">
        <w:t>axitinib</w:t>
      </w:r>
      <w:proofErr w:type="spellEnd"/>
      <w:r w:rsidRPr="009A2541">
        <w:t>, 30-60% of the radioactivity was recovered in f</w:t>
      </w:r>
      <w:r w:rsidR="00BF4467">
        <w:t>a</w:t>
      </w:r>
      <w:r w:rsidRPr="009A2541">
        <w:t>eces and 23% of the radioactivity was recovered in urine.</w:t>
      </w:r>
      <w:r w:rsidR="00BE0639">
        <w:t xml:space="preserve"> </w:t>
      </w:r>
      <w:r w:rsidRPr="009A2541">
        <w:t xml:space="preserve"> Unchanged </w:t>
      </w:r>
      <w:proofErr w:type="spellStart"/>
      <w:r w:rsidRPr="009A2541">
        <w:t>axitinib</w:t>
      </w:r>
      <w:proofErr w:type="spellEnd"/>
      <w:r w:rsidRPr="009A2541">
        <w:t>, accounting for 12% of the dose, was the major component identified in f</w:t>
      </w:r>
      <w:r w:rsidR="00BF4467">
        <w:t>a</w:t>
      </w:r>
      <w:r w:rsidRPr="009A2541">
        <w:t xml:space="preserve">eces. </w:t>
      </w:r>
      <w:r w:rsidR="00BE0639">
        <w:rPr>
          <w:rStyle w:val="BlueText"/>
        </w:rPr>
        <w:t xml:space="preserve"> </w:t>
      </w:r>
      <w:r w:rsidR="00611230">
        <w:t xml:space="preserve">Unchanged </w:t>
      </w:r>
      <w:proofErr w:type="spellStart"/>
      <w:r w:rsidR="00611230">
        <w:t>axitinib</w:t>
      </w:r>
      <w:proofErr w:type="spellEnd"/>
      <w:r w:rsidRPr="009A2541">
        <w:t xml:space="preserve"> was not detected in urine; the carboxylic acid and </w:t>
      </w:r>
      <w:proofErr w:type="spellStart"/>
      <w:r w:rsidRPr="009A2541">
        <w:t>sulfoxide</w:t>
      </w:r>
      <w:proofErr w:type="spellEnd"/>
      <w:r w:rsidRPr="009A2541">
        <w:t xml:space="preserve"> metabolites accounted for the majority of radioactivity in urine.</w:t>
      </w:r>
      <w:r w:rsidR="00BE0639">
        <w:t xml:space="preserve"> </w:t>
      </w:r>
      <w:r w:rsidRPr="009A2541">
        <w:t xml:space="preserve"> In plasma, the N-</w:t>
      </w:r>
      <w:proofErr w:type="spellStart"/>
      <w:r w:rsidRPr="009A2541">
        <w:t>glucuronide</w:t>
      </w:r>
      <w:proofErr w:type="spellEnd"/>
      <w:r w:rsidR="00611230">
        <w:t xml:space="preserve"> metabolite</w:t>
      </w:r>
      <w:r w:rsidRPr="009A2541">
        <w:t xml:space="preserve"> represented the predominant radioactive component (50% of circulating radioactivity) and unchanged </w:t>
      </w:r>
      <w:proofErr w:type="spellStart"/>
      <w:r w:rsidRPr="009A2541">
        <w:t>axitinib</w:t>
      </w:r>
      <w:proofErr w:type="spellEnd"/>
      <w:r w:rsidRPr="009A2541">
        <w:t xml:space="preserve"> and the </w:t>
      </w:r>
      <w:proofErr w:type="spellStart"/>
      <w:r w:rsidRPr="009A2541">
        <w:t>sulfoxide</w:t>
      </w:r>
      <w:proofErr w:type="spellEnd"/>
      <w:r w:rsidRPr="009A2541">
        <w:t xml:space="preserve"> metabolite each accounted for approximately 20% of the circulating radioactivity.</w:t>
      </w:r>
    </w:p>
    <w:p w:rsidR="00894D9E" w:rsidRPr="009A2541" w:rsidRDefault="00894D9E" w:rsidP="00894D9E">
      <w:pPr>
        <w:pStyle w:val="PINormal"/>
        <w:rPr>
          <w:b/>
          <w:bCs/>
        </w:rPr>
      </w:pPr>
      <w:r w:rsidRPr="009A2541">
        <w:t xml:space="preserve">The </w:t>
      </w:r>
      <w:proofErr w:type="spellStart"/>
      <w:r w:rsidRPr="009A2541">
        <w:t>sulfoxide</w:t>
      </w:r>
      <w:proofErr w:type="spellEnd"/>
      <w:r w:rsidRPr="009A2541">
        <w:t xml:space="preserve"> and N-</w:t>
      </w:r>
      <w:proofErr w:type="spellStart"/>
      <w:r w:rsidRPr="009A2541">
        <w:t>glucuronide</w:t>
      </w:r>
      <w:proofErr w:type="spellEnd"/>
      <w:r w:rsidRPr="009A2541">
        <w:t xml:space="preserve"> metabolites show approximately 400-fold and 8000-fold less </w:t>
      </w:r>
      <w:r w:rsidRPr="002E3DEA">
        <w:rPr>
          <w:i/>
          <w:iCs/>
        </w:rPr>
        <w:t>in vitro</w:t>
      </w:r>
      <w:r w:rsidRPr="009A2541">
        <w:t xml:space="preserve"> potency, respectively, against VEGFR-2 compared to </w:t>
      </w:r>
      <w:proofErr w:type="spellStart"/>
      <w:r w:rsidRPr="009A2541">
        <w:t>axitinib</w:t>
      </w:r>
      <w:proofErr w:type="spellEnd"/>
      <w:r w:rsidRPr="009A2541">
        <w:t>.</w:t>
      </w:r>
    </w:p>
    <w:p w:rsidR="00313584" w:rsidRDefault="00313584" w:rsidP="0062681D">
      <w:pPr>
        <w:pStyle w:val="PIHeading3"/>
      </w:pPr>
      <w:r>
        <w:t>Special Populations</w:t>
      </w:r>
    </w:p>
    <w:p w:rsidR="00313584" w:rsidRDefault="00345F12" w:rsidP="00345F12">
      <w:pPr>
        <w:pStyle w:val="PIHeading4"/>
      </w:pPr>
      <w:r>
        <w:t xml:space="preserve">Gender, Ethnicity, </w:t>
      </w:r>
      <w:r w:rsidR="00313584">
        <w:t>Elderly (&gt;65 years)</w:t>
      </w:r>
      <w:r>
        <w:t xml:space="preserve"> patients</w:t>
      </w:r>
    </w:p>
    <w:p w:rsidR="00513B8C" w:rsidRPr="00C4105A" w:rsidRDefault="00345F12" w:rsidP="0062681D">
      <w:pPr>
        <w:pStyle w:val="PINormal"/>
        <w:rPr>
          <w:b/>
          <w:bCs/>
        </w:rPr>
      </w:pPr>
      <w:r>
        <w:t>Popula</w:t>
      </w:r>
      <w:r w:rsidR="004A27F0">
        <w:t>tion pharmacokinetic analyses in</w:t>
      </w:r>
      <w:r>
        <w:t xml:space="preserve"> patients with </w:t>
      </w:r>
      <w:r w:rsidR="00C4105A">
        <w:t xml:space="preserve">advanced cancer (including </w:t>
      </w:r>
      <w:r w:rsidR="002E3E63">
        <w:t xml:space="preserve">advanced </w:t>
      </w:r>
      <w:r>
        <w:t xml:space="preserve">RCC) and healthy volunteers indicate that there are no clinically relevant effects of age, gender, body weight, </w:t>
      </w:r>
      <w:r w:rsidR="004A27F0">
        <w:t>race</w:t>
      </w:r>
      <w:r>
        <w:t>, renal function, UGT1A1 genotype</w:t>
      </w:r>
      <w:r w:rsidR="004A27F0">
        <w:t>,</w:t>
      </w:r>
      <w:r>
        <w:t xml:space="preserve"> or CYP2C19 genotype.</w:t>
      </w:r>
    </w:p>
    <w:p w:rsidR="00AA3820" w:rsidRDefault="00AA3820" w:rsidP="0062681D">
      <w:pPr>
        <w:pStyle w:val="PIHeading4"/>
      </w:pPr>
      <w:r>
        <w:t>Children and Adolescents</w:t>
      </w:r>
    </w:p>
    <w:p w:rsidR="00513B8C" w:rsidRPr="0067138C" w:rsidRDefault="00345F12" w:rsidP="0062681D">
      <w:pPr>
        <w:pStyle w:val="PINormal"/>
        <w:rPr>
          <w:b/>
          <w:bCs/>
        </w:rPr>
      </w:pPr>
      <w:r>
        <w:t>INLYTA has not been studied in patients &lt;18 years of age.</w:t>
      </w:r>
    </w:p>
    <w:p w:rsidR="00F948E7" w:rsidRDefault="00F948E7" w:rsidP="0062681D">
      <w:pPr>
        <w:pStyle w:val="PIHeading4"/>
      </w:pPr>
      <w:r>
        <w:lastRenderedPageBreak/>
        <w:t>Renal Impairment</w:t>
      </w:r>
    </w:p>
    <w:p w:rsidR="00482AFA" w:rsidRDefault="00601207" w:rsidP="00482AFA">
      <w:pPr>
        <w:pStyle w:val="PINormal"/>
        <w:rPr>
          <w:i/>
          <w:iCs/>
        </w:rPr>
      </w:pPr>
      <w:r>
        <w:t xml:space="preserve">Unchanged </w:t>
      </w:r>
      <w:proofErr w:type="spellStart"/>
      <w:r>
        <w:t>a</w:t>
      </w:r>
      <w:r w:rsidR="00482AFA" w:rsidRPr="009A2541">
        <w:t>xitinib</w:t>
      </w:r>
      <w:proofErr w:type="spellEnd"/>
      <w:r w:rsidR="00482AFA" w:rsidRPr="009A2541">
        <w:t xml:space="preserve"> is not detected in the urine. INLYTA has not been studied in subjects with renal impairment.  </w:t>
      </w:r>
      <w:r w:rsidR="00482AFA" w:rsidRPr="008452D7">
        <w:t>In clinical studies with INLYTA for the treatment of patients with RCC,</w:t>
      </w:r>
      <w:r w:rsidR="00482AFA">
        <w:t xml:space="preserve"> patients with serum </w:t>
      </w:r>
      <w:proofErr w:type="spellStart"/>
      <w:r w:rsidR="00482AFA">
        <w:t>creatinine</w:t>
      </w:r>
      <w:proofErr w:type="spellEnd"/>
      <w:r w:rsidR="00482AFA">
        <w:t xml:space="preserve"> &gt;</w:t>
      </w:r>
      <w:r w:rsidR="00482AFA" w:rsidRPr="009A2541">
        <w:t>1.5 times the upper limit of normal</w:t>
      </w:r>
      <w:r w:rsidR="008042A0">
        <w:t xml:space="preserve"> (ULN)</w:t>
      </w:r>
      <w:r w:rsidR="00482AFA" w:rsidRPr="009A2541">
        <w:t xml:space="preserve"> or calculated </w:t>
      </w:r>
      <w:proofErr w:type="spellStart"/>
      <w:r w:rsidR="00482AFA" w:rsidRPr="009A2541">
        <w:t>creatinine</w:t>
      </w:r>
      <w:proofErr w:type="spellEnd"/>
      <w:r w:rsidR="00482AFA" w:rsidRPr="009A2541">
        <w:t xml:space="preserve"> cleara</w:t>
      </w:r>
      <w:r w:rsidR="00482AFA">
        <w:t>nce &lt;</w:t>
      </w:r>
      <w:r w:rsidR="00482AFA" w:rsidRPr="009A2541">
        <w:t xml:space="preserve">60 </w:t>
      </w:r>
      <w:proofErr w:type="spellStart"/>
      <w:r w:rsidR="00482AFA" w:rsidRPr="009A2541">
        <w:t>mL</w:t>
      </w:r>
      <w:proofErr w:type="spellEnd"/>
      <w:r w:rsidR="00482AFA" w:rsidRPr="009A2541">
        <w:t xml:space="preserve">/min were excluded.  </w:t>
      </w:r>
      <w:r w:rsidR="00824ABF">
        <w:t>P</w:t>
      </w:r>
      <w:r w:rsidR="00482AFA" w:rsidRPr="009A2541">
        <w:t xml:space="preserve">opulation pharmacokinetic analyses have shown that </w:t>
      </w:r>
      <w:proofErr w:type="spellStart"/>
      <w:r w:rsidR="00482AFA" w:rsidRPr="009A2541">
        <w:t>axitinib</w:t>
      </w:r>
      <w:proofErr w:type="spellEnd"/>
      <w:r w:rsidR="00482AFA" w:rsidRPr="009A2541">
        <w:t xml:space="preserve"> clearance was not altered in subjects with renal impairment and no dose adjus</w:t>
      </w:r>
      <w:r w:rsidR="00AB2BBB">
        <w:t>tment of INLYTA is recommended.</w:t>
      </w:r>
    </w:p>
    <w:p w:rsidR="006D3F94" w:rsidRDefault="006D3F94" w:rsidP="0062681D">
      <w:pPr>
        <w:pStyle w:val="PIHeading4"/>
      </w:pPr>
      <w:r>
        <w:t>Hepatic Impairment</w:t>
      </w:r>
    </w:p>
    <w:p w:rsidR="00482AFA" w:rsidRDefault="00482AFA" w:rsidP="00482AFA">
      <w:pPr>
        <w:pStyle w:val="PINormal"/>
        <w:rPr>
          <w:i/>
        </w:rPr>
      </w:pPr>
      <w:r w:rsidRPr="002E3DEA">
        <w:rPr>
          <w:i/>
        </w:rPr>
        <w:t>In vitro</w:t>
      </w:r>
      <w:r w:rsidRPr="009A2541">
        <w:t xml:space="preserve"> and </w:t>
      </w:r>
      <w:r w:rsidRPr="002E3DEA">
        <w:rPr>
          <w:i/>
        </w:rPr>
        <w:t>in vivo</w:t>
      </w:r>
      <w:r w:rsidRPr="009A2541">
        <w:t xml:space="preserve"> data indicate that </w:t>
      </w:r>
      <w:proofErr w:type="spellStart"/>
      <w:r w:rsidRPr="009A2541">
        <w:t>axitinib</w:t>
      </w:r>
      <w:proofErr w:type="spellEnd"/>
      <w:r w:rsidRPr="009A2541">
        <w:t xml:space="preserve"> is primarily metabolized by the liver.</w:t>
      </w:r>
      <w:r w:rsidR="00BE0639">
        <w:t xml:space="preserve"> </w:t>
      </w:r>
      <w:r w:rsidRPr="009A2541">
        <w:t xml:space="preserve"> Compared to subjects with normal hepatic function, systemic exposure following a single dose of INLYTA was </w:t>
      </w:r>
      <w:r w:rsidR="007976FC">
        <w:t>similar</w:t>
      </w:r>
      <w:r w:rsidRPr="009A2541">
        <w:t xml:space="preserve"> to subjects with mild hepatic impairment (Child-Pugh </w:t>
      </w:r>
      <w:r w:rsidR="004C3404">
        <w:t>c</w:t>
      </w:r>
      <w:r w:rsidRPr="009A2541">
        <w:t xml:space="preserve">lass A) and higher (approximately 2-fold) in subjects with moderate hepatic impairment (Child-Pugh </w:t>
      </w:r>
      <w:r w:rsidR="004C3404">
        <w:t>c</w:t>
      </w:r>
      <w:r w:rsidRPr="009A2541">
        <w:t>lass B).  INLYTA has not been studied in subjects with severe hepatic impairment (Child-Pugh class C)</w:t>
      </w:r>
      <w:r w:rsidR="008042A0">
        <w:t xml:space="preserve"> </w:t>
      </w:r>
      <w:r w:rsidR="008042A0">
        <w:rPr>
          <w:rStyle w:val="BlueText"/>
          <w:color w:val="auto"/>
        </w:rPr>
        <w:t>(See Precautions; Dosage and Administration).</w:t>
      </w:r>
    </w:p>
    <w:p w:rsidR="006D3F94" w:rsidRDefault="006D3F94" w:rsidP="0062681D">
      <w:pPr>
        <w:pStyle w:val="PIHeading1"/>
      </w:pPr>
      <w:r>
        <w:t>CLINICAL TRIALS</w:t>
      </w:r>
    </w:p>
    <w:p w:rsidR="00BE0639" w:rsidRDefault="00AE3C85" w:rsidP="00000D7D">
      <w:pPr>
        <w:pStyle w:val="PINormal"/>
      </w:pPr>
      <w:r w:rsidRPr="009A2541">
        <w:t xml:space="preserve">The safety and efficacy of INLYTA were evaluated in a randomized, open-label, multicenter Phase 3 study. </w:t>
      </w:r>
      <w:r>
        <w:t>P</w:t>
      </w:r>
      <w:r w:rsidRPr="009A2541">
        <w:t xml:space="preserve">atients </w:t>
      </w:r>
      <w:r w:rsidR="00000D7D">
        <w:t>(</w:t>
      </w:r>
      <w:r w:rsidR="00183811">
        <w:t>N</w:t>
      </w:r>
      <w:r>
        <w:t xml:space="preserve">=723) </w:t>
      </w:r>
      <w:r w:rsidRPr="009A2541">
        <w:t>wit</w:t>
      </w:r>
      <w:r>
        <w:t xml:space="preserve">h advanced </w:t>
      </w:r>
      <w:r w:rsidR="004B64FE">
        <w:t>renal cell carcinoma (</w:t>
      </w:r>
      <w:r>
        <w:t>RCC</w:t>
      </w:r>
      <w:r w:rsidR="004B64FE">
        <w:t>)</w:t>
      </w:r>
      <w:r>
        <w:t xml:space="preserve"> whose disease had</w:t>
      </w:r>
      <w:r w:rsidRPr="009A2541">
        <w:t xml:space="preserve"> progresse</w:t>
      </w:r>
      <w:r w:rsidR="00334E01">
        <w:t>d on or after treatment with one</w:t>
      </w:r>
      <w:r w:rsidRPr="009A2541">
        <w:t xml:space="preserve"> prior systemic therapy, including </w:t>
      </w:r>
      <w:proofErr w:type="spellStart"/>
      <w:r w:rsidRPr="009A2541">
        <w:t>sunitinib</w:t>
      </w:r>
      <w:proofErr w:type="spellEnd"/>
      <w:r w:rsidRPr="009A2541">
        <w:t xml:space="preserve">-, </w:t>
      </w:r>
      <w:proofErr w:type="spellStart"/>
      <w:r w:rsidRPr="009A2541">
        <w:t>bevacizumab</w:t>
      </w:r>
      <w:proofErr w:type="spellEnd"/>
      <w:r w:rsidRPr="009A2541">
        <w:t xml:space="preserve">-, </w:t>
      </w:r>
      <w:proofErr w:type="spellStart"/>
      <w:r w:rsidRPr="009A2541">
        <w:t>temsirolimus</w:t>
      </w:r>
      <w:proofErr w:type="spellEnd"/>
      <w:r w:rsidRPr="009A2541">
        <w:t xml:space="preserve">-, </w:t>
      </w:r>
      <w:r>
        <w:t>or</w:t>
      </w:r>
      <w:r w:rsidRPr="009A2541">
        <w:t xml:space="preserve"> cytokine-containing regimens were randomized (1:1) to receive INLYTA (n=361) or </w:t>
      </w:r>
      <w:proofErr w:type="spellStart"/>
      <w:r w:rsidRPr="009A2541">
        <w:t>sorafenib</w:t>
      </w:r>
      <w:proofErr w:type="spellEnd"/>
      <w:r w:rsidRPr="009A2541">
        <w:t xml:space="preserve"> (n=362). </w:t>
      </w:r>
      <w:r w:rsidRPr="00AD5707">
        <w:t>The</w:t>
      </w:r>
      <w:r>
        <w:t xml:space="preserve"> primary endpoint, progression-free survival (PFS), was </w:t>
      </w:r>
      <w:r w:rsidRPr="009A2541">
        <w:t xml:space="preserve">assessed </w:t>
      </w:r>
      <w:r>
        <w:t>using</w:t>
      </w:r>
      <w:r w:rsidRPr="009A2541">
        <w:t xml:space="preserve"> a blinded independent central review</w:t>
      </w:r>
      <w:r>
        <w:t>.</w:t>
      </w:r>
      <w:r w:rsidR="00BE0639">
        <w:t xml:space="preserve"> </w:t>
      </w:r>
      <w:r>
        <w:t xml:space="preserve"> S</w:t>
      </w:r>
      <w:r w:rsidRPr="009A2541">
        <w:t>econdary endpoints included objective response rate (</w:t>
      </w:r>
      <w:r w:rsidR="00AB2BBB">
        <w:t>ORR) and overall survival (OS).</w:t>
      </w:r>
    </w:p>
    <w:p w:rsidR="00AE3C85" w:rsidRPr="00AB2BBB" w:rsidRDefault="00AE3C85" w:rsidP="00000D7D">
      <w:pPr>
        <w:pStyle w:val="PINormal"/>
        <w:rPr>
          <w:rStyle w:val="BlueText"/>
          <w:color w:val="auto"/>
        </w:rPr>
      </w:pPr>
      <w:r>
        <w:t>O</w:t>
      </w:r>
      <w:r w:rsidRPr="009A2541">
        <w:t xml:space="preserve">f </w:t>
      </w:r>
      <w:r>
        <w:t>the</w:t>
      </w:r>
      <w:r w:rsidRPr="009A2541">
        <w:t xml:space="preserve"> patients</w:t>
      </w:r>
      <w:r>
        <w:t xml:space="preserve"> enrolled in this study</w:t>
      </w:r>
      <w:r w:rsidR="007C012F">
        <w:t>, 389 patients (53.8</w:t>
      </w:r>
      <w:r w:rsidRPr="009A2541">
        <w:t>%)</w:t>
      </w:r>
      <w:r>
        <w:t xml:space="preserve"> had</w:t>
      </w:r>
      <w:r w:rsidRPr="009A2541">
        <w:t xml:space="preserve"> received one prior </w:t>
      </w:r>
      <w:proofErr w:type="spellStart"/>
      <w:r w:rsidRPr="009A2541">
        <w:t>sunitinib</w:t>
      </w:r>
      <w:proofErr w:type="spellEnd"/>
      <w:r w:rsidR="007C012F">
        <w:t>-based therapy, 251 patients (34.7</w:t>
      </w:r>
      <w:r w:rsidRPr="009A2541">
        <w:t xml:space="preserve">%) </w:t>
      </w:r>
      <w:r>
        <w:t xml:space="preserve">had </w:t>
      </w:r>
      <w:r w:rsidRPr="009A2541">
        <w:t>received one prior cytokine-based therapy (interl</w:t>
      </w:r>
      <w:r>
        <w:t>eukin-2 or interferon-alpha), 59</w:t>
      </w:r>
      <w:r w:rsidRPr="009A2541">
        <w:t xml:space="preserve"> patients (8</w:t>
      </w:r>
      <w:r w:rsidR="007C012F">
        <w:t>.2</w:t>
      </w:r>
      <w:r w:rsidRPr="009A2541">
        <w:t xml:space="preserve">%) </w:t>
      </w:r>
      <w:r>
        <w:t xml:space="preserve">had </w:t>
      </w:r>
      <w:r w:rsidRPr="009A2541">
        <w:t xml:space="preserve">received one prior </w:t>
      </w:r>
      <w:proofErr w:type="spellStart"/>
      <w:r w:rsidRPr="009A2541">
        <w:t>b</w:t>
      </w:r>
      <w:r>
        <w:t>evacizumab</w:t>
      </w:r>
      <w:proofErr w:type="spellEnd"/>
      <w:r>
        <w:t>-based therapy, and 24</w:t>
      </w:r>
      <w:r w:rsidRPr="009A2541">
        <w:t xml:space="preserve"> patients (3</w:t>
      </w:r>
      <w:r w:rsidR="007C012F">
        <w:t>.3</w:t>
      </w:r>
      <w:r w:rsidRPr="00AD5707">
        <w:t xml:space="preserve">%) had received one prior </w:t>
      </w:r>
      <w:proofErr w:type="spellStart"/>
      <w:r w:rsidRPr="00AD5707">
        <w:t>temsirolimus</w:t>
      </w:r>
      <w:proofErr w:type="spellEnd"/>
      <w:r w:rsidRPr="00AD5707">
        <w:t xml:space="preserve">-based therapy. </w:t>
      </w:r>
      <w:r w:rsidRPr="0095606C">
        <w:rPr>
          <w:rStyle w:val="BlueText"/>
          <w:color w:val="000000"/>
        </w:rPr>
        <w:t>The baseline</w:t>
      </w:r>
      <w:r>
        <w:rPr>
          <w:rStyle w:val="BlueText"/>
        </w:rPr>
        <w:t xml:space="preserve"> </w:t>
      </w:r>
      <w:r>
        <w:t>demographic</w:t>
      </w:r>
      <w:r w:rsidRPr="009A2541">
        <w:t xml:space="preserve"> and </w:t>
      </w:r>
      <w:r>
        <w:t>disease</w:t>
      </w:r>
      <w:r w:rsidRPr="009A2541">
        <w:t xml:space="preserve"> characteristics were similar between the INLYTA and </w:t>
      </w:r>
      <w:proofErr w:type="spellStart"/>
      <w:r w:rsidRPr="009A2541">
        <w:t>sorafenib</w:t>
      </w:r>
      <w:proofErr w:type="spellEnd"/>
      <w:r w:rsidRPr="009A2541">
        <w:t xml:space="preserve"> groups with regard to </w:t>
      </w:r>
      <w:r>
        <w:t xml:space="preserve">age, </w:t>
      </w:r>
      <w:r w:rsidRPr="009A2541">
        <w:t xml:space="preserve">gender, race, </w:t>
      </w:r>
      <w:r>
        <w:t xml:space="preserve">Eastern Cooperative Oncology Group (ECOG) </w:t>
      </w:r>
      <w:r w:rsidRPr="009A2541">
        <w:t>performance status,</w:t>
      </w:r>
      <w:r>
        <w:t xml:space="preserve"> geographic region,</w:t>
      </w:r>
      <w:r w:rsidRPr="009A2541">
        <w:t xml:space="preserve"> and prior treatment.</w:t>
      </w:r>
    </w:p>
    <w:p w:rsidR="00AB2BBB" w:rsidRDefault="00D1012F" w:rsidP="00000D7D">
      <w:pPr>
        <w:pStyle w:val="PINormal"/>
      </w:pPr>
      <w:r>
        <w:t xml:space="preserve">There was a statistically significant advantage for </w:t>
      </w:r>
      <w:r w:rsidR="00AE3C85" w:rsidRPr="009A2541">
        <w:t>INLYTA</w:t>
      </w:r>
      <w:r>
        <w:t xml:space="preserve"> over</w:t>
      </w:r>
      <w:r w:rsidR="00AE3C85" w:rsidRPr="009A2541">
        <w:t xml:space="preserve"> </w:t>
      </w:r>
      <w:proofErr w:type="spellStart"/>
      <w:r w:rsidR="00AE3C85" w:rsidRPr="009A2541">
        <w:t>sorafenib</w:t>
      </w:r>
      <w:proofErr w:type="spellEnd"/>
      <w:r w:rsidR="00AE3C85" w:rsidRPr="009A2541">
        <w:t xml:space="preserve"> for the primary endpoint of PFS</w:t>
      </w:r>
      <w:r w:rsidR="00AE3C85">
        <w:t xml:space="preserve"> (see Table </w:t>
      </w:r>
      <w:r w:rsidR="00A0230E">
        <w:t>1</w:t>
      </w:r>
      <w:r w:rsidR="00AE3C85">
        <w:t xml:space="preserve"> and Figure </w:t>
      </w:r>
      <w:r w:rsidR="00A0230E">
        <w:t>1</w:t>
      </w:r>
      <w:r w:rsidR="00AE3C85" w:rsidRPr="009A2541">
        <w:t>).</w:t>
      </w:r>
      <w:r w:rsidR="00D97AB6" w:rsidRPr="00D97AB6">
        <w:t xml:space="preserve"> </w:t>
      </w:r>
      <w:r w:rsidR="00D97AB6">
        <w:t>There was no statistically significant difference between the arms in OS.</w:t>
      </w:r>
    </w:p>
    <w:p w:rsidR="00AB2BBB" w:rsidRDefault="00AB2BBB">
      <w:pPr>
        <w:spacing w:after="0"/>
        <w:jc w:val="left"/>
      </w:pPr>
      <w:r>
        <w:br w:type="page"/>
      </w:r>
    </w:p>
    <w:p w:rsidR="002E312C" w:rsidRPr="00BC726D" w:rsidRDefault="00002D0A" w:rsidP="00002D0A">
      <w:pPr>
        <w:pStyle w:val="PITableTitle"/>
      </w:pPr>
      <w:r>
        <w:lastRenderedPageBreak/>
        <w:t xml:space="preserve">Table 1: </w:t>
      </w:r>
      <w:r w:rsidR="00AE3C85" w:rsidRPr="00BC726D">
        <w:t>Efficacy Results by Independent Assessment</w:t>
      </w:r>
    </w:p>
    <w:tbl>
      <w:tblPr>
        <w:tblW w:w="92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701"/>
        <w:gridCol w:w="1701"/>
        <w:gridCol w:w="1843"/>
        <w:gridCol w:w="1024"/>
      </w:tblGrid>
      <w:tr w:rsidR="00AE3C85" w:rsidRPr="00AE3C85" w:rsidTr="00C77AB5">
        <w:trPr>
          <w:trHeight w:val="319"/>
          <w:tblHeader/>
        </w:trPr>
        <w:tc>
          <w:tcPr>
            <w:tcW w:w="2977" w:type="dxa"/>
            <w:tcBorders>
              <w:top w:val="single" w:sz="4" w:space="0" w:color="auto"/>
            </w:tcBorders>
          </w:tcPr>
          <w:p w:rsidR="00AE3C85" w:rsidRPr="00340B8F" w:rsidRDefault="00AE3C85" w:rsidP="00C77AB5">
            <w:pPr>
              <w:pStyle w:val="PITableTextListText"/>
              <w:spacing w:before="0" w:after="0"/>
              <w:jc w:val="center"/>
              <w:rPr>
                <w:b/>
                <w:sz w:val="22"/>
                <w:szCs w:val="22"/>
              </w:rPr>
            </w:pPr>
            <w:r w:rsidRPr="00340B8F">
              <w:rPr>
                <w:b/>
                <w:sz w:val="22"/>
                <w:szCs w:val="22"/>
              </w:rPr>
              <w:t>Endpoint</w:t>
            </w:r>
            <w:r w:rsidR="00050648">
              <w:rPr>
                <w:b/>
                <w:sz w:val="22"/>
                <w:szCs w:val="22"/>
              </w:rPr>
              <w:t xml:space="preserve"> </w:t>
            </w:r>
            <w:r w:rsidRPr="00340B8F">
              <w:rPr>
                <w:b/>
                <w:sz w:val="22"/>
                <w:szCs w:val="22"/>
              </w:rPr>
              <w:t>/</w:t>
            </w:r>
            <w:r w:rsidR="00050648">
              <w:rPr>
                <w:b/>
                <w:sz w:val="22"/>
                <w:szCs w:val="22"/>
              </w:rPr>
              <w:t xml:space="preserve"> </w:t>
            </w:r>
            <w:r w:rsidRPr="00340B8F">
              <w:rPr>
                <w:b/>
                <w:sz w:val="22"/>
                <w:szCs w:val="22"/>
              </w:rPr>
              <w:t>Study Population</w:t>
            </w:r>
          </w:p>
        </w:tc>
        <w:tc>
          <w:tcPr>
            <w:tcW w:w="1701" w:type="dxa"/>
            <w:tcBorders>
              <w:top w:val="single" w:sz="4" w:space="0" w:color="auto"/>
            </w:tcBorders>
          </w:tcPr>
          <w:p w:rsidR="00AE3C85" w:rsidRPr="00340B8F" w:rsidRDefault="00AE3C85" w:rsidP="00C77AB5">
            <w:pPr>
              <w:pStyle w:val="PITableTextListText"/>
              <w:spacing w:before="0" w:after="0"/>
              <w:jc w:val="center"/>
              <w:rPr>
                <w:b/>
                <w:sz w:val="22"/>
                <w:szCs w:val="22"/>
              </w:rPr>
            </w:pPr>
            <w:r w:rsidRPr="00340B8F">
              <w:rPr>
                <w:b/>
                <w:sz w:val="22"/>
                <w:szCs w:val="22"/>
              </w:rPr>
              <w:t>INLYTA</w:t>
            </w:r>
          </w:p>
        </w:tc>
        <w:tc>
          <w:tcPr>
            <w:tcW w:w="1701" w:type="dxa"/>
            <w:tcBorders>
              <w:top w:val="single" w:sz="4" w:space="0" w:color="auto"/>
            </w:tcBorders>
          </w:tcPr>
          <w:p w:rsidR="00AE3C85" w:rsidRPr="00340B8F" w:rsidRDefault="00AE3C85" w:rsidP="00C77AB5">
            <w:pPr>
              <w:pStyle w:val="PITableTextListText"/>
              <w:spacing w:before="0" w:after="0"/>
              <w:jc w:val="center"/>
              <w:rPr>
                <w:b/>
                <w:sz w:val="22"/>
                <w:szCs w:val="22"/>
                <w:lang w:val="fr-FR"/>
              </w:rPr>
            </w:pPr>
            <w:r w:rsidRPr="00340B8F">
              <w:rPr>
                <w:b/>
                <w:sz w:val="22"/>
                <w:szCs w:val="22"/>
                <w:lang w:val="fr-FR"/>
              </w:rPr>
              <w:t>Sorafenib</w:t>
            </w:r>
          </w:p>
        </w:tc>
        <w:tc>
          <w:tcPr>
            <w:tcW w:w="1843" w:type="dxa"/>
            <w:tcBorders>
              <w:top w:val="single" w:sz="4" w:space="0" w:color="auto"/>
            </w:tcBorders>
          </w:tcPr>
          <w:p w:rsidR="00AE3C85" w:rsidRPr="00340B8F" w:rsidRDefault="00AE3C85" w:rsidP="00C77AB5">
            <w:pPr>
              <w:pStyle w:val="PITableTextListText"/>
              <w:spacing w:before="0" w:after="0"/>
              <w:jc w:val="center"/>
              <w:rPr>
                <w:b/>
                <w:sz w:val="22"/>
                <w:szCs w:val="22"/>
              </w:rPr>
            </w:pPr>
            <w:r w:rsidRPr="00340B8F">
              <w:rPr>
                <w:b/>
                <w:sz w:val="22"/>
                <w:szCs w:val="22"/>
              </w:rPr>
              <w:t>HR</w:t>
            </w:r>
            <w:r w:rsidR="00183811">
              <w:rPr>
                <w:b/>
                <w:sz w:val="22"/>
                <w:szCs w:val="22"/>
              </w:rPr>
              <w:t xml:space="preserve"> </w:t>
            </w:r>
            <w:r w:rsidRPr="00340B8F">
              <w:rPr>
                <w:b/>
                <w:sz w:val="22"/>
                <w:szCs w:val="22"/>
              </w:rPr>
              <w:t>(95% CI)</w:t>
            </w:r>
          </w:p>
        </w:tc>
        <w:tc>
          <w:tcPr>
            <w:tcW w:w="1024" w:type="dxa"/>
            <w:tcBorders>
              <w:top w:val="single" w:sz="4" w:space="0" w:color="auto"/>
            </w:tcBorders>
          </w:tcPr>
          <w:p w:rsidR="00AE3C85" w:rsidRPr="00340B8F" w:rsidRDefault="009A682F" w:rsidP="00C77AB5">
            <w:pPr>
              <w:pStyle w:val="PITableTextListText"/>
              <w:spacing w:before="0" w:after="0"/>
              <w:jc w:val="center"/>
              <w:rPr>
                <w:b/>
                <w:sz w:val="22"/>
                <w:szCs w:val="22"/>
              </w:rPr>
            </w:pPr>
            <w:r>
              <w:rPr>
                <w:b/>
                <w:sz w:val="22"/>
                <w:szCs w:val="22"/>
              </w:rPr>
              <w:t>P</w:t>
            </w:r>
            <w:r w:rsidR="00AE3C85" w:rsidRPr="00340B8F">
              <w:rPr>
                <w:b/>
                <w:sz w:val="22"/>
                <w:szCs w:val="22"/>
              </w:rPr>
              <w:t>-value</w:t>
            </w:r>
          </w:p>
        </w:tc>
      </w:tr>
      <w:tr w:rsidR="00050648" w:rsidRPr="00AE3C85" w:rsidTr="00050648">
        <w:trPr>
          <w:trHeight w:val="167"/>
        </w:trPr>
        <w:tc>
          <w:tcPr>
            <w:tcW w:w="9246" w:type="dxa"/>
            <w:gridSpan w:val="5"/>
            <w:vAlign w:val="bottom"/>
          </w:tcPr>
          <w:p w:rsidR="00050648" w:rsidRPr="00340B8F" w:rsidRDefault="00050648" w:rsidP="00C77AB5">
            <w:pPr>
              <w:pStyle w:val="PITableTextListText"/>
              <w:spacing w:before="0" w:after="0"/>
              <w:rPr>
                <w:sz w:val="22"/>
                <w:szCs w:val="22"/>
              </w:rPr>
            </w:pPr>
            <w:r w:rsidRPr="00340B8F">
              <w:rPr>
                <w:b/>
                <w:sz w:val="22"/>
                <w:szCs w:val="22"/>
              </w:rPr>
              <w:t>PFS</w:t>
            </w:r>
            <w:r w:rsidRPr="00340B8F">
              <w:rPr>
                <w:b/>
                <w:sz w:val="22"/>
                <w:szCs w:val="22"/>
                <w:vertAlign w:val="superscript"/>
              </w:rPr>
              <w:t xml:space="preserve"> </w:t>
            </w:r>
            <w:proofErr w:type="spellStart"/>
            <w:r w:rsidRPr="00340B8F">
              <w:rPr>
                <w:b/>
                <w:sz w:val="22"/>
                <w:szCs w:val="22"/>
                <w:vertAlign w:val="superscript"/>
              </w:rPr>
              <w:t>a,b</w:t>
            </w:r>
            <w:proofErr w:type="spellEnd"/>
          </w:p>
        </w:tc>
      </w:tr>
      <w:tr w:rsidR="00A0781B" w:rsidRPr="00AE3C85" w:rsidTr="007E664A">
        <w:trPr>
          <w:trHeight w:val="654"/>
        </w:trPr>
        <w:tc>
          <w:tcPr>
            <w:tcW w:w="2977" w:type="dxa"/>
            <w:shd w:val="clear" w:color="auto" w:fill="auto"/>
            <w:vAlign w:val="center"/>
          </w:tcPr>
          <w:p w:rsidR="00A0781B" w:rsidRPr="00340B8F" w:rsidRDefault="00A0781B" w:rsidP="007E664A">
            <w:pPr>
              <w:pStyle w:val="PITableTextListText"/>
              <w:spacing w:before="0" w:after="0"/>
              <w:rPr>
                <w:sz w:val="22"/>
                <w:szCs w:val="22"/>
              </w:rPr>
            </w:pPr>
            <w:r w:rsidRPr="00340B8F">
              <w:rPr>
                <w:sz w:val="22"/>
                <w:szCs w:val="22"/>
              </w:rPr>
              <w:t>Overall ITT</w:t>
            </w:r>
          </w:p>
          <w:p w:rsidR="00A0781B" w:rsidRPr="00340B8F" w:rsidRDefault="00A0781B" w:rsidP="007E664A">
            <w:pPr>
              <w:pStyle w:val="PITableTextListText"/>
              <w:spacing w:before="0" w:after="0"/>
              <w:jc w:val="center"/>
              <w:rPr>
                <w:sz w:val="22"/>
                <w:szCs w:val="22"/>
              </w:rPr>
            </w:pPr>
            <w:r w:rsidRPr="00340B8F">
              <w:rPr>
                <w:sz w:val="22"/>
                <w:szCs w:val="22"/>
              </w:rPr>
              <w:t>Median, months (95% CI)</w:t>
            </w:r>
          </w:p>
        </w:tc>
        <w:tc>
          <w:tcPr>
            <w:tcW w:w="1701" w:type="dxa"/>
            <w:shd w:val="clear" w:color="auto" w:fill="auto"/>
            <w:vAlign w:val="center"/>
          </w:tcPr>
          <w:p w:rsidR="00A0781B" w:rsidRPr="00340B8F" w:rsidRDefault="00452919" w:rsidP="007E664A">
            <w:pPr>
              <w:pStyle w:val="PITableTextListText"/>
              <w:spacing w:before="0" w:after="0"/>
              <w:jc w:val="center"/>
              <w:rPr>
                <w:sz w:val="22"/>
                <w:szCs w:val="22"/>
              </w:rPr>
            </w:pPr>
            <w:r>
              <w:rPr>
                <w:sz w:val="22"/>
                <w:szCs w:val="22"/>
              </w:rPr>
              <w:t>N</w:t>
            </w:r>
            <w:r w:rsidR="00A0781B">
              <w:rPr>
                <w:sz w:val="22"/>
                <w:szCs w:val="22"/>
              </w:rPr>
              <w:t xml:space="preserve"> </w:t>
            </w:r>
            <w:r w:rsidR="00A0781B" w:rsidRPr="00340B8F">
              <w:rPr>
                <w:sz w:val="22"/>
                <w:szCs w:val="22"/>
              </w:rPr>
              <w:t>= 361</w:t>
            </w:r>
          </w:p>
          <w:p w:rsidR="00A0781B" w:rsidRPr="00340B8F" w:rsidRDefault="00A0781B" w:rsidP="007E664A">
            <w:pPr>
              <w:pStyle w:val="PITableTextListText"/>
              <w:spacing w:before="0" w:after="0"/>
              <w:jc w:val="center"/>
              <w:rPr>
                <w:sz w:val="22"/>
                <w:szCs w:val="22"/>
              </w:rPr>
            </w:pPr>
            <w:r w:rsidRPr="00340B8F">
              <w:rPr>
                <w:sz w:val="22"/>
                <w:szCs w:val="22"/>
              </w:rPr>
              <w:t>6.7</w:t>
            </w:r>
            <w:r>
              <w:rPr>
                <w:sz w:val="22"/>
                <w:szCs w:val="22"/>
              </w:rPr>
              <w:t xml:space="preserve"> </w:t>
            </w:r>
            <w:r w:rsidRPr="00340B8F">
              <w:rPr>
                <w:sz w:val="22"/>
                <w:szCs w:val="22"/>
              </w:rPr>
              <w:t>(6.3, 8.6)</w:t>
            </w:r>
          </w:p>
        </w:tc>
        <w:tc>
          <w:tcPr>
            <w:tcW w:w="1701" w:type="dxa"/>
            <w:shd w:val="clear" w:color="auto" w:fill="auto"/>
            <w:vAlign w:val="center"/>
          </w:tcPr>
          <w:p w:rsidR="00A0781B" w:rsidRPr="00340B8F" w:rsidRDefault="00452919" w:rsidP="007E664A">
            <w:pPr>
              <w:pStyle w:val="PITableTextListText"/>
              <w:spacing w:before="0" w:after="0"/>
              <w:jc w:val="center"/>
              <w:rPr>
                <w:sz w:val="22"/>
                <w:szCs w:val="22"/>
              </w:rPr>
            </w:pPr>
            <w:r>
              <w:rPr>
                <w:sz w:val="22"/>
                <w:szCs w:val="22"/>
              </w:rPr>
              <w:t>N</w:t>
            </w:r>
            <w:r w:rsidR="00A0781B" w:rsidRPr="00340B8F">
              <w:rPr>
                <w:sz w:val="22"/>
                <w:szCs w:val="22"/>
              </w:rPr>
              <w:t xml:space="preserve"> = 362</w:t>
            </w:r>
          </w:p>
          <w:p w:rsidR="00A0781B" w:rsidRPr="00340B8F" w:rsidRDefault="00A0781B" w:rsidP="007E664A">
            <w:pPr>
              <w:pStyle w:val="PITableTextListText"/>
              <w:spacing w:before="0" w:after="0"/>
              <w:jc w:val="center"/>
              <w:rPr>
                <w:sz w:val="22"/>
                <w:szCs w:val="22"/>
              </w:rPr>
            </w:pPr>
            <w:r w:rsidRPr="00340B8F">
              <w:rPr>
                <w:sz w:val="22"/>
                <w:szCs w:val="22"/>
              </w:rPr>
              <w:t>4.7</w:t>
            </w:r>
            <w:r>
              <w:rPr>
                <w:sz w:val="22"/>
                <w:szCs w:val="22"/>
              </w:rPr>
              <w:t xml:space="preserve"> </w:t>
            </w:r>
            <w:r w:rsidRPr="00340B8F">
              <w:rPr>
                <w:sz w:val="22"/>
                <w:szCs w:val="22"/>
              </w:rPr>
              <w:t>(4.6, 5.6)</w:t>
            </w:r>
          </w:p>
        </w:tc>
        <w:tc>
          <w:tcPr>
            <w:tcW w:w="1843" w:type="dxa"/>
            <w:shd w:val="clear" w:color="auto" w:fill="auto"/>
            <w:vAlign w:val="center"/>
          </w:tcPr>
          <w:p w:rsidR="00050648" w:rsidRDefault="00050648" w:rsidP="007E664A">
            <w:pPr>
              <w:pStyle w:val="PITableTextListText"/>
              <w:spacing w:before="0" w:after="0"/>
              <w:jc w:val="center"/>
              <w:rPr>
                <w:sz w:val="22"/>
                <w:szCs w:val="22"/>
              </w:rPr>
            </w:pPr>
          </w:p>
          <w:p w:rsidR="00A0781B" w:rsidRPr="00340B8F" w:rsidRDefault="00A0781B" w:rsidP="007E664A">
            <w:pPr>
              <w:pStyle w:val="PITableTextListText"/>
              <w:spacing w:before="0" w:after="0"/>
              <w:jc w:val="center"/>
              <w:rPr>
                <w:sz w:val="22"/>
                <w:szCs w:val="22"/>
              </w:rPr>
            </w:pPr>
            <w:r>
              <w:rPr>
                <w:sz w:val="22"/>
                <w:szCs w:val="22"/>
              </w:rPr>
              <w:t xml:space="preserve">0.67 </w:t>
            </w:r>
            <w:r w:rsidRPr="00340B8F">
              <w:rPr>
                <w:sz w:val="22"/>
                <w:szCs w:val="22"/>
              </w:rPr>
              <w:t>(0.54</w:t>
            </w:r>
            <w:r>
              <w:rPr>
                <w:sz w:val="22"/>
                <w:szCs w:val="22"/>
              </w:rPr>
              <w:t>, 0.81</w:t>
            </w:r>
            <w:r w:rsidRPr="00340B8F">
              <w:rPr>
                <w:sz w:val="22"/>
                <w:szCs w:val="22"/>
              </w:rPr>
              <w:t>)</w:t>
            </w:r>
          </w:p>
        </w:tc>
        <w:tc>
          <w:tcPr>
            <w:tcW w:w="1024" w:type="dxa"/>
            <w:shd w:val="clear" w:color="auto" w:fill="auto"/>
            <w:vAlign w:val="center"/>
          </w:tcPr>
          <w:p w:rsidR="00050648" w:rsidRDefault="00050648" w:rsidP="007E664A">
            <w:pPr>
              <w:pStyle w:val="PITableTextListText"/>
              <w:spacing w:before="0" w:after="0"/>
              <w:jc w:val="center"/>
              <w:rPr>
                <w:sz w:val="22"/>
                <w:szCs w:val="22"/>
              </w:rPr>
            </w:pPr>
          </w:p>
          <w:p w:rsidR="00A0781B" w:rsidRPr="00340B8F" w:rsidRDefault="00A0781B" w:rsidP="007E664A">
            <w:pPr>
              <w:pStyle w:val="PITableTextListText"/>
              <w:spacing w:before="0" w:after="0"/>
              <w:jc w:val="center"/>
              <w:rPr>
                <w:sz w:val="22"/>
                <w:szCs w:val="22"/>
                <w:vertAlign w:val="superscript"/>
              </w:rPr>
            </w:pPr>
            <w:r w:rsidRPr="00340B8F">
              <w:rPr>
                <w:sz w:val="22"/>
                <w:szCs w:val="22"/>
              </w:rPr>
              <w:t>&lt;0.0001</w:t>
            </w:r>
            <w:r w:rsidRPr="00340B8F">
              <w:rPr>
                <w:sz w:val="22"/>
                <w:szCs w:val="22"/>
                <w:vertAlign w:val="superscript"/>
              </w:rPr>
              <w:t>c</w:t>
            </w:r>
          </w:p>
        </w:tc>
      </w:tr>
      <w:tr w:rsidR="00A0781B" w:rsidRPr="00AE3C85" w:rsidTr="007E664A">
        <w:trPr>
          <w:trHeight w:val="692"/>
        </w:trPr>
        <w:tc>
          <w:tcPr>
            <w:tcW w:w="2977" w:type="dxa"/>
            <w:vAlign w:val="center"/>
          </w:tcPr>
          <w:p w:rsidR="00A0781B" w:rsidRPr="00340B8F" w:rsidRDefault="00A0781B" w:rsidP="007E664A">
            <w:pPr>
              <w:pStyle w:val="PITableTextListText"/>
              <w:spacing w:before="0" w:after="0"/>
              <w:rPr>
                <w:sz w:val="22"/>
                <w:szCs w:val="22"/>
              </w:rPr>
            </w:pPr>
            <w:proofErr w:type="spellStart"/>
            <w:r w:rsidRPr="00340B8F">
              <w:rPr>
                <w:sz w:val="22"/>
                <w:szCs w:val="22"/>
              </w:rPr>
              <w:t>Sunitinib</w:t>
            </w:r>
            <w:proofErr w:type="spellEnd"/>
            <w:r w:rsidRPr="00340B8F">
              <w:rPr>
                <w:sz w:val="22"/>
                <w:szCs w:val="22"/>
              </w:rPr>
              <w:t>-refractory subgroup</w:t>
            </w:r>
          </w:p>
          <w:p w:rsidR="00A0781B" w:rsidRPr="00340B8F" w:rsidRDefault="00A0781B" w:rsidP="007E664A">
            <w:pPr>
              <w:pStyle w:val="PITableTextListText"/>
              <w:spacing w:before="0" w:after="0"/>
              <w:jc w:val="center"/>
              <w:rPr>
                <w:sz w:val="22"/>
                <w:szCs w:val="22"/>
              </w:rPr>
            </w:pPr>
            <w:r w:rsidRPr="00340B8F">
              <w:rPr>
                <w:sz w:val="22"/>
                <w:szCs w:val="22"/>
              </w:rPr>
              <w:t>Median, months (95% CI)</w:t>
            </w:r>
          </w:p>
        </w:tc>
        <w:tc>
          <w:tcPr>
            <w:tcW w:w="1701" w:type="dxa"/>
            <w:vAlign w:val="center"/>
          </w:tcPr>
          <w:p w:rsidR="00A0781B" w:rsidRPr="00340B8F" w:rsidRDefault="00452919" w:rsidP="007E664A">
            <w:pPr>
              <w:pStyle w:val="PITableTextListText"/>
              <w:spacing w:before="0" w:after="0"/>
              <w:jc w:val="center"/>
              <w:rPr>
                <w:sz w:val="22"/>
                <w:szCs w:val="22"/>
              </w:rPr>
            </w:pPr>
            <w:r>
              <w:rPr>
                <w:sz w:val="22"/>
                <w:szCs w:val="22"/>
              </w:rPr>
              <w:t>N</w:t>
            </w:r>
            <w:r w:rsidR="00A0781B">
              <w:rPr>
                <w:sz w:val="22"/>
                <w:szCs w:val="22"/>
              </w:rPr>
              <w:t xml:space="preserve"> </w:t>
            </w:r>
            <w:r w:rsidR="00A0781B" w:rsidRPr="00340B8F">
              <w:rPr>
                <w:sz w:val="22"/>
                <w:szCs w:val="22"/>
              </w:rPr>
              <w:t>=</w:t>
            </w:r>
            <w:r w:rsidR="00A0781B">
              <w:rPr>
                <w:sz w:val="22"/>
                <w:szCs w:val="22"/>
              </w:rPr>
              <w:t xml:space="preserve"> </w:t>
            </w:r>
            <w:r w:rsidR="00050648">
              <w:rPr>
                <w:sz w:val="22"/>
                <w:szCs w:val="22"/>
              </w:rPr>
              <w:t>194</w:t>
            </w:r>
          </w:p>
          <w:p w:rsidR="00A0781B" w:rsidRPr="00340B8F" w:rsidRDefault="00A0781B" w:rsidP="007E664A">
            <w:pPr>
              <w:pStyle w:val="PITableTextListText"/>
              <w:spacing w:before="0" w:after="0"/>
              <w:jc w:val="center"/>
              <w:rPr>
                <w:sz w:val="22"/>
                <w:szCs w:val="22"/>
              </w:rPr>
            </w:pPr>
            <w:r w:rsidRPr="00340B8F">
              <w:rPr>
                <w:sz w:val="22"/>
                <w:szCs w:val="22"/>
              </w:rPr>
              <w:t>4.8</w:t>
            </w:r>
            <w:r>
              <w:rPr>
                <w:sz w:val="22"/>
                <w:szCs w:val="22"/>
              </w:rPr>
              <w:t xml:space="preserve"> </w:t>
            </w:r>
            <w:r w:rsidRPr="00340B8F">
              <w:rPr>
                <w:sz w:val="22"/>
                <w:szCs w:val="22"/>
              </w:rPr>
              <w:t>(4.5, 6.4)</w:t>
            </w:r>
          </w:p>
        </w:tc>
        <w:tc>
          <w:tcPr>
            <w:tcW w:w="1701" w:type="dxa"/>
            <w:vAlign w:val="center"/>
          </w:tcPr>
          <w:p w:rsidR="00A0781B" w:rsidRPr="00340B8F" w:rsidRDefault="00452919" w:rsidP="007E664A">
            <w:pPr>
              <w:pStyle w:val="PITableTextListText"/>
              <w:spacing w:before="0" w:after="0"/>
              <w:jc w:val="center"/>
              <w:rPr>
                <w:sz w:val="22"/>
                <w:szCs w:val="22"/>
              </w:rPr>
            </w:pPr>
            <w:r>
              <w:rPr>
                <w:sz w:val="22"/>
                <w:szCs w:val="22"/>
              </w:rPr>
              <w:t>N</w:t>
            </w:r>
            <w:r w:rsidR="00A0781B">
              <w:rPr>
                <w:sz w:val="22"/>
                <w:szCs w:val="22"/>
              </w:rPr>
              <w:t xml:space="preserve"> </w:t>
            </w:r>
            <w:r w:rsidR="00A0781B" w:rsidRPr="00340B8F">
              <w:rPr>
                <w:sz w:val="22"/>
                <w:szCs w:val="22"/>
              </w:rPr>
              <w:t>=</w:t>
            </w:r>
            <w:r w:rsidR="00A0781B">
              <w:rPr>
                <w:sz w:val="22"/>
                <w:szCs w:val="22"/>
              </w:rPr>
              <w:t xml:space="preserve"> </w:t>
            </w:r>
            <w:r w:rsidR="00050648">
              <w:rPr>
                <w:sz w:val="22"/>
                <w:szCs w:val="22"/>
              </w:rPr>
              <w:t>195</w:t>
            </w:r>
          </w:p>
          <w:p w:rsidR="00A0781B" w:rsidRPr="00340B8F" w:rsidRDefault="00A0781B" w:rsidP="007E664A">
            <w:pPr>
              <w:pStyle w:val="PITableTextListText"/>
              <w:spacing w:before="0" w:after="0"/>
              <w:jc w:val="center"/>
              <w:rPr>
                <w:sz w:val="22"/>
                <w:szCs w:val="22"/>
              </w:rPr>
            </w:pPr>
            <w:r w:rsidRPr="00340B8F">
              <w:rPr>
                <w:sz w:val="22"/>
                <w:szCs w:val="22"/>
              </w:rPr>
              <w:t>3.4</w:t>
            </w:r>
            <w:r>
              <w:rPr>
                <w:sz w:val="22"/>
                <w:szCs w:val="22"/>
              </w:rPr>
              <w:t xml:space="preserve"> </w:t>
            </w:r>
            <w:r w:rsidRPr="00340B8F">
              <w:rPr>
                <w:sz w:val="22"/>
                <w:szCs w:val="22"/>
              </w:rPr>
              <w:t>(2.8, 4.7)</w:t>
            </w:r>
          </w:p>
        </w:tc>
        <w:tc>
          <w:tcPr>
            <w:tcW w:w="1843" w:type="dxa"/>
            <w:vAlign w:val="center"/>
          </w:tcPr>
          <w:p w:rsidR="00050648" w:rsidRDefault="00050648" w:rsidP="007E664A">
            <w:pPr>
              <w:pStyle w:val="PITableTextListText"/>
              <w:spacing w:before="0" w:after="0"/>
              <w:jc w:val="center"/>
              <w:rPr>
                <w:sz w:val="22"/>
                <w:szCs w:val="22"/>
              </w:rPr>
            </w:pPr>
          </w:p>
          <w:p w:rsidR="00A0781B" w:rsidRPr="00340B8F" w:rsidRDefault="00A0781B" w:rsidP="007E664A">
            <w:pPr>
              <w:pStyle w:val="PITableTextListText"/>
              <w:spacing w:before="0" w:after="0"/>
              <w:jc w:val="center"/>
              <w:rPr>
                <w:sz w:val="22"/>
                <w:szCs w:val="22"/>
              </w:rPr>
            </w:pPr>
            <w:r>
              <w:rPr>
                <w:sz w:val="22"/>
                <w:szCs w:val="22"/>
              </w:rPr>
              <w:t>0.74</w:t>
            </w:r>
            <w:r w:rsidR="00050648">
              <w:rPr>
                <w:sz w:val="22"/>
                <w:szCs w:val="22"/>
              </w:rPr>
              <w:t xml:space="preserve"> </w:t>
            </w:r>
            <w:r>
              <w:rPr>
                <w:sz w:val="22"/>
                <w:szCs w:val="22"/>
              </w:rPr>
              <w:t>(0.57</w:t>
            </w:r>
            <w:r w:rsidRPr="00340B8F">
              <w:rPr>
                <w:sz w:val="22"/>
                <w:szCs w:val="22"/>
              </w:rPr>
              <w:t>, 0.9</w:t>
            </w:r>
            <w:r>
              <w:rPr>
                <w:sz w:val="22"/>
                <w:szCs w:val="22"/>
              </w:rPr>
              <w:t>6</w:t>
            </w:r>
            <w:r w:rsidRPr="00340B8F">
              <w:rPr>
                <w:sz w:val="22"/>
                <w:szCs w:val="22"/>
              </w:rPr>
              <w:t>)</w:t>
            </w:r>
          </w:p>
        </w:tc>
        <w:tc>
          <w:tcPr>
            <w:tcW w:w="1024" w:type="dxa"/>
            <w:vAlign w:val="center"/>
          </w:tcPr>
          <w:p w:rsidR="00050648" w:rsidRDefault="00050648" w:rsidP="007E664A">
            <w:pPr>
              <w:pStyle w:val="PITableTextListText"/>
              <w:spacing w:before="0" w:after="0"/>
              <w:jc w:val="center"/>
              <w:rPr>
                <w:sz w:val="22"/>
                <w:szCs w:val="22"/>
              </w:rPr>
            </w:pPr>
          </w:p>
          <w:p w:rsidR="00A0781B" w:rsidRPr="00340B8F" w:rsidRDefault="00A0781B" w:rsidP="007E664A">
            <w:pPr>
              <w:pStyle w:val="PITableTextListText"/>
              <w:spacing w:before="0" w:after="0"/>
              <w:jc w:val="center"/>
              <w:rPr>
                <w:sz w:val="22"/>
                <w:szCs w:val="22"/>
                <w:vertAlign w:val="superscript"/>
              </w:rPr>
            </w:pPr>
            <w:r w:rsidRPr="00340B8F">
              <w:rPr>
                <w:sz w:val="22"/>
                <w:szCs w:val="22"/>
              </w:rPr>
              <w:t>0.0107</w:t>
            </w:r>
            <w:r w:rsidRPr="00340B8F">
              <w:rPr>
                <w:sz w:val="22"/>
                <w:szCs w:val="22"/>
                <w:vertAlign w:val="superscript"/>
              </w:rPr>
              <w:t>d</w:t>
            </w:r>
          </w:p>
        </w:tc>
      </w:tr>
      <w:tr w:rsidR="00A0781B" w:rsidRPr="00AE3C85" w:rsidTr="007E664A">
        <w:trPr>
          <w:trHeight w:val="703"/>
        </w:trPr>
        <w:tc>
          <w:tcPr>
            <w:tcW w:w="2977" w:type="dxa"/>
            <w:vAlign w:val="center"/>
          </w:tcPr>
          <w:p w:rsidR="00A0781B" w:rsidRPr="00340B8F" w:rsidRDefault="00A0781B" w:rsidP="007E664A">
            <w:pPr>
              <w:pStyle w:val="PITableTextListText"/>
              <w:spacing w:before="0" w:after="0"/>
              <w:rPr>
                <w:sz w:val="22"/>
                <w:szCs w:val="22"/>
              </w:rPr>
            </w:pPr>
            <w:r w:rsidRPr="00340B8F">
              <w:rPr>
                <w:sz w:val="22"/>
                <w:szCs w:val="22"/>
              </w:rPr>
              <w:t>Cytokine-refractory subgroup</w:t>
            </w:r>
          </w:p>
          <w:p w:rsidR="00A0781B" w:rsidRPr="00340B8F" w:rsidRDefault="00A0781B" w:rsidP="007E664A">
            <w:pPr>
              <w:pStyle w:val="PITableTextListText"/>
              <w:spacing w:before="0" w:after="0"/>
              <w:jc w:val="center"/>
              <w:rPr>
                <w:sz w:val="22"/>
                <w:szCs w:val="22"/>
              </w:rPr>
            </w:pPr>
            <w:r w:rsidRPr="00340B8F">
              <w:rPr>
                <w:sz w:val="22"/>
                <w:szCs w:val="22"/>
              </w:rPr>
              <w:t>Median, months (95% CI)</w:t>
            </w:r>
          </w:p>
        </w:tc>
        <w:tc>
          <w:tcPr>
            <w:tcW w:w="1701" w:type="dxa"/>
            <w:vAlign w:val="center"/>
          </w:tcPr>
          <w:p w:rsidR="00A0781B" w:rsidRPr="00340B8F" w:rsidRDefault="00452919" w:rsidP="007E664A">
            <w:pPr>
              <w:pStyle w:val="PITableTextListText"/>
              <w:spacing w:before="0" w:after="0"/>
              <w:jc w:val="center"/>
              <w:rPr>
                <w:sz w:val="22"/>
                <w:szCs w:val="22"/>
              </w:rPr>
            </w:pPr>
            <w:r>
              <w:rPr>
                <w:sz w:val="22"/>
                <w:szCs w:val="22"/>
              </w:rPr>
              <w:t>N</w:t>
            </w:r>
            <w:r w:rsidR="00A0781B">
              <w:rPr>
                <w:sz w:val="22"/>
                <w:szCs w:val="22"/>
              </w:rPr>
              <w:t xml:space="preserve"> </w:t>
            </w:r>
            <w:r w:rsidR="00A0781B" w:rsidRPr="00340B8F">
              <w:rPr>
                <w:sz w:val="22"/>
                <w:szCs w:val="22"/>
              </w:rPr>
              <w:t>=</w:t>
            </w:r>
            <w:r w:rsidR="00A0781B">
              <w:rPr>
                <w:sz w:val="22"/>
                <w:szCs w:val="22"/>
              </w:rPr>
              <w:t xml:space="preserve"> </w:t>
            </w:r>
            <w:r w:rsidR="00050648">
              <w:rPr>
                <w:sz w:val="22"/>
                <w:szCs w:val="22"/>
              </w:rPr>
              <w:t>126</w:t>
            </w:r>
          </w:p>
          <w:p w:rsidR="00A0781B" w:rsidRPr="00340B8F" w:rsidRDefault="00A0781B" w:rsidP="007E664A">
            <w:pPr>
              <w:pStyle w:val="PITableTextListText"/>
              <w:spacing w:before="0" w:after="0"/>
              <w:jc w:val="center"/>
              <w:rPr>
                <w:sz w:val="22"/>
                <w:szCs w:val="22"/>
              </w:rPr>
            </w:pPr>
            <w:r w:rsidRPr="00340B8F">
              <w:rPr>
                <w:sz w:val="22"/>
                <w:szCs w:val="22"/>
              </w:rPr>
              <w:t>12.1</w:t>
            </w:r>
            <w:r>
              <w:rPr>
                <w:sz w:val="22"/>
                <w:szCs w:val="22"/>
              </w:rPr>
              <w:t xml:space="preserve"> </w:t>
            </w:r>
            <w:r w:rsidRPr="00340B8F">
              <w:rPr>
                <w:sz w:val="22"/>
                <w:szCs w:val="22"/>
              </w:rPr>
              <w:t>(10.1, 13.9)</w:t>
            </w:r>
          </w:p>
        </w:tc>
        <w:tc>
          <w:tcPr>
            <w:tcW w:w="1701" w:type="dxa"/>
            <w:vAlign w:val="center"/>
          </w:tcPr>
          <w:p w:rsidR="00A0781B" w:rsidRPr="00340B8F" w:rsidRDefault="00452919" w:rsidP="007E664A">
            <w:pPr>
              <w:pStyle w:val="PITableTextListText"/>
              <w:spacing w:before="0" w:after="0"/>
              <w:jc w:val="center"/>
              <w:rPr>
                <w:sz w:val="22"/>
                <w:szCs w:val="22"/>
              </w:rPr>
            </w:pPr>
            <w:r>
              <w:rPr>
                <w:sz w:val="22"/>
                <w:szCs w:val="22"/>
              </w:rPr>
              <w:t>N</w:t>
            </w:r>
            <w:r w:rsidR="00A0781B">
              <w:rPr>
                <w:sz w:val="22"/>
                <w:szCs w:val="22"/>
              </w:rPr>
              <w:t xml:space="preserve"> </w:t>
            </w:r>
            <w:r w:rsidR="00A0781B" w:rsidRPr="00340B8F">
              <w:rPr>
                <w:sz w:val="22"/>
                <w:szCs w:val="22"/>
              </w:rPr>
              <w:t>=</w:t>
            </w:r>
            <w:r w:rsidR="00A0781B">
              <w:rPr>
                <w:sz w:val="22"/>
                <w:szCs w:val="22"/>
              </w:rPr>
              <w:t xml:space="preserve"> </w:t>
            </w:r>
            <w:r w:rsidR="00050648">
              <w:rPr>
                <w:sz w:val="22"/>
                <w:szCs w:val="22"/>
              </w:rPr>
              <w:t>125</w:t>
            </w:r>
          </w:p>
          <w:p w:rsidR="00A0781B" w:rsidRPr="00340B8F" w:rsidRDefault="00A0781B" w:rsidP="007E664A">
            <w:pPr>
              <w:pStyle w:val="PITableTextListText"/>
              <w:spacing w:before="0" w:after="0"/>
              <w:jc w:val="center"/>
              <w:rPr>
                <w:sz w:val="22"/>
                <w:szCs w:val="22"/>
              </w:rPr>
            </w:pPr>
            <w:r w:rsidRPr="00340B8F">
              <w:rPr>
                <w:sz w:val="22"/>
                <w:szCs w:val="22"/>
              </w:rPr>
              <w:t>6.5</w:t>
            </w:r>
            <w:r>
              <w:rPr>
                <w:sz w:val="22"/>
                <w:szCs w:val="22"/>
              </w:rPr>
              <w:t xml:space="preserve"> </w:t>
            </w:r>
            <w:r w:rsidRPr="00340B8F">
              <w:rPr>
                <w:sz w:val="22"/>
                <w:szCs w:val="22"/>
              </w:rPr>
              <w:t>(6.3, 8.3)</w:t>
            </w:r>
          </w:p>
        </w:tc>
        <w:tc>
          <w:tcPr>
            <w:tcW w:w="1843" w:type="dxa"/>
            <w:vAlign w:val="center"/>
          </w:tcPr>
          <w:p w:rsidR="00050648" w:rsidRDefault="00050648" w:rsidP="007E664A">
            <w:pPr>
              <w:pStyle w:val="PITableTextListText"/>
              <w:spacing w:before="0" w:after="0"/>
              <w:jc w:val="center"/>
              <w:rPr>
                <w:sz w:val="22"/>
                <w:szCs w:val="22"/>
              </w:rPr>
            </w:pPr>
          </w:p>
          <w:p w:rsidR="00A0781B" w:rsidRPr="00340B8F" w:rsidRDefault="00A0781B" w:rsidP="007E664A">
            <w:pPr>
              <w:pStyle w:val="PITableTextListText"/>
              <w:spacing w:before="0" w:after="0"/>
              <w:jc w:val="center"/>
              <w:rPr>
                <w:sz w:val="22"/>
                <w:szCs w:val="22"/>
              </w:rPr>
            </w:pPr>
            <w:r>
              <w:rPr>
                <w:sz w:val="22"/>
                <w:szCs w:val="22"/>
              </w:rPr>
              <w:t>0.46</w:t>
            </w:r>
            <w:r w:rsidR="00050648">
              <w:rPr>
                <w:sz w:val="22"/>
                <w:szCs w:val="22"/>
              </w:rPr>
              <w:t xml:space="preserve"> </w:t>
            </w:r>
            <w:r>
              <w:rPr>
                <w:sz w:val="22"/>
                <w:szCs w:val="22"/>
              </w:rPr>
              <w:t>(0.32, 0.68</w:t>
            </w:r>
            <w:r w:rsidRPr="00340B8F">
              <w:rPr>
                <w:sz w:val="22"/>
                <w:szCs w:val="22"/>
              </w:rPr>
              <w:t>)</w:t>
            </w:r>
          </w:p>
        </w:tc>
        <w:tc>
          <w:tcPr>
            <w:tcW w:w="1024" w:type="dxa"/>
            <w:vAlign w:val="center"/>
          </w:tcPr>
          <w:p w:rsidR="00050648" w:rsidRDefault="00050648" w:rsidP="007E664A">
            <w:pPr>
              <w:pStyle w:val="PITableTextListText"/>
              <w:spacing w:before="0" w:after="0"/>
              <w:jc w:val="center"/>
              <w:rPr>
                <w:sz w:val="22"/>
                <w:szCs w:val="22"/>
              </w:rPr>
            </w:pPr>
          </w:p>
          <w:p w:rsidR="00A0781B" w:rsidRPr="00340B8F" w:rsidRDefault="00A0781B" w:rsidP="007E664A">
            <w:pPr>
              <w:pStyle w:val="PITableTextListText"/>
              <w:spacing w:before="0" w:after="0"/>
              <w:jc w:val="center"/>
              <w:rPr>
                <w:sz w:val="22"/>
                <w:szCs w:val="22"/>
                <w:vertAlign w:val="superscript"/>
              </w:rPr>
            </w:pPr>
            <w:r w:rsidRPr="00340B8F">
              <w:rPr>
                <w:sz w:val="22"/>
                <w:szCs w:val="22"/>
              </w:rPr>
              <w:t>&lt;0.0001</w:t>
            </w:r>
            <w:r w:rsidRPr="00340B8F">
              <w:rPr>
                <w:sz w:val="22"/>
                <w:szCs w:val="22"/>
                <w:vertAlign w:val="superscript"/>
              </w:rPr>
              <w:t>d</w:t>
            </w:r>
          </w:p>
        </w:tc>
      </w:tr>
      <w:tr w:rsidR="00C77AB5" w:rsidRPr="00AE3C85" w:rsidTr="00C77AB5">
        <w:trPr>
          <w:trHeight w:val="279"/>
        </w:trPr>
        <w:tc>
          <w:tcPr>
            <w:tcW w:w="9246" w:type="dxa"/>
            <w:gridSpan w:val="5"/>
            <w:vAlign w:val="bottom"/>
          </w:tcPr>
          <w:p w:rsidR="00C77AB5" w:rsidRDefault="00C77AB5" w:rsidP="00C77AB5">
            <w:pPr>
              <w:pStyle w:val="PITableTextListText"/>
              <w:spacing w:before="0" w:after="0"/>
              <w:rPr>
                <w:sz w:val="22"/>
                <w:szCs w:val="22"/>
              </w:rPr>
            </w:pPr>
            <w:r>
              <w:rPr>
                <w:b/>
                <w:sz w:val="22"/>
                <w:szCs w:val="22"/>
              </w:rPr>
              <w:t>O</w:t>
            </w:r>
            <w:r w:rsidRPr="00340B8F">
              <w:rPr>
                <w:b/>
                <w:sz w:val="22"/>
                <w:szCs w:val="22"/>
              </w:rPr>
              <w:t>S</w:t>
            </w:r>
          </w:p>
        </w:tc>
      </w:tr>
      <w:tr w:rsidR="00C77AB5" w:rsidRPr="00AE3C85" w:rsidTr="007E664A">
        <w:trPr>
          <w:trHeight w:val="430"/>
        </w:trPr>
        <w:tc>
          <w:tcPr>
            <w:tcW w:w="2977" w:type="dxa"/>
            <w:vAlign w:val="center"/>
          </w:tcPr>
          <w:p w:rsidR="00C77AB5" w:rsidRPr="00340B8F" w:rsidRDefault="00C77AB5" w:rsidP="007E664A">
            <w:pPr>
              <w:pStyle w:val="PITableTextListText"/>
              <w:spacing w:before="0" w:after="0"/>
              <w:jc w:val="center"/>
              <w:rPr>
                <w:sz w:val="22"/>
                <w:szCs w:val="22"/>
              </w:rPr>
            </w:pPr>
            <w:r>
              <w:rPr>
                <w:sz w:val="22"/>
                <w:szCs w:val="22"/>
              </w:rPr>
              <w:t>Median, months (95% CI)</w:t>
            </w:r>
          </w:p>
        </w:tc>
        <w:tc>
          <w:tcPr>
            <w:tcW w:w="1701" w:type="dxa"/>
            <w:vAlign w:val="center"/>
          </w:tcPr>
          <w:p w:rsidR="00C77AB5" w:rsidRDefault="00C77AB5" w:rsidP="007E664A">
            <w:pPr>
              <w:pStyle w:val="PITableTextListText"/>
              <w:spacing w:before="0" w:after="0"/>
              <w:jc w:val="center"/>
              <w:rPr>
                <w:sz w:val="22"/>
                <w:szCs w:val="22"/>
              </w:rPr>
            </w:pPr>
            <w:r>
              <w:rPr>
                <w:sz w:val="22"/>
                <w:szCs w:val="22"/>
              </w:rPr>
              <w:t>20.1 (16.7, 23.4)</w:t>
            </w:r>
          </w:p>
        </w:tc>
        <w:tc>
          <w:tcPr>
            <w:tcW w:w="1701" w:type="dxa"/>
            <w:vAlign w:val="center"/>
          </w:tcPr>
          <w:p w:rsidR="00C77AB5" w:rsidRDefault="00C77AB5" w:rsidP="007E664A">
            <w:pPr>
              <w:pStyle w:val="PITableTextListText"/>
              <w:spacing w:before="0" w:after="0"/>
              <w:jc w:val="center"/>
              <w:rPr>
                <w:sz w:val="22"/>
                <w:szCs w:val="22"/>
              </w:rPr>
            </w:pPr>
            <w:r>
              <w:rPr>
                <w:sz w:val="22"/>
                <w:szCs w:val="22"/>
              </w:rPr>
              <w:t>19.2 (17.5, 22.3)</w:t>
            </w:r>
          </w:p>
        </w:tc>
        <w:tc>
          <w:tcPr>
            <w:tcW w:w="1843" w:type="dxa"/>
            <w:vAlign w:val="center"/>
          </w:tcPr>
          <w:p w:rsidR="00C77AB5" w:rsidRDefault="00C77AB5" w:rsidP="007E664A">
            <w:pPr>
              <w:pStyle w:val="PITableTextListText"/>
              <w:spacing w:before="0" w:after="0"/>
              <w:jc w:val="center"/>
              <w:rPr>
                <w:sz w:val="22"/>
                <w:szCs w:val="22"/>
              </w:rPr>
            </w:pPr>
            <w:r>
              <w:rPr>
                <w:sz w:val="22"/>
                <w:szCs w:val="22"/>
              </w:rPr>
              <w:t>0.97 (0.80, 1.17)</w:t>
            </w:r>
          </w:p>
        </w:tc>
        <w:tc>
          <w:tcPr>
            <w:tcW w:w="1024" w:type="dxa"/>
            <w:vAlign w:val="center"/>
          </w:tcPr>
          <w:p w:rsidR="00C77AB5" w:rsidRDefault="00C77AB5" w:rsidP="007E664A">
            <w:pPr>
              <w:pStyle w:val="PITableTextListText"/>
              <w:spacing w:before="0" w:after="0"/>
              <w:jc w:val="center"/>
              <w:rPr>
                <w:sz w:val="22"/>
                <w:szCs w:val="22"/>
              </w:rPr>
            </w:pPr>
            <w:r>
              <w:rPr>
                <w:sz w:val="22"/>
                <w:szCs w:val="22"/>
              </w:rPr>
              <w:t>0.374</w:t>
            </w:r>
            <w:r>
              <w:rPr>
                <w:sz w:val="22"/>
                <w:szCs w:val="22"/>
                <w:vertAlign w:val="superscript"/>
              </w:rPr>
              <w:t>e</w:t>
            </w:r>
          </w:p>
        </w:tc>
      </w:tr>
      <w:tr w:rsidR="00C77AB5" w:rsidRPr="00AE3C85" w:rsidTr="0011417E">
        <w:trPr>
          <w:trHeight w:val="191"/>
        </w:trPr>
        <w:tc>
          <w:tcPr>
            <w:tcW w:w="9246" w:type="dxa"/>
            <w:gridSpan w:val="5"/>
            <w:tcBorders>
              <w:bottom w:val="single" w:sz="4" w:space="0" w:color="auto"/>
            </w:tcBorders>
            <w:vAlign w:val="bottom"/>
          </w:tcPr>
          <w:p w:rsidR="00C77AB5" w:rsidRPr="00340B8F" w:rsidRDefault="00C77AB5" w:rsidP="00C77AB5">
            <w:pPr>
              <w:pStyle w:val="PITableTextListText"/>
              <w:spacing w:before="0" w:after="0"/>
              <w:rPr>
                <w:sz w:val="22"/>
                <w:szCs w:val="22"/>
              </w:rPr>
            </w:pPr>
            <w:r w:rsidRPr="00340B8F">
              <w:rPr>
                <w:b/>
                <w:sz w:val="22"/>
                <w:szCs w:val="22"/>
              </w:rPr>
              <w:t>ORR</w:t>
            </w:r>
          </w:p>
        </w:tc>
      </w:tr>
      <w:tr w:rsidR="00C77AB5" w:rsidRPr="00AE3C85" w:rsidTr="007E664A">
        <w:trPr>
          <w:trHeight w:val="662"/>
        </w:trPr>
        <w:tc>
          <w:tcPr>
            <w:tcW w:w="2977" w:type="dxa"/>
            <w:tcBorders>
              <w:bottom w:val="single" w:sz="4" w:space="0" w:color="auto"/>
            </w:tcBorders>
            <w:vAlign w:val="center"/>
          </w:tcPr>
          <w:p w:rsidR="00C77AB5" w:rsidRPr="00340B8F" w:rsidRDefault="00C77AB5" w:rsidP="00C77AB5">
            <w:pPr>
              <w:pStyle w:val="PITableTextListText"/>
              <w:spacing w:before="0" w:after="0"/>
              <w:jc w:val="center"/>
              <w:rPr>
                <w:sz w:val="22"/>
                <w:szCs w:val="22"/>
              </w:rPr>
            </w:pPr>
            <w:r w:rsidRPr="00340B8F">
              <w:rPr>
                <w:sz w:val="22"/>
                <w:szCs w:val="22"/>
              </w:rPr>
              <w:t>%</w:t>
            </w:r>
            <w:r>
              <w:rPr>
                <w:sz w:val="22"/>
                <w:szCs w:val="22"/>
              </w:rPr>
              <w:t xml:space="preserve"> </w:t>
            </w:r>
            <w:r w:rsidRPr="00340B8F">
              <w:rPr>
                <w:sz w:val="22"/>
                <w:szCs w:val="22"/>
              </w:rPr>
              <w:t>(95% CI)</w:t>
            </w:r>
          </w:p>
        </w:tc>
        <w:tc>
          <w:tcPr>
            <w:tcW w:w="1701" w:type="dxa"/>
            <w:tcBorders>
              <w:bottom w:val="single" w:sz="4" w:space="0" w:color="auto"/>
            </w:tcBorders>
            <w:vAlign w:val="center"/>
          </w:tcPr>
          <w:p w:rsidR="00C77AB5" w:rsidRDefault="00C77AB5" w:rsidP="007E664A">
            <w:pPr>
              <w:pStyle w:val="PITableTextListText"/>
              <w:spacing w:before="0" w:after="0"/>
              <w:jc w:val="center"/>
              <w:rPr>
                <w:sz w:val="22"/>
                <w:szCs w:val="22"/>
              </w:rPr>
            </w:pPr>
            <w:r>
              <w:rPr>
                <w:sz w:val="22"/>
                <w:szCs w:val="22"/>
              </w:rPr>
              <w:t xml:space="preserve">N </w:t>
            </w:r>
            <w:r w:rsidRPr="00340B8F">
              <w:rPr>
                <w:sz w:val="22"/>
                <w:szCs w:val="22"/>
              </w:rPr>
              <w:t>=</w:t>
            </w:r>
            <w:r>
              <w:rPr>
                <w:sz w:val="22"/>
                <w:szCs w:val="22"/>
              </w:rPr>
              <w:t xml:space="preserve"> </w:t>
            </w:r>
            <w:r w:rsidRPr="00340B8F">
              <w:rPr>
                <w:sz w:val="22"/>
                <w:szCs w:val="22"/>
              </w:rPr>
              <w:t>361</w:t>
            </w:r>
          </w:p>
          <w:p w:rsidR="00C77AB5" w:rsidRPr="00340B8F" w:rsidRDefault="00C77AB5" w:rsidP="007E664A">
            <w:pPr>
              <w:pStyle w:val="PITableTextListText"/>
              <w:spacing w:before="0" w:after="0"/>
              <w:jc w:val="center"/>
              <w:rPr>
                <w:sz w:val="22"/>
                <w:szCs w:val="22"/>
              </w:rPr>
            </w:pPr>
            <w:r w:rsidRPr="00340B8F">
              <w:rPr>
                <w:sz w:val="22"/>
                <w:szCs w:val="22"/>
              </w:rPr>
              <w:t>19.4</w:t>
            </w:r>
            <w:r>
              <w:rPr>
                <w:sz w:val="22"/>
                <w:szCs w:val="22"/>
              </w:rPr>
              <w:t xml:space="preserve"> </w:t>
            </w:r>
            <w:r w:rsidRPr="00340B8F">
              <w:rPr>
                <w:sz w:val="22"/>
                <w:szCs w:val="22"/>
              </w:rPr>
              <w:t>(15.4, 23.9)</w:t>
            </w:r>
          </w:p>
        </w:tc>
        <w:tc>
          <w:tcPr>
            <w:tcW w:w="1701" w:type="dxa"/>
            <w:tcBorders>
              <w:bottom w:val="single" w:sz="4" w:space="0" w:color="auto"/>
            </w:tcBorders>
            <w:vAlign w:val="center"/>
          </w:tcPr>
          <w:p w:rsidR="00C77AB5" w:rsidRDefault="00C77AB5" w:rsidP="007E664A">
            <w:pPr>
              <w:pStyle w:val="PITableTextListText"/>
              <w:spacing w:before="0" w:after="0"/>
              <w:jc w:val="center"/>
              <w:rPr>
                <w:sz w:val="22"/>
                <w:szCs w:val="22"/>
              </w:rPr>
            </w:pPr>
            <w:r>
              <w:rPr>
                <w:sz w:val="22"/>
                <w:szCs w:val="22"/>
              </w:rPr>
              <w:t xml:space="preserve">N </w:t>
            </w:r>
            <w:r w:rsidRPr="00340B8F">
              <w:rPr>
                <w:sz w:val="22"/>
                <w:szCs w:val="22"/>
              </w:rPr>
              <w:t>=</w:t>
            </w:r>
            <w:r>
              <w:rPr>
                <w:sz w:val="22"/>
                <w:szCs w:val="22"/>
              </w:rPr>
              <w:t xml:space="preserve"> </w:t>
            </w:r>
            <w:r w:rsidRPr="00340B8F">
              <w:rPr>
                <w:sz w:val="22"/>
                <w:szCs w:val="22"/>
              </w:rPr>
              <w:t>362</w:t>
            </w:r>
          </w:p>
          <w:p w:rsidR="00C77AB5" w:rsidRPr="00340B8F" w:rsidRDefault="00C77AB5" w:rsidP="007E664A">
            <w:pPr>
              <w:pStyle w:val="PITableTextListText"/>
              <w:spacing w:before="0" w:after="0"/>
              <w:jc w:val="center"/>
              <w:rPr>
                <w:sz w:val="22"/>
                <w:szCs w:val="22"/>
              </w:rPr>
            </w:pPr>
            <w:r w:rsidRPr="00340B8F">
              <w:rPr>
                <w:sz w:val="22"/>
                <w:szCs w:val="22"/>
              </w:rPr>
              <w:t>9.4</w:t>
            </w:r>
            <w:r>
              <w:rPr>
                <w:sz w:val="22"/>
                <w:szCs w:val="22"/>
              </w:rPr>
              <w:t xml:space="preserve"> </w:t>
            </w:r>
            <w:r w:rsidRPr="00340B8F">
              <w:rPr>
                <w:sz w:val="22"/>
                <w:szCs w:val="22"/>
              </w:rPr>
              <w:t>(6.6, 12.9)</w:t>
            </w:r>
          </w:p>
        </w:tc>
        <w:tc>
          <w:tcPr>
            <w:tcW w:w="1843" w:type="dxa"/>
            <w:tcBorders>
              <w:bottom w:val="single" w:sz="4" w:space="0" w:color="auto"/>
            </w:tcBorders>
            <w:vAlign w:val="center"/>
          </w:tcPr>
          <w:p w:rsidR="00C77AB5" w:rsidRDefault="00C77AB5" w:rsidP="007E664A">
            <w:pPr>
              <w:pStyle w:val="PITableTextListText"/>
              <w:spacing w:before="0" w:after="0"/>
              <w:jc w:val="center"/>
              <w:rPr>
                <w:sz w:val="22"/>
                <w:szCs w:val="22"/>
              </w:rPr>
            </w:pPr>
          </w:p>
          <w:p w:rsidR="00C77AB5" w:rsidRPr="00340B8F" w:rsidRDefault="00C77AB5" w:rsidP="007E664A">
            <w:pPr>
              <w:pStyle w:val="PITableTextListText"/>
              <w:spacing w:before="0" w:after="0"/>
              <w:jc w:val="center"/>
              <w:rPr>
                <w:sz w:val="22"/>
                <w:szCs w:val="22"/>
              </w:rPr>
            </w:pPr>
            <w:r>
              <w:rPr>
                <w:sz w:val="22"/>
                <w:szCs w:val="22"/>
              </w:rPr>
              <w:t>2.0</w:t>
            </w:r>
            <w:r w:rsidRPr="00340B8F">
              <w:rPr>
                <w:sz w:val="22"/>
                <w:szCs w:val="22"/>
              </w:rPr>
              <w:t>6</w:t>
            </w:r>
            <w:r>
              <w:rPr>
                <w:sz w:val="22"/>
                <w:szCs w:val="22"/>
                <w:vertAlign w:val="superscript"/>
              </w:rPr>
              <w:t xml:space="preserve">f </w:t>
            </w:r>
            <w:r w:rsidRPr="00340B8F">
              <w:rPr>
                <w:sz w:val="22"/>
                <w:szCs w:val="22"/>
              </w:rPr>
              <w:t>(1.4</w:t>
            </w:r>
            <w:r>
              <w:rPr>
                <w:sz w:val="22"/>
                <w:szCs w:val="22"/>
              </w:rPr>
              <w:t>1, 3.00</w:t>
            </w:r>
            <w:r w:rsidRPr="00340B8F">
              <w:rPr>
                <w:sz w:val="22"/>
                <w:szCs w:val="22"/>
              </w:rPr>
              <w:t>)</w:t>
            </w:r>
          </w:p>
        </w:tc>
        <w:tc>
          <w:tcPr>
            <w:tcW w:w="1024" w:type="dxa"/>
            <w:tcBorders>
              <w:bottom w:val="single" w:sz="4" w:space="0" w:color="auto"/>
            </w:tcBorders>
            <w:vAlign w:val="center"/>
          </w:tcPr>
          <w:p w:rsidR="00C77AB5" w:rsidRDefault="00C77AB5" w:rsidP="007E664A">
            <w:pPr>
              <w:pStyle w:val="PITableTextListText"/>
              <w:spacing w:before="0" w:after="0"/>
              <w:jc w:val="center"/>
              <w:rPr>
                <w:sz w:val="22"/>
                <w:szCs w:val="22"/>
              </w:rPr>
            </w:pPr>
          </w:p>
          <w:p w:rsidR="00C77AB5" w:rsidRPr="00340B8F" w:rsidRDefault="00C77AB5" w:rsidP="007E664A">
            <w:pPr>
              <w:pStyle w:val="PITableTextListText"/>
              <w:spacing w:before="0" w:after="0"/>
              <w:jc w:val="center"/>
              <w:rPr>
                <w:sz w:val="22"/>
                <w:szCs w:val="22"/>
                <w:vertAlign w:val="superscript"/>
              </w:rPr>
            </w:pPr>
            <w:r w:rsidRPr="00340B8F">
              <w:rPr>
                <w:sz w:val="22"/>
                <w:szCs w:val="22"/>
              </w:rPr>
              <w:t>0.0001</w:t>
            </w:r>
            <w:r>
              <w:rPr>
                <w:sz w:val="22"/>
                <w:szCs w:val="22"/>
                <w:vertAlign w:val="superscript"/>
              </w:rPr>
              <w:t>g</w:t>
            </w:r>
          </w:p>
        </w:tc>
      </w:tr>
      <w:tr w:rsidR="00C77AB5" w:rsidRPr="00AE3C85" w:rsidTr="00050648">
        <w:trPr>
          <w:trHeight w:val="215"/>
        </w:trPr>
        <w:tc>
          <w:tcPr>
            <w:tcW w:w="9246" w:type="dxa"/>
            <w:gridSpan w:val="5"/>
            <w:tcBorders>
              <w:top w:val="single" w:sz="4" w:space="0" w:color="auto"/>
              <w:left w:val="nil"/>
              <w:bottom w:val="nil"/>
              <w:right w:val="nil"/>
            </w:tcBorders>
            <w:vAlign w:val="bottom"/>
          </w:tcPr>
          <w:p w:rsidR="00C77AB5" w:rsidRPr="00AE3C85" w:rsidRDefault="00C77AB5" w:rsidP="00AE3C85">
            <w:pPr>
              <w:pStyle w:val="PITableFootnote"/>
              <w:rPr>
                <w:szCs w:val="20"/>
                <w:vertAlign w:val="superscript"/>
              </w:rPr>
            </w:pPr>
            <w:r w:rsidRPr="00AE3C85">
              <w:rPr>
                <w:szCs w:val="20"/>
              </w:rPr>
              <w:t>CI: Confidence interval; HR: Hazard ratio (INLYTA/</w:t>
            </w:r>
            <w:proofErr w:type="spellStart"/>
            <w:r w:rsidRPr="00AE3C85">
              <w:rPr>
                <w:szCs w:val="20"/>
              </w:rPr>
              <w:t>sorafenib</w:t>
            </w:r>
            <w:proofErr w:type="spellEnd"/>
            <w:r w:rsidRPr="00AE3C85">
              <w:rPr>
                <w:szCs w:val="20"/>
              </w:rPr>
              <w:t xml:space="preserve">); ITT: </w:t>
            </w:r>
            <w:r>
              <w:rPr>
                <w:szCs w:val="20"/>
              </w:rPr>
              <w:t>I</w:t>
            </w:r>
            <w:r w:rsidRPr="00AE3C85">
              <w:rPr>
                <w:szCs w:val="20"/>
              </w:rPr>
              <w:t xml:space="preserve">ntent to treat; ORR: </w:t>
            </w:r>
            <w:r>
              <w:rPr>
                <w:szCs w:val="20"/>
              </w:rPr>
              <w:t>O</w:t>
            </w:r>
            <w:r w:rsidRPr="00AE3C85">
              <w:rPr>
                <w:szCs w:val="20"/>
              </w:rPr>
              <w:t xml:space="preserve">bjective response rate; PFS: </w:t>
            </w:r>
            <w:r>
              <w:rPr>
                <w:szCs w:val="20"/>
              </w:rPr>
              <w:t>P</w:t>
            </w:r>
            <w:r w:rsidRPr="00AE3C85">
              <w:rPr>
                <w:szCs w:val="20"/>
              </w:rPr>
              <w:t>rogression-free survival</w:t>
            </w:r>
          </w:p>
          <w:p w:rsidR="00C77AB5" w:rsidRPr="00AE3C85" w:rsidRDefault="00C77AB5" w:rsidP="00AE3C85">
            <w:pPr>
              <w:pStyle w:val="PITableFootnote"/>
              <w:rPr>
                <w:szCs w:val="20"/>
              </w:rPr>
            </w:pPr>
            <w:proofErr w:type="gramStart"/>
            <w:r w:rsidRPr="00AE3C85">
              <w:rPr>
                <w:szCs w:val="20"/>
                <w:vertAlign w:val="superscript"/>
              </w:rPr>
              <w:t>a</w:t>
            </w:r>
            <w:proofErr w:type="gramEnd"/>
            <w:r w:rsidRPr="00AE3C85">
              <w:rPr>
                <w:szCs w:val="20"/>
                <w:vertAlign w:val="superscript"/>
              </w:rPr>
              <w:t xml:space="preserve">   </w:t>
            </w:r>
            <w:r w:rsidRPr="00AE3C85">
              <w:rPr>
                <w:szCs w:val="20"/>
              </w:rPr>
              <w:t xml:space="preserve">Time from randomization to progression or death due to any cause, whichever occurs first. </w:t>
            </w:r>
          </w:p>
          <w:p w:rsidR="00C77AB5" w:rsidRPr="00AE3C85" w:rsidRDefault="00C77AB5" w:rsidP="00AE3C85">
            <w:pPr>
              <w:pStyle w:val="PITableFootnote"/>
              <w:rPr>
                <w:szCs w:val="20"/>
              </w:rPr>
            </w:pPr>
            <w:proofErr w:type="gramStart"/>
            <w:r w:rsidRPr="00AE3C85">
              <w:rPr>
                <w:szCs w:val="20"/>
                <w:vertAlign w:val="superscript"/>
              </w:rPr>
              <w:t xml:space="preserve">b  </w:t>
            </w:r>
            <w:r w:rsidRPr="00AE3C85">
              <w:rPr>
                <w:szCs w:val="20"/>
              </w:rPr>
              <w:t>Assessed</w:t>
            </w:r>
            <w:proofErr w:type="gramEnd"/>
            <w:r w:rsidRPr="00AE3C85">
              <w:rPr>
                <w:szCs w:val="20"/>
              </w:rPr>
              <w:t xml:space="preserve"> by independent radiology review according to RECIST. </w:t>
            </w:r>
          </w:p>
          <w:p w:rsidR="00C77AB5" w:rsidRPr="00AE3C85" w:rsidRDefault="00C77AB5" w:rsidP="00AE3C85">
            <w:pPr>
              <w:pStyle w:val="PITableFootnote"/>
              <w:rPr>
                <w:szCs w:val="20"/>
              </w:rPr>
            </w:pPr>
            <w:proofErr w:type="gramStart"/>
            <w:r w:rsidRPr="00AE3C85">
              <w:rPr>
                <w:szCs w:val="20"/>
                <w:vertAlign w:val="superscript"/>
              </w:rPr>
              <w:t xml:space="preserve">c  </w:t>
            </w:r>
            <w:r>
              <w:rPr>
                <w:szCs w:val="20"/>
              </w:rPr>
              <w:t>One</w:t>
            </w:r>
            <w:proofErr w:type="gramEnd"/>
            <w:r w:rsidRPr="00AE3C85">
              <w:rPr>
                <w:szCs w:val="20"/>
              </w:rPr>
              <w:t>-sided p-</w:t>
            </w:r>
            <w:r w:rsidRPr="00AE3C85">
              <w:rPr>
                <w:rFonts w:cs="Courier New"/>
                <w:szCs w:val="20"/>
              </w:rPr>
              <w:t>value from a log-rank test of treatment stratified by ECOG performance status and prior therapy (</w:t>
            </w:r>
            <w:r w:rsidRPr="00AE3C85">
              <w:rPr>
                <w:szCs w:val="20"/>
              </w:rPr>
              <w:t xml:space="preserve">comparison is considered statistically significant if the one-sided p-value is &lt;0.023). </w:t>
            </w:r>
          </w:p>
          <w:p w:rsidR="00C77AB5" w:rsidRDefault="00C77AB5" w:rsidP="00AE3C85">
            <w:pPr>
              <w:pStyle w:val="PITableFootnote"/>
              <w:rPr>
                <w:szCs w:val="20"/>
              </w:rPr>
            </w:pPr>
            <w:proofErr w:type="gramStart"/>
            <w:r w:rsidRPr="00AE3C85">
              <w:rPr>
                <w:szCs w:val="20"/>
                <w:vertAlign w:val="superscript"/>
              </w:rPr>
              <w:t>d</w:t>
            </w:r>
            <w:r>
              <w:rPr>
                <w:szCs w:val="20"/>
              </w:rPr>
              <w:t xml:space="preserve">  One</w:t>
            </w:r>
            <w:proofErr w:type="gramEnd"/>
            <w:r w:rsidRPr="00AE3C85">
              <w:rPr>
                <w:szCs w:val="20"/>
              </w:rPr>
              <w:t>-sided p-value from a log-rank test of treatment stratified by ECOG performance status.</w:t>
            </w:r>
          </w:p>
          <w:p w:rsidR="00C77AB5" w:rsidRPr="00AE3C85" w:rsidRDefault="00C77AB5" w:rsidP="00AE3C85">
            <w:pPr>
              <w:pStyle w:val="PITableFootnote"/>
              <w:rPr>
                <w:szCs w:val="20"/>
              </w:rPr>
            </w:pPr>
            <w:proofErr w:type="gramStart"/>
            <w:r w:rsidRPr="00AE3C85">
              <w:rPr>
                <w:szCs w:val="20"/>
                <w:vertAlign w:val="superscript"/>
              </w:rPr>
              <w:t>e</w:t>
            </w:r>
            <w:proofErr w:type="gramEnd"/>
            <w:r>
              <w:rPr>
                <w:szCs w:val="20"/>
                <w:vertAlign w:val="superscript"/>
              </w:rPr>
              <w:t xml:space="preserve">   </w:t>
            </w:r>
            <w:r>
              <w:rPr>
                <w:szCs w:val="20"/>
              </w:rPr>
              <w:t>One</w:t>
            </w:r>
            <w:r w:rsidRPr="00AE3C85">
              <w:rPr>
                <w:szCs w:val="20"/>
              </w:rPr>
              <w:t>-sided p-value from a log-rank test of treatment stratified by ECOG performance status</w:t>
            </w:r>
            <w:r>
              <w:rPr>
                <w:szCs w:val="20"/>
              </w:rPr>
              <w:t xml:space="preserve"> and prior therapy</w:t>
            </w:r>
            <w:r w:rsidRPr="00AE3C85">
              <w:rPr>
                <w:szCs w:val="20"/>
              </w:rPr>
              <w:t>.</w:t>
            </w:r>
          </w:p>
          <w:p w:rsidR="00C77AB5" w:rsidRPr="00AE3C85" w:rsidRDefault="00C77AB5" w:rsidP="00AE3C85">
            <w:pPr>
              <w:pStyle w:val="PITableFootnote"/>
              <w:rPr>
                <w:szCs w:val="20"/>
              </w:rPr>
            </w:pPr>
            <w:proofErr w:type="gramStart"/>
            <w:r>
              <w:rPr>
                <w:szCs w:val="20"/>
                <w:vertAlign w:val="superscript"/>
              </w:rPr>
              <w:t>f</w:t>
            </w:r>
            <w:r w:rsidRPr="00AE3C85">
              <w:rPr>
                <w:szCs w:val="20"/>
                <w:vertAlign w:val="superscript"/>
              </w:rPr>
              <w:t xml:space="preserve">  </w:t>
            </w:r>
            <w:r w:rsidRPr="00AE3C85">
              <w:rPr>
                <w:szCs w:val="20"/>
              </w:rPr>
              <w:t>Risk</w:t>
            </w:r>
            <w:proofErr w:type="gramEnd"/>
            <w:r w:rsidRPr="00AE3C85">
              <w:rPr>
                <w:szCs w:val="20"/>
              </w:rPr>
              <w:t xml:space="preserve"> ratio is used for ORR.  A risk ratio &gt;1 indicated a higher likelihood of responding in the </w:t>
            </w:r>
            <w:proofErr w:type="spellStart"/>
            <w:r w:rsidRPr="00AE3C85">
              <w:rPr>
                <w:szCs w:val="20"/>
              </w:rPr>
              <w:t>axitinib</w:t>
            </w:r>
            <w:proofErr w:type="spellEnd"/>
            <w:r w:rsidRPr="00AE3C85">
              <w:rPr>
                <w:szCs w:val="20"/>
              </w:rPr>
              <w:t xml:space="preserve"> arm; a risk ratio &lt;1 indicated a higher likelihood of responding in the </w:t>
            </w:r>
            <w:proofErr w:type="spellStart"/>
            <w:r w:rsidRPr="00AE3C85">
              <w:rPr>
                <w:szCs w:val="20"/>
              </w:rPr>
              <w:t>sorafenib</w:t>
            </w:r>
            <w:proofErr w:type="spellEnd"/>
            <w:r w:rsidRPr="00AE3C85">
              <w:rPr>
                <w:szCs w:val="20"/>
              </w:rPr>
              <w:t xml:space="preserve"> arm.</w:t>
            </w:r>
          </w:p>
          <w:p w:rsidR="00C77AB5" w:rsidRPr="00AE3C85" w:rsidRDefault="00C77AB5" w:rsidP="003277F1">
            <w:pPr>
              <w:pStyle w:val="PITableFootnote"/>
              <w:rPr>
                <w:szCs w:val="20"/>
              </w:rPr>
            </w:pPr>
            <w:proofErr w:type="gramStart"/>
            <w:r>
              <w:rPr>
                <w:szCs w:val="20"/>
                <w:vertAlign w:val="superscript"/>
              </w:rPr>
              <w:t>g</w:t>
            </w:r>
            <w:r w:rsidRPr="00AE3C85">
              <w:rPr>
                <w:szCs w:val="20"/>
                <w:vertAlign w:val="superscript"/>
              </w:rPr>
              <w:t xml:space="preserve">  </w:t>
            </w:r>
            <w:r>
              <w:rPr>
                <w:szCs w:val="20"/>
              </w:rPr>
              <w:t>One</w:t>
            </w:r>
            <w:proofErr w:type="gramEnd"/>
            <w:r w:rsidRPr="00AE3C85">
              <w:rPr>
                <w:szCs w:val="20"/>
              </w:rPr>
              <w:t>-sided p-value from Cochran-Mantel-</w:t>
            </w:r>
            <w:proofErr w:type="spellStart"/>
            <w:r w:rsidRPr="00AE3C85">
              <w:rPr>
                <w:szCs w:val="20"/>
              </w:rPr>
              <w:t>Haenszel</w:t>
            </w:r>
            <w:proofErr w:type="spellEnd"/>
            <w:r w:rsidRPr="00AE3C85">
              <w:rPr>
                <w:szCs w:val="20"/>
              </w:rPr>
              <w:t xml:space="preserve"> test of treatment stratified by ECOG performance status and prior therapy.</w:t>
            </w:r>
          </w:p>
        </w:tc>
      </w:tr>
    </w:tbl>
    <w:p w:rsidR="004A2DC9" w:rsidRDefault="00DA5092" w:rsidP="00DA5092">
      <w:pPr>
        <w:pStyle w:val="PITableTitle"/>
      </w:pPr>
      <w:r>
        <w:t xml:space="preserve">Figure 1: </w:t>
      </w:r>
      <w:r w:rsidRPr="009A2541">
        <w:t>Kap</w:t>
      </w:r>
      <w:r>
        <w:t>lan-Meier Curve for Progression-</w:t>
      </w:r>
      <w:r w:rsidRPr="009A2541">
        <w:t>Free Survival by Independent Assessment</w:t>
      </w:r>
      <w:r w:rsidR="005F3D02">
        <w:t xml:space="preserve"> for the Overall Population</w:t>
      </w:r>
      <w:r w:rsidR="008A0DA0">
        <w:t xml:space="preserve">  </w:t>
      </w:r>
    </w:p>
    <w:p w:rsidR="004971B0" w:rsidRDefault="00466BE1" w:rsidP="00DA5092">
      <w:pPr>
        <w:rPr>
          <w:noProof/>
        </w:rPr>
      </w:pPr>
      <w:bookmarkStart w:id="0" w:name="_Ref272488976"/>
      <w:r>
        <w:rPr>
          <w:noProof/>
          <w:lang w:eastAsia="en-AU"/>
        </w:rPr>
        <w:drawing>
          <wp:inline distT="0" distB="0" distL="0" distR="0">
            <wp:extent cx="5715000" cy="31432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15000" cy="3143250"/>
                    </a:xfrm>
                    <a:prstGeom prst="rect">
                      <a:avLst/>
                    </a:prstGeom>
                    <a:noFill/>
                    <a:ln w="9525">
                      <a:noFill/>
                      <a:miter lim="800000"/>
                      <a:headEnd/>
                      <a:tailEnd/>
                    </a:ln>
                  </pic:spPr>
                </pic:pic>
              </a:graphicData>
            </a:graphic>
          </wp:inline>
        </w:drawing>
      </w:r>
      <w:bookmarkEnd w:id="0"/>
    </w:p>
    <w:p w:rsidR="003130E1" w:rsidRDefault="007310AC" w:rsidP="0062681D">
      <w:pPr>
        <w:pStyle w:val="PIHeading1"/>
      </w:pPr>
      <w:r>
        <w:lastRenderedPageBreak/>
        <w:t>INDICATIONS</w:t>
      </w:r>
    </w:p>
    <w:p w:rsidR="009C587F" w:rsidRDefault="009C587F" w:rsidP="009C587F">
      <w:pPr>
        <w:pStyle w:val="PINormal"/>
      </w:pPr>
      <w:r w:rsidRPr="00557945">
        <w:rPr>
          <w:iCs/>
        </w:rPr>
        <w:t xml:space="preserve">INLYTA </w:t>
      </w:r>
      <w:r w:rsidRPr="00557945">
        <w:t>is indicated for the treatment of patients with advanced renal cell carcinoma</w:t>
      </w:r>
      <w:r w:rsidR="001C1D2D">
        <w:t xml:space="preserve"> after failure of one prior systemic therapy</w:t>
      </w:r>
      <w:r w:rsidRPr="00557945">
        <w:t>.</w:t>
      </w:r>
    </w:p>
    <w:p w:rsidR="007310AC" w:rsidRDefault="007310AC" w:rsidP="0062681D">
      <w:pPr>
        <w:pStyle w:val="PIHeading1"/>
      </w:pPr>
      <w:r>
        <w:t>CONTRAINDICATIONS</w:t>
      </w:r>
    </w:p>
    <w:p w:rsidR="009C587F" w:rsidRDefault="009C587F" w:rsidP="009C587F">
      <w:pPr>
        <w:pStyle w:val="PINormal"/>
        <w:rPr>
          <w:noProof/>
        </w:rPr>
      </w:pPr>
      <w:r w:rsidRPr="008A0E99">
        <w:rPr>
          <w:noProof/>
        </w:rPr>
        <w:t>Hypersensitivity to axitinib or to any of the excipients.</w:t>
      </w:r>
    </w:p>
    <w:p w:rsidR="00981844" w:rsidRDefault="00981844" w:rsidP="0062681D">
      <w:pPr>
        <w:pStyle w:val="PIHeading1"/>
      </w:pPr>
      <w:r w:rsidRPr="00981844">
        <w:t>PRECAUTIONS</w:t>
      </w:r>
    </w:p>
    <w:p w:rsidR="00BC17DA" w:rsidRDefault="007B49A0" w:rsidP="00BC17DA">
      <w:pPr>
        <w:pStyle w:val="PIHeading2"/>
      </w:pPr>
      <w:r>
        <w:t>Hypertension</w:t>
      </w:r>
    </w:p>
    <w:p w:rsidR="00BE0639" w:rsidRDefault="00DD5551" w:rsidP="00EB1498">
      <w:pPr>
        <w:pStyle w:val="PINormal"/>
      </w:pPr>
      <w:r w:rsidRPr="00765166">
        <w:t>In a controlled clinical study with INLYTA for the treatment of patients with RC</w:t>
      </w:r>
      <w:r w:rsidR="003841AE">
        <w:t xml:space="preserve">C, hypertension was reported in </w:t>
      </w:r>
      <w:r w:rsidRPr="00EB1498">
        <w:t>40.4%</w:t>
      </w:r>
      <w:r w:rsidRPr="00765166">
        <w:t xml:space="preserve"> </w:t>
      </w:r>
      <w:r>
        <w:t xml:space="preserve">of patients </w:t>
      </w:r>
      <w:r w:rsidRPr="00765166">
        <w:t>receiving INLYTA</w:t>
      </w:r>
      <w:r w:rsidR="00EA017F">
        <w:t xml:space="preserve"> (N</w:t>
      </w:r>
      <w:r>
        <w:t>=359)</w:t>
      </w:r>
      <w:r w:rsidRPr="00765166">
        <w:t xml:space="preserve"> and </w:t>
      </w:r>
      <w:r w:rsidRPr="00EB1498">
        <w:t>29.0%</w:t>
      </w:r>
      <w:r w:rsidRPr="00765166">
        <w:t xml:space="preserve"> receiving </w:t>
      </w:r>
      <w:proofErr w:type="spellStart"/>
      <w:r w:rsidRPr="00765166">
        <w:t>sorafenib</w:t>
      </w:r>
      <w:proofErr w:type="spellEnd"/>
      <w:r w:rsidR="00EB1498">
        <w:t xml:space="preserve"> (</w:t>
      </w:r>
      <w:r w:rsidR="00EA017F">
        <w:t>N</w:t>
      </w:r>
      <w:r>
        <w:t>=355)</w:t>
      </w:r>
      <w:r w:rsidRPr="00DC0558">
        <w:t xml:space="preserve"> </w:t>
      </w:r>
      <w:r w:rsidRPr="00EB1498">
        <w:t>(</w:t>
      </w:r>
      <w:r w:rsidR="00EB1498" w:rsidRPr="00EB1498">
        <w:t>see Adverse Effects</w:t>
      </w:r>
      <w:r w:rsidRPr="00EB1498">
        <w:t>).</w:t>
      </w:r>
      <w:r w:rsidRPr="00765166">
        <w:t xml:space="preserve"> </w:t>
      </w:r>
      <w:r w:rsidR="00BE0639">
        <w:t xml:space="preserve"> </w:t>
      </w:r>
      <w:r w:rsidRPr="00765166">
        <w:t xml:space="preserve">Grade </w:t>
      </w:r>
      <w:proofErr w:type="gramStart"/>
      <w:r w:rsidRPr="00765166">
        <w:t>3 hypertension</w:t>
      </w:r>
      <w:proofErr w:type="gramEnd"/>
      <w:r w:rsidRPr="00765166">
        <w:t xml:space="preserve"> was observed </w:t>
      </w:r>
      <w:r>
        <w:t xml:space="preserve">in </w:t>
      </w:r>
      <w:r w:rsidRPr="00765166">
        <w:t>15</w:t>
      </w:r>
      <w:r>
        <w:t>.3</w:t>
      </w:r>
      <w:r w:rsidRPr="00765166">
        <w:t xml:space="preserve">% </w:t>
      </w:r>
      <w:r>
        <w:t xml:space="preserve">of patients </w:t>
      </w:r>
      <w:r w:rsidRPr="00765166">
        <w:t xml:space="preserve">receiving INLYTA and </w:t>
      </w:r>
      <w:r>
        <w:t>10.7% of patients</w:t>
      </w:r>
      <w:r w:rsidRPr="00765166">
        <w:t xml:space="preserve"> receiving </w:t>
      </w:r>
      <w:proofErr w:type="spellStart"/>
      <w:r w:rsidRPr="00765166">
        <w:t>sorafenib</w:t>
      </w:r>
      <w:proofErr w:type="spellEnd"/>
      <w:r>
        <w:t xml:space="preserve"> and</w:t>
      </w:r>
      <w:r w:rsidRPr="00765166">
        <w:t xml:space="preserve"> Grade 4 hypertension was observed in </w:t>
      </w:r>
      <w:r>
        <w:t>0.3</w:t>
      </w:r>
      <w:r w:rsidRPr="00765166">
        <w:t>%</w:t>
      </w:r>
      <w:r>
        <w:t xml:space="preserve"> of patients</w:t>
      </w:r>
      <w:r w:rsidRPr="00765166">
        <w:t xml:space="preserve"> </w:t>
      </w:r>
      <w:r>
        <w:t xml:space="preserve">receiving INLYTA and 0.3% of patients receiving </w:t>
      </w:r>
      <w:proofErr w:type="spellStart"/>
      <w:r>
        <w:t>sorafenib</w:t>
      </w:r>
      <w:proofErr w:type="spellEnd"/>
      <w:r w:rsidRPr="00765166">
        <w:t xml:space="preserve">. </w:t>
      </w:r>
      <w:r w:rsidR="00BE0639">
        <w:rPr>
          <w:rStyle w:val="BlueText"/>
        </w:rPr>
        <w:t xml:space="preserve"> </w:t>
      </w:r>
      <w:r w:rsidRPr="00765166">
        <w:t>Hypertensive crisis was reported in</w:t>
      </w:r>
      <w:r>
        <w:t xml:space="preserve"> 0.6% of patients</w:t>
      </w:r>
      <w:r w:rsidRPr="00765166">
        <w:t xml:space="preserve"> receiving INLYTA and </w:t>
      </w:r>
      <w:r w:rsidR="003841AE">
        <w:t xml:space="preserve">in </w:t>
      </w:r>
      <w:r w:rsidRPr="00765166">
        <w:t>no</w:t>
      </w:r>
      <w:r w:rsidR="003841AE">
        <w:t>ne</w:t>
      </w:r>
      <w:r w:rsidRPr="00765166">
        <w:t xml:space="preserve"> </w:t>
      </w:r>
      <w:r w:rsidR="003841AE">
        <w:t xml:space="preserve">of the </w:t>
      </w:r>
      <w:r w:rsidRPr="00765166">
        <w:t xml:space="preserve">patients receiving </w:t>
      </w:r>
      <w:proofErr w:type="spellStart"/>
      <w:r w:rsidRPr="00765166">
        <w:t>sorafenib</w:t>
      </w:r>
      <w:proofErr w:type="spellEnd"/>
      <w:r w:rsidRPr="00765166">
        <w:t>.</w:t>
      </w:r>
      <w:r w:rsidR="00BE0639">
        <w:t xml:space="preserve"> </w:t>
      </w:r>
      <w:r w:rsidRPr="00765166">
        <w:t xml:space="preserve"> The median onset time for hypertension (systolic blood pressure &gt;150 mmHg or diastolic blood pressure &gt;100 mmHg) was within the first month of the start of INLYTA </w:t>
      </w:r>
      <w:r w:rsidR="005515F9">
        <w:t xml:space="preserve">or </w:t>
      </w:r>
      <w:proofErr w:type="spellStart"/>
      <w:r w:rsidR="005515F9">
        <w:t>sorafenib</w:t>
      </w:r>
      <w:proofErr w:type="spellEnd"/>
      <w:r w:rsidR="005515F9">
        <w:t xml:space="preserve"> </w:t>
      </w:r>
      <w:r w:rsidRPr="00765166">
        <w:t>treatment</w:t>
      </w:r>
      <w:r w:rsidR="004A6B7E">
        <w:t xml:space="preserve"> </w:t>
      </w:r>
      <w:r w:rsidR="004A6B7E">
        <w:rPr>
          <w:rStyle w:val="BlueText"/>
          <w:color w:val="auto"/>
        </w:rPr>
        <w:t>and blood pressure increases have been observed as early as 4 days after starting INLYTA</w:t>
      </w:r>
      <w:r w:rsidRPr="00765166">
        <w:t xml:space="preserve">. </w:t>
      </w:r>
      <w:r w:rsidR="005515F9" w:rsidRPr="00BB206C">
        <w:rPr>
          <w:rStyle w:val="BlueText"/>
        </w:rPr>
        <w:t xml:space="preserve"> </w:t>
      </w:r>
      <w:r w:rsidRPr="00765166">
        <w:t xml:space="preserve">Hypertension was managed with standard antihypertensive therapy. </w:t>
      </w:r>
      <w:r w:rsidR="00BE0639">
        <w:t xml:space="preserve"> </w:t>
      </w:r>
      <w:proofErr w:type="gramStart"/>
      <w:r w:rsidRPr="00765166">
        <w:t xml:space="preserve">Discontinuation of INLYTA treatment due to hypertension occurred in </w:t>
      </w:r>
      <w:r>
        <w:t>0.3% of patients</w:t>
      </w:r>
      <w:r w:rsidR="003841AE">
        <w:t xml:space="preserve"> receiving INLYTA and in none of the</w:t>
      </w:r>
      <w:r w:rsidRPr="00765166">
        <w:t xml:space="preserve"> patients receiving </w:t>
      </w:r>
      <w:proofErr w:type="spellStart"/>
      <w:r w:rsidRPr="00765166">
        <w:t>sorafenib</w:t>
      </w:r>
      <w:proofErr w:type="spellEnd"/>
      <w:r w:rsidR="003841AE">
        <w:t xml:space="preserve"> (see</w:t>
      </w:r>
      <w:proofErr w:type="gramEnd"/>
      <w:r w:rsidR="003841AE">
        <w:t xml:space="preserve"> Adverse Effects</w:t>
      </w:r>
      <w:r w:rsidR="00CC2ED5">
        <w:t>)</w:t>
      </w:r>
      <w:r w:rsidRPr="00765166">
        <w:t>.</w:t>
      </w:r>
    </w:p>
    <w:p w:rsidR="00DD5551" w:rsidRPr="008E7CC2" w:rsidRDefault="00DD5551" w:rsidP="00EB1498">
      <w:pPr>
        <w:pStyle w:val="PINormal"/>
      </w:pPr>
      <w:r w:rsidRPr="008E7CC2">
        <w:t xml:space="preserve">Blood pressure should be well-controlled prior to initiating </w:t>
      </w:r>
      <w:r w:rsidRPr="00C12356">
        <w:t>INLYTA</w:t>
      </w:r>
      <w:r w:rsidRPr="008E7CC2">
        <w:t xml:space="preserve">. Patients should be monitored for hypertension and treated as needed with </w:t>
      </w:r>
      <w:r>
        <w:t xml:space="preserve">standard </w:t>
      </w:r>
      <w:r w:rsidRPr="008E7CC2">
        <w:t>anti-hypertensive therap</w:t>
      </w:r>
      <w:r w:rsidRPr="005633F9">
        <w:t>y.</w:t>
      </w:r>
      <w:r w:rsidRPr="008E7CC2">
        <w:t xml:space="preserve"> </w:t>
      </w:r>
      <w:r>
        <w:t xml:space="preserve">In the case of persistent hypertension despite use of anti-hypertensive medications, the INLYTA dose should be reduced. For patients who develop severe hypertension, temporarily interrupt INLYTA and restart at a lower dose once the patient is </w:t>
      </w:r>
      <w:proofErr w:type="spellStart"/>
      <w:r>
        <w:t>normotensive</w:t>
      </w:r>
      <w:proofErr w:type="spellEnd"/>
      <w:r>
        <w:t xml:space="preserve">. </w:t>
      </w:r>
      <w:r w:rsidRPr="008821EA">
        <w:t>If INLYTA is interrupted, pati</w:t>
      </w:r>
      <w:r>
        <w:t>ents receiving antihypertensive medications should be monitored for hypotension</w:t>
      </w:r>
      <w:r w:rsidRPr="008821EA">
        <w:rPr>
          <w:color w:val="0000FF"/>
        </w:rPr>
        <w:t xml:space="preserve"> </w:t>
      </w:r>
      <w:r w:rsidRPr="00EB1498">
        <w:t xml:space="preserve">(see </w:t>
      </w:r>
      <w:r w:rsidR="00EB1498" w:rsidRPr="00EB1498">
        <w:t>Dosage and Administration</w:t>
      </w:r>
      <w:r w:rsidRPr="00EB1498">
        <w:t>).</w:t>
      </w:r>
    </w:p>
    <w:p w:rsidR="00653E38" w:rsidRDefault="00653E38" w:rsidP="00653E38">
      <w:pPr>
        <w:pStyle w:val="PIHeading2"/>
      </w:pPr>
      <w:r>
        <w:t>Thyroid Dysfunction</w:t>
      </w:r>
    </w:p>
    <w:p w:rsidR="00B60BAE" w:rsidRPr="00B60BAE" w:rsidRDefault="00B60BAE" w:rsidP="00B60BAE">
      <w:pPr>
        <w:pStyle w:val="PINormal"/>
      </w:pPr>
      <w:r w:rsidRPr="00B60BAE">
        <w:t>In a controlled clinical study with INLYTA for the treatment of patients with RCC, hypothyroidism</w:t>
      </w:r>
      <w:r w:rsidRPr="00B60BAE" w:rsidDel="008E7290">
        <w:t xml:space="preserve"> </w:t>
      </w:r>
      <w:r w:rsidRPr="00B60BAE">
        <w:t>was reported in 19.2%</w:t>
      </w:r>
      <w:r w:rsidR="00EA017F">
        <w:t xml:space="preserve"> of patients receiving INLYTA (N</w:t>
      </w:r>
      <w:r w:rsidRPr="00B60BAE">
        <w:t xml:space="preserve">=359) and 8.2% of patients receiving </w:t>
      </w:r>
      <w:proofErr w:type="spellStart"/>
      <w:r w:rsidRPr="00B60BAE">
        <w:t>sorafenib</w:t>
      </w:r>
      <w:proofErr w:type="spellEnd"/>
      <w:r w:rsidRPr="00B60BAE">
        <w:t xml:space="preserve"> (</w:t>
      </w:r>
      <w:r w:rsidR="00EA017F">
        <w:t>N</w:t>
      </w:r>
      <w:r w:rsidRPr="00B60BAE">
        <w:t xml:space="preserve">=355) (see Adverse Effects). </w:t>
      </w:r>
      <w:r w:rsidR="00BE0639">
        <w:rPr>
          <w:rStyle w:val="BlueText"/>
        </w:rPr>
        <w:t xml:space="preserve"> </w:t>
      </w:r>
      <w:r w:rsidRPr="00B60BAE">
        <w:t xml:space="preserve">Hyperthyroidism was reported in 1.1% of patients receiving INLYTA and 1.1% of patients receiving </w:t>
      </w:r>
      <w:proofErr w:type="spellStart"/>
      <w:r w:rsidRPr="00B60BAE">
        <w:t>sorafenib</w:t>
      </w:r>
      <w:proofErr w:type="spellEnd"/>
      <w:r w:rsidRPr="00B60BAE">
        <w:t xml:space="preserve">. </w:t>
      </w:r>
      <w:r w:rsidR="00BE0639">
        <w:rPr>
          <w:rStyle w:val="BlueText"/>
        </w:rPr>
        <w:t xml:space="preserve"> </w:t>
      </w:r>
      <w:r w:rsidRPr="00B60BAE">
        <w:t xml:space="preserve">In patients who had thyroid stimulating hormone (TSH) &lt;5 </w:t>
      </w:r>
      <w:proofErr w:type="spellStart"/>
      <w:r w:rsidRPr="00B60BAE">
        <w:t>μU</w:t>
      </w:r>
      <w:proofErr w:type="spellEnd"/>
      <w:r w:rsidRPr="00B60BAE">
        <w:t>/</w:t>
      </w:r>
      <w:proofErr w:type="spellStart"/>
      <w:r w:rsidRPr="00B60BAE">
        <w:t>mL</w:t>
      </w:r>
      <w:proofErr w:type="spellEnd"/>
      <w:r w:rsidRPr="00B60BAE">
        <w:t xml:space="preserve"> before treatment, elevations of TSH to ≥10 </w:t>
      </w:r>
      <w:proofErr w:type="spellStart"/>
      <w:r w:rsidRPr="00B60BAE">
        <w:t>μU</w:t>
      </w:r>
      <w:proofErr w:type="spellEnd"/>
      <w:r w:rsidRPr="00B60BAE">
        <w:t>/</w:t>
      </w:r>
      <w:proofErr w:type="spellStart"/>
      <w:r w:rsidRPr="00B60BAE">
        <w:t>mL</w:t>
      </w:r>
      <w:proofErr w:type="spellEnd"/>
      <w:r w:rsidRPr="00B60BAE">
        <w:t xml:space="preserve"> occurred in 32.2% of patients receiving INLYTA and 10.8% of patients receiving </w:t>
      </w:r>
      <w:proofErr w:type="spellStart"/>
      <w:r w:rsidRPr="00B60BAE">
        <w:t>sorafenib</w:t>
      </w:r>
      <w:proofErr w:type="spellEnd"/>
      <w:r w:rsidR="00BA0054">
        <w:t xml:space="preserve"> (see Adverse Effects)</w:t>
      </w:r>
      <w:r w:rsidRPr="00B60BAE">
        <w:t>.</w:t>
      </w:r>
    </w:p>
    <w:p w:rsidR="00B60BAE" w:rsidRPr="00B60BAE" w:rsidRDefault="00B60BAE" w:rsidP="00B60BAE">
      <w:pPr>
        <w:pStyle w:val="PINormal"/>
      </w:pPr>
      <w:r w:rsidRPr="00B60BAE">
        <w:t>Monitor thyroid function before initiation of</w:t>
      </w:r>
      <w:r w:rsidR="00056A95">
        <w:t>, and</w:t>
      </w:r>
      <w:r w:rsidRPr="00B60BAE">
        <w:t xml:space="preserve"> </w:t>
      </w:r>
      <w:r w:rsidR="00056A95">
        <w:t xml:space="preserve">periodically throughout, treatment with INLYTA.  </w:t>
      </w:r>
      <w:r w:rsidRPr="00B60BAE">
        <w:t xml:space="preserve">Hypothyroidism or hyperthyroidism should be treated according to standard medical practice to maintain </w:t>
      </w:r>
      <w:proofErr w:type="spellStart"/>
      <w:r w:rsidRPr="00B60BAE">
        <w:t>euthyroid</w:t>
      </w:r>
      <w:proofErr w:type="spellEnd"/>
      <w:r w:rsidRPr="00B60BAE">
        <w:t xml:space="preserve"> state.</w:t>
      </w:r>
    </w:p>
    <w:p w:rsidR="00513050" w:rsidRDefault="00513050" w:rsidP="00513050">
      <w:pPr>
        <w:pStyle w:val="PIHeading2"/>
      </w:pPr>
      <w:r>
        <w:lastRenderedPageBreak/>
        <w:t xml:space="preserve">Arterial </w:t>
      </w:r>
      <w:proofErr w:type="spellStart"/>
      <w:r>
        <w:t>Thromboembolic</w:t>
      </w:r>
      <w:proofErr w:type="spellEnd"/>
      <w:r>
        <w:t xml:space="preserve"> Events</w:t>
      </w:r>
    </w:p>
    <w:p w:rsidR="00BE0639" w:rsidRPr="007F4C2E" w:rsidRDefault="00B60BAE" w:rsidP="00B60BAE">
      <w:pPr>
        <w:pStyle w:val="PINormal"/>
        <w:rPr>
          <w:rStyle w:val="BlueText"/>
          <w:color w:val="auto"/>
        </w:rPr>
      </w:pPr>
      <w:r>
        <w:t xml:space="preserve">In a controlled clinical study with INLYTA for the treatment of patients with RCC, Grade 3/4 arterial </w:t>
      </w:r>
      <w:proofErr w:type="spellStart"/>
      <w:r>
        <w:t>thromboembolic</w:t>
      </w:r>
      <w:proofErr w:type="spellEnd"/>
      <w:r>
        <w:t xml:space="preserve"> events were reported in 1.1% of patients receiving INLYTA (</w:t>
      </w:r>
      <w:r w:rsidR="00EA017F">
        <w:t>N</w:t>
      </w:r>
      <w:r>
        <w:t xml:space="preserve">=359) and </w:t>
      </w:r>
      <w:r w:rsidR="00BB3C4E">
        <w:t>1.1</w:t>
      </w:r>
      <w:r>
        <w:t>% of</w:t>
      </w:r>
      <w:r w:rsidR="00EA017F">
        <w:t xml:space="preserve"> patients receiving </w:t>
      </w:r>
      <w:proofErr w:type="spellStart"/>
      <w:r w:rsidR="00EA017F">
        <w:t>sorafenib</w:t>
      </w:r>
      <w:proofErr w:type="spellEnd"/>
      <w:r w:rsidR="00EA017F">
        <w:t xml:space="preserve"> (N</w:t>
      </w:r>
      <w:r>
        <w:t xml:space="preserve">=355). </w:t>
      </w:r>
      <w:r w:rsidR="00BE0639">
        <w:t xml:space="preserve"> </w:t>
      </w:r>
      <w:r>
        <w:t xml:space="preserve">The most frequent arterial </w:t>
      </w:r>
      <w:proofErr w:type="spellStart"/>
      <w:r>
        <w:t>thromboembolic</w:t>
      </w:r>
      <w:proofErr w:type="spellEnd"/>
      <w:r>
        <w:t xml:space="preserve"> event was transient ischemic attack (</w:t>
      </w:r>
      <w:r w:rsidR="00BB3C4E">
        <w:t>1.0</w:t>
      </w:r>
      <w:r>
        <w:t>%)</w:t>
      </w:r>
      <w:r w:rsidR="00961FE8">
        <w:t xml:space="preserve"> (</w:t>
      </w:r>
      <w:proofErr w:type="gramStart"/>
      <w:r w:rsidR="00961FE8">
        <w:t>see</w:t>
      </w:r>
      <w:proofErr w:type="gramEnd"/>
      <w:r w:rsidR="00961FE8">
        <w:t xml:space="preserve"> Adverse Effects)</w:t>
      </w:r>
      <w:r>
        <w:t>.</w:t>
      </w:r>
      <w:r w:rsidR="00861EB1">
        <w:t xml:space="preserve"> </w:t>
      </w:r>
      <w:r w:rsidR="00D80A3E" w:rsidRPr="00BB206C">
        <w:t xml:space="preserve">Fatal </w:t>
      </w:r>
      <w:proofErr w:type="spellStart"/>
      <w:r w:rsidR="00D80A3E">
        <w:t>cerebrovascular</w:t>
      </w:r>
      <w:proofErr w:type="spellEnd"/>
      <w:r w:rsidR="00D80A3E">
        <w:t xml:space="preserve"> accident</w:t>
      </w:r>
      <w:r w:rsidR="00D80A3E" w:rsidRPr="00BB206C">
        <w:t xml:space="preserve"> was reported in </w:t>
      </w:r>
      <w:r w:rsidR="009C3139" w:rsidRPr="00547E42">
        <w:t>0.3% of</w:t>
      </w:r>
      <w:r w:rsidR="00D80A3E" w:rsidRPr="00547E42">
        <w:t xml:space="preserve"> patients</w:t>
      </w:r>
      <w:r w:rsidR="00D80A3E" w:rsidRPr="00BB206C">
        <w:t xml:space="preserve"> receiving INLY</w:t>
      </w:r>
      <w:r w:rsidR="00D80A3E">
        <w:t>TA and none of the patients receiving</w:t>
      </w:r>
      <w:r w:rsidR="00D80A3E" w:rsidRPr="00BB206C">
        <w:t xml:space="preserve"> </w:t>
      </w:r>
      <w:proofErr w:type="spellStart"/>
      <w:r w:rsidR="00D80A3E" w:rsidRPr="00BB206C">
        <w:t>sorafenib</w:t>
      </w:r>
      <w:proofErr w:type="spellEnd"/>
      <w:r w:rsidR="00D80A3E">
        <w:t>.</w:t>
      </w:r>
    </w:p>
    <w:p w:rsidR="00B60BAE" w:rsidRPr="00BB2282" w:rsidRDefault="00B60BAE" w:rsidP="00B60BAE">
      <w:pPr>
        <w:pStyle w:val="PINormal"/>
      </w:pPr>
      <w:r>
        <w:t xml:space="preserve">In </w:t>
      </w:r>
      <w:proofErr w:type="spellStart"/>
      <w:r>
        <w:t>mo</w:t>
      </w:r>
      <w:r w:rsidR="00EA017F">
        <w:t>notherapy</w:t>
      </w:r>
      <w:proofErr w:type="spellEnd"/>
      <w:r w:rsidR="00EA017F">
        <w:t xml:space="preserve"> studies with INLYTA (N</w:t>
      </w:r>
      <w:r>
        <w:t xml:space="preserve">=699), arterial </w:t>
      </w:r>
      <w:proofErr w:type="spellStart"/>
      <w:r>
        <w:t>thromboembolic</w:t>
      </w:r>
      <w:proofErr w:type="spellEnd"/>
      <w:r>
        <w:t xml:space="preserve"> events (including transient ischemic attack, </w:t>
      </w:r>
      <w:proofErr w:type="spellStart"/>
      <w:r w:rsidR="004A6B7E" w:rsidRPr="00E2369C">
        <w:t>cerebrovascular</w:t>
      </w:r>
      <w:proofErr w:type="spellEnd"/>
      <w:r w:rsidR="004A6B7E" w:rsidRPr="00E2369C">
        <w:t xml:space="preserve"> accident</w:t>
      </w:r>
      <w:r w:rsidR="004A6B7E">
        <w:t xml:space="preserve">, </w:t>
      </w:r>
      <w:r>
        <w:t xml:space="preserve">myocardial infarction, and </w:t>
      </w:r>
      <w:r w:rsidR="004A6B7E">
        <w:t>retinal artery occlusion</w:t>
      </w:r>
      <w:r>
        <w:t xml:space="preserve">) were reported in </w:t>
      </w:r>
      <w:r w:rsidR="004A6B7E">
        <w:t>2.3</w:t>
      </w:r>
      <w:r>
        <w:t>% of patients receiving INLYTA</w:t>
      </w:r>
      <w:r>
        <w:rPr>
          <w:rStyle w:val="TableTextChar0"/>
        </w:rPr>
        <w:t>.</w:t>
      </w:r>
    </w:p>
    <w:p w:rsidR="00B60BAE" w:rsidRDefault="00B60BAE" w:rsidP="00B60BAE">
      <w:pPr>
        <w:pStyle w:val="PINormal"/>
      </w:pPr>
      <w:r>
        <w:t>INLYTA should be used with caution in patients who are at risk for</w:t>
      </w:r>
      <w:r w:rsidR="00961FE8">
        <w:t>, or who have a history of,</w:t>
      </w:r>
      <w:r>
        <w:t xml:space="preserve"> these events. INLYTA has not been studied in patients who had an arterial </w:t>
      </w:r>
      <w:proofErr w:type="spellStart"/>
      <w:r>
        <w:t>thromboembolic</w:t>
      </w:r>
      <w:proofErr w:type="spellEnd"/>
      <w:r>
        <w:t xml:space="preserve"> event</w:t>
      </w:r>
      <w:r w:rsidR="007F4C2E">
        <w:t xml:space="preserve"> within the previous 12 months.</w:t>
      </w:r>
    </w:p>
    <w:p w:rsidR="00513050" w:rsidRDefault="004B4B77" w:rsidP="004B4B77">
      <w:pPr>
        <w:pStyle w:val="PIHeading2"/>
      </w:pPr>
      <w:r>
        <w:t xml:space="preserve">Venous </w:t>
      </w:r>
      <w:proofErr w:type="spellStart"/>
      <w:r>
        <w:t>Thromboembolic</w:t>
      </w:r>
      <w:proofErr w:type="spellEnd"/>
      <w:r>
        <w:t xml:space="preserve"> Events</w:t>
      </w:r>
    </w:p>
    <w:p w:rsidR="00861EB1" w:rsidRPr="007F4C2E" w:rsidRDefault="00B60BAE" w:rsidP="00694E48">
      <w:pPr>
        <w:pStyle w:val="PINormal"/>
        <w:rPr>
          <w:rStyle w:val="BlueText"/>
          <w:color w:val="auto"/>
        </w:rPr>
      </w:pPr>
      <w:r>
        <w:t xml:space="preserve">In a controlled clinical study with INLYTA for the treatment of patients with RCC, venous </w:t>
      </w:r>
      <w:proofErr w:type="spellStart"/>
      <w:r>
        <w:t>thromboembolic</w:t>
      </w:r>
      <w:proofErr w:type="spellEnd"/>
      <w:r>
        <w:t xml:space="preserve"> events were reported in 3.1%</w:t>
      </w:r>
      <w:r w:rsidR="00EA017F">
        <w:t xml:space="preserve"> of patients receiving INLYTA (N</w:t>
      </w:r>
      <w:r>
        <w:t xml:space="preserve">=359) and 0.6% of patients receiving </w:t>
      </w:r>
      <w:proofErr w:type="spellStart"/>
      <w:r>
        <w:t>sorafenib</w:t>
      </w:r>
      <w:proofErr w:type="spellEnd"/>
      <w:r>
        <w:t xml:space="preserve"> (</w:t>
      </w:r>
      <w:r w:rsidR="00EA017F">
        <w:t>N</w:t>
      </w:r>
      <w:r>
        <w:t xml:space="preserve">=355). Grade 3/4 venous </w:t>
      </w:r>
      <w:proofErr w:type="spellStart"/>
      <w:r>
        <w:t>thromboembolic</w:t>
      </w:r>
      <w:proofErr w:type="spellEnd"/>
      <w:r>
        <w:t xml:space="preserve"> events were reported in 2.5% of patients receiving INLYTA (including pulmonary embolism, deep vein thrombosis, and retinal vein occlusion/thrombosis)</w:t>
      </w:r>
      <w:r w:rsidRPr="000F7DB5">
        <w:t xml:space="preserve"> </w:t>
      </w:r>
      <w:r>
        <w:t xml:space="preserve">and 0.6% of patients receiving </w:t>
      </w:r>
      <w:proofErr w:type="spellStart"/>
      <w:r>
        <w:t>sorafenib</w:t>
      </w:r>
      <w:proofErr w:type="spellEnd"/>
      <w:r>
        <w:t xml:space="preserve"> </w:t>
      </w:r>
      <w:r w:rsidRPr="00B60BAE">
        <w:t>(see Adverse Effects).</w:t>
      </w:r>
      <w:r w:rsidRPr="00DD0EE9">
        <w:t xml:space="preserve"> </w:t>
      </w:r>
      <w:r>
        <w:t>Fatal pulmonary embolism was reported in one patien</w:t>
      </w:r>
      <w:r w:rsidR="00961FE8">
        <w:t>t (0.3%) receiving INLYTA and in none of the</w:t>
      </w:r>
      <w:r>
        <w:t xml:space="preserve"> patients receiving </w:t>
      </w:r>
      <w:proofErr w:type="spellStart"/>
      <w:r>
        <w:t>sorafenib</w:t>
      </w:r>
      <w:proofErr w:type="spellEnd"/>
      <w:r>
        <w:t>.</w:t>
      </w:r>
    </w:p>
    <w:p w:rsidR="00B60BAE" w:rsidRDefault="00B60BAE" w:rsidP="00B60BAE">
      <w:pPr>
        <w:pStyle w:val="PINormal"/>
      </w:pPr>
      <w:r>
        <w:t>INLYTA should be used with caution in patients who are at risk for</w:t>
      </w:r>
      <w:r w:rsidR="00961FE8">
        <w:t>, or who have a history of,</w:t>
      </w:r>
      <w:r>
        <w:t xml:space="preserve"> these events. INLYTA has not been studied in patients who had a venous </w:t>
      </w:r>
      <w:proofErr w:type="spellStart"/>
      <w:r>
        <w:t>thromboembolic</w:t>
      </w:r>
      <w:proofErr w:type="spellEnd"/>
      <w:r>
        <w:t xml:space="preserve"> event within the previous 6 months.</w:t>
      </w:r>
    </w:p>
    <w:p w:rsidR="004B4B77" w:rsidRPr="00DA4D02" w:rsidRDefault="00945FF0" w:rsidP="004B4B77">
      <w:pPr>
        <w:pStyle w:val="PIHeading2"/>
        <w:rPr>
          <w:noProof/>
        </w:rPr>
      </w:pPr>
      <w:r>
        <w:rPr>
          <w:noProof/>
        </w:rPr>
        <w:t>Elevation of Haemoglobin or Haematocrit</w:t>
      </w:r>
    </w:p>
    <w:p w:rsidR="00945FF0" w:rsidRDefault="00945FF0" w:rsidP="00694E48">
      <w:pPr>
        <w:pStyle w:val="PINormal"/>
      </w:pPr>
      <w:r>
        <w:t xml:space="preserve">Increases in haemoglobin or </w:t>
      </w:r>
      <w:proofErr w:type="spellStart"/>
      <w:r>
        <w:t>haematocrit</w:t>
      </w:r>
      <w:proofErr w:type="spellEnd"/>
      <w:r>
        <w:t xml:space="preserve">, reflective of increases in red blood cell mass, may occur during treatment with INLYTA. An increase in red blood cell mass may increase the risk of </w:t>
      </w:r>
      <w:proofErr w:type="spellStart"/>
      <w:r>
        <w:t>thromboembolic</w:t>
      </w:r>
      <w:proofErr w:type="spellEnd"/>
      <w:r>
        <w:t xml:space="preserve"> events.</w:t>
      </w:r>
    </w:p>
    <w:p w:rsidR="00945FF0" w:rsidRDefault="00945FF0" w:rsidP="00694E48">
      <w:pPr>
        <w:pStyle w:val="PINormal"/>
      </w:pPr>
      <w:r>
        <w:t xml:space="preserve">Elevated haemoglobin above the </w:t>
      </w:r>
      <w:r w:rsidR="00861EB1">
        <w:t>ULN</w:t>
      </w:r>
      <w:r>
        <w:t xml:space="preserve"> was observed in </w:t>
      </w:r>
      <w:r w:rsidR="00A43DDC">
        <w:t>9.7</w:t>
      </w:r>
      <w:r>
        <w:t>% of patients receiving INLYTA (</w:t>
      </w:r>
      <w:r w:rsidR="00CC2ED5">
        <w:t>N</w:t>
      </w:r>
      <w:r>
        <w:t>=3</w:t>
      </w:r>
      <w:r w:rsidR="003B0294">
        <w:t>20</w:t>
      </w:r>
      <w:r>
        <w:t xml:space="preserve">) and </w:t>
      </w:r>
      <w:r w:rsidR="00146C43">
        <w:t>0.9</w:t>
      </w:r>
      <w:r>
        <w:t>% of</w:t>
      </w:r>
      <w:r w:rsidR="00EA017F">
        <w:t xml:space="preserve"> patients receiving </w:t>
      </w:r>
      <w:proofErr w:type="spellStart"/>
      <w:r w:rsidR="00EA017F">
        <w:t>sorafenib</w:t>
      </w:r>
      <w:proofErr w:type="spellEnd"/>
      <w:r w:rsidR="00EA017F">
        <w:t xml:space="preserve"> (N</w:t>
      </w:r>
      <w:r>
        <w:t>=3</w:t>
      </w:r>
      <w:r w:rsidR="003B0294">
        <w:t>16</w:t>
      </w:r>
      <w:r>
        <w:t>).</w:t>
      </w:r>
    </w:p>
    <w:p w:rsidR="00945FF0" w:rsidRDefault="00945FF0" w:rsidP="00694E48">
      <w:pPr>
        <w:pStyle w:val="PINormal"/>
      </w:pPr>
      <w:r>
        <w:t xml:space="preserve">Monitor haemoglobin or </w:t>
      </w:r>
      <w:proofErr w:type="spellStart"/>
      <w:r>
        <w:t>haematocrit</w:t>
      </w:r>
      <w:proofErr w:type="spellEnd"/>
      <w:r>
        <w:t xml:space="preserve"> before initiation of</w:t>
      </w:r>
      <w:r w:rsidR="00A13CE8">
        <w:t>, and periodically throughout,</w:t>
      </w:r>
      <w:r>
        <w:t xml:space="preserve"> treatment with INLYTA</w:t>
      </w:r>
      <w:r w:rsidR="00A13CE8">
        <w:t>.</w:t>
      </w:r>
      <w:r>
        <w:t xml:space="preserve"> </w:t>
      </w:r>
      <w:r w:rsidR="00A13CE8">
        <w:t xml:space="preserve"> </w:t>
      </w:r>
      <w:r>
        <w:t xml:space="preserve">If haemoglobin or </w:t>
      </w:r>
      <w:proofErr w:type="spellStart"/>
      <w:r>
        <w:t>haematocrit</w:t>
      </w:r>
      <w:proofErr w:type="spellEnd"/>
      <w:r>
        <w:t xml:space="preserve"> becomes elevated</w:t>
      </w:r>
      <w:r w:rsidR="00A13CE8">
        <w:t xml:space="preserve"> above the normal level,</w:t>
      </w:r>
      <w:r>
        <w:t xml:space="preserve"> </w:t>
      </w:r>
      <w:r w:rsidRPr="009A28F4">
        <w:t xml:space="preserve">patients should be treated according to standard medical practice </w:t>
      </w:r>
      <w:r>
        <w:t xml:space="preserve">to decrease haemoglobin or </w:t>
      </w:r>
      <w:proofErr w:type="spellStart"/>
      <w:r>
        <w:t>haematocrit</w:t>
      </w:r>
      <w:proofErr w:type="spellEnd"/>
      <w:r>
        <w:t xml:space="preserve"> to an acceptable level.</w:t>
      </w:r>
    </w:p>
    <w:p w:rsidR="004B4B77" w:rsidRDefault="004B4B77" w:rsidP="000B64E8">
      <w:pPr>
        <w:pStyle w:val="PIHeading2"/>
      </w:pPr>
      <w:r>
        <w:rPr>
          <w:noProof/>
        </w:rPr>
        <w:t>Haemorrhage</w:t>
      </w:r>
    </w:p>
    <w:p w:rsidR="001102CC" w:rsidRDefault="001102CC" w:rsidP="001102CC">
      <w:pPr>
        <w:pStyle w:val="PINormal"/>
      </w:pPr>
      <w:r w:rsidRPr="006E44C6">
        <w:t xml:space="preserve">In </w:t>
      </w:r>
      <w:r>
        <w:t xml:space="preserve">a controlled clinical study </w:t>
      </w:r>
      <w:r w:rsidRPr="006E44C6">
        <w:t xml:space="preserve">with INLYTA for the treatment of patients with RCC, </w:t>
      </w:r>
      <w:r>
        <w:t>in which patients with untreated brain metastasis were excluded, haemorrhagic events</w:t>
      </w:r>
      <w:r w:rsidRPr="006E44C6">
        <w:t xml:space="preserve"> </w:t>
      </w:r>
      <w:r>
        <w:t>were</w:t>
      </w:r>
      <w:r w:rsidRPr="006E44C6">
        <w:t xml:space="preserve"> reported in </w:t>
      </w:r>
      <w:r>
        <w:t>16.2</w:t>
      </w:r>
      <w:r w:rsidRPr="006E44C6">
        <w:t>% of patients</w:t>
      </w:r>
      <w:r w:rsidR="00EA017F">
        <w:t xml:space="preserve"> receiving INLYTA (N</w:t>
      </w:r>
      <w:r>
        <w:t xml:space="preserve">=359) and </w:t>
      </w:r>
      <w:r w:rsidRPr="00B629BE">
        <w:t>18.0%</w:t>
      </w:r>
      <w:r>
        <w:t xml:space="preserve"> of patients recei</w:t>
      </w:r>
      <w:r w:rsidR="00733610">
        <w:t xml:space="preserve">ving </w:t>
      </w:r>
      <w:proofErr w:type="spellStart"/>
      <w:r w:rsidR="00733610">
        <w:t>sorafenib</w:t>
      </w:r>
      <w:proofErr w:type="spellEnd"/>
      <w:r w:rsidR="00733610">
        <w:t xml:space="preserve"> (N</w:t>
      </w:r>
      <w:r>
        <w:t>=355).</w:t>
      </w:r>
      <w:r w:rsidR="00BE0639">
        <w:t xml:space="preserve"> </w:t>
      </w:r>
      <w:r>
        <w:t xml:space="preserve"> The most common haemorrhagic events in patients treated with INLYTA were </w:t>
      </w:r>
      <w:proofErr w:type="spellStart"/>
      <w:r>
        <w:t>epistaxis</w:t>
      </w:r>
      <w:proofErr w:type="spellEnd"/>
      <w:r>
        <w:t xml:space="preserve"> (6.1%), </w:t>
      </w:r>
      <w:proofErr w:type="spellStart"/>
      <w:r>
        <w:t>haematuria</w:t>
      </w:r>
      <w:proofErr w:type="spellEnd"/>
      <w:r>
        <w:t xml:space="preserve"> (3.3%), haemoptysis (2.2%), and rectal haemorrhage (2.2%) </w:t>
      </w:r>
      <w:r w:rsidRPr="001102CC">
        <w:t>(</w:t>
      </w:r>
      <w:proofErr w:type="gramStart"/>
      <w:r w:rsidRPr="001102CC">
        <w:t>see</w:t>
      </w:r>
      <w:proofErr w:type="gramEnd"/>
      <w:r w:rsidRPr="001102CC">
        <w:t xml:space="preserve"> Adverse Effects).</w:t>
      </w:r>
      <w:r>
        <w:t xml:space="preserve"> </w:t>
      </w:r>
      <w:r w:rsidR="00BE0639">
        <w:rPr>
          <w:rStyle w:val="BlueText"/>
        </w:rPr>
        <w:t xml:space="preserve"> </w:t>
      </w:r>
      <w:r>
        <w:t xml:space="preserve">Grade 3/4 haemorrhagic events were reported in 1.4% of patients </w:t>
      </w:r>
      <w:r>
        <w:lastRenderedPageBreak/>
        <w:t xml:space="preserve">receiving INLYTA (including cerebral haemorrhage, </w:t>
      </w:r>
      <w:proofErr w:type="spellStart"/>
      <w:r>
        <w:t>haematuria</w:t>
      </w:r>
      <w:proofErr w:type="spellEnd"/>
      <w:r>
        <w:t xml:space="preserve">, haemoptysis, lower gastrointestinal haemorrhage, and </w:t>
      </w:r>
      <w:proofErr w:type="spellStart"/>
      <w:r>
        <w:t>melaena</w:t>
      </w:r>
      <w:proofErr w:type="spellEnd"/>
      <w:r>
        <w:t xml:space="preserve">) and 3.1% of patients receiving </w:t>
      </w:r>
      <w:proofErr w:type="spellStart"/>
      <w:r>
        <w:t>sorafenib</w:t>
      </w:r>
      <w:proofErr w:type="spellEnd"/>
      <w:r>
        <w:t xml:space="preserve">. </w:t>
      </w:r>
      <w:r w:rsidR="00BE0639">
        <w:rPr>
          <w:rStyle w:val="BlueText"/>
        </w:rPr>
        <w:t xml:space="preserve"> </w:t>
      </w:r>
      <w:r w:rsidRPr="00494E92">
        <w:t xml:space="preserve">Fatal haemorrhage was reported in one patient (0.3%) receiving INLYTA (gastric haemorrhage) and three patients (0.8%) receiving </w:t>
      </w:r>
      <w:proofErr w:type="spellStart"/>
      <w:r w:rsidRPr="00494E92">
        <w:t>sorafenib</w:t>
      </w:r>
      <w:proofErr w:type="spellEnd"/>
      <w:r w:rsidRPr="00494E92">
        <w:t>.</w:t>
      </w:r>
    </w:p>
    <w:p w:rsidR="001102CC" w:rsidRDefault="001102CC" w:rsidP="001102CC">
      <w:pPr>
        <w:pStyle w:val="PINormal"/>
        <w:rPr>
          <w:rStyle w:val="Italics"/>
          <w:i w:val="0"/>
          <w:iCs w:val="0"/>
        </w:rPr>
      </w:pPr>
      <w:r w:rsidRPr="00F22C17">
        <w:rPr>
          <w:rStyle w:val="Italics"/>
          <w:i w:val="0"/>
          <w:iCs w:val="0"/>
        </w:rPr>
        <w:t xml:space="preserve">INLYTA has not been studied in patients who have evidence of </w:t>
      </w:r>
      <w:r>
        <w:rPr>
          <w:rStyle w:val="Italics"/>
          <w:i w:val="0"/>
          <w:iCs w:val="0"/>
        </w:rPr>
        <w:t xml:space="preserve">untreated </w:t>
      </w:r>
      <w:r w:rsidRPr="00F22C17">
        <w:rPr>
          <w:rStyle w:val="Italics"/>
          <w:i w:val="0"/>
          <w:iCs w:val="0"/>
        </w:rPr>
        <w:t>brain metastasis or recent active gastrointestinal bleeding and should not be used in those patients.</w:t>
      </w:r>
      <w:r>
        <w:rPr>
          <w:rStyle w:val="Italics"/>
          <w:i w:val="0"/>
          <w:iCs w:val="0"/>
        </w:rPr>
        <w:t xml:space="preserve"> If any bleeding </w:t>
      </w:r>
      <w:r w:rsidR="00825DB1">
        <w:rPr>
          <w:rStyle w:val="Italics"/>
          <w:i w:val="0"/>
          <w:iCs w:val="0"/>
        </w:rPr>
        <w:t>requires</w:t>
      </w:r>
      <w:r>
        <w:rPr>
          <w:rStyle w:val="Italics"/>
          <w:i w:val="0"/>
          <w:iCs w:val="0"/>
        </w:rPr>
        <w:t xml:space="preserve"> medical intervention, temporarily interrupt the INLYTA dose.</w:t>
      </w:r>
    </w:p>
    <w:p w:rsidR="004B4B77" w:rsidRPr="00080DE6" w:rsidRDefault="004B4B77" w:rsidP="001D7DA0">
      <w:pPr>
        <w:pStyle w:val="PIHeading2"/>
        <w:rPr>
          <w:noProof/>
        </w:rPr>
      </w:pPr>
      <w:bookmarkStart w:id="1" w:name="_Toc268093955"/>
      <w:bookmarkStart w:id="2" w:name="_Toc281311906"/>
      <w:r w:rsidRPr="00080DE6">
        <w:rPr>
          <w:noProof/>
        </w:rPr>
        <w:t>Gastrointestinal Perforation</w:t>
      </w:r>
      <w:bookmarkEnd w:id="1"/>
      <w:r w:rsidR="00D80A3E">
        <w:rPr>
          <w:noProof/>
        </w:rPr>
        <w:t xml:space="preserve"> and Fistula Formation</w:t>
      </w:r>
    </w:p>
    <w:p w:rsidR="002640B1" w:rsidRDefault="002640B1" w:rsidP="00335620">
      <w:pPr>
        <w:pStyle w:val="PINormal"/>
        <w:rPr>
          <w:lang w:eastAsia="ja-JP" w:bidi="ml-IN"/>
        </w:rPr>
      </w:pPr>
      <w:r w:rsidRPr="0049382B">
        <w:rPr>
          <w:lang w:eastAsia="ja-JP" w:bidi="ml-IN"/>
        </w:rPr>
        <w:t xml:space="preserve">In a controlled clinical study with INLYTA for the treatment of patients with RCC, gastrointestinal perforation was reported </w:t>
      </w:r>
      <w:r w:rsidR="00D80A3E">
        <w:rPr>
          <w:lang w:eastAsia="ja-JP" w:bidi="ml-IN"/>
        </w:rPr>
        <w:t>0.3% of</w:t>
      </w:r>
      <w:r w:rsidRPr="0049382B">
        <w:rPr>
          <w:lang w:eastAsia="ja-JP" w:bidi="ml-IN"/>
        </w:rPr>
        <w:t xml:space="preserve"> patient</w:t>
      </w:r>
      <w:r w:rsidR="00D80A3E">
        <w:rPr>
          <w:lang w:eastAsia="ja-JP" w:bidi="ml-IN"/>
        </w:rPr>
        <w:t>s</w:t>
      </w:r>
      <w:r w:rsidRPr="0049382B">
        <w:rPr>
          <w:lang w:eastAsia="ja-JP" w:bidi="ml-IN"/>
        </w:rPr>
        <w:t xml:space="preserve"> receiving INLYTA</w:t>
      </w:r>
      <w:r w:rsidR="00EA017F">
        <w:rPr>
          <w:lang w:eastAsia="ja-JP" w:bidi="ml-IN"/>
        </w:rPr>
        <w:t xml:space="preserve"> (N</w:t>
      </w:r>
      <w:r>
        <w:rPr>
          <w:lang w:eastAsia="ja-JP" w:bidi="ml-IN"/>
        </w:rPr>
        <w:t>=359)</w:t>
      </w:r>
      <w:r w:rsidR="00825DB1">
        <w:rPr>
          <w:lang w:eastAsia="ja-JP" w:bidi="ml-IN"/>
        </w:rPr>
        <w:t xml:space="preserve"> and in none of the</w:t>
      </w:r>
      <w:r w:rsidRPr="0049382B">
        <w:rPr>
          <w:lang w:eastAsia="ja-JP" w:bidi="ml-IN"/>
        </w:rPr>
        <w:t xml:space="preserve"> patients receiving </w:t>
      </w:r>
      <w:proofErr w:type="spellStart"/>
      <w:r w:rsidRPr="0049382B">
        <w:rPr>
          <w:lang w:eastAsia="ja-JP" w:bidi="ml-IN"/>
        </w:rPr>
        <w:t>sorafenib</w:t>
      </w:r>
      <w:proofErr w:type="spellEnd"/>
      <w:r w:rsidR="00EA017F">
        <w:rPr>
          <w:lang w:eastAsia="ja-JP" w:bidi="ml-IN"/>
        </w:rPr>
        <w:t xml:space="preserve"> (N</w:t>
      </w:r>
      <w:r>
        <w:rPr>
          <w:lang w:eastAsia="ja-JP" w:bidi="ml-IN"/>
        </w:rPr>
        <w:t>=355)</w:t>
      </w:r>
      <w:r w:rsidRPr="0049382B">
        <w:rPr>
          <w:lang w:eastAsia="ja-JP" w:bidi="ml-IN"/>
        </w:rPr>
        <w:t>.</w:t>
      </w:r>
      <w:r>
        <w:rPr>
          <w:lang w:eastAsia="ja-JP" w:bidi="ml-IN"/>
        </w:rPr>
        <w:t xml:space="preserve"> </w:t>
      </w:r>
      <w:r w:rsidR="00D80A3E" w:rsidRPr="0094746A">
        <w:t xml:space="preserve">In addition to cases of gastrointestinal perforation, fistulas were reported in </w:t>
      </w:r>
      <w:r w:rsidR="00D80A3E">
        <w:t xml:space="preserve">0.6% of patients </w:t>
      </w:r>
      <w:r w:rsidR="00D80A3E" w:rsidRPr="008E57B1">
        <w:t xml:space="preserve">receiving </w:t>
      </w:r>
      <w:r w:rsidR="00D80A3E">
        <w:t>INLYTA</w:t>
      </w:r>
      <w:r w:rsidR="00D80A3E" w:rsidRPr="008E57B1">
        <w:t xml:space="preserve"> and </w:t>
      </w:r>
      <w:r w:rsidR="00D80A3E">
        <w:t xml:space="preserve">0.3% of patients </w:t>
      </w:r>
      <w:r w:rsidR="00D80A3E" w:rsidRPr="008E57B1">
        <w:t xml:space="preserve">receiving </w:t>
      </w:r>
      <w:proofErr w:type="spellStart"/>
      <w:r w:rsidR="00D80A3E" w:rsidRPr="008E57B1">
        <w:t>sorafenib</w:t>
      </w:r>
      <w:proofErr w:type="spellEnd"/>
      <w:r w:rsidR="00D80A3E" w:rsidRPr="008E57B1">
        <w:t>.</w:t>
      </w:r>
      <w:r w:rsidR="00BE0639">
        <w:rPr>
          <w:rStyle w:val="BlueText"/>
        </w:rPr>
        <w:t xml:space="preserve"> </w:t>
      </w:r>
      <w:r w:rsidRPr="0049382B">
        <w:rPr>
          <w:lang w:eastAsia="ja-JP" w:bidi="ml-IN"/>
        </w:rPr>
        <w:t xml:space="preserve">In </w:t>
      </w:r>
      <w:proofErr w:type="spellStart"/>
      <w:r w:rsidRPr="0049382B">
        <w:rPr>
          <w:lang w:eastAsia="ja-JP" w:bidi="ml-IN"/>
        </w:rPr>
        <w:t>m</w:t>
      </w:r>
      <w:r>
        <w:rPr>
          <w:lang w:eastAsia="ja-JP" w:bidi="ml-IN"/>
        </w:rPr>
        <w:t>onotherapy</w:t>
      </w:r>
      <w:proofErr w:type="spellEnd"/>
      <w:r>
        <w:rPr>
          <w:lang w:eastAsia="ja-JP" w:bidi="ml-IN"/>
        </w:rPr>
        <w:t xml:space="preserve"> studies with IN</w:t>
      </w:r>
      <w:r w:rsidR="00825DB1">
        <w:rPr>
          <w:lang w:eastAsia="ja-JP" w:bidi="ml-IN"/>
        </w:rPr>
        <w:t>L</w:t>
      </w:r>
      <w:r>
        <w:rPr>
          <w:lang w:eastAsia="ja-JP" w:bidi="ml-IN"/>
        </w:rPr>
        <w:t>YTA (</w:t>
      </w:r>
      <w:r w:rsidR="00EA017F">
        <w:rPr>
          <w:lang w:eastAsia="ja-JP" w:bidi="ml-IN"/>
        </w:rPr>
        <w:t>N</w:t>
      </w:r>
      <w:r w:rsidRPr="0049382B">
        <w:rPr>
          <w:lang w:eastAsia="ja-JP" w:bidi="ml-IN"/>
        </w:rPr>
        <w:t xml:space="preserve">=699), fatal gastrointestinal perforation was reported in </w:t>
      </w:r>
      <w:r>
        <w:rPr>
          <w:lang w:eastAsia="ja-JP" w:bidi="ml-IN"/>
        </w:rPr>
        <w:t>one</w:t>
      </w:r>
      <w:r w:rsidRPr="0049382B">
        <w:rPr>
          <w:lang w:eastAsia="ja-JP" w:bidi="ml-IN"/>
        </w:rPr>
        <w:t xml:space="preserve"> patient (0.1%)</w:t>
      </w:r>
      <w:r>
        <w:rPr>
          <w:lang w:eastAsia="ja-JP" w:bidi="ml-IN"/>
        </w:rPr>
        <w:t>.</w:t>
      </w:r>
    </w:p>
    <w:p w:rsidR="002640B1" w:rsidRPr="0049382B" w:rsidRDefault="002640B1" w:rsidP="00335620">
      <w:pPr>
        <w:pStyle w:val="PINormal"/>
        <w:rPr>
          <w:i/>
          <w:noProof/>
          <w:lang w:val="en-US" w:eastAsia="ja-JP" w:bidi="ml-IN"/>
        </w:rPr>
      </w:pPr>
      <w:r>
        <w:rPr>
          <w:lang w:val="en-US" w:eastAsia="ja-JP" w:bidi="ml-IN"/>
        </w:rPr>
        <w:t>Monitor</w:t>
      </w:r>
      <w:r w:rsidRPr="0049382B">
        <w:rPr>
          <w:lang w:val="en-US" w:eastAsia="ja-JP" w:bidi="ml-IN"/>
        </w:rPr>
        <w:t xml:space="preserve"> for symptoms of gastrointestinal perforation</w:t>
      </w:r>
      <w:r>
        <w:rPr>
          <w:lang w:val="en-US" w:eastAsia="ja-JP" w:bidi="ml-IN"/>
        </w:rPr>
        <w:t xml:space="preserve"> periodically throughout treatment with INLYTA.</w:t>
      </w:r>
    </w:p>
    <w:p w:rsidR="004B4B77" w:rsidRPr="0025083F" w:rsidRDefault="004B4B77" w:rsidP="001D7DA0">
      <w:pPr>
        <w:pStyle w:val="PIHeading2"/>
        <w:rPr>
          <w:noProof/>
        </w:rPr>
      </w:pPr>
      <w:bookmarkStart w:id="3" w:name="_Toc243790382"/>
      <w:bookmarkStart w:id="4" w:name="_Toc245294770"/>
      <w:bookmarkEnd w:id="2"/>
      <w:r w:rsidRPr="0025083F">
        <w:t>Wound Healing Complications</w:t>
      </w:r>
      <w:bookmarkEnd w:id="3"/>
      <w:bookmarkEnd w:id="4"/>
    </w:p>
    <w:p w:rsidR="002640B1" w:rsidRDefault="002640B1" w:rsidP="002640B1">
      <w:pPr>
        <w:pStyle w:val="PINormal"/>
        <w:rPr>
          <w:noProof/>
        </w:rPr>
      </w:pPr>
      <w:r w:rsidRPr="0025083F">
        <w:t xml:space="preserve">No </w:t>
      </w:r>
      <w:r>
        <w:t>formal studies of the effect of</w:t>
      </w:r>
      <w:r w:rsidRPr="0025083F">
        <w:t xml:space="preserve"> </w:t>
      </w:r>
      <w:r w:rsidRPr="00C12356">
        <w:t xml:space="preserve">INLYTA </w:t>
      </w:r>
      <w:r w:rsidRPr="0025083F">
        <w:t>on wound heali</w:t>
      </w:r>
      <w:r>
        <w:t>ng have been conducted.</w:t>
      </w:r>
      <w:r w:rsidR="002E312C">
        <w:t xml:space="preserve">  </w:t>
      </w:r>
      <w:r>
        <w:t>Treatment with</w:t>
      </w:r>
      <w:r w:rsidRPr="00C12356">
        <w:t xml:space="preserve"> INLYTA </w:t>
      </w:r>
      <w:r>
        <w:t xml:space="preserve">should be stopped at </w:t>
      </w:r>
      <w:r w:rsidRPr="0025083F">
        <w:t xml:space="preserve">least 24 hours prior to </w:t>
      </w:r>
      <w:r>
        <w:t xml:space="preserve">scheduled </w:t>
      </w:r>
      <w:r w:rsidRPr="0025083F">
        <w:t>surgery</w:t>
      </w:r>
      <w:r>
        <w:t>. T</w:t>
      </w:r>
      <w:r w:rsidRPr="0025083F">
        <w:t xml:space="preserve">he decision to resume </w:t>
      </w:r>
      <w:r w:rsidRPr="00C12356">
        <w:t xml:space="preserve">INLYTA </w:t>
      </w:r>
      <w:r w:rsidRPr="0025083F">
        <w:t>therapy</w:t>
      </w:r>
      <w:r>
        <w:t xml:space="preserve"> after</w:t>
      </w:r>
      <w:r w:rsidRPr="0025083F">
        <w:t xml:space="preserve"> surgery should be based on clinical judgment of </w:t>
      </w:r>
      <w:r>
        <w:t>adequate</w:t>
      </w:r>
      <w:r w:rsidRPr="0025083F">
        <w:t xml:space="preserve"> wound healing.</w:t>
      </w:r>
    </w:p>
    <w:p w:rsidR="004B4B77" w:rsidRPr="00FD40EA" w:rsidRDefault="004B4B77" w:rsidP="001D7DA0">
      <w:pPr>
        <w:pStyle w:val="PIHeading2"/>
        <w:rPr>
          <w:noProof/>
          <w:lang w:val="fr-FR"/>
        </w:rPr>
      </w:pPr>
      <w:r w:rsidRPr="00FD40EA">
        <w:rPr>
          <w:noProof/>
          <w:lang w:val="fr-FR"/>
        </w:rPr>
        <w:t>Reversible Posterior Leukoencephalopathy Syndrome (RPLS)</w:t>
      </w:r>
    </w:p>
    <w:p w:rsidR="002640B1" w:rsidRPr="007F4C2E" w:rsidRDefault="002640B1" w:rsidP="00861EB1">
      <w:pPr>
        <w:pStyle w:val="PINormal"/>
        <w:rPr>
          <w:rStyle w:val="bluetext0"/>
          <w:color w:val="auto"/>
        </w:rPr>
      </w:pPr>
      <w:r w:rsidRPr="002640B1">
        <w:t xml:space="preserve">In a controlled clinical study with INLYTA for the treatment of patients with RCC, reversible posterior </w:t>
      </w:r>
      <w:proofErr w:type="spellStart"/>
      <w:r w:rsidRPr="002640B1">
        <w:t>leukoencephalopathy</w:t>
      </w:r>
      <w:proofErr w:type="spellEnd"/>
      <w:r w:rsidRPr="002640B1">
        <w:t xml:space="preserve"> syndrome (RPLS) was reported in one patient (0.3%) receiving INLYTA (</w:t>
      </w:r>
      <w:r w:rsidR="00EA017F">
        <w:t>N</w:t>
      </w:r>
      <w:r w:rsidRPr="002640B1">
        <w:t xml:space="preserve">=359) and </w:t>
      </w:r>
      <w:r w:rsidR="00491F3A">
        <w:t xml:space="preserve">in </w:t>
      </w:r>
      <w:r w:rsidRPr="002640B1">
        <w:t>no</w:t>
      </w:r>
      <w:r w:rsidR="00491F3A">
        <w:t>ne of the</w:t>
      </w:r>
      <w:r w:rsidRPr="002640B1">
        <w:t xml:space="preserve"> patients receiving </w:t>
      </w:r>
      <w:proofErr w:type="spellStart"/>
      <w:r w:rsidRPr="002640B1">
        <w:t>sorafenib</w:t>
      </w:r>
      <w:proofErr w:type="spellEnd"/>
      <w:r w:rsidRPr="002640B1">
        <w:t xml:space="preserve"> (</w:t>
      </w:r>
      <w:r w:rsidR="00EA017F">
        <w:t>N</w:t>
      </w:r>
      <w:r w:rsidRPr="002640B1">
        <w:t>=355) (see Adverse Effects).</w:t>
      </w:r>
    </w:p>
    <w:p w:rsidR="002640B1" w:rsidRPr="008A0E99" w:rsidRDefault="002640B1" w:rsidP="00861EB1">
      <w:pPr>
        <w:pStyle w:val="PINormal"/>
        <w:rPr>
          <w:lang w:eastAsia="ja-JP" w:bidi="ml-IN"/>
        </w:rPr>
      </w:pPr>
      <w:r w:rsidRPr="008A0E99">
        <w:t>RPLS is a neurological disorder which can present with headache, seizure, lethargy, confusion, blindness and other visual and neurologic disturbances. Mild to severe hypertension may be present. Magnetic resonance imaging is necessary to confirm the diagnosis of RPLS. In patients with signs/symptoms of RPLS, temporarily interrupt or permanently discontinue INLYTA. The safety of reinitiating INLYTA therapy in patients previously experiencing RPLS is not known.</w:t>
      </w:r>
    </w:p>
    <w:p w:rsidR="004B4B77" w:rsidRPr="008A0E99" w:rsidRDefault="004B4B77" w:rsidP="001D7DA0">
      <w:pPr>
        <w:pStyle w:val="PIHeading2"/>
        <w:rPr>
          <w:noProof/>
        </w:rPr>
      </w:pPr>
      <w:r w:rsidRPr="008A0E99">
        <w:rPr>
          <w:noProof/>
        </w:rPr>
        <w:t>Proteinuria</w:t>
      </w:r>
    </w:p>
    <w:p w:rsidR="009A28C2" w:rsidRPr="00137B22" w:rsidRDefault="009A28C2" w:rsidP="00137B22">
      <w:pPr>
        <w:pStyle w:val="PINormal"/>
      </w:pPr>
      <w:r w:rsidRPr="00137B22">
        <w:t xml:space="preserve">In a controlled clinical study with INLYTA for the treatment of patients with RCC, </w:t>
      </w:r>
      <w:proofErr w:type="spellStart"/>
      <w:r w:rsidRPr="00137B22">
        <w:t>proteinuria</w:t>
      </w:r>
      <w:proofErr w:type="spellEnd"/>
      <w:r w:rsidRPr="00137B22">
        <w:t xml:space="preserve"> was reported in 10.9% of patients receiving INLYTA (</w:t>
      </w:r>
      <w:r w:rsidR="00EA017F">
        <w:t>N</w:t>
      </w:r>
      <w:r w:rsidRPr="00137B22">
        <w:t>=359) and 7.3% of</w:t>
      </w:r>
      <w:r w:rsidR="00EA017F">
        <w:t xml:space="preserve"> patients receiving </w:t>
      </w:r>
      <w:proofErr w:type="spellStart"/>
      <w:r w:rsidR="00EA017F">
        <w:t>sorafenib</w:t>
      </w:r>
      <w:proofErr w:type="spellEnd"/>
      <w:r w:rsidR="00EA017F">
        <w:t xml:space="preserve"> (N</w:t>
      </w:r>
      <w:r w:rsidRPr="00137B22">
        <w:t xml:space="preserve">=355) (see Adverse Effects). </w:t>
      </w:r>
      <w:r w:rsidR="00BE0639">
        <w:rPr>
          <w:rStyle w:val="BlueText"/>
        </w:rPr>
        <w:t xml:space="preserve"> </w:t>
      </w:r>
      <w:r w:rsidRPr="00137B22">
        <w:t xml:space="preserve">Grade </w:t>
      </w:r>
      <w:proofErr w:type="gramStart"/>
      <w:r w:rsidRPr="00137B22">
        <w:t xml:space="preserve">3 </w:t>
      </w:r>
      <w:proofErr w:type="spellStart"/>
      <w:r w:rsidRPr="00137B22">
        <w:t>proteinuria</w:t>
      </w:r>
      <w:proofErr w:type="spellEnd"/>
      <w:proofErr w:type="gramEnd"/>
      <w:r w:rsidRPr="00137B22">
        <w:t xml:space="preserve"> was reported in 3.1% of patients receiving INLYTA and 1.7% o</w:t>
      </w:r>
      <w:r w:rsidR="007F4C2E">
        <w:t xml:space="preserve">f patients receiving </w:t>
      </w:r>
      <w:proofErr w:type="spellStart"/>
      <w:r w:rsidR="007F4C2E">
        <w:t>sorafenib</w:t>
      </w:r>
      <w:proofErr w:type="spellEnd"/>
      <w:r w:rsidR="007F4C2E">
        <w:t>.</w:t>
      </w:r>
    </w:p>
    <w:p w:rsidR="009A28C2" w:rsidRPr="00137B22" w:rsidRDefault="009A28C2" w:rsidP="00137B22">
      <w:pPr>
        <w:pStyle w:val="PINormal"/>
      </w:pPr>
      <w:proofErr w:type="gramStart"/>
      <w:r w:rsidRPr="00137B22">
        <w:t xml:space="preserve">Monitoring for </w:t>
      </w:r>
      <w:proofErr w:type="spellStart"/>
      <w:r w:rsidRPr="00137B22">
        <w:t>proteinuri</w:t>
      </w:r>
      <w:r w:rsidR="00491F3A">
        <w:t>a</w:t>
      </w:r>
      <w:proofErr w:type="spellEnd"/>
      <w:r w:rsidR="00491F3A">
        <w:t xml:space="preserve"> before initiation of, and periodically throughout,</w:t>
      </w:r>
      <w:r w:rsidRPr="00137B22">
        <w:t xml:space="preserve"> </w:t>
      </w:r>
      <w:r w:rsidR="00491F3A">
        <w:t xml:space="preserve">treatment </w:t>
      </w:r>
      <w:r w:rsidRPr="00137B22">
        <w:t>with INLYTA.</w:t>
      </w:r>
      <w:proofErr w:type="gramEnd"/>
      <w:r w:rsidRPr="00137B22">
        <w:t xml:space="preserve"> For patients who develop moderate to severe </w:t>
      </w:r>
      <w:proofErr w:type="spellStart"/>
      <w:r w:rsidRPr="00137B22">
        <w:t>proteinuria</w:t>
      </w:r>
      <w:proofErr w:type="spellEnd"/>
      <w:r w:rsidRPr="00137B22">
        <w:t xml:space="preserve">, reduce the dose or temporarily interrupt INLYTA </w:t>
      </w:r>
      <w:r w:rsidR="00F22DB6">
        <w:t xml:space="preserve">treatment </w:t>
      </w:r>
      <w:r w:rsidRPr="00137B22">
        <w:t>(See Dosage and Administration).</w:t>
      </w:r>
    </w:p>
    <w:p w:rsidR="003D2ED5" w:rsidRPr="003143EE" w:rsidRDefault="003D2ED5" w:rsidP="003D2ED5">
      <w:pPr>
        <w:pStyle w:val="PIHeading2"/>
        <w:rPr>
          <w:noProof/>
        </w:rPr>
      </w:pPr>
      <w:r>
        <w:rPr>
          <w:noProof/>
        </w:rPr>
        <w:lastRenderedPageBreak/>
        <w:t>Elevation of Liver Enzymes</w:t>
      </w:r>
    </w:p>
    <w:p w:rsidR="00BE0639" w:rsidRPr="007F4C2E" w:rsidRDefault="003D2ED5" w:rsidP="003D2ED5">
      <w:pPr>
        <w:pStyle w:val="PINormal"/>
        <w:rPr>
          <w:rStyle w:val="BlueText"/>
          <w:color w:val="auto"/>
        </w:rPr>
      </w:pPr>
      <w:r w:rsidRPr="003143EE">
        <w:t xml:space="preserve">In a clinical dose-finding study, concurrent elevations of </w:t>
      </w:r>
      <w:proofErr w:type="spellStart"/>
      <w:r w:rsidRPr="00381463">
        <w:t>alanine</w:t>
      </w:r>
      <w:proofErr w:type="spellEnd"/>
      <w:r w:rsidRPr="00381463">
        <w:t xml:space="preserve"> </w:t>
      </w:r>
      <w:proofErr w:type="spellStart"/>
      <w:r w:rsidRPr="00381463">
        <w:t>aminotransferase</w:t>
      </w:r>
      <w:proofErr w:type="spellEnd"/>
      <w:r w:rsidRPr="00381463">
        <w:t xml:space="preserve"> </w:t>
      </w:r>
      <w:r>
        <w:t>(</w:t>
      </w:r>
      <w:r w:rsidRPr="003143EE">
        <w:t>ALT</w:t>
      </w:r>
      <w:r>
        <w:t>)</w:t>
      </w:r>
      <w:r w:rsidRPr="003143EE">
        <w:t xml:space="preserve"> (12 </w:t>
      </w:r>
      <w:r w:rsidR="00861EB1">
        <w:t>times the</w:t>
      </w:r>
      <w:r w:rsidR="00861EB1" w:rsidRPr="003143EE">
        <w:t xml:space="preserve"> </w:t>
      </w:r>
      <w:r w:rsidR="004B64FE">
        <w:t>upper limit of normal [</w:t>
      </w:r>
      <w:r w:rsidRPr="003143EE">
        <w:t>ULN</w:t>
      </w:r>
      <w:r w:rsidR="004B64FE">
        <w:t>]</w:t>
      </w:r>
      <w:r w:rsidRPr="003143EE">
        <w:t xml:space="preserve">) and </w:t>
      </w:r>
      <w:proofErr w:type="spellStart"/>
      <w:r w:rsidRPr="003143EE">
        <w:t>bilirubin</w:t>
      </w:r>
      <w:proofErr w:type="spellEnd"/>
      <w:r w:rsidRPr="003143EE">
        <w:t xml:space="preserve"> (2.3 </w:t>
      </w:r>
      <w:r w:rsidR="00861EB1">
        <w:t>times the</w:t>
      </w:r>
      <w:r w:rsidRPr="003143EE">
        <w:t xml:space="preserve"> ULN), considered to be drug-related </w:t>
      </w:r>
      <w:proofErr w:type="spellStart"/>
      <w:r w:rsidRPr="003143EE">
        <w:t>hepatotoxicity</w:t>
      </w:r>
      <w:proofErr w:type="spellEnd"/>
      <w:r w:rsidRPr="003143EE">
        <w:t>, w</w:t>
      </w:r>
      <w:r>
        <w:t>ere</w:t>
      </w:r>
      <w:r w:rsidRPr="003143EE">
        <w:t xml:space="preserve"> observed in 1 patient who received INLYTA at a starting dose of 20 mg twice daily (4 times </w:t>
      </w:r>
      <w:r>
        <w:t>the recommended starting dose).</w:t>
      </w:r>
      <w:r w:rsidR="00CA5BAB">
        <w:t xml:space="preserve">  </w:t>
      </w:r>
      <w:r w:rsidRPr="003143EE">
        <w:t xml:space="preserve">In a controlled clinical study with INLYTA for the treatment of patients with RCC, no concurrent elevations of ALT (&gt;3 </w:t>
      </w:r>
      <w:r w:rsidR="00861EB1">
        <w:t>times the</w:t>
      </w:r>
      <w:r w:rsidRPr="003143EE">
        <w:t xml:space="preserve"> ULN) and </w:t>
      </w:r>
      <w:proofErr w:type="spellStart"/>
      <w:r w:rsidRPr="003143EE">
        <w:t>bilirubin</w:t>
      </w:r>
      <w:proofErr w:type="spellEnd"/>
      <w:r w:rsidRPr="003143EE">
        <w:t xml:space="preserve"> (&gt;2 </w:t>
      </w:r>
      <w:r w:rsidR="00861EB1">
        <w:t>times the</w:t>
      </w:r>
      <w:r w:rsidRPr="003143EE">
        <w:t xml:space="preserve"> ULN) were observed for INLYT</w:t>
      </w:r>
      <w:r w:rsidR="00EA017F">
        <w:t xml:space="preserve">A (N=359) or </w:t>
      </w:r>
      <w:proofErr w:type="spellStart"/>
      <w:r w:rsidR="00EA017F">
        <w:t>sorafenib</w:t>
      </w:r>
      <w:proofErr w:type="spellEnd"/>
      <w:r w:rsidR="00EA017F">
        <w:t xml:space="preserve"> (N</w:t>
      </w:r>
      <w:r>
        <w:t>=355).</w:t>
      </w:r>
    </w:p>
    <w:p w:rsidR="003D2ED5" w:rsidRPr="003143EE" w:rsidRDefault="003D2ED5" w:rsidP="003D2ED5">
      <w:pPr>
        <w:pStyle w:val="PINormal"/>
      </w:pPr>
      <w:r w:rsidRPr="003143EE">
        <w:t>Monitor liver function tests before initiation of</w:t>
      </w:r>
      <w:r w:rsidR="00C90177">
        <w:t>, and periodically throughout,</w:t>
      </w:r>
      <w:r w:rsidRPr="003143EE">
        <w:t xml:space="preserve"> treatment with INLYTA.</w:t>
      </w:r>
    </w:p>
    <w:p w:rsidR="001D7DA0" w:rsidRDefault="001D7DA0" w:rsidP="001D7DA0">
      <w:pPr>
        <w:pStyle w:val="PIHeading2"/>
      </w:pPr>
      <w:r>
        <w:t>Use in Hepatic Impairment</w:t>
      </w:r>
    </w:p>
    <w:p w:rsidR="006B68AA" w:rsidRDefault="006B68AA" w:rsidP="00137B22">
      <w:pPr>
        <w:pStyle w:val="PINormal"/>
      </w:pPr>
      <w:r w:rsidRPr="00FC184D">
        <w:t xml:space="preserve">In clinical studies with </w:t>
      </w:r>
      <w:r w:rsidR="00015E9E">
        <w:t>INLYTA, the systemic exposure to</w:t>
      </w:r>
      <w:r w:rsidRPr="00FC184D">
        <w:t xml:space="preserve"> INLYTA was approximately 2-fold higher in subjects with moderate hepatic impairment (Child-Pugh </w:t>
      </w:r>
      <w:r>
        <w:t>c</w:t>
      </w:r>
      <w:r w:rsidRPr="00FC184D">
        <w:t>lass B) compared to subjects with normal hepatic function</w:t>
      </w:r>
      <w:r w:rsidR="00BE0639">
        <w:t xml:space="preserve">.  </w:t>
      </w:r>
      <w:r w:rsidR="00015E9E">
        <w:t>A dose decrease is recommended when administering</w:t>
      </w:r>
      <w:r w:rsidRPr="00FC184D">
        <w:t xml:space="preserve"> INLYTA </w:t>
      </w:r>
      <w:r w:rsidR="00015E9E">
        <w:t>to patients</w:t>
      </w:r>
      <w:r w:rsidRPr="00FC184D">
        <w:t xml:space="preserve"> with moderate hepatic impairment</w:t>
      </w:r>
      <w:r w:rsidR="00015E9E">
        <w:t xml:space="preserve"> (Child-Pugh class B)</w:t>
      </w:r>
      <w:r>
        <w:t xml:space="preserve"> (see Pharmacokinetics)</w:t>
      </w:r>
      <w:r w:rsidRPr="00FC184D">
        <w:t>.</w:t>
      </w:r>
    </w:p>
    <w:p w:rsidR="006B68AA" w:rsidRDefault="006B68AA" w:rsidP="00137B22">
      <w:pPr>
        <w:pStyle w:val="PINormal"/>
      </w:pPr>
      <w:r w:rsidRPr="00FC184D">
        <w:t>INLYTA has not been studied in patients with severe hepatic impairment (Child</w:t>
      </w:r>
      <w:r w:rsidR="007F4C2E">
        <w:t>-Pugh class C).</w:t>
      </w:r>
    </w:p>
    <w:p w:rsidR="001C1D2D" w:rsidRDefault="001C1D2D" w:rsidP="001C1D2D">
      <w:pPr>
        <w:pStyle w:val="Heading2"/>
      </w:pPr>
      <w:r>
        <w:t>Use in Renal Impairment</w:t>
      </w:r>
    </w:p>
    <w:p w:rsidR="001C1D2D" w:rsidRPr="001C1D2D" w:rsidRDefault="000021E2" w:rsidP="001C1D2D">
      <w:pPr>
        <w:pStyle w:val="PINormal"/>
      </w:pPr>
      <w:r>
        <w:t xml:space="preserve">A dedicated renal impairment trial for </w:t>
      </w:r>
      <w:proofErr w:type="spellStart"/>
      <w:r>
        <w:t>axitinib</w:t>
      </w:r>
      <w:proofErr w:type="spellEnd"/>
      <w:r>
        <w:t xml:space="preserve"> has not been conducted.  Based on the population pharmacokinetic analyses, no significant difference in </w:t>
      </w:r>
      <w:proofErr w:type="spellStart"/>
      <w:r>
        <w:t>axitinib</w:t>
      </w:r>
      <w:proofErr w:type="spellEnd"/>
      <w:r>
        <w:t xml:space="preserve"> clearance was observed in patients with mild to severe renal impair</w:t>
      </w:r>
      <w:r w:rsidR="00DC73BC">
        <w:t>ment (</w:t>
      </w:r>
      <w:proofErr w:type="spellStart"/>
      <w:r w:rsidR="00DC73BC">
        <w:t>creatinine</w:t>
      </w:r>
      <w:proofErr w:type="spellEnd"/>
      <w:r w:rsidR="00DC73BC">
        <w:t xml:space="preserve"> clearance [</w:t>
      </w:r>
      <w:proofErr w:type="spellStart"/>
      <w:r w:rsidR="00DC73BC">
        <w:t>CrCL</w:t>
      </w:r>
      <w:proofErr w:type="spellEnd"/>
      <w:r w:rsidR="00DC73BC">
        <w:t>]</w:t>
      </w:r>
      <w:r>
        <w:t xml:space="preserve"> from 15 to 89 </w:t>
      </w:r>
      <w:proofErr w:type="spellStart"/>
      <w:r>
        <w:t>mL</w:t>
      </w:r>
      <w:proofErr w:type="spellEnd"/>
      <w:r>
        <w:t>/min).  No dose adjustment is needed for patients with mild to severe renal impairment.  Caution should be used in patients with end-stage renal disease (</w:t>
      </w:r>
      <w:proofErr w:type="spellStart"/>
      <w:r>
        <w:t>CrCL</w:t>
      </w:r>
      <w:proofErr w:type="spellEnd"/>
      <w:r>
        <w:t xml:space="preserve"> &lt;15 </w:t>
      </w:r>
      <w:proofErr w:type="spellStart"/>
      <w:r>
        <w:t>mL</w:t>
      </w:r>
      <w:proofErr w:type="spellEnd"/>
      <w:r>
        <w:t>/min).</w:t>
      </w:r>
    </w:p>
    <w:p w:rsidR="004B4B77" w:rsidRPr="002A595F" w:rsidRDefault="004B4B77" w:rsidP="001D7DA0">
      <w:pPr>
        <w:pStyle w:val="PIHeading2"/>
        <w:rPr>
          <w:noProof/>
        </w:rPr>
      </w:pPr>
      <w:r w:rsidRPr="002A595F">
        <w:rPr>
          <w:noProof/>
        </w:rPr>
        <w:t>Lactose</w:t>
      </w:r>
    </w:p>
    <w:p w:rsidR="00FB61E9" w:rsidRDefault="00015E9E" w:rsidP="001D7DA0">
      <w:pPr>
        <w:pStyle w:val="PINormal"/>
      </w:pPr>
      <w:r>
        <w:t>This medicinal product contains</w:t>
      </w:r>
      <w:r w:rsidR="004B4B77" w:rsidRPr="002A595F">
        <w:t xml:space="preserve"> lactose. Patients with rare hereditary problems of</w:t>
      </w:r>
      <w:r w:rsidR="004B4B77" w:rsidRPr="002A595F">
        <w:rPr>
          <w:rFonts w:ascii="Arial" w:hAnsi="Arial" w:cs="Arial"/>
          <w:szCs w:val="24"/>
          <w:lang w:eastAsia="zh-TW"/>
        </w:rPr>
        <w:t xml:space="preserve"> </w:t>
      </w:r>
      <w:proofErr w:type="spellStart"/>
      <w:r>
        <w:t>galactose</w:t>
      </w:r>
      <w:proofErr w:type="spellEnd"/>
      <w:r>
        <w:t xml:space="preserve"> intolerance, </w:t>
      </w:r>
      <w:r w:rsidR="004B4B77" w:rsidRPr="002A595F">
        <w:t>Lapp lactase deficiency or glucose-</w:t>
      </w:r>
      <w:proofErr w:type="spellStart"/>
      <w:r w:rsidR="004B4B77" w:rsidRPr="002A595F">
        <w:t>galactose</w:t>
      </w:r>
      <w:proofErr w:type="spellEnd"/>
      <w:r w:rsidR="004B4B77" w:rsidRPr="002A595F">
        <w:t xml:space="preserve"> </w:t>
      </w:r>
      <w:proofErr w:type="spellStart"/>
      <w:r w:rsidR="004B4B77" w:rsidRPr="002A595F">
        <w:t>malabsorption</w:t>
      </w:r>
      <w:proofErr w:type="spellEnd"/>
      <w:r w:rsidR="004B4B77" w:rsidRPr="002A595F">
        <w:t xml:space="preserve"> should not take </w:t>
      </w:r>
      <w:r>
        <w:t>this medicinal product</w:t>
      </w:r>
      <w:r w:rsidR="004B4B77" w:rsidRPr="002A595F">
        <w:t>.</w:t>
      </w:r>
    </w:p>
    <w:p w:rsidR="00FB61E9" w:rsidRDefault="00FB61E9" w:rsidP="00FB61E9">
      <w:pPr>
        <w:pStyle w:val="PIHeading2"/>
      </w:pPr>
      <w:r>
        <w:t xml:space="preserve">Effects on </w:t>
      </w:r>
      <w:r w:rsidR="00D80A3E">
        <w:t>F</w:t>
      </w:r>
      <w:r>
        <w:t>ertility</w:t>
      </w:r>
    </w:p>
    <w:p w:rsidR="00FB61E9" w:rsidRDefault="00D80A3E" w:rsidP="00FB61E9">
      <w:pPr>
        <w:pStyle w:val="PINormal"/>
      </w:pPr>
      <w:r>
        <w:t>INLYTA</w:t>
      </w:r>
      <w:r w:rsidR="00FB61E9">
        <w:t xml:space="preserve"> has the potential to impair reproductive function and fertility in humans.  Findings in the male reproductive tract were observed in the testes/</w:t>
      </w:r>
      <w:proofErr w:type="spellStart"/>
      <w:r w:rsidR="00FB61E9">
        <w:t>epididymis</w:t>
      </w:r>
      <w:proofErr w:type="spellEnd"/>
      <w:r w:rsidR="00FB61E9">
        <w:t xml:space="preserve"> (decreased organ weight, atrophy or degeneration, decreased numbers of germinal cells, </w:t>
      </w:r>
      <w:proofErr w:type="spellStart"/>
      <w:r w:rsidR="00FB61E9">
        <w:t>hypospermia</w:t>
      </w:r>
      <w:proofErr w:type="spellEnd"/>
      <w:r w:rsidR="00FB61E9">
        <w:t xml:space="preserve"> or abnormal sperm forms) in mice and dogs.  </w:t>
      </w:r>
      <w:proofErr w:type="spellStart"/>
      <w:r w:rsidR="00FB61E9">
        <w:t>Axitinib</w:t>
      </w:r>
      <w:proofErr w:type="spellEnd"/>
      <w:r w:rsidR="00FB61E9">
        <w:t xml:space="preserve"> did not affect mating or fertility in male mice at any dose tested up to 100 mg/kg/day.  However, reduced testicular weights, sperm density and/or count were noted at </w:t>
      </w:r>
      <w:r w:rsidR="00FB61E9" w:rsidRPr="00381463">
        <w:t>≥</w:t>
      </w:r>
      <w:r w:rsidR="00DC4119">
        <w:t xml:space="preserve"> </w:t>
      </w:r>
      <w:r w:rsidR="00FB61E9">
        <w:t>10 mg/kg/day (approximately 4</w:t>
      </w:r>
      <w:r w:rsidR="00C50D15">
        <w:t xml:space="preserve"> </w:t>
      </w:r>
      <w:r w:rsidR="00FB61E9">
        <w:t xml:space="preserve">times the AUC at the recommended starting dose in humans) following at least 70 days of treatment with </w:t>
      </w:r>
      <w:proofErr w:type="spellStart"/>
      <w:r w:rsidR="00FB61E9">
        <w:t>axitinib</w:t>
      </w:r>
      <w:proofErr w:type="spellEnd"/>
      <w:r w:rsidR="00FB61E9">
        <w:t xml:space="preserve">.  Male reproductive toxicity was evident in the dog at </w:t>
      </w:r>
      <w:r w:rsidR="00FB61E9" w:rsidRPr="00381463">
        <w:t>≥</w:t>
      </w:r>
      <w:r w:rsidR="00DC4119">
        <w:t xml:space="preserve"> </w:t>
      </w:r>
      <w:r w:rsidR="00FB61E9">
        <w:t>3 mg/kg/day, 0.</w:t>
      </w:r>
      <w:r w:rsidR="001C1D2D">
        <w:t>2</w:t>
      </w:r>
      <w:r w:rsidR="00FB61E9">
        <w:t xml:space="preserve"> times the AUC at the recommended starting dose in humans.</w:t>
      </w:r>
    </w:p>
    <w:p w:rsidR="00342D6F" w:rsidRDefault="00FB61E9" w:rsidP="00342D6F">
      <w:pPr>
        <w:pStyle w:val="PINormal"/>
      </w:pPr>
      <w:r>
        <w:t xml:space="preserve">Findings in the female reproductive tract in mice and dogs included signs of delayed sexual maturity, reduced or absent corpora </w:t>
      </w:r>
      <w:proofErr w:type="spellStart"/>
      <w:r>
        <w:t>lutea</w:t>
      </w:r>
      <w:proofErr w:type="spellEnd"/>
      <w:r>
        <w:t xml:space="preserve">, decreased uterine weights and uterine atrophy.  In </w:t>
      </w:r>
      <w:r>
        <w:lastRenderedPageBreak/>
        <w:t>female mice, reduced fertility and embryonic viability were observed at all doses tested (</w:t>
      </w:r>
      <w:r w:rsidRPr="00381463">
        <w:t>≥</w:t>
      </w:r>
      <w:r w:rsidR="00DC4119">
        <w:t xml:space="preserve"> </w:t>
      </w:r>
      <w:r>
        <w:t xml:space="preserve">30 mg/kg/day) following at least 15 days of treatment with </w:t>
      </w:r>
      <w:proofErr w:type="spellStart"/>
      <w:r>
        <w:t>axitinib</w:t>
      </w:r>
      <w:proofErr w:type="spellEnd"/>
      <w:r>
        <w:t xml:space="preserve"> (approximately 11 times the AUC at the recommended starting dose in humans).  Female reproductive toxicity in the dog was observed at </w:t>
      </w:r>
      <w:r w:rsidRPr="00381463">
        <w:t>≥</w:t>
      </w:r>
      <w:r w:rsidR="00DC4119">
        <w:t xml:space="preserve"> </w:t>
      </w:r>
      <w:r>
        <w:t>10 mg/kg/day</w:t>
      </w:r>
      <w:r w:rsidR="007F4C2E">
        <w:t>.</w:t>
      </w:r>
    </w:p>
    <w:p w:rsidR="00D91167" w:rsidRPr="00531D4E" w:rsidRDefault="002162E9" w:rsidP="0083014E">
      <w:pPr>
        <w:pStyle w:val="PIHeading2"/>
      </w:pPr>
      <w:r>
        <w:t xml:space="preserve">Use in </w:t>
      </w:r>
      <w:proofErr w:type="gramStart"/>
      <w:r>
        <w:t>Pregnancy</w:t>
      </w:r>
      <w:r w:rsidR="0062681D">
        <w:t xml:space="preserve">  </w:t>
      </w:r>
      <w:r w:rsidRPr="0083014E">
        <w:rPr>
          <w:b w:val="0"/>
        </w:rPr>
        <w:t>Category</w:t>
      </w:r>
      <w:proofErr w:type="gramEnd"/>
      <w:r w:rsidRPr="0083014E">
        <w:rPr>
          <w:b w:val="0"/>
        </w:rPr>
        <w:t xml:space="preserve"> </w:t>
      </w:r>
      <w:r w:rsidR="00BC17DA">
        <w:rPr>
          <w:b w:val="0"/>
        </w:rPr>
        <w:t>D</w:t>
      </w:r>
    </w:p>
    <w:p w:rsidR="00DD6640" w:rsidRPr="007F4C2E" w:rsidRDefault="001C57C6" w:rsidP="00BC17DA">
      <w:pPr>
        <w:pStyle w:val="PINormal"/>
      </w:pPr>
      <w:r>
        <w:t xml:space="preserve">There are no studies in pregnant women using </w:t>
      </w:r>
      <w:r w:rsidR="00E215FF">
        <w:t>INLYTA</w:t>
      </w:r>
      <w:r>
        <w:t xml:space="preserve">.  As angiogenesis is a critical component of embryonic and </w:t>
      </w:r>
      <w:proofErr w:type="spellStart"/>
      <w:r>
        <w:t>fetal</w:t>
      </w:r>
      <w:proofErr w:type="spellEnd"/>
      <w:r>
        <w:t xml:space="preserve"> development, </w:t>
      </w:r>
      <w:r w:rsidR="00BC17DA" w:rsidRPr="002A595F">
        <w:t xml:space="preserve">INLYTA may cause </w:t>
      </w:r>
      <w:proofErr w:type="spellStart"/>
      <w:r w:rsidR="00BC17DA" w:rsidRPr="002A595F">
        <w:t>fetal</w:t>
      </w:r>
      <w:proofErr w:type="spellEnd"/>
      <w:r w:rsidR="00BC17DA" w:rsidRPr="002A595F">
        <w:t xml:space="preserve"> harm </w:t>
      </w:r>
      <w:r>
        <w:t>if</w:t>
      </w:r>
      <w:r w:rsidR="00BC17DA" w:rsidRPr="002A595F">
        <w:t xml:space="preserve"> administered to a pregnant woman. </w:t>
      </w:r>
      <w:proofErr w:type="spellStart"/>
      <w:r>
        <w:t>Axitinib</w:t>
      </w:r>
      <w:proofErr w:type="spellEnd"/>
      <w:r>
        <w:t xml:space="preserve"> has been shown to be </w:t>
      </w:r>
      <w:proofErr w:type="spellStart"/>
      <w:r>
        <w:t>embryotoxic</w:t>
      </w:r>
      <w:proofErr w:type="spellEnd"/>
      <w:r>
        <w:t xml:space="preserve"> and </w:t>
      </w:r>
      <w:proofErr w:type="spellStart"/>
      <w:r>
        <w:t>teratogenic</w:t>
      </w:r>
      <w:proofErr w:type="spellEnd"/>
      <w:r>
        <w:t xml:space="preserve"> when administered to mice and rabbits at exposures similar</w:t>
      </w:r>
      <w:r w:rsidR="007F4C2E">
        <w:t xml:space="preserve"> to or below clinical exposure.</w:t>
      </w:r>
    </w:p>
    <w:p w:rsidR="001C57C6" w:rsidRPr="001C57C6" w:rsidRDefault="00A74A36" w:rsidP="00BC17DA">
      <w:pPr>
        <w:pStyle w:val="PINormal"/>
        <w:rPr>
          <w:rStyle w:val="BlueText"/>
          <w:color w:val="auto"/>
        </w:rPr>
      </w:pPr>
      <w:r>
        <w:rPr>
          <w:rStyle w:val="BlueText"/>
          <w:color w:val="auto"/>
        </w:rPr>
        <w:t xml:space="preserve">An increase in post-implantation loss and reduced embryonic survival was observed in female mice exposed to </w:t>
      </w:r>
      <w:proofErr w:type="spellStart"/>
      <w:r>
        <w:rPr>
          <w:rStyle w:val="BlueText"/>
          <w:color w:val="auto"/>
        </w:rPr>
        <w:t>axitinib</w:t>
      </w:r>
      <w:proofErr w:type="spellEnd"/>
      <w:r>
        <w:rPr>
          <w:rStyle w:val="BlueText"/>
          <w:color w:val="auto"/>
        </w:rPr>
        <w:t xml:space="preserve"> (30 mg/kg/day, or 11 times the AUC at the recommended starting dose in humans) prior to mating and through the first week of pregnancy.  </w:t>
      </w:r>
      <w:r w:rsidR="001C57C6">
        <w:rPr>
          <w:rStyle w:val="BlueText"/>
          <w:color w:val="auto"/>
        </w:rPr>
        <w:t xml:space="preserve">Pregnant mice exposed to </w:t>
      </w:r>
      <w:proofErr w:type="spellStart"/>
      <w:r w:rsidR="001C57C6">
        <w:rPr>
          <w:rStyle w:val="BlueText"/>
          <w:color w:val="auto"/>
        </w:rPr>
        <w:t>axitinib</w:t>
      </w:r>
      <w:proofErr w:type="spellEnd"/>
      <w:r w:rsidR="001C57C6">
        <w:rPr>
          <w:rStyle w:val="BlueText"/>
          <w:color w:val="auto"/>
        </w:rPr>
        <w:t xml:space="preserve"> showed an increased occurrence of cleft palate </w:t>
      </w:r>
      <w:r w:rsidR="0018263E">
        <w:rPr>
          <w:rStyle w:val="BlueText"/>
          <w:color w:val="auto"/>
        </w:rPr>
        <w:t xml:space="preserve">at an oral dose level of 3 mg/kg/day (approximately half the AUC at the recommended starting dose in humans) </w:t>
      </w:r>
      <w:r w:rsidR="001C57C6">
        <w:rPr>
          <w:rStyle w:val="BlueText"/>
          <w:color w:val="auto"/>
        </w:rPr>
        <w:t>and common variations in skeletal ossification</w:t>
      </w:r>
      <w:r w:rsidR="0018263E">
        <w:rPr>
          <w:rStyle w:val="BlueText"/>
          <w:color w:val="auto"/>
        </w:rPr>
        <w:t xml:space="preserve"> at ≥</w:t>
      </w:r>
      <w:r w:rsidR="001C57C6">
        <w:rPr>
          <w:rStyle w:val="BlueText"/>
          <w:color w:val="auto"/>
        </w:rPr>
        <w:t xml:space="preserve">1 mg/kg/day (approximately </w:t>
      </w:r>
      <w:r w:rsidR="00522830">
        <w:rPr>
          <w:rStyle w:val="BlueText"/>
          <w:color w:val="auto"/>
        </w:rPr>
        <w:t xml:space="preserve">0.15 times </w:t>
      </w:r>
      <w:r w:rsidR="001C57C6">
        <w:rPr>
          <w:rStyle w:val="BlueText"/>
          <w:color w:val="auto"/>
        </w:rPr>
        <w:t>the AUC at the recommended starting dose in humans).</w:t>
      </w:r>
      <w:r w:rsidR="00222CFC">
        <w:rPr>
          <w:rStyle w:val="BlueText"/>
          <w:color w:val="auto"/>
        </w:rPr>
        <w:t xml:space="preserve">  </w:t>
      </w:r>
      <w:r w:rsidR="00522830">
        <w:rPr>
          <w:rStyle w:val="BlueText"/>
          <w:color w:val="auto"/>
        </w:rPr>
        <w:t xml:space="preserve">Limited investigations in rabbits </w:t>
      </w:r>
      <w:r w:rsidR="005D7206">
        <w:rPr>
          <w:rStyle w:val="BlueText"/>
          <w:color w:val="auto"/>
        </w:rPr>
        <w:t>showed</w:t>
      </w:r>
      <w:r w:rsidR="00522830">
        <w:rPr>
          <w:rStyle w:val="BlueText"/>
          <w:color w:val="auto"/>
        </w:rPr>
        <w:t xml:space="preserve"> high embryo and </w:t>
      </w:r>
      <w:proofErr w:type="spellStart"/>
      <w:r w:rsidR="00522830">
        <w:rPr>
          <w:rStyle w:val="BlueText"/>
          <w:color w:val="auto"/>
        </w:rPr>
        <w:t>fetal</w:t>
      </w:r>
      <w:proofErr w:type="spellEnd"/>
      <w:r w:rsidR="00522830">
        <w:rPr>
          <w:rStyle w:val="BlueText"/>
          <w:color w:val="auto"/>
        </w:rPr>
        <w:t xml:space="preserve"> loss at exposures considerably lower than the recommended clinical dose.</w:t>
      </w:r>
    </w:p>
    <w:p w:rsidR="00342D6F" w:rsidRDefault="00475D18" w:rsidP="00342D6F">
      <w:pPr>
        <w:pStyle w:val="PINormal"/>
        <w:rPr>
          <w:lang w:val="en-GB"/>
        </w:rPr>
      </w:pPr>
      <w:r>
        <w:rPr>
          <w:lang w:val="en-GB"/>
        </w:rPr>
        <w:t xml:space="preserve">INLYTA should not be used during pregnancy. </w:t>
      </w:r>
      <w:r w:rsidR="00BC17DA" w:rsidRPr="002A595F">
        <w:rPr>
          <w:lang w:val="en-GB"/>
        </w:rPr>
        <w:t xml:space="preserve"> </w:t>
      </w:r>
      <w:r w:rsidR="00DD6640" w:rsidRPr="00066F8E">
        <w:t xml:space="preserve">Women of childbearing potential </w:t>
      </w:r>
      <w:r>
        <w:t>must</w:t>
      </w:r>
      <w:r w:rsidRPr="00066F8E">
        <w:t xml:space="preserve"> </w:t>
      </w:r>
      <w:r w:rsidR="00DD6640" w:rsidRPr="00066F8E">
        <w:t>be advised to avoid becoming pregnant while receiving</w:t>
      </w:r>
      <w:r>
        <w:t xml:space="preserve"> treatment with</w:t>
      </w:r>
      <w:r w:rsidR="00DD6640">
        <w:t xml:space="preserve"> </w:t>
      </w:r>
      <w:r w:rsidR="00DD6640" w:rsidRPr="002E7119">
        <w:rPr>
          <w:iCs/>
        </w:rPr>
        <w:t>INLYTA</w:t>
      </w:r>
      <w:r w:rsidR="00DD6640">
        <w:t>.</w:t>
      </w:r>
      <w:r>
        <w:t xml:space="preserve">  </w:t>
      </w:r>
      <w:r w:rsidR="00C544C8" w:rsidRPr="002A595F">
        <w:rPr>
          <w:lang w:val="en-GB"/>
        </w:rPr>
        <w:t xml:space="preserve">If this drug is used during pregnancy, or if the patient becomes pregnant while receiving this drug, the patient should be apprised of the potential hazard to the </w:t>
      </w:r>
      <w:proofErr w:type="spellStart"/>
      <w:r w:rsidR="00C544C8" w:rsidRPr="002A595F">
        <w:rPr>
          <w:lang w:val="en-GB"/>
        </w:rPr>
        <w:t>fetus</w:t>
      </w:r>
      <w:proofErr w:type="spellEnd"/>
      <w:r w:rsidR="00C544C8" w:rsidRPr="002A595F">
        <w:rPr>
          <w:lang w:val="en-GB"/>
        </w:rPr>
        <w:t>.</w:t>
      </w:r>
      <w:r>
        <w:rPr>
          <w:lang w:val="en-GB"/>
        </w:rPr>
        <w:t xml:space="preserve">  Adequate contraception should be used during therapy and for at least 4 weeks after completion of therapy.</w:t>
      </w:r>
    </w:p>
    <w:p w:rsidR="002162E9" w:rsidRDefault="002162E9" w:rsidP="0083014E">
      <w:pPr>
        <w:pStyle w:val="PIHeading2"/>
      </w:pPr>
      <w:r>
        <w:t>Use in Lactation</w:t>
      </w:r>
    </w:p>
    <w:p w:rsidR="00932EB8" w:rsidRDefault="00303D4D" w:rsidP="00932EB8">
      <w:pPr>
        <w:pStyle w:val="PINormal"/>
      </w:pPr>
      <w:r>
        <w:t xml:space="preserve">No studies have been conducted in humans to assess the effect of </w:t>
      </w:r>
      <w:proofErr w:type="spellStart"/>
      <w:r>
        <w:t>axitinib</w:t>
      </w:r>
      <w:proofErr w:type="spellEnd"/>
      <w:r>
        <w:t xml:space="preserve"> on milk production, its presence in breast milk, or its effects of the breast-fed child. It is unknown whether </w:t>
      </w:r>
      <w:proofErr w:type="spellStart"/>
      <w:r>
        <w:t>axitinib</w:t>
      </w:r>
      <w:proofErr w:type="spellEnd"/>
      <w:r>
        <w:t xml:space="preserve"> is excreted in human milk.  Since many drugs are commonly excreted in human milk, and because of the potential for serious adverse reactions in nursing infants due to exposure to </w:t>
      </w:r>
      <w:proofErr w:type="spellStart"/>
      <w:r>
        <w:t>axitinib</w:t>
      </w:r>
      <w:proofErr w:type="spellEnd"/>
      <w:r>
        <w:t xml:space="preserve">, </w:t>
      </w:r>
      <w:r w:rsidR="004B46C6">
        <w:t>women should</w:t>
      </w:r>
      <w:r w:rsidR="00222CFC">
        <w:t xml:space="preserve"> discontinue breastfeeding during treatment with </w:t>
      </w:r>
      <w:proofErr w:type="spellStart"/>
      <w:r w:rsidR="00222CFC">
        <w:t>axitinib</w:t>
      </w:r>
      <w:proofErr w:type="spellEnd"/>
      <w:r w:rsidR="007F4C2E">
        <w:t>.</w:t>
      </w:r>
    </w:p>
    <w:p w:rsidR="00B041F6" w:rsidRPr="009F092C" w:rsidRDefault="00B041F6" w:rsidP="0083014E">
      <w:pPr>
        <w:pStyle w:val="PIHeading2"/>
      </w:pPr>
      <w:r w:rsidRPr="009F092C">
        <w:t>Paediatric Use</w:t>
      </w:r>
    </w:p>
    <w:p w:rsidR="00BB5501" w:rsidRPr="007F4C2E" w:rsidRDefault="00BB5501" w:rsidP="00BB5501">
      <w:pPr>
        <w:rPr>
          <w:rStyle w:val="BlueText"/>
          <w:color w:val="auto"/>
        </w:rPr>
      </w:pPr>
      <w:r>
        <w:t xml:space="preserve">The safety and efficacy of INLYTA in </w:t>
      </w:r>
      <w:r w:rsidR="008E429A">
        <w:t xml:space="preserve">children and adolescents (&lt;18 years) </w:t>
      </w:r>
      <w:r>
        <w:t>have not been studied.</w:t>
      </w:r>
      <w:r w:rsidR="00197915">
        <w:t xml:space="preserve">  </w:t>
      </w:r>
      <w:proofErr w:type="spellStart"/>
      <w:r w:rsidR="00197915">
        <w:t>Physeal</w:t>
      </w:r>
      <w:proofErr w:type="spellEnd"/>
      <w:r w:rsidR="00197915">
        <w:t xml:space="preserve"> dysplasia was observed in immature mice and dogs given </w:t>
      </w:r>
      <w:proofErr w:type="spellStart"/>
      <w:r w:rsidR="00197915">
        <w:t>axitinib</w:t>
      </w:r>
      <w:proofErr w:type="spellEnd"/>
      <w:r w:rsidR="00197915">
        <w:t xml:space="preserve"> at doses ≥30 mg/kg/day for at least 1 month</w:t>
      </w:r>
      <w:r w:rsidR="00E215FF">
        <w:t xml:space="preserve"> </w:t>
      </w:r>
      <w:r w:rsidR="00E215FF" w:rsidRPr="0015652D">
        <w:t xml:space="preserve">(approximately </w:t>
      </w:r>
      <w:r w:rsidR="005D7206">
        <w:t xml:space="preserve">6 </w:t>
      </w:r>
      <w:r w:rsidR="00E215FF" w:rsidRPr="0015652D">
        <w:t xml:space="preserve">times the </w:t>
      </w:r>
      <w:r w:rsidR="00E215FF">
        <w:t>AUC at the recommended starting dose in humans</w:t>
      </w:r>
      <w:r w:rsidR="00E215FF" w:rsidRPr="0015652D">
        <w:t>)</w:t>
      </w:r>
      <w:r w:rsidR="00197915">
        <w:t xml:space="preserve">; the incidence and severity was dose-related and the effects were reversible when treatment stopped.  Dental caries were observed in mice treated for more than 1 month at </w:t>
      </w:r>
      <w:proofErr w:type="spellStart"/>
      <w:r w:rsidR="00197915">
        <w:t>axitinib</w:t>
      </w:r>
      <w:proofErr w:type="spellEnd"/>
      <w:r w:rsidR="00197915">
        <w:t xml:space="preserve"> doses ≥10 mg/kg/day</w:t>
      </w:r>
      <w:r>
        <w:t xml:space="preserve"> </w:t>
      </w:r>
      <w:r w:rsidR="00ED3EC5">
        <w:t xml:space="preserve">(approximately </w:t>
      </w:r>
      <w:r w:rsidR="005D7206">
        <w:t>2</w:t>
      </w:r>
      <w:r w:rsidR="00ED3EC5">
        <w:t xml:space="preserve"> times the AUC at the recommended starting dose in humans); residual findings, indicative of partial reversibility, were observed when treatment stopped.  For </w:t>
      </w:r>
      <w:proofErr w:type="spellStart"/>
      <w:r w:rsidR="00ED3EC5">
        <w:t>physeal</w:t>
      </w:r>
      <w:proofErr w:type="spellEnd"/>
      <w:r w:rsidR="00ED3EC5">
        <w:t xml:space="preserve"> dysplasia, no effect levels of 10 mg/kg/day in mouse (approximately </w:t>
      </w:r>
      <w:r w:rsidR="005D7206">
        <w:t>1.4</w:t>
      </w:r>
      <w:r w:rsidR="00ED3EC5">
        <w:t xml:space="preserve"> times the AUC at the recommended starting dose in humans) and 10 mg/kg/day in dogs were determined in animals given </w:t>
      </w:r>
      <w:proofErr w:type="spellStart"/>
      <w:r w:rsidR="00ED3EC5">
        <w:t>axitinib</w:t>
      </w:r>
      <w:proofErr w:type="spellEnd"/>
      <w:r w:rsidR="00ED3EC5">
        <w:t xml:space="preserve"> for 1 month.  </w:t>
      </w:r>
      <w:proofErr w:type="gramStart"/>
      <w:r w:rsidR="00ED3EC5">
        <w:t>A no effect level was not defined for caries of the incisors in mice.</w:t>
      </w:r>
      <w:proofErr w:type="gramEnd"/>
      <w:r w:rsidR="00ED3EC5">
        <w:t xml:space="preserve">  Other toxicities of potential concern to paediatric patients have not been evaluated in juvenile animals.</w:t>
      </w:r>
    </w:p>
    <w:p w:rsidR="002162E9" w:rsidRDefault="002162E9" w:rsidP="0083014E">
      <w:pPr>
        <w:pStyle w:val="PIHeading2"/>
      </w:pPr>
      <w:r>
        <w:lastRenderedPageBreak/>
        <w:t>Use in the Elderly</w:t>
      </w:r>
    </w:p>
    <w:p w:rsidR="00A25532" w:rsidRPr="007F4C2E" w:rsidRDefault="00A25532" w:rsidP="00A25532">
      <w:pPr>
        <w:pStyle w:val="PINormal"/>
        <w:rPr>
          <w:rStyle w:val="BlueText"/>
          <w:color w:val="auto"/>
        </w:rPr>
      </w:pPr>
      <w:r w:rsidRPr="00E03F1F">
        <w:t xml:space="preserve">In a controlled clinical study with INLYTA for the treatment of patients with RCC, </w:t>
      </w:r>
      <w:r w:rsidR="00D537FC">
        <w:t>34</w:t>
      </w:r>
      <w:r w:rsidR="008A2316">
        <w:t>.3</w:t>
      </w:r>
      <w:r w:rsidR="00D537FC">
        <w:t>%</w:t>
      </w:r>
      <w:r w:rsidRPr="00E03F1F">
        <w:t xml:space="preserve"> of patients treated with INLYTA were ≥65 years of age.</w:t>
      </w:r>
      <w:r w:rsidR="00BE0639">
        <w:t xml:space="preserve"> </w:t>
      </w:r>
      <w:r w:rsidRPr="00E03F1F">
        <w:t xml:space="preserve"> Although greater sensitivity in some older individuals cannot be ruled out, no overall differences were observed in the safety and effectiveness of INLYTA between patients who were ≥65 years of age and younger.</w:t>
      </w:r>
    </w:p>
    <w:p w:rsidR="00A25532" w:rsidRDefault="00A25532" w:rsidP="00A25532">
      <w:pPr>
        <w:pStyle w:val="PINormal"/>
      </w:pPr>
      <w:r w:rsidRPr="00E03F1F">
        <w:t>No dosage adjustment is required in elderly patients</w:t>
      </w:r>
      <w:r>
        <w:t xml:space="preserve"> (see Pharmacokinetics).</w:t>
      </w:r>
    </w:p>
    <w:p w:rsidR="001C57C6" w:rsidRDefault="001C57C6" w:rsidP="00236673">
      <w:pPr>
        <w:pStyle w:val="PIHeading2"/>
      </w:pPr>
      <w:proofErr w:type="spellStart"/>
      <w:r>
        <w:t>Genotoxicity</w:t>
      </w:r>
      <w:proofErr w:type="spellEnd"/>
    </w:p>
    <w:p w:rsidR="00342D6F" w:rsidRPr="007F4C2E" w:rsidRDefault="001C57C6" w:rsidP="00342D6F">
      <w:pPr>
        <w:pStyle w:val="PINormal"/>
        <w:rPr>
          <w:rStyle w:val="BlueText"/>
          <w:color w:val="auto"/>
        </w:rPr>
      </w:pPr>
      <w:proofErr w:type="spellStart"/>
      <w:r w:rsidRPr="0080554E">
        <w:t>Axitinib</w:t>
      </w:r>
      <w:proofErr w:type="spellEnd"/>
      <w:r w:rsidRPr="0080554E">
        <w:t xml:space="preserve"> was tested using a series of genetic toxicology assays consisting of </w:t>
      </w:r>
      <w:r w:rsidRPr="002E3DEA">
        <w:rPr>
          <w:i/>
        </w:rPr>
        <w:t>in vitro</w:t>
      </w:r>
      <w:r w:rsidRPr="0080554E">
        <w:t xml:space="preserve"> bacterial reverse mutation (Ames), human lymphocyte chromosome aberration, and </w:t>
      </w:r>
      <w:r w:rsidRPr="002E3DEA">
        <w:rPr>
          <w:i/>
        </w:rPr>
        <w:t>in vivo</w:t>
      </w:r>
      <w:r w:rsidRPr="0080554E">
        <w:t xml:space="preserve"> mouse bone marrow micronucleus assays.</w:t>
      </w:r>
      <w:r>
        <w:t xml:space="preserve"> </w:t>
      </w:r>
      <w:r>
        <w:rPr>
          <w:rStyle w:val="BlueText"/>
        </w:rPr>
        <w:t xml:space="preserve"> </w:t>
      </w:r>
      <w:proofErr w:type="spellStart"/>
      <w:r w:rsidRPr="0080554E">
        <w:t>Axitinib</w:t>
      </w:r>
      <w:proofErr w:type="spellEnd"/>
      <w:r w:rsidRPr="0080554E">
        <w:t xml:space="preserve"> was not mutagenic in these assays</w:t>
      </w:r>
      <w:r w:rsidR="00236673">
        <w:t xml:space="preserve">, but induced </w:t>
      </w:r>
      <w:proofErr w:type="spellStart"/>
      <w:r w:rsidR="00236673">
        <w:t>polyplody</w:t>
      </w:r>
      <w:proofErr w:type="spellEnd"/>
      <w:r w:rsidR="00236673">
        <w:t xml:space="preserve"> in human lymphocytes </w:t>
      </w:r>
      <w:r w:rsidR="00236673" w:rsidRPr="002E3DEA">
        <w:rPr>
          <w:i/>
        </w:rPr>
        <w:t>in vitro</w:t>
      </w:r>
      <w:r w:rsidR="00236673">
        <w:rPr>
          <w:i/>
        </w:rPr>
        <w:t>,</w:t>
      </w:r>
      <w:r w:rsidR="00236673">
        <w:t xml:space="preserve"> and was </w:t>
      </w:r>
      <w:proofErr w:type="spellStart"/>
      <w:r w:rsidR="00236673">
        <w:t>aneugenic</w:t>
      </w:r>
      <w:proofErr w:type="spellEnd"/>
      <w:r w:rsidR="00236673">
        <w:t xml:space="preserve"> in the micronucleus assay at exposure levels approximately </w:t>
      </w:r>
      <w:r w:rsidR="00C97867">
        <w:t>154</w:t>
      </w:r>
      <w:r w:rsidR="00236673">
        <w:t xml:space="preserve"> times the recommended starting dose in humans</w:t>
      </w:r>
      <w:r w:rsidRPr="0080554E">
        <w:t>.</w:t>
      </w:r>
    </w:p>
    <w:p w:rsidR="00232F05" w:rsidRDefault="00232F05" w:rsidP="00232F05">
      <w:pPr>
        <w:pStyle w:val="PIHeading2"/>
      </w:pPr>
      <w:r>
        <w:t>Carcinogenicity</w:t>
      </w:r>
    </w:p>
    <w:p w:rsidR="00701710" w:rsidRPr="00E03F1F" w:rsidRDefault="00232F05" w:rsidP="00A25532">
      <w:pPr>
        <w:pStyle w:val="PINormal"/>
      </w:pPr>
      <w:r w:rsidRPr="00627917">
        <w:t xml:space="preserve">Carcinogenicity studies have not been performed with </w:t>
      </w:r>
      <w:proofErr w:type="spellStart"/>
      <w:r w:rsidRPr="00627917">
        <w:t>axitinib</w:t>
      </w:r>
      <w:proofErr w:type="spellEnd"/>
      <w:r w:rsidRPr="00627917">
        <w:t>.</w:t>
      </w:r>
    </w:p>
    <w:p w:rsidR="00EC69FE" w:rsidRDefault="00EC69FE" w:rsidP="001C57C6">
      <w:pPr>
        <w:pStyle w:val="PIHeading1"/>
      </w:pPr>
      <w:r>
        <w:t>Interaction</w:t>
      </w:r>
      <w:r w:rsidR="009F092C">
        <w:t>s</w:t>
      </w:r>
      <w:r>
        <w:t xml:space="preserve"> with Other Medicines</w:t>
      </w:r>
    </w:p>
    <w:p w:rsidR="00821CD2" w:rsidRPr="00525C67" w:rsidRDefault="00821CD2" w:rsidP="00821CD2">
      <w:pPr>
        <w:pStyle w:val="PINormal"/>
      </w:pPr>
      <w:r w:rsidRPr="002E3DEA">
        <w:rPr>
          <w:i/>
          <w:iCs/>
        </w:rPr>
        <w:t>In vitro</w:t>
      </w:r>
      <w:r w:rsidRPr="00525C67">
        <w:t xml:space="preserve"> data indicate that </w:t>
      </w:r>
      <w:proofErr w:type="spellStart"/>
      <w:r w:rsidRPr="00525C67">
        <w:t>axitinib</w:t>
      </w:r>
      <w:proofErr w:type="spellEnd"/>
      <w:r w:rsidRPr="00525C67">
        <w:t xml:space="preserve"> is metabolized primarily by CYP3A4/5 and, to a lesser extent, CYP1A2, CYP2C19, and </w:t>
      </w:r>
      <w:proofErr w:type="spellStart"/>
      <w:r w:rsidRPr="00525C67">
        <w:t>uridine</w:t>
      </w:r>
      <w:proofErr w:type="spellEnd"/>
      <w:r w:rsidRPr="00525C67">
        <w:t xml:space="preserve"> </w:t>
      </w:r>
      <w:proofErr w:type="spellStart"/>
      <w:r w:rsidRPr="00525C67">
        <w:t>diphosphate-glu</w:t>
      </w:r>
      <w:r w:rsidR="007F4C2E">
        <w:t>curonosyltransferase</w:t>
      </w:r>
      <w:proofErr w:type="spellEnd"/>
      <w:r w:rsidR="007F4C2E">
        <w:t xml:space="preserve"> (UGT) 1A1.</w:t>
      </w:r>
    </w:p>
    <w:p w:rsidR="002162E9" w:rsidRPr="003E6C12" w:rsidRDefault="00821CD2" w:rsidP="00C41223">
      <w:pPr>
        <w:pStyle w:val="PIHeading3"/>
      </w:pPr>
      <w:r>
        <w:t>CYP3A4/5 Inhibitors</w:t>
      </w:r>
    </w:p>
    <w:p w:rsidR="00821CD2" w:rsidRDefault="00BF1373" w:rsidP="00821CD2">
      <w:pPr>
        <w:pStyle w:val="PINormal"/>
      </w:pPr>
      <w:proofErr w:type="spellStart"/>
      <w:r>
        <w:t>Ketoconazole</w:t>
      </w:r>
      <w:proofErr w:type="spellEnd"/>
      <w:r>
        <w:t>, a strong</w:t>
      </w:r>
      <w:r w:rsidR="00821CD2" w:rsidRPr="00525C67">
        <w:t xml:space="preserve"> inhibitor of CYP3A4/5, administered at a dose of 400 mg once daily for 7 days, increased the mean AUC 2-fold and </w:t>
      </w:r>
      <w:proofErr w:type="spellStart"/>
      <w:r w:rsidR="00821CD2" w:rsidRPr="00525C67">
        <w:t>C</w:t>
      </w:r>
      <w:r w:rsidR="00821CD2" w:rsidRPr="00525C67">
        <w:rPr>
          <w:vertAlign w:val="subscript"/>
        </w:rPr>
        <w:t>max</w:t>
      </w:r>
      <w:proofErr w:type="spellEnd"/>
      <w:r w:rsidR="00821CD2" w:rsidRPr="00525C67">
        <w:t xml:space="preserve"> 1.5-fold of a</w:t>
      </w:r>
      <w:r w:rsidR="00E92012">
        <w:t xml:space="preserve"> single 5-</w:t>
      </w:r>
      <w:r w:rsidR="00821CD2" w:rsidRPr="00525C67">
        <w:t>mg oral dose o</w:t>
      </w:r>
      <w:r w:rsidR="007F4C2E">
        <w:t>f INLYTA in healthy volunteers.</w:t>
      </w:r>
    </w:p>
    <w:p w:rsidR="00821CD2" w:rsidRDefault="00821CD2" w:rsidP="00821CD2">
      <w:pPr>
        <w:pStyle w:val="PINormal"/>
      </w:pPr>
      <w:r w:rsidRPr="00525C67">
        <w:t>Co-administration of INLYTA with strong CYP3A4/5 inhibitors (e.g.</w:t>
      </w:r>
      <w:r w:rsidR="00E92012">
        <w:t>,</w:t>
      </w:r>
      <w:r w:rsidRPr="00525C67">
        <w:t xml:space="preserve"> </w:t>
      </w:r>
      <w:proofErr w:type="spellStart"/>
      <w:r w:rsidRPr="00525C67">
        <w:t>ketoconazole</w:t>
      </w:r>
      <w:proofErr w:type="spellEnd"/>
      <w:r w:rsidRPr="00525C67">
        <w:t xml:space="preserve">, </w:t>
      </w:r>
      <w:proofErr w:type="spellStart"/>
      <w:r w:rsidRPr="00525C67">
        <w:t>itraconazole</w:t>
      </w:r>
      <w:proofErr w:type="spellEnd"/>
      <w:r w:rsidRPr="00525C67">
        <w:t xml:space="preserve">, </w:t>
      </w:r>
      <w:proofErr w:type="spellStart"/>
      <w:r w:rsidRPr="00525C67">
        <w:t>clarithromycin</w:t>
      </w:r>
      <w:proofErr w:type="spellEnd"/>
      <w:r w:rsidRPr="00525C67">
        <w:t xml:space="preserve">, </w:t>
      </w:r>
      <w:proofErr w:type="spellStart"/>
      <w:r w:rsidRPr="00525C67">
        <w:t>atazanavir</w:t>
      </w:r>
      <w:proofErr w:type="spellEnd"/>
      <w:r w:rsidRPr="00525C67">
        <w:t xml:space="preserve">, </w:t>
      </w:r>
      <w:proofErr w:type="spellStart"/>
      <w:r w:rsidRPr="00525C67">
        <w:t>indinavir</w:t>
      </w:r>
      <w:proofErr w:type="spellEnd"/>
      <w:r w:rsidRPr="00525C67">
        <w:t xml:space="preserve">, </w:t>
      </w:r>
      <w:proofErr w:type="spellStart"/>
      <w:r w:rsidRPr="00525C67">
        <w:t>nefazodone</w:t>
      </w:r>
      <w:proofErr w:type="spellEnd"/>
      <w:r w:rsidRPr="00525C67">
        <w:t xml:space="preserve">, </w:t>
      </w:r>
      <w:proofErr w:type="spellStart"/>
      <w:r w:rsidRPr="00525C67">
        <w:t>nelfinavir</w:t>
      </w:r>
      <w:proofErr w:type="spellEnd"/>
      <w:r w:rsidRPr="00525C67">
        <w:t xml:space="preserve">, </w:t>
      </w:r>
      <w:proofErr w:type="spellStart"/>
      <w:r w:rsidRPr="00525C67">
        <w:t>ritonavir</w:t>
      </w:r>
      <w:proofErr w:type="spellEnd"/>
      <w:r w:rsidRPr="00525C67">
        <w:t xml:space="preserve">, </w:t>
      </w:r>
      <w:proofErr w:type="spellStart"/>
      <w:r w:rsidRPr="00525C67">
        <w:t>saquinavir</w:t>
      </w:r>
      <w:proofErr w:type="spellEnd"/>
      <w:r w:rsidRPr="00525C67">
        <w:t xml:space="preserve">, and </w:t>
      </w:r>
      <w:proofErr w:type="spellStart"/>
      <w:r w:rsidRPr="00525C67">
        <w:t>telithromycin</w:t>
      </w:r>
      <w:proofErr w:type="spellEnd"/>
      <w:r w:rsidRPr="00525C67">
        <w:t xml:space="preserve">) may increase </w:t>
      </w:r>
      <w:proofErr w:type="spellStart"/>
      <w:r w:rsidRPr="00525C67">
        <w:t>axitinib</w:t>
      </w:r>
      <w:proofErr w:type="spellEnd"/>
      <w:r w:rsidRPr="00525C67">
        <w:t xml:space="preserve"> plasma concentrations.</w:t>
      </w:r>
      <w:r w:rsidRPr="00525C67">
        <w:rPr>
          <w:rStyle w:val="superscriptChar"/>
        </w:rPr>
        <w:t xml:space="preserve"> </w:t>
      </w:r>
      <w:r w:rsidR="00BE0639">
        <w:rPr>
          <w:rStyle w:val="BlueText"/>
        </w:rPr>
        <w:t xml:space="preserve"> </w:t>
      </w:r>
      <w:r w:rsidRPr="00525C67">
        <w:t xml:space="preserve">Grapefruit may also increase </w:t>
      </w:r>
      <w:proofErr w:type="spellStart"/>
      <w:r w:rsidR="007F4C2E">
        <w:t>axitinib</w:t>
      </w:r>
      <w:proofErr w:type="spellEnd"/>
      <w:r w:rsidR="007F4C2E">
        <w:t xml:space="preserve"> plasma concentrations.</w:t>
      </w:r>
    </w:p>
    <w:p w:rsidR="00821CD2" w:rsidRPr="007F4C2E" w:rsidRDefault="00821CD2" w:rsidP="00821CD2">
      <w:pPr>
        <w:pStyle w:val="PINormal"/>
      </w:pPr>
      <w:r w:rsidRPr="00525C67">
        <w:t>Selection of concomitan</w:t>
      </w:r>
      <w:r>
        <w:t xml:space="preserve">t medication with no or minimal </w:t>
      </w:r>
      <w:r w:rsidRPr="00525C67">
        <w:t>CYP3A4/5</w:t>
      </w:r>
      <w:r>
        <w:t xml:space="preserve"> </w:t>
      </w:r>
      <w:r w:rsidRPr="00525C67">
        <w:t xml:space="preserve">inhibition potential is recommended. </w:t>
      </w:r>
      <w:r w:rsidR="00BE0639">
        <w:rPr>
          <w:rStyle w:val="BlueText"/>
        </w:rPr>
        <w:t xml:space="preserve"> </w:t>
      </w:r>
      <w:r w:rsidRPr="00525C67">
        <w:t xml:space="preserve">If </w:t>
      </w:r>
      <w:r w:rsidR="003D30F8">
        <w:t xml:space="preserve">a strong CYP3A4/5 inhibitor must be co-administered, a dose adjustment of INLYTA </w:t>
      </w:r>
      <w:r w:rsidR="00E92012">
        <w:t xml:space="preserve">is recommended </w:t>
      </w:r>
      <w:r w:rsidR="0047150E">
        <w:t>(See Dosage and Administration)</w:t>
      </w:r>
      <w:r w:rsidRPr="00525C67">
        <w:t>.</w:t>
      </w:r>
    </w:p>
    <w:p w:rsidR="00821CD2" w:rsidRDefault="00821CD2" w:rsidP="00C41223">
      <w:pPr>
        <w:pStyle w:val="PIHeading3"/>
      </w:pPr>
      <w:r>
        <w:t>CYP3A4/5 Inducers</w:t>
      </w:r>
    </w:p>
    <w:p w:rsidR="00A83A02" w:rsidRDefault="003D30F8" w:rsidP="00A83A02">
      <w:pPr>
        <w:pStyle w:val="PINormal"/>
        <w:rPr>
          <w:rStyle w:val="BlueText"/>
          <w:color w:val="auto"/>
        </w:rPr>
      </w:pPr>
      <w:proofErr w:type="spellStart"/>
      <w:r>
        <w:t>Rifampin</w:t>
      </w:r>
      <w:proofErr w:type="spellEnd"/>
      <w:r>
        <w:t>, a strong</w:t>
      </w:r>
      <w:r w:rsidR="00A83A02" w:rsidRPr="00A83A02">
        <w:t xml:space="preserve"> inducer of CYP3A4/5, administered at a dose of 600 mg once daily for 9 days, reduced the mean AUC by 79% and </w:t>
      </w:r>
      <w:proofErr w:type="spellStart"/>
      <w:r w:rsidR="00A83A02" w:rsidRPr="00A83A02">
        <w:t>C</w:t>
      </w:r>
      <w:r w:rsidR="00A83A02" w:rsidRPr="0047150E">
        <w:rPr>
          <w:vertAlign w:val="subscript"/>
        </w:rPr>
        <w:t>max</w:t>
      </w:r>
      <w:proofErr w:type="spellEnd"/>
      <w:r w:rsidR="00E92012">
        <w:t xml:space="preserve"> by 71% of a single 5-</w:t>
      </w:r>
      <w:r w:rsidR="00A83A02" w:rsidRPr="00A83A02">
        <w:t>mg dose of INLYTA in healthy volunteers.</w:t>
      </w:r>
    </w:p>
    <w:p w:rsidR="00A83A02" w:rsidRDefault="00A83A02" w:rsidP="00A83A02">
      <w:pPr>
        <w:pStyle w:val="PINormal"/>
      </w:pPr>
      <w:r w:rsidRPr="00A83A02">
        <w:t>Co-administration of INLYTA with strong CYP3A4/5 inducers (e.g.</w:t>
      </w:r>
      <w:r w:rsidR="00E92012">
        <w:t>,</w:t>
      </w:r>
      <w:r w:rsidRPr="00A83A02">
        <w:t xml:space="preserve"> </w:t>
      </w:r>
      <w:proofErr w:type="spellStart"/>
      <w:r w:rsidRPr="00A83A02">
        <w:t>rifampin</w:t>
      </w:r>
      <w:proofErr w:type="spellEnd"/>
      <w:r w:rsidRPr="00A83A02">
        <w:t xml:space="preserve">, </w:t>
      </w:r>
      <w:proofErr w:type="spellStart"/>
      <w:r w:rsidRPr="00A83A02">
        <w:t>dexamethasone</w:t>
      </w:r>
      <w:proofErr w:type="spellEnd"/>
      <w:r w:rsidRPr="00A83A02">
        <w:t xml:space="preserve">, </w:t>
      </w:r>
      <w:proofErr w:type="spellStart"/>
      <w:r w:rsidRPr="00A83A02">
        <w:t>phenytoin</w:t>
      </w:r>
      <w:proofErr w:type="spellEnd"/>
      <w:r w:rsidRPr="00A83A02">
        <w:t xml:space="preserve">, </w:t>
      </w:r>
      <w:proofErr w:type="spellStart"/>
      <w:r w:rsidRPr="00A83A02">
        <w:t>carbamazepine</w:t>
      </w:r>
      <w:proofErr w:type="spellEnd"/>
      <w:r w:rsidRPr="00A83A02">
        <w:t xml:space="preserve">, </w:t>
      </w:r>
      <w:proofErr w:type="spellStart"/>
      <w:r w:rsidRPr="00A83A02">
        <w:t>rifabutin</w:t>
      </w:r>
      <w:proofErr w:type="spellEnd"/>
      <w:r w:rsidRPr="00A83A02">
        <w:t xml:space="preserve">, </w:t>
      </w:r>
      <w:proofErr w:type="spellStart"/>
      <w:r w:rsidRPr="00A83A02">
        <w:t>rifapentin</w:t>
      </w:r>
      <w:proofErr w:type="spellEnd"/>
      <w:r w:rsidRPr="00A83A02">
        <w:t xml:space="preserve">, </w:t>
      </w:r>
      <w:proofErr w:type="spellStart"/>
      <w:r w:rsidRPr="00A83A02">
        <w:t>phenobarbital</w:t>
      </w:r>
      <w:proofErr w:type="spellEnd"/>
      <w:r w:rsidRPr="00A83A02">
        <w:t xml:space="preserve">, and </w:t>
      </w:r>
      <w:proofErr w:type="spellStart"/>
      <w:r w:rsidRPr="003D30F8">
        <w:rPr>
          <w:i/>
        </w:rPr>
        <w:t>Hypericum</w:t>
      </w:r>
      <w:proofErr w:type="spellEnd"/>
      <w:r w:rsidRPr="003D30F8">
        <w:rPr>
          <w:i/>
        </w:rPr>
        <w:t xml:space="preserve"> </w:t>
      </w:r>
      <w:proofErr w:type="spellStart"/>
      <w:r w:rsidRPr="003D30F8">
        <w:rPr>
          <w:i/>
        </w:rPr>
        <w:t>perforatum</w:t>
      </w:r>
      <w:proofErr w:type="spellEnd"/>
      <w:r w:rsidRPr="00A83A02">
        <w:t xml:space="preserve"> </w:t>
      </w:r>
      <w:r w:rsidR="003D30F8">
        <w:t>[</w:t>
      </w:r>
      <w:r w:rsidR="002960DD">
        <w:t xml:space="preserve">also known as St. John’s </w:t>
      </w:r>
      <w:proofErr w:type="spellStart"/>
      <w:r w:rsidR="002960DD">
        <w:t>w</w:t>
      </w:r>
      <w:r w:rsidRPr="00A83A02">
        <w:t>ort</w:t>
      </w:r>
      <w:proofErr w:type="spellEnd"/>
      <w:r w:rsidR="003D30F8">
        <w:t>]</w:t>
      </w:r>
      <w:r w:rsidRPr="00A83A02">
        <w:t xml:space="preserve">) may decrease </w:t>
      </w:r>
      <w:proofErr w:type="spellStart"/>
      <w:r w:rsidRPr="00A83A02">
        <w:t>axitinib</w:t>
      </w:r>
      <w:proofErr w:type="spellEnd"/>
      <w:r w:rsidRPr="00A83A02">
        <w:t xml:space="preserve"> plasma concentrations.</w:t>
      </w:r>
    </w:p>
    <w:p w:rsidR="00A83A02" w:rsidRDefault="00A83A02" w:rsidP="00A83A02">
      <w:pPr>
        <w:pStyle w:val="PINormal"/>
      </w:pPr>
      <w:r w:rsidRPr="00A83A02">
        <w:lastRenderedPageBreak/>
        <w:t xml:space="preserve">Selection of concomitant medication with no or minimal CYP3A4/5 induction potential is recommended. </w:t>
      </w:r>
      <w:r w:rsidR="00BE0639">
        <w:rPr>
          <w:rStyle w:val="BlueText"/>
        </w:rPr>
        <w:t xml:space="preserve"> </w:t>
      </w:r>
      <w:r w:rsidRPr="00A83A02">
        <w:t xml:space="preserve">If </w:t>
      </w:r>
      <w:r w:rsidR="003D30F8">
        <w:t>a strong CYP3A4/5 inducer must be co-administered, a dose a</w:t>
      </w:r>
      <w:r w:rsidRPr="00A83A02">
        <w:t>djustment</w:t>
      </w:r>
      <w:r w:rsidR="003D30F8">
        <w:t xml:space="preserve"> of INLYTA</w:t>
      </w:r>
      <w:r w:rsidRPr="00A83A02">
        <w:t xml:space="preserve"> </w:t>
      </w:r>
      <w:r w:rsidR="00E92012">
        <w:t>is recommended</w:t>
      </w:r>
      <w:r w:rsidR="0047150E">
        <w:t xml:space="preserve"> (See Dosage and Administration)</w:t>
      </w:r>
      <w:r w:rsidR="007F4C2E">
        <w:t>.</w:t>
      </w:r>
    </w:p>
    <w:p w:rsidR="00C41223" w:rsidRDefault="001D76E0" w:rsidP="00C41223">
      <w:pPr>
        <w:pStyle w:val="PIHeading3"/>
      </w:pPr>
      <w:r>
        <w:t>In V</w:t>
      </w:r>
      <w:r w:rsidR="00C41223">
        <w:t>itro Studies of CYP and U</w:t>
      </w:r>
      <w:r w:rsidR="00CE5726">
        <w:t>G</w:t>
      </w:r>
      <w:r w:rsidR="00C41223">
        <w:t>T Inhibition and Induction</w:t>
      </w:r>
    </w:p>
    <w:p w:rsidR="00BE0639" w:rsidRDefault="00C41223" w:rsidP="00C41223">
      <w:pPr>
        <w:pStyle w:val="PINormal"/>
      </w:pPr>
      <w:r w:rsidRPr="001D76E0">
        <w:rPr>
          <w:i/>
        </w:rPr>
        <w:t>In vitro</w:t>
      </w:r>
      <w:r w:rsidRPr="00525C67">
        <w:t xml:space="preserve"> studies indicated that </w:t>
      </w:r>
      <w:proofErr w:type="spellStart"/>
      <w:r w:rsidR="00230BD1">
        <w:t>axitinib</w:t>
      </w:r>
      <w:proofErr w:type="spellEnd"/>
      <w:r w:rsidRPr="00525C67">
        <w:t xml:space="preserve"> does not inhibit CYP2A6, CYP2C9, CYP2C19, CYP2D6, CYP2E1, CYP3A4/5, or UGT1A1 at therapeutic plasma concentrations</w:t>
      </w:r>
      <w:r w:rsidR="00DA64B1">
        <w:t>.</w:t>
      </w:r>
    </w:p>
    <w:p w:rsidR="00C41223" w:rsidRPr="007F4C2E" w:rsidRDefault="00C41223" w:rsidP="00C41223">
      <w:pPr>
        <w:pStyle w:val="PINormal"/>
        <w:rPr>
          <w:rStyle w:val="BlueText"/>
          <w:color w:val="auto"/>
        </w:rPr>
      </w:pPr>
      <w:r w:rsidRPr="001D76E0">
        <w:rPr>
          <w:i/>
        </w:rPr>
        <w:t>In vitro</w:t>
      </w:r>
      <w:r w:rsidRPr="00525C67">
        <w:t xml:space="preserve"> studies indicated that </w:t>
      </w:r>
      <w:proofErr w:type="spellStart"/>
      <w:r w:rsidR="00230BD1">
        <w:t>axitinib</w:t>
      </w:r>
      <w:proofErr w:type="spellEnd"/>
      <w:r w:rsidRPr="00525C67">
        <w:t xml:space="preserve"> has a potential to inhibit CYP1A2. </w:t>
      </w:r>
      <w:r w:rsidRPr="00525C67">
        <w:rPr>
          <w:rStyle w:val="BlueText"/>
        </w:rPr>
        <w:t xml:space="preserve"> </w:t>
      </w:r>
      <w:r w:rsidRPr="00525C67">
        <w:t>Therefore, co-administration of INLYTA with CYP1A2 substrates may result in increased plasma concentrations of CYP1A2 substrates (e.g.</w:t>
      </w:r>
      <w:r w:rsidR="00FE1C00">
        <w:t>,</w:t>
      </w:r>
      <w:r w:rsidRPr="00525C67">
        <w:t xml:space="preserve"> </w:t>
      </w:r>
      <w:proofErr w:type="spellStart"/>
      <w:r w:rsidRPr="00525C67">
        <w:t>theophylline</w:t>
      </w:r>
      <w:proofErr w:type="spellEnd"/>
      <w:r w:rsidRPr="00525C67">
        <w:t>).</w:t>
      </w:r>
    </w:p>
    <w:p w:rsidR="00C41223" w:rsidRPr="00525C67" w:rsidRDefault="00C41223" w:rsidP="00C41223">
      <w:pPr>
        <w:pStyle w:val="PINormal"/>
        <w:rPr>
          <w:rStyle w:val="BlueText"/>
          <w:color w:val="000000"/>
        </w:rPr>
      </w:pPr>
      <w:r w:rsidRPr="001D76E0">
        <w:rPr>
          <w:i/>
        </w:rPr>
        <w:t>In vitro</w:t>
      </w:r>
      <w:r w:rsidRPr="00525C67">
        <w:t xml:space="preserve"> studies also indicated that </w:t>
      </w:r>
      <w:proofErr w:type="spellStart"/>
      <w:r w:rsidRPr="00525C67">
        <w:t>axitinib</w:t>
      </w:r>
      <w:proofErr w:type="spellEnd"/>
      <w:r w:rsidRPr="00525C67">
        <w:t xml:space="preserve"> has the potential to inhibit CYP2C8.</w:t>
      </w:r>
      <w:r w:rsidRPr="00525C67">
        <w:rPr>
          <w:rStyle w:val="superscriptChar"/>
        </w:rPr>
        <w:t xml:space="preserve"> </w:t>
      </w:r>
      <w:r w:rsidR="00BE0639">
        <w:rPr>
          <w:rStyle w:val="BlueText"/>
        </w:rPr>
        <w:t xml:space="preserve"> </w:t>
      </w:r>
      <w:r w:rsidRPr="00525C67">
        <w:t xml:space="preserve">However, co-administration of INLYTA with </w:t>
      </w:r>
      <w:proofErr w:type="spellStart"/>
      <w:r w:rsidRPr="00525C67">
        <w:t>paclitaxel</w:t>
      </w:r>
      <w:proofErr w:type="spellEnd"/>
      <w:r w:rsidRPr="00525C67">
        <w:t xml:space="preserve">, a known CYP2C8 substrate, did not result in increased plasma concentrations of </w:t>
      </w:r>
      <w:proofErr w:type="spellStart"/>
      <w:r w:rsidRPr="00525C67">
        <w:t>paclitaxel</w:t>
      </w:r>
      <w:proofErr w:type="spellEnd"/>
      <w:r w:rsidRPr="00525C67">
        <w:t xml:space="preserve"> in patients with </w:t>
      </w:r>
      <w:r w:rsidR="00103FC4">
        <w:t>advanced cancer</w:t>
      </w:r>
      <w:r w:rsidRPr="00525C67">
        <w:t>, indicating lack of clinical CYP2C8 inhibition.</w:t>
      </w:r>
    </w:p>
    <w:p w:rsidR="00C41223" w:rsidRPr="00525C67" w:rsidRDefault="00C41223" w:rsidP="00C41223">
      <w:pPr>
        <w:pStyle w:val="PINormal"/>
      </w:pPr>
      <w:r w:rsidRPr="001D76E0">
        <w:rPr>
          <w:i/>
        </w:rPr>
        <w:t>In vitro</w:t>
      </w:r>
      <w:r w:rsidRPr="00525C67">
        <w:t xml:space="preserve"> studies in human </w:t>
      </w:r>
      <w:proofErr w:type="spellStart"/>
      <w:r w:rsidRPr="00525C67">
        <w:t>hepatocytes</w:t>
      </w:r>
      <w:proofErr w:type="spellEnd"/>
      <w:r w:rsidRPr="00525C67">
        <w:t xml:space="preserve"> also indicated that </w:t>
      </w:r>
      <w:proofErr w:type="spellStart"/>
      <w:r w:rsidRPr="00525C67">
        <w:t>axitinib</w:t>
      </w:r>
      <w:proofErr w:type="spellEnd"/>
      <w:r w:rsidRPr="00525C67">
        <w:t xml:space="preserve"> does not induce CYP1A1, CYP1A2, or CYP3A4/5.</w:t>
      </w:r>
      <w:r w:rsidRPr="00525C67">
        <w:rPr>
          <w:rStyle w:val="superscriptChar"/>
        </w:rPr>
        <w:t xml:space="preserve"> </w:t>
      </w:r>
      <w:r w:rsidR="00BE0639">
        <w:rPr>
          <w:rStyle w:val="BlueText"/>
        </w:rPr>
        <w:t xml:space="preserve"> </w:t>
      </w:r>
      <w:r w:rsidRPr="00525C67">
        <w:t xml:space="preserve">Therefore co-administration of INLYTA is not expected to reduce the plasma concentration of co-administered CYP1A1, CYP1A2, or CYP3A4/5 substrates </w:t>
      </w:r>
      <w:r w:rsidRPr="002E3DEA">
        <w:rPr>
          <w:i/>
        </w:rPr>
        <w:t>in vivo</w:t>
      </w:r>
      <w:r w:rsidR="007F4C2E">
        <w:t>.</w:t>
      </w:r>
    </w:p>
    <w:p w:rsidR="00C41223" w:rsidRPr="00A83A02" w:rsidRDefault="001D76E0" w:rsidP="001D76E0">
      <w:pPr>
        <w:pStyle w:val="PIHeading3"/>
      </w:pPr>
      <w:r>
        <w:t>In Vitro Studies with P-glycoprotein</w:t>
      </w:r>
    </w:p>
    <w:p w:rsidR="00821CD2" w:rsidRPr="00821CD2" w:rsidRDefault="001D76E0" w:rsidP="001D76E0">
      <w:pPr>
        <w:pStyle w:val="PINormal"/>
      </w:pPr>
      <w:r w:rsidRPr="002E3DEA">
        <w:rPr>
          <w:i/>
        </w:rPr>
        <w:t>In vitro</w:t>
      </w:r>
      <w:r w:rsidRPr="00525C67">
        <w:t xml:space="preserve"> studies indicated that </w:t>
      </w:r>
      <w:proofErr w:type="spellStart"/>
      <w:r w:rsidRPr="00525C67">
        <w:t>axitinib</w:t>
      </w:r>
      <w:proofErr w:type="spellEnd"/>
      <w:r w:rsidRPr="00525C67">
        <w:t xml:space="preserve"> inhibits P-glycoprotein.</w:t>
      </w:r>
      <w:r w:rsidR="00BE0639">
        <w:t xml:space="preserve"> </w:t>
      </w:r>
      <w:r w:rsidRPr="00525C67">
        <w:t xml:space="preserve"> However, </w:t>
      </w:r>
      <w:proofErr w:type="spellStart"/>
      <w:r w:rsidR="00230BD1">
        <w:t>axitinib</w:t>
      </w:r>
      <w:proofErr w:type="spellEnd"/>
      <w:r w:rsidRPr="00525C67">
        <w:t xml:space="preserve"> is not expected to inhibit P-glycoprotein at therapeutic plasma concentrations</w:t>
      </w:r>
      <w:r w:rsidR="00230BD1">
        <w:t>.</w:t>
      </w:r>
      <w:r w:rsidR="00230BD1" w:rsidRPr="00525C67">
        <w:rPr>
          <w:rStyle w:val="BlueText"/>
        </w:rPr>
        <w:t xml:space="preserve"> </w:t>
      </w:r>
      <w:r w:rsidR="00230BD1">
        <w:t xml:space="preserve"> Therefore</w:t>
      </w:r>
      <w:r w:rsidRPr="00525C67">
        <w:t xml:space="preserve">, co-administration of INLYTA is not expected to increase the plasma concentration of </w:t>
      </w:r>
      <w:proofErr w:type="spellStart"/>
      <w:r w:rsidRPr="00525C67">
        <w:t>digoxin</w:t>
      </w:r>
      <w:proofErr w:type="spellEnd"/>
      <w:r w:rsidRPr="00525C67">
        <w:t xml:space="preserve">, or other P-glycoprotein substrates, </w:t>
      </w:r>
      <w:r w:rsidRPr="002E3DEA">
        <w:rPr>
          <w:i/>
        </w:rPr>
        <w:t>in vivo</w:t>
      </w:r>
      <w:r w:rsidR="007F4C2E">
        <w:t>.</w:t>
      </w:r>
    </w:p>
    <w:p w:rsidR="002162E9" w:rsidRDefault="002162E9" w:rsidP="00036022">
      <w:pPr>
        <w:pStyle w:val="PIHeading2"/>
      </w:pPr>
      <w:r>
        <w:t>Effects on Ability to Drive and Use of Machines</w:t>
      </w:r>
    </w:p>
    <w:p w:rsidR="00E16C49" w:rsidRPr="007F4C2E" w:rsidRDefault="00E16C49" w:rsidP="00E16C49">
      <w:pPr>
        <w:pStyle w:val="PINormal"/>
        <w:rPr>
          <w:rStyle w:val="Instructions"/>
          <w:color w:val="auto"/>
        </w:rPr>
      </w:pPr>
      <w:r w:rsidRPr="00C10ADD">
        <w:rPr>
          <w:noProof/>
        </w:rPr>
        <w:t>No studies on the effect</w:t>
      </w:r>
      <w:r>
        <w:rPr>
          <w:noProof/>
        </w:rPr>
        <w:t xml:space="preserve"> of </w:t>
      </w:r>
      <w:r w:rsidR="00230BD1">
        <w:rPr>
          <w:noProof/>
        </w:rPr>
        <w:t>INLYTA</w:t>
      </w:r>
      <w:r>
        <w:rPr>
          <w:noProof/>
        </w:rPr>
        <w:t xml:space="preserve"> </w:t>
      </w:r>
      <w:r w:rsidRPr="00C10ADD">
        <w:rPr>
          <w:noProof/>
        </w:rPr>
        <w:t>on the ability to drive and use machines have been performed.</w:t>
      </w:r>
      <w:r w:rsidR="00FE1C00">
        <w:rPr>
          <w:noProof/>
        </w:rPr>
        <w:t xml:space="preserve">  Patients should be advised that they may experience events such as dizziness and/or fatigue during treatment with INLYTA.</w:t>
      </w:r>
    </w:p>
    <w:p w:rsidR="002162E9" w:rsidRDefault="00C7315D" w:rsidP="00036022">
      <w:pPr>
        <w:pStyle w:val="PIHeading1"/>
      </w:pPr>
      <w:r>
        <w:t xml:space="preserve">ADVERSE </w:t>
      </w:r>
      <w:r w:rsidR="00EC69FE">
        <w:t>Effects</w:t>
      </w:r>
    </w:p>
    <w:p w:rsidR="00E16C49" w:rsidRPr="00F36471" w:rsidRDefault="00E16C49" w:rsidP="00E16C49">
      <w:pPr>
        <w:pStyle w:val="PINormal"/>
      </w:pPr>
      <w:r>
        <w:t xml:space="preserve">The safety of </w:t>
      </w:r>
      <w:r w:rsidR="0047150E">
        <w:t>INLYTA</w:t>
      </w:r>
      <w:r w:rsidRPr="00CD1C5B">
        <w:t xml:space="preserve"> has been evaluated in 699 patients in </w:t>
      </w:r>
      <w:proofErr w:type="spellStart"/>
      <w:r w:rsidRPr="00CD1C5B">
        <w:t>monotherapy</w:t>
      </w:r>
      <w:proofErr w:type="spellEnd"/>
      <w:r w:rsidRPr="00CD1C5B">
        <w:t xml:space="preserve"> studies, which included 537 patients with advanced RCC.</w:t>
      </w:r>
      <w:r w:rsidR="00BE0639">
        <w:t xml:space="preserve"> </w:t>
      </w:r>
      <w:r>
        <w:t xml:space="preserve"> </w:t>
      </w:r>
      <w:r w:rsidRPr="00CD1C5B">
        <w:t xml:space="preserve">The data described </w:t>
      </w:r>
      <w:r>
        <w:t xml:space="preserve">reflect exposure to </w:t>
      </w:r>
      <w:r w:rsidR="0047150E">
        <w:t>INLYTA</w:t>
      </w:r>
      <w:r w:rsidRPr="00CD1C5B">
        <w:t xml:space="preserve"> in 359 patients with advanced RCC who participated in a randomized clinical study versus </w:t>
      </w:r>
      <w:proofErr w:type="spellStart"/>
      <w:r w:rsidRPr="00CD1C5B">
        <w:t>sorafenib</w:t>
      </w:r>
      <w:proofErr w:type="spellEnd"/>
      <w:r w:rsidR="00196937">
        <w:t xml:space="preserve"> (see Clinical Trials)</w:t>
      </w:r>
      <w:r>
        <w:t>.</w:t>
      </w:r>
    </w:p>
    <w:p w:rsidR="00E16C49" w:rsidRPr="007F4C2E" w:rsidRDefault="00E16C49" w:rsidP="00E16C49">
      <w:pPr>
        <w:pStyle w:val="PINormal"/>
      </w:pPr>
      <w:r w:rsidRPr="00CD1C5B">
        <w:t xml:space="preserve">The median duration of treatment was 6.4 months (range 0.03 to 22.0) for patients who received </w:t>
      </w:r>
      <w:r w:rsidR="0047150E">
        <w:t>INLYTA</w:t>
      </w:r>
      <w:r w:rsidRPr="00CD1C5B">
        <w:t xml:space="preserve"> and 5.0 months (range 0.03 to 20.1) for patients who received </w:t>
      </w:r>
      <w:proofErr w:type="spellStart"/>
      <w:r w:rsidRPr="00CD1C5B">
        <w:t>sorafenib</w:t>
      </w:r>
      <w:proofErr w:type="spellEnd"/>
      <w:r w:rsidRPr="00CD1C5B">
        <w:t>.</w:t>
      </w:r>
      <w:r>
        <w:t xml:space="preserve"> </w:t>
      </w:r>
      <w:r w:rsidRPr="00CD1C5B">
        <w:t>Dose modifications or temporary delay of treatment due to an adverse event occurred in</w:t>
      </w:r>
      <w:r w:rsidR="00196937">
        <w:t xml:space="preserve"> 55.4% of</w:t>
      </w:r>
      <w:r>
        <w:t xml:space="preserve"> patients receiving </w:t>
      </w:r>
      <w:r w:rsidR="0047150E">
        <w:t>INLYTA</w:t>
      </w:r>
      <w:r w:rsidRPr="00CD1C5B">
        <w:t xml:space="preserve"> and</w:t>
      </w:r>
      <w:r w:rsidR="00196937">
        <w:t xml:space="preserve"> 61.9% of</w:t>
      </w:r>
      <w:r w:rsidRPr="00CD1C5B">
        <w:t xml:space="preserve"> patients receiving </w:t>
      </w:r>
      <w:proofErr w:type="spellStart"/>
      <w:r w:rsidRPr="00CD1C5B">
        <w:t>sorafenib</w:t>
      </w:r>
      <w:proofErr w:type="spellEnd"/>
      <w:r>
        <w:t>.</w:t>
      </w:r>
      <w:r>
        <w:rPr>
          <w:rStyle w:val="BlueText"/>
        </w:rPr>
        <w:t xml:space="preserve"> </w:t>
      </w:r>
      <w:r w:rsidR="00BE0639">
        <w:rPr>
          <w:rStyle w:val="BlueText"/>
        </w:rPr>
        <w:t xml:space="preserve"> </w:t>
      </w:r>
      <w:r w:rsidRPr="00CD1C5B">
        <w:t xml:space="preserve">Permanent discontinuation due to </w:t>
      </w:r>
      <w:r w:rsidR="002F49D3">
        <w:t xml:space="preserve">an </w:t>
      </w:r>
      <w:r w:rsidRPr="00CD1C5B">
        <w:t>adverse</w:t>
      </w:r>
      <w:r w:rsidR="002F49D3">
        <w:t xml:space="preserve"> event </w:t>
      </w:r>
      <w:r w:rsidRPr="00CD1C5B">
        <w:t>occurred in</w:t>
      </w:r>
      <w:r w:rsidR="00196937">
        <w:t xml:space="preserve"> </w:t>
      </w:r>
      <w:r w:rsidR="0078761B">
        <w:t>9.2</w:t>
      </w:r>
      <w:r w:rsidR="00196937">
        <w:t>% of patients</w:t>
      </w:r>
      <w:r>
        <w:t xml:space="preserve"> receiving </w:t>
      </w:r>
      <w:r w:rsidR="0047150E">
        <w:t>INLYTA</w:t>
      </w:r>
      <w:r w:rsidRPr="00CD1C5B">
        <w:t xml:space="preserve"> and </w:t>
      </w:r>
      <w:r>
        <w:t>13</w:t>
      </w:r>
      <w:r w:rsidR="00196937">
        <w:t>.0</w:t>
      </w:r>
      <w:r>
        <w:t>%</w:t>
      </w:r>
      <w:r w:rsidR="00196937">
        <w:t xml:space="preserve"> of patients</w:t>
      </w:r>
      <w:r w:rsidR="007F4C2E">
        <w:t xml:space="preserve"> receiving </w:t>
      </w:r>
      <w:proofErr w:type="spellStart"/>
      <w:r w:rsidR="007F4C2E">
        <w:t>sorafenib</w:t>
      </w:r>
      <w:proofErr w:type="spellEnd"/>
      <w:r w:rsidR="007F4C2E">
        <w:t>.</w:t>
      </w:r>
    </w:p>
    <w:p w:rsidR="00E16C49" w:rsidRPr="00B6770A" w:rsidRDefault="00E16C49" w:rsidP="00E16C49">
      <w:pPr>
        <w:pStyle w:val="PINormal"/>
        <w:rPr>
          <w:rStyle w:val="BlueText"/>
          <w:b/>
          <w:color w:val="000000"/>
          <w:vertAlign w:val="superscript"/>
        </w:rPr>
      </w:pPr>
      <w:r w:rsidRPr="00CD1C5B">
        <w:t>The most common (≥20%) adverse reactions observed</w:t>
      </w:r>
      <w:r>
        <w:t xml:space="preserve"> following treatment with </w:t>
      </w:r>
      <w:r w:rsidR="0047150E">
        <w:t>INLYTA</w:t>
      </w:r>
      <w:r w:rsidRPr="00CD1C5B">
        <w:t xml:space="preserve"> were diarrh</w:t>
      </w:r>
      <w:r w:rsidR="007213A6">
        <w:t>o</w:t>
      </w:r>
      <w:r w:rsidRPr="00CD1C5B">
        <w:t xml:space="preserve">ea, hypertension, fatigue, decreased appetite, nausea, </w:t>
      </w:r>
      <w:proofErr w:type="spellStart"/>
      <w:r w:rsidRPr="00CD1C5B">
        <w:t>dysphonia</w:t>
      </w:r>
      <w:proofErr w:type="spellEnd"/>
      <w:r w:rsidRPr="00CD1C5B">
        <w:t xml:space="preserve">, </w:t>
      </w:r>
      <w:proofErr w:type="spellStart"/>
      <w:r w:rsidRPr="00CD1C5B">
        <w:t>palmar</w:t>
      </w:r>
      <w:proofErr w:type="spellEnd"/>
      <w:r w:rsidRPr="00CD1C5B">
        <w:t xml:space="preserve">-plantar </w:t>
      </w:r>
      <w:proofErr w:type="spellStart"/>
      <w:r w:rsidRPr="00CD1C5B">
        <w:lastRenderedPageBreak/>
        <w:t>erythrodysaesthsia</w:t>
      </w:r>
      <w:proofErr w:type="spellEnd"/>
      <w:r w:rsidRPr="00CD1C5B">
        <w:t xml:space="preserve"> (hand-foot) syndrome, weight decreased, vomit</w:t>
      </w:r>
      <w:r>
        <w:t>ing, asthenia, and constipation.</w:t>
      </w:r>
    </w:p>
    <w:p w:rsidR="00E16C49" w:rsidRPr="00CD1C5B" w:rsidRDefault="00E16C49" w:rsidP="00E16C49">
      <w:pPr>
        <w:pStyle w:val="PINormal"/>
        <w:rPr>
          <w:rStyle w:val="BlueText"/>
          <w:color w:val="000000"/>
        </w:rPr>
      </w:pPr>
      <w:r w:rsidRPr="002A595F">
        <w:t>The following risks, including appropriate action to be taken, ar</w:t>
      </w:r>
      <w:r>
        <w:t>e discussed in greater detail under Precautions</w:t>
      </w:r>
      <w:r w:rsidRPr="00212B87">
        <w:rPr>
          <w:rStyle w:val="paragraphChar0"/>
        </w:rPr>
        <w:t>:</w:t>
      </w:r>
      <w:r w:rsidRPr="002A595F">
        <w:t xml:space="preserve"> hypertension, thyroid dysfunction, </w:t>
      </w:r>
      <w:r>
        <w:t xml:space="preserve">arterial </w:t>
      </w:r>
      <w:proofErr w:type="spellStart"/>
      <w:r>
        <w:t>thromboembolic</w:t>
      </w:r>
      <w:proofErr w:type="spellEnd"/>
      <w:r>
        <w:t xml:space="preserve"> events, venous </w:t>
      </w:r>
      <w:proofErr w:type="spellStart"/>
      <w:r>
        <w:t>thromboembolic</w:t>
      </w:r>
      <w:proofErr w:type="spellEnd"/>
      <w:r>
        <w:t xml:space="preserve"> events, </w:t>
      </w:r>
      <w:r w:rsidR="007213A6">
        <w:t xml:space="preserve">elevation of haemoglobin or </w:t>
      </w:r>
      <w:proofErr w:type="spellStart"/>
      <w:r w:rsidR="007213A6">
        <w:t>haematocrit</w:t>
      </w:r>
      <w:proofErr w:type="spellEnd"/>
      <w:r w:rsidR="007213A6">
        <w:t xml:space="preserve">, </w:t>
      </w:r>
      <w:r w:rsidRPr="002A595F">
        <w:t>h</w:t>
      </w:r>
      <w:r>
        <w:t>a</w:t>
      </w:r>
      <w:r w:rsidRPr="002A595F">
        <w:t>emorrhage, gastrointestinal perforation</w:t>
      </w:r>
      <w:r w:rsidR="00BA01CD">
        <w:t xml:space="preserve"> and fistula formation</w:t>
      </w:r>
      <w:r w:rsidRPr="002A595F">
        <w:t>, wound healing complications</w:t>
      </w:r>
      <w:r>
        <w:t xml:space="preserve">, reversible posterior </w:t>
      </w:r>
      <w:proofErr w:type="spellStart"/>
      <w:r>
        <w:t>le</w:t>
      </w:r>
      <w:r w:rsidR="007213A6">
        <w:t>ukoencephalophathy</w:t>
      </w:r>
      <w:proofErr w:type="spellEnd"/>
      <w:r w:rsidR="007213A6">
        <w:t xml:space="preserve"> syndrome, </w:t>
      </w:r>
      <w:proofErr w:type="spellStart"/>
      <w:r w:rsidRPr="002A595F">
        <w:t>proteinuria</w:t>
      </w:r>
      <w:proofErr w:type="spellEnd"/>
      <w:r w:rsidR="009952F4">
        <w:t>,</w:t>
      </w:r>
      <w:r w:rsidR="007213A6">
        <w:t xml:space="preserve"> and elevation of liver enzymes</w:t>
      </w:r>
      <w:r>
        <w:t>.</w:t>
      </w:r>
    </w:p>
    <w:p w:rsidR="00005B5B" w:rsidRPr="007F4C2E" w:rsidRDefault="00D862F5" w:rsidP="007F4C2E">
      <w:pPr>
        <w:pStyle w:val="PINormal"/>
        <w:rPr>
          <w:color w:val="000000"/>
        </w:rPr>
      </w:pPr>
      <w:r>
        <w:t>Table 2</w:t>
      </w:r>
      <w:r w:rsidR="007213A6">
        <w:t xml:space="preserve"> presents </w:t>
      </w:r>
      <w:r w:rsidR="00E16C49" w:rsidRPr="00CD1C5B">
        <w:t>adverse reactions rep</w:t>
      </w:r>
      <w:r w:rsidR="00E16C49">
        <w:t xml:space="preserve">orted in patients who received </w:t>
      </w:r>
      <w:r w:rsidR="0047150E">
        <w:t>INLYTA</w:t>
      </w:r>
      <w:r w:rsidR="00E16C49" w:rsidRPr="00CD1C5B">
        <w:t xml:space="preserve"> or </w:t>
      </w:r>
      <w:proofErr w:type="spellStart"/>
      <w:r w:rsidR="00E16C49" w:rsidRPr="00CD1C5B">
        <w:t>sorafenib</w:t>
      </w:r>
      <w:proofErr w:type="spellEnd"/>
      <w:r w:rsidR="00E16C49" w:rsidRPr="00CD1C5B">
        <w:t>.</w:t>
      </w:r>
      <w:r w:rsidR="006056DD">
        <w:rPr>
          <w:rStyle w:val="BlueText"/>
          <w:color w:val="000000"/>
        </w:rPr>
        <w:t xml:space="preserve"> </w:t>
      </w:r>
      <w:r w:rsidR="00E16C49" w:rsidRPr="00C10ADD">
        <w:t>The adverse reactions are listed by system organ class, frequency category and grade of severity. Frequency categories are defined as: very common (</w:t>
      </w:r>
      <w:r w:rsidR="00E16C49" w:rsidRPr="00C10ADD">
        <w:sym w:font="Symbol" w:char="F0B3"/>
      </w:r>
      <w:r w:rsidR="00E16C49" w:rsidRPr="00C10ADD">
        <w:t>1/10), common (</w:t>
      </w:r>
      <w:r w:rsidR="00E16C49" w:rsidRPr="00C10ADD">
        <w:sym w:font="Symbol" w:char="F0B3"/>
      </w:r>
      <w:r w:rsidR="00E16C49" w:rsidRPr="00C10ADD">
        <w:t>1/100 to &lt;1/10), uncommon (</w:t>
      </w:r>
      <w:r w:rsidR="00E16C49" w:rsidRPr="00C10ADD">
        <w:sym w:font="Symbol" w:char="F0B3"/>
      </w:r>
      <w:r w:rsidR="00E16C49" w:rsidRPr="00C10ADD">
        <w:t>1/1,000 to &lt;1/100), rare (</w:t>
      </w:r>
      <w:r w:rsidR="00E16C49" w:rsidRPr="00C10ADD">
        <w:sym w:font="Symbol" w:char="F0B3"/>
      </w:r>
      <w:r w:rsidR="00E16C49" w:rsidRPr="00C10ADD">
        <w:t>1/10,000 to &lt;1/1,000), very rare (&lt;1/10,000), not known (cannot be estimated from the available data).</w:t>
      </w:r>
    </w:p>
    <w:p w:rsidR="001C1D2D" w:rsidRDefault="00D862F5" w:rsidP="00E16C49">
      <w:pPr>
        <w:pStyle w:val="PITableTitle"/>
      </w:pPr>
      <w:r>
        <w:t xml:space="preserve">Table 2: </w:t>
      </w:r>
      <w:r w:rsidR="00E16C49" w:rsidRPr="003F0B23">
        <w:t xml:space="preserve">Adverse Reactions Reported in </w:t>
      </w:r>
      <w:r w:rsidR="00E16C49" w:rsidRPr="003F0B23">
        <w:rPr>
          <w:rFonts w:hint="eastAsia"/>
        </w:rPr>
        <w:t>the</w:t>
      </w:r>
      <w:r w:rsidR="00E16C49" w:rsidRPr="003F0B23">
        <w:t xml:space="preserve"> RCC Study in Patients who Received </w:t>
      </w:r>
      <w:r w:rsidR="0047150E">
        <w:t>INLYTA</w:t>
      </w:r>
      <w:r w:rsidR="000B5CE3">
        <w:t xml:space="preserve"> or </w:t>
      </w:r>
      <w:proofErr w:type="spellStart"/>
      <w:r w:rsidR="000B5CE3">
        <w:t>Sorafenib</w:t>
      </w:r>
      <w:proofErr w:type="spellEnd"/>
      <w:r w:rsidR="000B5CE3">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581"/>
        <w:gridCol w:w="1436"/>
        <w:gridCol w:w="2010"/>
        <w:gridCol w:w="976"/>
        <w:gridCol w:w="976"/>
        <w:gridCol w:w="976"/>
        <w:gridCol w:w="976"/>
      </w:tblGrid>
      <w:tr w:rsidR="006056DD" w:rsidRPr="006056DD" w:rsidTr="00482414">
        <w:trPr>
          <w:cantSplit/>
          <w:tblHeader/>
        </w:trPr>
        <w:tc>
          <w:tcPr>
            <w:tcW w:w="1581" w:type="dxa"/>
            <w:vMerge w:val="restart"/>
            <w:tcBorders>
              <w:top w:val="single" w:sz="12" w:space="0" w:color="auto"/>
              <w:left w:val="single" w:sz="12" w:space="0" w:color="auto"/>
            </w:tcBorders>
            <w:shd w:val="clear" w:color="auto" w:fill="auto"/>
            <w:vAlign w:val="center"/>
          </w:tcPr>
          <w:p w:rsidR="006056DD" w:rsidRPr="006056DD" w:rsidRDefault="006056DD" w:rsidP="006056DD">
            <w:pPr>
              <w:pStyle w:val="PITableTextListText"/>
              <w:rPr>
                <w:rStyle w:val="TableText9"/>
                <w:b/>
                <w:sz w:val="20"/>
                <w:szCs w:val="20"/>
              </w:rPr>
            </w:pPr>
            <w:r w:rsidRPr="006056DD">
              <w:rPr>
                <w:rStyle w:val="TableText9"/>
                <w:b/>
                <w:sz w:val="20"/>
                <w:szCs w:val="20"/>
              </w:rPr>
              <w:t>System Organ Class</w:t>
            </w:r>
          </w:p>
        </w:tc>
        <w:tc>
          <w:tcPr>
            <w:tcW w:w="1436" w:type="dxa"/>
            <w:vMerge w:val="restart"/>
            <w:tcBorders>
              <w:top w:val="single" w:sz="12" w:space="0" w:color="auto"/>
            </w:tcBorders>
            <w:shd w:val="clear" w:color="auto" w:fill="auto"/>
            <w:vAlign w:val="center"/>
          </w:tcPr>
          <w:p w:rsidR="006056DD" w:rsidRPr="006056DD" w:rsidRDefault="006056DD" w:rsidP="006056DD">
            <w:pPr>
              <w:pStyle w:val="PITableTextListText"/>
              <w:rPr>
                <w:rStyle w:val="TableText9"/>
                <w:b/>
                <w:sz w:val="20"/>
                <w:szCs w:val="20"/>
              </w:rPr>
            </w:pPr>
            <w:r w:rsidRPr="006056DD">
              <w:rPr>
                <w:rStyle w:val="TableText9"/>
                <w:b/>
                <w:sz w:val="20"/>
                <w:szCs w:val="20"/>
              </w:rPr>
              <w:t>Frequency Category</w:t>
            </w:r>
          </w:p>
        </w:tc>
        <w:tc>
          <w:tcPr>
            <w:tcW w:w="2010" w:type="dxa"/>
            <w:vMerge w:val="restart"/>
            <w:tcBorders>
              <w:top w:val="single" w:sz="12" w:space="0" w:color="auto"/>
            </w:tcBorders>
            <w:shd w:val="clear" w:color="auto" w:fill="auto"/>
            <w:vAlign w:val="center"/>
          </w:tcPr>
          <w:p w:rsidR="006056DD" w:rsidRPr="006056DD" w:rsidRDefault="006056DD" w:rsidP="006056DD">
            <w:pPr>
              <w:pStyle w:val="PITableTextListText"/>
              <w:rPr>
                <w:rStyle w:val="TableText9"/>
                <w:b/>
                <w:sz w:val="20"/>
                <w:szCs w:val="20"/>
              </w:rPr>
            </w:pPr>
            <w:r w:rsidRPr="006056DD">
              <w:rPr>
                <w:rStyle w:val="TableText9"/>
                <w:b/>
                <w:sz w:val="20"/>
                <w:szCs w:val="20"/>
              </w:rPr>
              <w:t>Preferred Term</w:t>
            </w:r>
          </w:p>
        </w:tc>
        <w:tc>
          <w:tcPr>
            <w:tcW w:w="1952" w:type="dxa"/>
            <w:gridSpan w:val="2"/>
            <w:tcBorders>
              <w:top w:val="single" w:sz="12" w:space="0" w:color="auto"/>
            </w:tcBorders>
            <w:shd w:val="clear" w:color="auto" w:fill="auto"/>
            <w:vAlign w:val="center"/>
          </w:tcPr>
          <w:p w:rsidR="00852617" w:rsidRDefault="00311975" w:rsidP="002F7087">
            <w:pPr>
              <w:pStyle w:val="PITableTextListText"/>
              <w:jc w:val="center"/>
              <w:rPr>
                <w:rStyle w:val="TableText9"/>
                <w:b/>
                <w:sz w:val="20"/>
                <w:szCs w:val="20"/>
              </w:rPr>
            </w:pPr>
            <w:r>
              <w:rPr>
                <w:rStyle w:val="TableText9"/>
                <w:b/>
                <w:sz w:val="20"/>
                <w:szCs w:val="20"/>
              </w:rPr>
              <w:t xml:space="preserve">INLYTA </w:t>
            </w:r>
          </w:p>
          <w:p w:rsidR="00F36471" w:rsidRPr="006056DD" w:rsidRDefault="00311975" w:rsidP="002F7087">
            <w:pPr>
              <w:pStyle w:val="PITableTextListText"/>
              <w:jc w:val="center"/>
              <w:rPr>
                <w:rStyle w:val="TableText9"/>
                <w:b/>
                <w:sz w:val="20"/>
                <w:szCs w:val="20"/>
              </w:rPr>
            </w:pPr>
            <w:r>
              <w:rPr>
                <w:rStyle w:val="TableText9"/>
                <w:b/>
                <w:sz w:val="20"/>
                <w:szCs w:val="20"/>
              </w:rPr>
              <w:t>(N</w:t>
            </w:r>
            <w:r w:rsidR="006056DD" w:rsidRPr="006056DD">
              <w:rPr>
                <w:rStyle w:val="TableText9"/>
                <w:b/>
                <w:sz w:val="20"/>
                <w:szCs w:val="20"/>
              </w:rPr>
              <w:t>= 359)</w:t>
            </w:r>
          </w:p>
        </w:tc>
        <w:tc>
          <w:tcPr>
            <w:tcW w:w="1952" w:type="dxa"/>
            <w:gridSpan w:val="2"/>
            <w:tcBorders>
              <w:top w:val="single" w:sz="12" w:space="0" w:color="auto"/>
              <w:right w:val="single" w:sz="12" w:space="0" w:color="auto"/>
            </w:tcBorders>
            <w:shd w:val="clear" w:color="auto" w:fill="auto"/>
            <w:vAlign w:val="center"/>
          </w:tcPr>
          <w:p w:rsidR="00852617" w:rsidRDefault="00311975" w:rsidP="002F7087">
            <w:pPr>
              <w:pStyle w:val="PITableTextListText"/>
              <w:jc w:val="center"/>
              <w:rPr>
                <w:rStyle w:val="TableText9"/>
                <w:b/>
                <w:sz w:val="20"/>
                <w:szCs w:val="20"/>
              </w:rPr>
            </w:pPr>
            <w:proofErr w:type="spellStart"/>
            <w:r>
              <w:rPr>
                <w:rStyle w:val="TableText9"/>
                <w:b/>
                <w:sz w:val="20"/>
                <w:szCs w:val="20"/>
              </w:rPr>
              <w:t>Sorafenib</w:t>
            </w:r>
            <w:proofErr w:type="spellEnd"/>
            <w:r>
              <w:rPr>
                <w:rStyle w:val="TableText9"/>
                <w:b/>
                <w:sz w:val="20"/>
                <w:szCs w:val="20"/>
              </w:rPr>
              <w:t xml:space="preserve"> </w:t>
            </w:r>
          </w:p>
          <w:p w:rsidR="00F36471" w:rsidRPr="006056DD" w:rsidRDefault="00311975" w:rsidP="002F7087">
            <w:pPr>
              <w:pStyle w:val="PITableTextListText"/>
              <w:jc w:val="center"/>
              <w:rPr>
                <w:rStyle w:val="TableText9"/>
                <w:b/>
                <w:sz w:val="20"/>
                <w:szCs w:val="20"/>
              </w:rPr>
            </w:pPr>
            <w:r>
              <w:rPr>
                <w:rStyle w:val="TableText9"/>
                <w:b/>
                <w:sz w:val="20"/>
                <w:szCs w:val="20"/>
              </w:rPr>
              <w:t>(N</w:t>
            </w:r>
            <w:r w:rsidR="006056DD" w:rsidRPr="006056DD">
              <w:rPr>
                <w:rStyle w:val="TableText9"/>
                <w:b/>
                <w:sz w:val="20"/>
                <w:szCs w:val="20"/>
              </w:rPr>
              <w:t>=355)</w:t>
            </w:r>
          </w:p>
        </w:tc>
      </w:tr>
      <w:tr w:rsidR="006056DD" w:rsidRPr="006056DD" w:rsidTr="00482414">
        <w:trPr>
          <w:cantSplit/>
          <w:trHeight w:val="510"/>
          <w:tblHeader/>
        </w:trPr>
        <w:tc>
          <w:tcPr>
            <w:tcW w:w="1581" w:type="dxa"/>
            <w:vMerge/>
            <w:tcBorders>
              <w:left w:val="single" w:sz="12" w:space="0" w:color="auto"/>
            </w:tcBorders>
            <w:shd w:val="clear" w:color="auto" w:fill="auto"/>
            <w:vAlign w:val="center"/>
          </w:tcPr>
          <w:p w:rsidR="006056DD" w:rsidRPr="006056DD" w:rsidRDefault="006056DD" w:rsidP="006056DD">
            <w:pPr>
              <w:pStyle w:val="PITableTextListText"/>
              <w:rPr>
                <w:rStyle w:val="TableText9"/>
                <w:b/>
                <w:sz w:val="20"/>
                <w:szCs w:val="20"/>
              </w:rPr>
            </w:pPr>
          </w:p>
        </w:tc>
        <w:tc>
          <w:tcPr>
            <w:tcW w:w="1436" w:type="dxa"/>
            <w:vMerge/>
            <w:shd w:val="clear" w:color="auto" w:fill="auto"/>
            <w:vAlign w:val="center"/>
          </w:tcPr>
          <w:p w:rsidR="006056DD" w:rsidRPr="006056DD" w:rsidRDefault="006056DD" w:rsidP="006056DD">
            <w:pPr>
              <w:pStyle w:val="PITableTextListText"/>
              <w:rPr>
                <w:rStyle w:val="TableText9"/>
                <w:b/>
                <w:sz w:val="20"/>
                <w:szCs w:val="20"/>
              </w:rPr>
            </w:pPr>
          </w:p>
        </w:tc>
        <w:tc>
          <w:tcPr>
            <w:tcW w:w="2010" w:type="dxa"/>
            <w:vMerge/>
            <w:shd w:val="clear" w:color="auto" w:fill="auto"/>
            <w:vAlign w:val="center"/>
          </w:tcPr>
          <w:p w:rsidR="006056DD" w:rsidRPr="006056DD" w:rsidRDefault="006056DD" w:rsidP="006056DD">
            <w:pPr>
              <w:pStyle w:val="PITableTextListText"/>
              <w:rPr>
                <w:rStyle w:val="TableText9"/>
                <w:b/>
                <w:sz w:val="20"/>
                <w:szCs w:val="20"/>
              </w:rPr>
            </w:pPr>
          </w:p>
        </w:tc>
        <w:tc>
          <w:tcPr>
            <w:tcW w:w="976" w:type="dxa"/>
            <w:shd w:val="clear" w:color="auto" w:fill="auto"/>
            <w:vAlign w:val="center"/>
          </w:tcPr>
          <w:p w:rsidR="00F2274B" w:rsidRPr="006056DD" w:rsidRDefault="006056DD" w:rsidP="002F7087">
            <w:pPr>
              <w:pStyle w:val="PITableTextListText"/>
              <w:jc w:val="center"/>
              <w:rPr>
                <w:rStyle w:val="TableText9"/>
                <w:b/>
                <w:sz w:val="20"/>
                <w:szCs w:val="20"/>
              </w:rPr>
            </w:pPr>
            <w:r w:rsidRPr="006056DD">
              <w:rPr>
                <w:rStyle w:val="TableText9"/>
                <w:b/>
                <w:sz w:val="20"/>
                <w:szCs w:val="20"/>
              </w:rPr>
              <w:t xml:space="preserve">All </w:t>
            </w:r>
            <w:proofErr w:type="spellStart"/>
            <w:r w:rsidRPr="006056DD">
              <w:rPr>
                <w:rStyle w:val="TableText9"/>
                <w:b/>
                <w:sz w:val="20"/>
                <w:szCs w:val="20"/>
              </w:rPr>
              <w:t>Grades</w:t>
            </w:r>
            <w:r w:rsidRPr="00F2274B">
              <w:rPr>
                <w:rStyle w:val="TableText9"/>
                <w:b/>
                <w:sz w:val="20"/>
                <w:szCs w:val="20"/>
                <w:vertAlign w:val="superscript"/>
              </w:rPr>
              <w:t>a</w:t>
            </w:r>
            <w:proofErr w:type="spellEnd"/>
          </w:p>
        </w:tc>
        <w:tc>
          <w:tcPr>
            <w:tcW w:w="976" w:type="dxa"/>
            <w:shd w:val="clear" w:color="auto" w:fill="auto"/>
            <w:vAlign w:val="center"/>
          </w:tcPr>
          <w:p w:rsidR="006056DD" w:rsidRPr="006056DD" w:rsidRDefault="006056DD" w:rsidP="002F7087">
            <w:pPr>
              <w:pStyle w:val="PITableTextListText"/>
              <w:jc w:val="center"/>
              <w:rPr>
                <w:rStyle w:val="TableText9"/>
                <w:b/>
                <w:sz w:val="20"/>
                <w:szCs w:val="20"/>
              </w:rPr>
            </w:pPr>
            <w:r w:rsidRPr="006056DD">
              <w:rPr>
                <w:rStyle w:val="TableText9"/>
                <w:b/>
                <w:sz w:val="20"/>
                <w:szCs w:val="20"/>
              </w:rPr>
              <w:t xml:space="preserve">Grade </w:t>
            </w:r>
            <w:r w:rsidRPr="006056DD">
              <w:rPr>
                <w:rStyle w:val="TableText9"/>
                <w:b/>
                <w:sz w:val="20"/>
                <w:szCs w:val="20"/>
              </w:rPr>
              <w:sym w:font="Symbol" w:char="F0B3"/>
            </w:r>
            <w:r w:rsidRPr="006056DD">
              <w:rPr>
                <w:rStyle w:val="TableText9"/>
                <w:b/>
                <w:sz w:val="20"/>
                <w:szCs w:val="20"/>
              </w:rPr>
              <w:t>3</w:t>
            </w:r>
          </w:p>
        </w:tc>
        <w:tc>
          <w:tcPr>
            <w:tcW w:w="976" w:type="dxa"/>
            <w:shd w:val="clear" w:color="auto" w:fill="auto"/>
            <w:vAlign w:val="center"/>
          </w:tcPr>
          <w:p w:rsidR="00F2274B" w:rsidRPr="006056DD" w:rsidRDefault="006056DD" w:rsidP="002F7087">
            <w:pPr>
              <w:pStyle w:val="PITableTextListText"/>
              <w:jc w:val="center"/>
              <w:rPr>
                <w:rStyle w:val="TableText9"/>
                <w:b/>
                <w:sz w:val="20"/>
                <w:szCs w:val="20"/>
              </w:rPr>
            </w:pPr>
            <w:r w:rsidRPr="006056DD">
              <w:rPr>
                <w:rStyle w:val="TableText9"/>
                <w:b/>
                <w:sz w:val="20"/>
                <w:szCs w:val="20"/>
              </w:rPr>
              <w:t xml:space="preserve">All </w:t>
            </w:r>
            <w:proofErr w:type="spellStart"/>
            <w:r w:rsidRPr="006056DD">
              <w:rPr>
                <w:rStyle w:val="TableText9"/>
                <w:b/>
                <w:sz w:val="20"/>
                <w:szCs w:val="20"/>
              </w:rPr>
              <w:t>Grades</w:t>
            </w:r>
            <w:r w:rsidRPr="00F2274B">
              <w:rPr>
                <w:rStyle w:val="TableText9"/>
                <w:b/>
                <w:sz w:val="20"/>
                <w:szCs w:val="20"/>
                <w:vertAlign w:val="superscript"/>
              </w:rPr>
              <w:t>a</w:t>
            </w:r>
            <w:proofErr w:type="spellEnd"/>
          </w:p>
        </w:tc>
        <w:tc>
          <w:tcPr>
            <w:tcW w:w="976" w:type="dxa"/>
            <w:tcBorders>
              <w:right w:val="single" w:sz="12" w:space="0" w:color="auto"/>
            </w:tcBorders>
            <w:shd w:val="clear" w:color="auto" w:fill="auto"/>
            <w:vAlign w:val="center"/>
          </w:tcPr>
          <w:p w:rsidR="006056DD" w:rsidRPr="006056DD" w:rsidRDefault="006056DD" w:rsidP="002F7087">
            <w:pPr>
              <w:pStyle w:val="PITableTextListText"/>
              <w:jc w:val="center"/>
              <w:rPr>
                <w:rStyle w:val="TableText9"/>
                <w:b/>
                <w:sz w:val="20"/>
                <w:szCs w:val="20"/>
              </w:rPr>
            </w:pPr>
            <w:r w:rsidRPr="006056DD">
              <w:rPr>
                <w:rStyle w:val="TableText9"/>
                <w:b/>
                <w:sz w:val="20"/>
                <w:szCs w:val="20"/>
              </w:rPr>
              <w:t xml:space="preserve">Grade </w:t>
            </w:r>
            <w:r w:rsidRPr="006056DD">
              <w:rPr>
                <w:rStyle w:val="TableText9"/>
                <w:b/>
                <w:sz w:val="20"/>
                <w:szCs w:val="20"/>
              </w:rPr>
              <w:sym w:font="Symbol" w:char="F0B3"/>
            </w:r>
            <w:r w:rsidRPr="006056DD">
              <w:rPr>
                <w:rStyle w:val="TableText9"/>
                <w:b/>
                <w:sz w:val="20"/>
                <w:szCs w:val="20"/>
              </w:rPr>
              <w:t>3</w:t>
            </w:r>
          </w:p>
        </w:tc>
      </w:tr>
      <w:tr w:rsidR="006056DD" w:rsidRPr="006056DD" w:rsidTr="00482414">
        <w:trPr>
          <w:cantSplit/>
          <w:trHeight w:val="285"/>
          <w:tblHeader/>
        </w:trPr>
        <w:tc>
          <w:tcPr>
            <w:tcW w:w="1581" w:type="dxa"/>
            <w:vMerge/>
            <w:tcBorders>
              <w:left w:val="single" w:sz="12" w:space="0" w:color="auto"/>
              <w:bottom w:val="single" w:sz="12" w:space="0" w:color="auto"/>
            </w:tcBorders>
            <w:shd w:val="clear" w:color="auto" w:fill="auto"/>
            <w:vAlign w:val="center"/>
          </w:tcPr>
          <w:p w:rsidR="006056DD" w:rsidRPr="006056DD" w:rsidRDefault="006056DD" w:rsidP="006056DD">
            <w:pPr>
              <w:pStyle w:val="PITableTextListText"/>
              <w:rPr>
                <w:rStyle w:val="TableText9"/>
                <w:b/>
                <w:sz w:val="20"/>
                <w:szCs w:val="20"/>
              </w:rPr>
            </w:pPr>
          </w:p>
        </w:tc>
        <w:tc>
          <w:tcPr>
            <w:tcW w:w="1436" w:type="dxa"/>
            <w:vMerge/>
            <w:tcBorders>
              <w:bottom w:val="single" w:sz="12" w:space="0" w:color="auto"/>
            </w:tcBorders>
            <w:shd w:val="clear" w:color="auto" w:fill="auto"/>
            <w:vAlign w:val="center"/>
          </w:tcPr>
          <w:p w:rsidR="006056DD" w:rsidRPr="006056DD" w:rsidRDefault="006056DD" w:rsidP="006056DD">
            <w:pPr>
              <w:pStyle w:val="PITableTextListText"/>
              <w:rPr>
                <w:rStyle w:val="TableText9"/>
                <w:b/>
                <w:sz w:val="20"/>
                <w:szCs w:val="20"/>
              </w:rPr>
            </w:pPr>
          </w:p>
        </w:tc>
        <w:tc>
          <w:tcPr>
            <w:tcW w:w="2010" w:type="dxa"/>
            <w:vMerge/>
            <w:tcBorders>
              <w:bottom w:val="single" w:sz="12" w:space="0" w:color="auto"/>
            </w:tcBorders>
            <w:shd w:val="clear" w:color="auto" w:fill="auto"/>
            <w:vAlign w:val="center"/>
          </w:tcPr>
          <w:p w:rsidR="006056DD" w:rsidRPr="006056DD" w:rsidRDefault="006056DD" w:rsidP="006056DD">
            <w:pPr>
              <w:pStyle w:val="PITableTextListText"/>
              <w:rPr>
                <w:rStyle w:val="TableText9"/>
                <w:b/>
                <w:sz w:val="20"/>
                <w:szCs w:val="20"/>
              </w:rPr>
            </w:pPr>
          </w:p>
        </w:tc>
        <w:tc>
          <w:tcPr>
            <w:tcW w:w="976" w:type="dxa"/>
            <w:tcBorders>
              <w:bottom w:val="single" w:sz="12" w:space="0" w:color="auto"/>
            </w:tcBorders>
            <w:shd w:val="clear" w:color="auto" w:fill="auto"/>
            <w:vAlign w:val="center"/>
          </w:tcPr>
          <w:p w:rsidR="006056DD" w:rsidRPr="006056DD" w:rsidRDefault="006056DD" w:rsidP="002F7087">
            <w:pPr>
              <w:pStyle w:val="PITableTextListText"/>
              <w:jc w:val="center"/>
              <w:rPr>
                <w:rStyle w:val="TableText9"/>
                <w:b/>
                <w:sz w:val="20"/>
                <w:szCs w:val="20"/>
              </w:rPr>
            </w:pPr>
            <w:r w:rsidRPr="006056DD">
              <w:rPr>
                <w:rStyle w:val="TableText9"/>
                <w:b/>
                <w:sz w:val="20"/>
                <w:szCs w:val="20"/>
              </w:rPr>
              <w:t>%</w:t>
            </w:r>
          </w:p>
        </w:tc>
        <w:tc>
          <w:tcPr>
            <w:tcW w:w="976" w:type="dxa"/>
            <w:tcBorders>
              <w:bottom w:val="single" w:sz="12" w:space="0" w:color="auto"/>
            </w:tcBorders>
            <w:shd w:val="clear" w:color="auto" w:fill="auto"/>
            <w:vAlign w:val="center"/>
          </w:tcPr>
          <w:p w:rsidR="006056DD" w:rsidRPr="006056DD" w:rsidRDefault="006056DD" w:rsidP="002F7087">
            <w:pPr>
              <w:pStyle w:val="PITableTextListText"/>
              <w:jc w:val="center"/>
              <w:rPr>
                <w:rStyle w:val="TableText9"/>
                <w:b/>
                <w:sz w:val="20"/>
                <w:szCs w:val="20"/>
              </w:rPr>
            </w:pPr>
            <w:r w:rsidRPr="006056DD">
              <w:rPr>
                <w:rStyle w:val="TableText9"/>
                <w:b/>
                <w:sz w:val="20"/>
                <w:szCs w:val="20"/>
              </w:rPr>
              <w:t>%</w:t>
            </w:r>
          </w:p>
        </w:tc>
        <w:tc>
          <w:tcPr>
            <w:tcW w:w="976" w:type="dxa"/>
            <w:tcBorders>
              <w:bottom w:val="single" w:sz="12" w:space="0" w:color="auto"/>
            </w:tcBorders>
            <w:shd w:val="clear" w:color="auto" w:fill="auto"/>
            <w:vAlign w:val="center"/>
          </w:tcPr>
          <w:p w:rsidR="006056DD" w:rsidRPr="006056DD" w:rsidRDefault="006056DD" w:rsidP="002F7087">
            <w:pPr>
              <w:pStyle w:val="PITableTextListText"/>
              <w:jc w:val="center"/>
              <w:rPr>
                <w:rStyle w:val="TableText9"/>
                <w:b/>
                <w:sz w:val="20"/>
                <w:szCs w:val="20"/>
              </w:rPr>
            </w:pPr>
            <w:r w:rsidRPr="006056DD">
              <w:rPr>
                <w:rStyle w:val="TableText9"/>
                <w:b/>
                <w:sz w:val="20"/>
                <w:szCs w:val="20"/>
              </w:rPr>
              <w:t>%</w:t>
            </w:r>
          </w:p>
        </w:tc>
        <w:tc>
          <w:tcPr>
            <w:tcW w:w="976" w:type="dxa"/>
            <w:tcBorders>
              <w:bottom w:val="single" w:sz="12" w:space="0" w:color="auto"/>
              <w:right w:val="single" w:sz="12" w:space="0" w:color="auto"/>
            </w:tcBorders>
            <w:shd w:val="clear" w:color="auto" w:fill="auto"/>
            <w:vAlign w:val="center"/>
          </w:tcPr>
          <w:p w:rsidR="00F2274B" w:rsidRPr="006056DD" w:rsidRDefault="006056DD" w:rsidP="00F36471">
            <w:pPr>
              <w:pStyle w:val="PITableTextListText"/>
              <w:jc w:val="center"/>
              <w:rPr>
                <w:rStyle w:val="TableText9"/>
                <w:b/>
                <w:sz w:val="20"/>
                <w:szCs w:val="20"/>
              </w:rPr>
            </w:pPr>
            <w:r w:rsidRPr="006056DD">
              <w:rPr>
                <w:rStyle w:val="TableText9"/>
                <w:b/>
                <w:sz w:val="20"/>
                <w:szCs w:val="20"/>
              </w:rPr>
              <w:t>%</w:t>
            </w:r>
          </w:p>
        </w:tc>
      </w:tr>
      <w:tr w:rsidR="006056DD" w:rsidRPr="006056DD" w:rsidTr="00482414">
        <w:trPr>
          <w:cantSplit/>
          <w:trHeight w:val="345"/>
        </w:trPr>
        <w:tc>
          <w:tcPr>
            <w:tcW w:w="1581" w:type="dxa"/>
            <w:vMerge w:val="restart"/>
            <w:tcBorders>
              <w:top w:val="single" w:sz="12" w:space="0" w:color="auto"/>
              <w:left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 xml:space="preserve">Blood and lymphatic system disorders </w:t>
            </w:r>
          </w:p>
        </w:tc>
        <w:tc>
          <w:tcPr>
            <w:tcW w:w="1436" w:type="dxa"/>
            <w:tcBorders>
              <w:top w:val="single" w:sz="12" w:space="0" w:color="auto"/>
              <w:right w:val="single" w:sz="4"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Common</w:t>
            </w:r>
          </w:p>
        </w:tc>
        <w:tc>
          <w:tcPr>
            <w:tcW w:w="2010" w:type="dxa"/>
            <w:tcBorders>
              <w:top w:val="single" w:sz="12" w:space="0" w:color="auto"/>
              <w:left w:val="single" w:sz="4"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Anaemia</w:t>
            </w:r>
          </w:p>
        </w:tc>
        <w:tc>
          <w:tcPr>
            <w:tcW w:w="976" w:type="dxa"/>
            <w:tcBorders>
              <w:top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3.6</w:t>
            </w:r>
          </w:p>
        </w:tc>
        <w:tc>
          <w:tcPr>
            <w:tcW w:w="976" w:type="dxa"/>
            <w:tcBorders>
              <w:top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0.6</w:t>
            </w:r>
          </w:p>
        </w:tc>
        <w:tc>
          <w:tcPr>
            <w:tcW w:w="976" w:type="dxa"/>
            <w:tcBorders>
              <w:top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11.5</w:t>
            </w:r>
          </w:p>
        </w:tc>
        <w:tc>
          <w:tcPr>
            <w:tcW w:w="976" w:type="dxa"/>
            <w:tcBorders>
              <w:top w:val="single" w:sz="12"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3.9</w:t>
            </w:r>
          </w:p>
        </w:tc>
      </w:tr>
      <w:tr w:rsidR="006056DD" w:rsidRPr="006056DD" w:rsidTr="00482414">
        <w:trPr>
          <w:cantSplit/>
          <w:trHeight w:val="345"/>
        </w:trPr>
        <w:tc>
          <w:tcPr>
            <w:tcW w:w="1581" w:type="dxa"/>
            <w:vMerge/>
            <w:tcBorders>
              <w:left w:val="single" w:sz="12" w:space="0" w:color="auto"/>
            </w:tcBorders>
            <w:shd w:val="clear" w:color="auto" w:fill="auto"/>
          </w:tcPr>
          <w:p w:rsidR="006056DD" w:rsidRPr="006056DD" w:rsidRDefault="006056DD" w:rsidP="006056DD">
            <w:pPr>
              <w:pStyle w:val="PITableTextListText"/>
              <w:rPr>
                <w:rStyle w:val="TableText9"/>
                <w:sz w:val="20"/>
                <w:szCs w:val="20"/>
              </w:rPr>
            </w:pPr>
          </w:p>
        </w:tc>
        <w:tc>
          <w:tcPr>
            <w:tcW w:w="1436" w:type="dxa"/>
            <w:tcBorders>
              <w:right w:val="single" w:sz="4"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Uncommon</w:t>
            </w:r>
          </w:p>
        </w:tc>
        <w:tc>
          <w:tcPr>
            <w:tcW w:w="2010" w:type="dxa"/>
            <w:tcBorders>
              <w:top w:val="single" w:sz="4" w:space="0" w:color="auto"/>
              <w:left w:val="single" w:sz="4" w:space="0" w:color="auto"/>
            </w:tcBorders>
            <w:shd w:val="clear" w:color="auto" w:fill="auto"/>
          </w:tcPr>
          <w:p w:rsidR="006056DD" w:rsidRPr="006056DD" w:rsidRDefault="006056DD" w:rsidP="006056DD">
            <w:pPr>
              <w:pStyle w:val="PITableTextListText"/>
              <w:rPr>
                <w:rStyle w:val="TableText9"/>
                <w:sz w:val="20"/>
                <w:szCs w:val="20"/>
              </w:rPr>
            </w:pPr>
            <w:proofErr w:type="spellStart"/>
            <w:r w:rsidRPr="006056DD">
              <w:rPr>
                <w:rStyle w:val="TableText9"/>
                <w:sz w:val="20"/>
                <w:szCs w:val="20"/>
              </w:rPr>
              <w:t>Polycythaemia</w:t>
            </w:r>
            <w:proofErr w:type="spellEnd"/>
          </w:p>
        </w:tc>
        <w:tc>
          <w:tcPr>
            <w:tcW w:w="976" w:type="dxa"/>
            <w:tcBorders>
              <w:top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0.8</w:t>
            </w:r>
          </w:p>
        </w:tc>
        <w:tc>
          <w:tcPr>
            <w:tcW w:w="976" w:type="dxa"/>
            <w:tcBorders>
              <w:top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4"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p>
        </w:tc>
      </w:tr>
      <w:tr w:rsidR="006056DD" w:rsidRPr="006056DD" w:rsidTr="00482414">
        <w:trPr>
          <w:cantSplit/>
          <w:trHeight w:val="146"/>
        </w:trPr>
        <w:tc>
          <w:tcPr>
            <w:tcW w:w="1581" w:type="dxa"/>
            <w:tcBorders>
              <w:top w:val="single" w:sz="12" w:space="0" w:color="auto"/>
              <w:left w:val="single" w:sz="12" w:space="0" w:color="auto"/>
              <w:bottom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 xml:space="preserve">Endocrine disorders </w:t>
            </w:r>
          </w:p>
        </w:tc>
        <w:tc>
          <w:tcPr>
            <w:tcW w:w="1436" w:type="dxa"/>
            <w:tcBorders>
              <w:top w:val="single" w:sz="12" w:space="0" w:color="auto"/>
              <w:bottom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bottom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Hypothyroidism</w:t>
            </w:r>
          </w:p>
        </w:tc>
        <w:tc>
          <w:tcPr>
            <w:tcW w:w="976" w:type="dxa"/>
            <w:tcBorders>
              <w:top w:val="single" w:sz="12" w:space="0" w:color="auto"/>
              <w:bottom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19.2</w:t>
            </w:r>
          </w:p>
        </w:tc>
        <w:tc>
          <w:tcPr>
            <w:tcW w:w="976" w:type="dxa"/>
            <w:tcBorders>
              <w:top w:val="single" w:sz="12" w:space="0" w:color="auto"/>
              <w:bottom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12" w:space="0" w:color="auto"/>
              <w:bottom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8.2</w:t>
            </w:r>
          </w:p>
        </w:tc>
        <w:tc>
          <w:tcPr>
            <w:tcW w:w="976" w:type="dxa"/>
            <w:tcBorders>
              <w:top w:val="single" w:sz="12" w:space="0" w:color="auto"/>
              <w:bottom w:val="single" w:sz="12"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p>
        </w:tc>
      </w:tr>
      <w:tr w:rsidR="006056DD" w:rsidRPr="006056DD" w:rsidTr="00482414">
        <w:trPr>
          <w:cantSplit/>
          <w:trHeight w:val="108"/>
        </w:trPr>
        <w:tc>
          <w:tcPr>
            <w:tcW w:w="1581" w:type="dxa"/>
            <w:vMerge w:val="restart"/>
            <w:tcBorders>
              <w:top w:val="single" w:sz="12" w:space="0" w:color="auto"/>
              <w:left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 xml:space="preserve">Metabolism and nutrition disorders </w:t>
            </w:r>
          </w:p>
        </w:tc>
        <w:tc>
          <w:tcPr>
            <w:tcW w:w="1436" w:type="dxa"/>
            <w:tcBorders>
              <w:top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Decreased appetite</w:t>
            </w:r>
          </w:p>
        </w:tc>
        <w:tc>
          <w:tcPr>
            <w:tcW w:w="976" w:type="dxa"/>
            <w:tcBorders>
              <w:top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34.0</w:t>
            </w:r>
          </w:p>
        </w:tc>
        <w:tc>
          <w:tcPr>
            <w:tcW w:w="976" w:type="dxa"/>
            <w:tcBorders>
              <w:top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5.0</w:t>
            </w:r>
          </w:p>
        </w:tc>
        <w:tc>
          <w:tcPr>
            <w:tcW w:w="976" w:type="dxa"/>
            <w:tcBorders>
              <w:top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28.5</w:t>
            </w:r>
          </w:p>
        </w:tc>
        <w:tc>
          <w:tcPr>
            <w:tcW w:w="976" w:type="dxa"/>
            <w:tcBorders>
              <w:top w:val="single" w:sz="12"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3.7</w:t>
            </w:r>
          </w:p>
        </w:tc>
      </w:tr>
      <w:tr w:rsidR="006056DD" w:rsidRPr="006056DD" w:rsidTr="00482414">
        <w:trPr>
          <w:cantSplit/>
          <w:trHeight w:val="225"/>
        </w:trPr>
        <w:tc>
          <w:tcPr>
            <w:tcW w:w="1581" w:type="dxa"/>
            <w:vMerge/>
            <w:tcBorders>
              <w:left w:val="single" w:sz="12" w:space="0" w:color="auto"/>
            </w:tcBorders>
            <w:shd w:val="clear" w:color="auto" w:fill="auto"/>
          </w:tcPr>
          <w:p w:rsidR="006056DD" w:rsidRPr="006056DD" w:rsidRDefault="006056DD" w:rsidP="006056DD">
            <w:pPr>
              <w:pStyle w:val="PITableTextListText"/>
              <w:rPr>
                <w:rStyle w:val="TableText9"/>
                <w:sz w:val="20"/>
                <w:szCs w:val="20"/>
              </w:rPr>
            </w:pPr>
          </w:p>
        </w:tc>
        <w:tc>
          <w:tcPr>
            <w:tcW w:w="1436" w:type="dxa"/>
            <w:vMerge w:val="restart"/>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Common</w:t>
            </w:r>
          </w:p>
        </w:tc>
        <w:tc>
          <w:tcPr>
            <w:tcW w:w="2010" w:type="dxa"/>
            <w:tcBorders>
              <w:bottom w:val="single" w:sz="4"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Dehydration</w:t>
            </w:r>
          </w:p>
        </w:tc>
        <w:tc>
          <w:tcPr>
            <w:tcW w:w="976" w:type="dxa"/>
            <w:tcBorders>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6.4</w:t>
            </w:r>
          </w:p>
        </w:tc>
        <w:tc>
          <w:tcPr>
            <w:tcW w:w="976" w:type="dxa"/>
            <w:tcBorders>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3.6</w:t>
            </w:r>
          </w:p>
        </w:tc>
        <w:tc>
          <w:tcPr>
            <w:tcW w:w="976" w:type="dxa"/>
            <w:tcBorders>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2.5</w:t>
            </w:r>
          </w:p>
        </w:tc>
        <w:tc>
          <w:tcPr>
            <w:tcW w:w="976" w:type="dxa"/>
            <w:tcBorders>
              <w:bottom w:val="single" w:sz="4"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1.1</w:t>
            </w:r>
          </w:p>
        </w:tc>
      </w:tr>
      <w:tr w:rsidR="006056DD" w:rsidRPr="006056DD" w:rsidTr="00482414">
        <w:trPr>
          <w:cantSplit/>
          <w:trHeight w:val="135"/>
        </w:trPr>
        <w:tc>
          <w:tcPr>
            <w:tcW w:w="1581" w:type="dxa"/>
            <w:vMerge/>
            <w:tcBorders>
              <w:left w:val="single" w:sz="12" w:space="0" w:color="auto"/>
            </w:tcBorders>
            <w:shd w:val="clear" w:color="auto" w:fill="auto"/>
          </w:tcPr>
          <w:p w:rsidR="006056DD" w:rsidRPr="006056DD" w:rsidRDefault="006056DD" w:rsidP="006056DD">
            <w:pPr>
              <w:pStyle w:val="PITableTextListText"/>
              <w:rPr>
                <w:rStyle w:val="TableText9"/>
                <w:sz w:val="20"/>
                <w:szCs w:val="20"/>
              </w:rPr>
            </w:pPr>
          </w:p>
        </w:tc>
        <w:tc>
          <w:tcPr>
            <w:tcW w:w="1436" w:type="dxa"/>
            <w:vMerge/>
            <w:shd w:val="clear" w:color="auto" w:fill="auto"/>
          </w:tcPr>
          <w:p w:rsidR="006056DD" w:rsidRPr="006056DD" w:rsidRDefault="006056DD" w:rsidP="006056DD">
            <w:pPr>
              <w:pStyle w:val="PITableTextListText"/>
              <w:rPr>
                <w:rStyle w:val="TableText9"/>
                <w:sz w:val="20"/>
                <w:szCs w:val="20"/>
              </w:rPr>
            </w:pPr>
          </w:p>
        </w:tc>
        <w:tc>
          <w:tcPr>
            <w:tcW w:w="2010" w:type="dxa"/>
            <w:tcBorders>
              <w:bottom w:val="single" w:sz="4" w:space="0" w:color="auto"/>
            </w:tcBorders>
            <w:shd w:val="clear" w:color="auto" w:fill="auto"/>
          </w:tcPr>
          <w:p w:rsidR="006056DD" w:rsidRPr="006056DD" w:rsidRDefault="006056DD" w:rsidP="006056DD">
            <w:pPr>
              <w:pStyle w:val="PITableTextListText"/>
              <w:rPr>
                <w:rStyle w:val="TableText9"/>
                <w:sz w:val="20"/>
                <w:szCs w:val="20"/>
              </w:rPr>
            </w:pPr>
            <w:proofErr w:type="spellStart"/>
            <w:r w:rsidRPr="006056DD">
              <w:rPr>
                <w:rStyle w:val="TableText9"/>
                <w:sz w:val="20"/>
                <w:szCs w:val="20"/>
              </w:rPr>
              <w:t>Hyperkalaemia</w:t>
            </w:r>
            <w:proofErr w:type="spellEnd"/>
          </w:p>
        </w:tc>
        <w:tc>
          <w:tcPr>
            <w:tcW w:w="976" w:type="dxa"/>
            <w:tcBorders>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3.1</w:t>
            </w:r>
          </w:p>
        </w:tc>
        <w:tc>
          <w:tcPr>
            <w:tcW w:w="976" w:type="dxa"/>
            <w:tcBorders>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1.4</w:t>
            </w:r>
          </w:p>
        </w:tc>
        <w:tc>
          <w:tcPr>
            <w:tcW w:w="976" w:type="dxa"/>
            <w:tcBorders>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2.3</w:t>
            </w:r>
          </w:p>
        </w:tc>
        <w:tc>
          <w:tcPr>
            <w:tcW w:w="976" w:type="dxa"/>
            <w:tcBorders>
              <w:bottom w:val="single" w:sz="4"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0.8</w:t>
            </w:r>
          </w:p>
        </w:tc>
      </w:tr>
      <w:tr w:rsidR="006056DD" w:rsidRPr="006056DD" w:rsidTr="00482414">
        <w:trPr>
          <w:cantSplit/>
          <w:trHeight w:val="280"/>
        </w:trPr>
        <w:tc>
          <w:tcPr>
            <w:tcW w:w="1581" w:type="dxa"/>
            <w:vMerge/>
            <w:tcBorders>
              <w:left w:val="single" w:sz="12" w:space="0" w:color="auto"/>
              <w:bottom w:val="single" w:sz="12" w:space="0" w:color="auto"/>
            </w:tcBorders>
            <w:shd w:val="clear" w:color="auto" w:fill="auto"/>
          </w:tcPr>
          <w:p w:rsidR="006056DD" w:rsidRPr="006056DD" w:rsidRDefault="006056DD" w:rsidP="006056DD">
            <w:pPr>
              <w:pStyle w:val="PITableTextListText"/>
              <w:rPr>
                <w:rStyle w:val="TableText9"/>
                <w:sz w:val="20"/>
                <w:szCs w:val="20"/>
              </w:rPr>
            </w:pPr>
          </w:p>
        </w:tc>
        <w:tc>
          <w:tcPr>
            <w:tcW w:w="1436" w:type="dxa"/>
            <w:vMerge/>
            <w:tcBorders>
              <w:bottom w:val="single" w:sz="12" w:space="0" w:color="auto"/>
            </w:tcBorders>
            <w:shd w:val="clear" w:color="auto" w:fill="auto"/>
          </w:tcPr>
          <w:p w:rsidR="006056DD" w:rsidRPr="006056DD" w:rsidRDefault="006056DD" w:rsidP="006056DD">
            <w:pPr>
              <w:pStyle w:val="PITableTextListText"/>
              <w:rPr>
                <w:rStyle w:val="TableText9"/>
                <w:sz w:val="20"/>
                <w:szCs w:val="20"/>
              </w:rPr>
            </w:pPr>
          </w:p>
        </w:tc>
        <w:tc>
          <w:tcPr>
            <w:tcW w:w="2010" w:type="dxa"/>
            <w:tcBorders>
              <w:bottom w:val="single" w:sz="12" w:space="0" w:color="auto"/>
            </w:tcBorders>
            <w:shd w:val="clear" w:color="auto" w:fill="auto"/>
          </w:tcPr>
          <w:p w:rsidR="006056DD" w:rsidRPr="006056DD" w:rsidRDefault="006056DD" w:rsidP="006056DD">
            <w:pPr>
              <w:pStyle w:val="PITableTextListText"/>
              <w:rPr>
                <w:rStyle w:val="TableText9"/>
                <w:sz w:val="20"/>
                <w:szCs w:val="20"/>
              </w:rPr>
            </w:pPr>
            <w:proofErr w:type="spellStart"/>
            <w:r w:rsidRPr="006056DD">
              <w:rPr>
                <w:rStyle w:val="TableText9"/>
                <w:sz w:val="20"/>
                <w:szCs w:val="20"/>
              </w:rPr>
              <w:t>Hypercalcaemia</w:t>
            </w:r>
            <w:proofErr w:type="spellEnd"/>
          </w:p>
        </w:tc>
        <w:tc>
          <w:tcPr>
            <w:tcW w:w="976" w:type="dxa"/>
            <w:tcBorders>
              <w:bottom w:val="single" w:sz="12" w:space="0" w:color="auto"/>
            </w:tcBorders>
            <w:shd w:val="clear" w:color="auto" w:fill="auto"/>
          </w:tcPr>
          <w:p w:rsidR="006056DD" w:rsidRPr="006056DD" w:rsidRDefault="00A43DDC" w:rsidP="00CE5726">
            <w:pPr>
              <w:pStyle w:val="PITableTextListText"/>
              <w:jc w:val="center"/>
              <w:rPr>
                <w:rStyle w:val="TableText9"/>
                <w:sz w:val="20"/>
                <w:szCs w:val="20"/>
              </w:rPr>
            </w:pPr>
            <w:r w:rsidRPr="00342D6F">
              <w:rPr>
                <w:rStyle w:val="TableText9"/>
                <w:sz w:val="20"/>
                <w:szCs w:val="20"/>
              </w:rPr>
              <w:t>5.</w:t>
            </w:r>
            <w:r w:rsidR="00BA01CD" w:rsidRPr="00342D6F">
              <w:rPr>
                <w:rStyle w:val="TableText9"/>
                <w:sz w:val="20"/>
                <w:szCs w:val="20"/>
              </w:rPr>
              <w:t>7</w:t>
            </w:r>
          </w:p>
        </w:tc>
        <w:tc>
          <w:tcPr>
            <w:tcW w:w="976" w:type="dxa"/>
            <w:tcBorders>
              <w:bottom w:val="single" w:sz="12" w:space="0" w:color="auto"/>
            </w:tcBorders>
            <w:shd w:val="clear" w:color="auto" w:fill="auto"/>
          </w:tcPr>
          <w:p w:rsidR="006056DD" w:rsidRPr="006056DD" w:rsidRDefault="00A43DDC" w:rsidP="00CE5726">
            <w:pPr>
              <w:pStyle w:val="PITableTextListText"/>
              <w:jc w:val="center"/>
              <w:rPr>
                <w:rStyle w:val="TableText9"/>
                <w:sz w:val="20"/>
                <w:szCs w:val="20"/>
              </w:rPr>
            </w:pPr>
            <w:r>
              <w:rPr>
                <w:rStyle w:val="TableText9"/>
                <w:sz w:val="20"/>
                <w:szCs w:val="20"/>
              </w:rPr>
              <w:t>0</w:t>
            </w:r>
          </w:p>
        </w:tc>
        <w:tc>
          <w:tcPr>
            <w:tcW w:w="976" w:type="dxa"/>
            <w:tcBorders>
              <w:bottom w:val="single" w:sz="12" w:space="0" w:color="auto"/>
            </w:tcBorders>
            <w:shd w:val="clear" w:color="auto" w:fill="auto"/>
          </w:tcPr>
          <w:p w:rsidR="006056DD" w:rsidRPr="006056DD" w:rsidRDefault="00BA01CD" w:rsidP="00BA01CD">
            <w:pPr>
              <w:pStyle w:val="PITableTextListText"/>
              <w:jc w:val="center"/>
              <w:rPr>
                <w:rStyle w:val="TableText9"/>
                <w:sz w:val="20"/>
                <w:szCs w:val="20"/>
              </w:rPr>
            </w:pPr>
            <w:r>
              <w:rPr>
                <w:rStyle w:val="TableText9"/>
                <w:sz w:val="20"/>
                <w:szCs w:val="20"/>
              </w:rPr>
              <w:t>1.5</w:t>
            </w:r>
          </w:p>
        </w:tc>
        <w:tc>
          <w:tcPr>
            <w:tcW w:w="976" w:type="dxa"/>
            <w:tcBorders>
              <w:bottom w:val="single" w:sz="12" w:space="0" w:color="auto"/>
              <w:right w:val="single" w:sz="12" w:space="0" w:color="auto"/>
            </w:tcBorders>
            <w:shd w:val="clear" w:color="auto" w:fill="auto"/>
          </w:tcPr>
          <w:p w:rsidR="006056DD" w:rsidRPr="006056DD" w:rsidRDefault="00A43DDC" w:rsidP="00CE5726">
            <w:pPr>
              <w:pStyle w:val="PITableTextListText"/>
              <w:jc w:val="center"/>
              <w:rPr>
                <w:rStyle w:val="TableText9"/>
                <w:sz w:val="20"/>
                <w:szCs w:val="20"/>
              </w:rPr>
            </w:pPr>
            <w:r>
              <w:rPr>
                <w:rStyle w:val="TableText9"/>
                <w:sz w:val="20"/>
                <w:szCs w:val="20"/>
              </w:rPr>
              <w:t>0</w:t>
            </w:r>
          </w:p>
        </w:tc>
      </w:tr>
      <w:tr w:rsidR="006056DD" w:rsidRPr="006056DD" w:rsidTr="00482414">
        <w:trPr>
          <w:cantSplit/>
          <w:trHeight w:val="82"/>
        </w:trPr>
        <w:tc>
          <w:tcPr>
            <w:tcW w:w="1581" w:type="dxa"/>
            <w:vMerge w:val="restart"/>
            <w:tcBorders>
              <w:top w:val="single" w:sz="12" w:space="0" w:color="auto"/>
              <w:left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 xml:space="preserve">Nervous system disorders </w:t>
            </w:r>
          </w:p>
        </w:tc>
        <w:tc>
          <w:tcPr>
            <w:tcW w:w="1436" w:type="dxa"/>
            <w:vMerge w:val="restart"/>
            <w:tcBorders>
              <w:top w:val="single" w:sz="12"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tcBorders>
            <w:shd w:val="clear" w:color="auto" w:fill="auto"/>
          </w:tcPr>
          <w:p w:rsidR="006056DD" w:rsidRPr="006056DD" w:rsidRDefault="00311975" w:rsidP="006056DD">
            <w:pPr>
              <w:pStyle w:val="PITableTextListText"/>
              <w:rPr>
                <w:rStyle w:val="TableText9"/>
                <w:sz w:val="20"/>
                <w:szCs w:val="20"/>
              </w:rPr>
            </w:pPr>
            <w:r>
              <w:rPr>
                <w:rStyle w:val="TableText9"/>
                <w:sz w:val="20"/>
                <w:szCs w:val="20"/>
              </w:rPr>
              <w:t>Headache</w:t>
            </w:r>
          </w:p>
        </w:tc>
        <w:tc>
          <w:tcPr>
            <w:tcW w:w="976" w:type="dxa"/>
            <w:tcBorders>
              <w:top w:val="single" w:sz="12" w:space="0" w:color="auto"/>
            </w:tcBorders>
            <w:shd w:val="clear" w:color="auto" w:fill="auto"/>
          </w:tcPr>
          <w:p w:rsidR="006056DD" w:rsidRPr="006056DD" w:rsidRDefault="00311975" w:rsidP="00CE5726">
            <w:pPr>
              <w:pStyle w:val="PITableTextListText"/>
              <w:jc w:val="center"/>
              <w:rPr>
                <w:rStyle w:val="TableText9"/>
                <w:sz w:val="20"/>
                <w:szCs w:val="20"/>
              </w:rPr>
            </w:pPr>
            <w:r>
              <w:rPr>
                <w:rStyle w:val="TableText9"/>
                <w:sz w:val="20"/>
                <w:szCs w:val="20"/>
              </w:rPr>
              <w:t>13.6</w:t>
            </w:r>
          </w:p>
        </w:tc>
        <w:tc>
          <w:tcPr>
            <w:tcW w:w="976" w:type="dxa"/>
            <w:tcBorders>
              <w:top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r w:rsidR="00311975">
              <w:rPr>
                <w:rStyle w:val="TableText9"/>
                <w:sz w:val="20"/>
                <w:szCs w:val="20"/>
              </w:rPr>
              <w:t>.6</w:t>
            </w:r>
          </w:p>
        </w:tc>
        <w:tc>
          <w:tcPr>
            <w:tcW w:w="976" w:type="dxa"/>
            <w:tcBorders>
              <w:top w:val="single" w:sz="12" w:space="0" w:color="auto"/>
            </w:tcBorders>
            <w:shd w:val="clear" w:color="auto" w:fill="auto"/>
          </w:tcPr>
          <w:p w:rsidR="006056DD" w:rsidRPr="006056DD" w:rsidRDefault="00311975" w:rsidP="00CE5726">
            <w:pPr>
              <w:pStyle w:val="PITableTextListText"/>
              <w:jc w:val="center"/>
              <w:rPr>
                <w:rStyle w:val="TableText9"/>
                <w:sz w:val="20"/>
                <w:szCs w:val="20"/>
              </w:rPr>
            </w:pPr>
            <w:r>
              <w:rPr>
                <w:rStyle w:val="TableText9"/>
                <w:sz w:val="20"/>
                <w:szCs w:val="20"/>
              </w:rPr>
              <w:t>11.3</w:t>
            </w:r>
          </w:p>
        </w:tc>
        <w:tc>
          <w:tcPr>
            <w:tcW w:w="976" w:type="dxa"/>
            <w:tcBorders>
              <w:top w:val="single" w:sz="12"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p>
        </w:tc>
      </w:tr>
      <w:tr w:rsidR="006056DD" w:rsidRPr="006056DD" w:rsidTr="00482414">
        <w:trPr>
          <w:cantSplit/>
          <w:trHeight w:val="50"/>
        </w:trPr>
        <w:tc>
          <w:tcPr>
            <w:tcW w:w="1581" w:type="dxa"/>
            <w:vMerge/>
            <w:tcBorders>
              <w:left w:val="single" w:sz="12" w:space="0" w:color="auto"/>
            </w:tcBorders>
            <w:shd w:val="clear" w:color="auto" w:fill="auto"/>
          </w:tcPr>
          <w:p w:rsidR="006056DD" w:rsidRPr="006056DD" w:rsidRDefault="006056DD" w:rsidP="006056DD">
            <w:pPr>
              <w:pStyle w:val="PITableTextListText"/>
              <w:rPr>
                <w:rStyle w:val="TableText9"/>
                <w:sz w:val="20"/>
                <w:szCs w:val="20"/>
              </w:rPr>
            </w:pPr>
          </w:p>
        </w:tc>
        <w:tc>
          <w:tcPr>
            <w:tcW w:w="1436" w:type="dxa"/>
            <w:vMerge/>
            <w:shd w:val="clear" w:color="auto" w:fill="auto"/>
          </w:tcPr>
          <w:p w:rsidR="006056DD" w:rsidRPr="006056DD" w:rsidRDefault="006056DD" w:rsidP="006056DD">
            <w:pPr>
              <w:pStyle w:val="PITableTextListText"/>
              <w:rPr>
                <w:rStyle w:val="TableText9"/>
                <w:sz w:val="20"/>
                <w:szCs w:val="20"/>
              </w:rPr>
            </w:pPr>
          </w:p>
        </w:tc>
        <w:tc>
          <w:tcPr>
            <w:tcW w:w="2010" w:type="dxa"/>
            <w:tcBorders>
              <w:top w:val="single" w:sz="4" w:space="0" w:color="auto"/>
            </w:tcBorders>
            <w:shd w:val="clear" w:color="auto" w:fill="auto"/>
          </w:tcPr>
          <w:p w:rsidR="006056DD" w:rsidRPr="006056DD" w:rsidRDefault="00311975" w:rsidP="006056DD">
            <w:pPr>
              <w:pStyle w:val="PITableTextListText"/>
              <w:rPr>
                <w:rStyle w:val="TableText9"/>
                <w:sz w:val="20"/>
                <w:szCs w:val="20"/>
              </w:rPr>
            </w:pPr>
            <w:proofErr w:type="spellStart"/>
            <w:r>
              <w:rPr>
                <w:rStyle w:val="TableText9"/>
                <w:sz w:val="20"/>
                <w:szCs w:val="20"/>
              </w:rPr>
              <w:t>Dysgeusia</w:t>
            </w:r>
            <w:proofErr w:type="spellEnd"/>
          </w:p>
        </w:tc>
        <w:tc>
          <w:tcPr>
            <w:tcW w:w="976" w:type="dxa"/>
            <w:tcBorders>
              <w:top w:val="single" w:sz="4" w:space="0" w:color="auto"/>
            </w:tcBorders>
            <w:shd w:val="clear" w:color="auto" w:fill="auto"/>
          </w:tcPr>
          <w:p w:rsidR="006056DD" w:rsidRPr="006056DD" w:rsidRDefault="00311975" w:rsidP="00CE5726">
            <w:pPr>
              <w:pStyle w:val="PITableTextListText"/>
              <w:jc w:val="center"/>
              <w:rPr>
                <w:rStyle w:val="TableText9"/>
                <w:sz w:val="20"/>
                <w:szCs w:val="20"/>
              </w:rPr>
            </w:pPr>
            <w:r>
              <w:rPr>
                <w:rStyle w:val="TableText9"/>
                <w:sz w:val="20"/>
                <w:szCs w:val="20"/>
              </w:rPr>
              <w:t>10</w:t>
            </w:r>
            <w:r w:rsidR="006056DD" w:rsidRPr="006056DD">
              <w:rPr>
                <w:rStyle w:val="TableText9"/>
                <w:sz w:val="20"/>
                <w:szCs w:val="20"/>
              </w:rPr>
              <w:t>.6</w:t>
            </w:r>
          </w:p>
        </w:tc>
        <w:tc>
          <w:tcPr>
            <w:tcW w:w="976" w:type="dxa"/>
            <w:tcBorders>
              <w:top w:val="single" w:sz="4" w:space="0" w:color="auto"/>
            </w:tcBorders>
            <w:shd w:val="clear" w:color="auto" w:fill="auto"/>
          </w:tcPr>
          <w:p w:rsidR="006056DD" w:rsidRPr="006056DD" w:rsidRDefault="00311975" w:rsidP="00CE5726">
            <w:pPr>
              <w:pStyle w:val="PITableTextListText"/>
              <w:jc w:val="center"/>
              <w:rPr>
                <w:rStyle w:val="TableText9"/>
                <w:sz w:val="20"/>
                <w:szCs w:val="20"/>
              </w:rPr>
            </w:pPr>
            <w:r>
              <w:rPr>
                <w:rStyle w:val="TableText9"/>
                <w:sz w:val="20"/>
                <w:szCs w:val="20"/>
              </w:rPr>
              <w:t>0</w:t>
            </w:r>
          </w:p>
        </w:tc>
        <w:tc>
          <w:tcPr>
            <w:tcW w:w="976" w:type="dxa"/>
            <w:tcBorders>
              <w:top w:val="single" w:sz="4" w:space="0" w:color="auto"/>
            </w:tcBorders>
            <w:shd w:val="clear" w:color="auto" w:fill="auto"/>
          </w:tcPr>
          <w:p w:rsidR="006056DD" w:rsidRPr="006056DD" w:rsidRDefault="00311975" w:rsidP="00CE5726">
            <w:pPr>
              <w:pStyle w:val="PITableTextListText"/>
              <w:jc w:val="center"/>
              <w:rPr>
                <w:rStyle w:val="TableText9"/>
                <w:sz w:val="20"/>
                <w:szCs w:val="20"/>
              </w:rPr>
            </w:pPr>
            <w:r>
              <w:rPr>
                <w:rStyle w:val="TableText9"/>
                <w:sz w:val="20"/>
                <w:szCs w:val="20"/>
              </w:rPr>
              <w:t>8.2</w:t>
            </w:r>
          </w:p>
        </w:tc>
        <w:tc>
          <w:tcPr>
            <w:tcW w:w="976" w:type="dxa"/>
            <w:tcBorders>
              <w:top w:val="single" w:sz="4"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p>
        </w:tc>
      </w:tr>
      <w:tr w:rsidR="006056DD" w:rsidRPr="006056DD" w:rsidTr="00482414">
        <w:trPr>
          <w:cantSplit/>
          <w:trHeight w:val="77"/>
        </w:trPr>
        <w:tc>
          <w:tcPr>
            <w:tcW w:w="1581" w:type="dxa"/>
            <w:vMerge/>
            <w:tcBorders>
              <w:left w:val="single" w:sz="12" w:space="0" w:color="auto"/>
            </w:tcBorders>
            <w:shd w:val="clear" w:color="auto" w:fill="auto"/>
          </w:tcPr>
          <w:p w:rsidR="006056DD" w:rsidRPr="006056DD" w:rsidRDefault="006056DD" w:rsidP="006056DD">
            <w:pPr>
              <w:pStyle w:val="PITableTextListText"/>
              <w:rPr>
                <w:rStyle w:val="TableText9"/>
                <w:sz w:val="20"/>
                <w:szCs w:val="20"/>
              </w:rPr>
            </w:pPr>
          </w:p>
        </w:tc>
        <w:tc>
          <w:tcPr>
            <w:tcW w:w="1436" w:type="dxa"/>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Common</w:t>
            </w:r>
          </w:p>
        </w:tc>
        <w:tc>
          <w:tcPr>
            <w:tcW w:w="2010" w:type="dxa"/>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Dizziness</w:t>
            </w:r>
          </w:p>
        </w:tc>
        <w:tc>
          <w:tcPr>
            <w:tcW w:w="976" w:type="dxa"/>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9.2</w:t>
            </w:r>
          </w:p>
        </w:tc>
        <w:tc>
          <w:tcPr>
            <w:tcW w:w="976" w:type="dxa"/>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0.6</w:t>
            </w:r>
          </w:p>
        </w:tc>
        <w:tc>
          <w:tcPr>
            <w:tcW w:w="976" w:type="dxa"/>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4.2</w:t>
            </w:r>
          </w:p>
        </w:tc>
        <w:tc>
          <w:tcPr>
            <w:tcW w:w="976" w:type="dxa"/>
            <w:tcBorders>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p>
        </w:tc>
      </w:tr>
      <w:tr w:rsidR="006056DD" w:rsidRPr="006056DD" w:rsidTr="00482414">
        <w:trPr>
          <w:cantSplit/>
          <w:trHeight w:val="397"/>
        </w:trPr>
        <w:tc>
          <w:tcPr>
            <w:tcW w:w="1581" w:type="dxa"/>
            <w:vMerge/>
            <w:tcBorders>
              <w:left w:val="single" w:sz="12" w:space="0" w:color="auto"/>
            </w:tcBorders>
            <w:shd w:val="clear" w:color="auto" w:fill="auto"/>
          </w:tcPr>
          <w:p w:rsidR="006056DD" w:rsidRPr="006056DD" w:rsidRDefault="006056DD" w:rsidP="006056DD">
            <w:pPr>
              <w:pStyle w:val="PITableTextListText"/>
              <w:rPr>
                <w:rStyle w:val="TableText9"/>
                <w:sz w:val="20"/>
                <w:szCs w:val="20"/>
              </w:rPr>
            </w:pPr>
          </w:p>
        </w:tc>
        <w:tc>
          <w:tcPr>
            <w:tcW w:w="1436" w:type="dxa"/>
            <w:vMerge w:val="restart"/>
            <w:tcBorders>
              <w:top w:val="single" w:sz="4"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Uncommon</w:t>
            </w:r>
          </w:p>
        </w:tc>
        <w:tc>
          <w:tcPr>
            <w:tcW w:w="2010" w:type="dxa"/>
            <w:tcBorders>
              <w:top w:val="single" w:sz="4" w:space="0" w:color="auto"/>
              <w:bottom w:val="single" w:sz="4" w:space="0" w:color="auto"/>
            </w:tcBorders>
            <w:shd w:val="clear" w:color="auto" w:fill="auto"/>
          </w:tcPr>
          <w:p w:rsidR="006056DD" w:rsidRPr="006056DD" w:rsidRDefault="006056DD" w:rsidP="006056DD">
            <w:pPr>
              <w:pStyle w:val="PITableTextListText"/>
              <w:rPr>
                <w:rStyle w:val="TableText9"/>
                <w:sz w:val="20"/>
                <w:szCs w:val="20"/>
              </w:rPr>
            </w:pPr>
            <w:r w:rsidRPr="006056DD">
              <w:rPr>
                <w:rStyle w:val="TableText9"/>
                <w:sz w:val="20"/>
                <w:szCs w:val="20"/>
              </w:rPr>
              <w:t xml:space="preserve">Transient </w:t>
            </w:r>
            <w:proofErr w:type="spellStart"/>
            <w:r w:rsidRPr="006056DD">
              <w:rPr>
                <w:rStyle w:val="TableText9"/>
                <w:sz w:val="20"/>
                <w:szCs w:val="20"/>
              </w:rPr>
              <w:t>ischaemic</w:t>
            </w:r>
            <w:proofErr w:type="spellEnd"/>
            <w:r w:rsidRPr="006056DD">
              <w:rPr>
                <w:rStyle w:val="TableText9"/>
                <w:sz w:val="20"/>
                <w:szCs w:val="20"/>
              </w:rPr>
              <w:t xml:space="preserve"> attack</w:t>
            </w:r>
          </w:p>
        </w:tc>
        <w:tc>
          <w:tcPr>
            <w:tcW w:w="976" w:type="dxa"/>
            <w:tcBorders>
              <w:top w:val="single" w:sz="4" w:space="0" w:color="auto"/>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0.8</w:t>
            </w:r>
          </w:p>
        </w:tc>
        <w:tc>
          <w:tcPr>
            <w:tcW w:w="976" w:type="dxa"/>
            <w:tcBorders>
              <w:top w:val="single" w:sz="4" w:space="0" w:color="auto"/>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0.8</w:t>
            </w:r>
          </w:p>
        </w:tc>
        <w:tc>
          <w:tcPr>
            <w:tcW w:w="976" w:type="dxa"/>
            <w:tcBorders>
              <w:top w:val="single" w:sz="4" w:space="0" w:color="auto"/>
              <w:bottom w:val="single" w:sz="4"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4" w:space="0" w:color="auto"/>
              <w:bottom w:val="single" w:sz="4" w:space="0" w:color="auto"/>
              <w:right w:val="single" w:sz="12" w:space="0" w:color="auto"/>
            </w:tcBorders>
            <w:shd w:val="clear" w:color="auto" w:fill="auto"/>
          </w:tcPr>
          <w:p w:rsidR="006056DD" w:rsidRPr="006056DD" w:rsidRDefault="006056D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195"/>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roofErr w:type="spellStart"/>
            <w:r>
              <w:rPr>
                <w:rStyle w:val="TableText9"/>
                <w:sz w:val="20"/>
              </w:rPr>
              <w:t>Cerebrovascular</w:t>
            </w:r>
            <w:proofErr w:type="spellEnd"/>
            <w:r>
              <w:rPr>
                <w:rStyle w:val="TableText9"/>
                <w:sz w:val="20"/>
              </w:rPr>
              <w:t xml:space="preserve"> accident</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rPr>
              <w:t>0.3</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rPr>
              <w:t>0.3</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rPr>
              <w:t>0.3</w:t>
            </w:r>
          </w:p>
        </w:tc>
        <w:tc>
          <w:tcPr>
            <w:tcW w:w="976" w:type="dxa"/>
            <w:tcBorders>
              <w:top w:val="single" w:sz="4" w:space="0" w:color="auto"/>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rPr>
              <w:t>0.3</w:t>
            </w:r>
          </w:p>
        </w:tc>
      </w:tr>
      <w:tr w:rsidR="00BA01CD" w:rsidRPr="006056DD" w:rsidTr="00482414">
        <w:trPr>
          <w:cantSplit/>
          <w:trHeight w:val="195"/>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Reversible Posterior </w:t>
            </w:r>
            <w:proofErr w:type="spellStart"/>
            <w:r w:rsidRPr="006056DD">
              <w:rPr>
                <w:rStyle w:val="TableText9"/>
                <w:sz w:val="20"/>
                <w:szCs w:val="20"/>
              </w:rPr>
              <w:t>Leukoencephalopathy</w:t>
            </w:r>
            <w:proofErr w:type="spellEnd"/>
            <w:r w:rsidRPr="006056DD">
              <w:rPr>
                <w:rStyle w:val="TableText9"/>
                <w:sz w:val="20"/>
                <w:szCs w:val="20"/>
              </w:rPr>
              <w:t xml:space="preserve"> Syndrome</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0.3</w:t>
            </w:r>
          </w:p>
          <w:p w:rsidR="00BA01CD" w:rsidRPr="006056DD" w:rsidRDefault="00BA01CD" w:rsidP="00CE5726">
            <w:pPr>
              <w:pStyle w:val="PITableTextListText"/>
              <w:jc w:val="center"/>
              <w:rPr>
                <w:rStyle w:val="TableText9"/>
                <w:sz w:val="20"/>
                <w:szCs w:val="20"/>
              </w:rPr>
            </w:pP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4" w:space="0" w:color="auto"/>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50"/>
        </w:trPr>
        <w:tc>
          <w:tcPr>
            <w:tcW w:w="1581" w:type="dxa"/>
            <w:tcBorders>
              <w:top w:val="single" w:sz="12" w:space="0" w:color="auto"/>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Eye disorders </w:t>
            </w:r>
          </w:p>
        </w:tc>
        <w:tc>
          <w:tcPr>
            <w:tcW w:w="1436" w:type="dxa"/>
            <w:tcBorders>
              <w:top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Uncommon</w:t>
            </w:r>
          </w:p>
        </w:tc>
        <w:tc>
          <w:tcPr>
            <w:tcW w:w="2010" w:type="dxa"/>
            <w:tcBorders>
              <w:top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Retinal vein occlusion / thrombosis</w:t>
            </w:r>
          </w:p>
        </w:tc>
        <w:tc>
          <w:tcPr>
            <w:tcW w:w="976" w:type="dxa"/>
            <w:tcBorders>
              <w:top w:val="single" w:sz="12"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c>
          <w:tcPr>
            <w:tcW w:w="976" w:type="dxa"/>
            <w:tcBorders>
              <w:top w:val="single" w:sz="12"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c>
          <w:tcPr>
            <w:tcW w:w="976" w:type="dxa"/>
            <w:tcBorders>
              <w:top w:val="single" w:sz="12"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12" w:space="0" w:color="auto"/>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50"/>
        </w:trPr>
        <w:tc>
          <w:tcPr>
            <w:tcW w:w="1581" w:type="dxa"/>
            <w:tcBorders>
              <w:top w:val="single" w:sz="12" w:space="0" w:color="auto"/>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Ear and labyrinth disorders </w:t>
            </w:r>
          </w:p>
        </w:tc>
        <w:tc>
          <w:tcPr>
            <w:tcW w:w="1436" w:type="dxa"/>
            <w:tcBorders>
              <w:top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Common</w:t>
            </w:r>
          </w:p>
        </w:tc>
        <w:tc>
          <w:tcPr>
            <w:tcW w:w="2010" w:type="dxa"/>
            <w:tcBorders>
              <w:top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Tinnitus</w:t>
            </w:r>
          </w:p>
        </w:tc>
        <w:tc>
          <w:tcPr>
            <w:tcW w:w="976" w:type="dxa"/>
            <w:tcBorders>
              <w:top w:val="single" w:sz="12"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3.1</w:t>
            </w:r>
          </w:p>
        </w:tc>
        <w:tc>
          <w:tcPr>
            <w:tcW w:w="976" w:type="dxa"/>
            <w:tcBorders>
              <w:top w:val="single" w:sz="12"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12"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0.8</w:t>
            </w:r>
          </w:p>
        </w:tc>
        <w:tc>
          <w:tcPr>
            <w:tcW w:w="976" w:type="dxa"/>
            <w:tcBorders>
              <w:top w:val="single" w:sz="12" w:space="0" w:color="auto"/>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77"/>
        </w:trPr>
        <w:tc>
          <w:tcPr>
            <w:tcW w:w="1581" w:type="dxa"/>
            <w:vMerge w:val="restart"/>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Vascular disorders </w:t>
            </w:r>
          </w:p>
        </w:tc>
        <w:tc>
          <w:tcPr>
            <w:tcW w:w="1436" w:type="dxa"/>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tcBorders>
            <w:shd w:val="clear" w:color="auto" w:fill="auto"/>
          </w:tcPr>
          <w:p w:rsidR="00BA01CD" w:rsidRPr="006056DD" w:rsidRDefault="00BA01CD" w:rsidP="006056DD">
            <w:pPr>
              <w:pStyle w:val="PITableTextListText"/>
              <w:rPr>
                <w:rStyle w:val="TableText9"/>
                <w:sz w:val="20"/>
                <w:szCs w:val="20"/>
                <w:highlight w:val="yellow"/>
              </w:rPr>
            </w:pPr>
            <w:r w:rsidRPr="006056DD">
              <w:rPr>
                <w:rStyle w:val="TableText9"/>
                <w:sz w:val="20"/>
                <w:szCs w:val="20"/>
              </w:rPr>
              <w:t>Hypertension</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40.4</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15.6</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29.0</w:t>
            </w:r>
          </w:p>
        </w:tc>
        <w:tc>
          <w:tcPr>
            <w:tcW w:w="976" w:type="dxa"/>
            <w:tcBorders>
              <w:top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11.0</w:t>
            </w:r>
          </w:p>
        </w:tc>
      </w:tr>
      <w:tr w:rsidR="00BA01CD" w:rsidRPr="006056DD" w:rsidTr="00482414">
        <w:trPr>
          <w:cantSplit/>
          <w:trHeight w:val="77"/>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Uncommon</w:t>
            </w:r>
          </w:p>
        </w:tc>
        <w:tc>
          <w:tcPr>
            <w:tcW w:w="2010" w:type="dxa"/>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Deep vein thrombosis</w:t>
            </w:r>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c>
          <w:tcPr>
            <w:tcW w:w="976" w:type="dxa"/>
            <w:tcBorders>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240"/>
        </w:trPr>
        <w:tc>
          <w:tcPr>
            <w:tcW w:w="1581" w:type="dxa"/>
            <w:vMerge w:val="restart"/>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Respiratory, thoracic and </w:t>
            </w:r>
            <w:proofErr w:type="spellStart"/>
            <w:r w:rsidRPr="006056DD">
              <w:rPr>
                <w:rStyle w:val="TableText9"/>
                <w:sz w:val="20"/>
                <w:szCs w:val="20"/>
              </w:rPr>
              <w:lastRenderedPageBreak/>
              <w:t>mediastinal</w:t>
            </w:r>
            <w:proofErr w:type="spellEnd"/>
            <w:r w:rsidRPr="006056DD">
              <w:rPr>
                <w:rStyle w:val="TableText9"/>
                <w:sz w:val="20"/>
                <w:szCs w:val="20"/>
              </w:rPr>
              <w:t xml:space="preserve"> disorders </w:t>
            </w:r>
          </w:p>
        </w:tc>
        <w:tc>
          <w:tcPr>
            <w:tcW w:w="1436" w:type="dxa"/>
            <w:vMerge w:val="restart"/>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lastRenderedPageBreak/>
              <w:t>Very Common</w:t>
            </w:r>
          </w:p>
        </w:tc>
        <w:tc>
          <w:tcPr>
            <w:tcW w:w="2010" w:type="dxa"/>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Pr>
                <w:rStyle w:val="TableText9"/>
                <w:sz w:val="20"/>
                <w:szCs w:val="20"/>
              </w:rPr>
              <w:t>Dyspnoea</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14.8</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2.5</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12.1</w:t>
            </w:r>
          </w:p>
        </w:tc>
        <w:tc>
          <w:tcPr>
            <w:tcW w:w="976" w:type="dxa"/>
            <w:tcBorders>
              <w:top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2.8</w:t>
            </w:r>
          </w:p>
        </w:tc>
      </w:tr>
      <w:tr w:rsidR="00BA01CD" w:rsidRPr="006056DD" w:rsidTr="00482414">
        <w:trPr>
          <w:cantSplit/>
          <w:trHeight w:val="225"/>
        </w:trPr>
        <w:tc>
          <w:tcPr>
            <w:tcW w:w="1581" w:type="dxa"/>
            <w:vMerge/>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tcBorders>
              <w:top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tcBorders>
            <w:shd w:val="clear" w:color="auto" w:fill="auto"/>
          </w:tcPr>
          <w:p w:rsidR="00BA01CD" w:rsidRPr="006056DD" w:rsidRDefault="00BA01CD" w:rsidP="006056DD">
            <w:pPr>
              <w:pStyle w:val="PITableTextListText"/>
              <w:rPr>
                <w:rStyle w:val="TableText9"/>
                <w:sz w:val="20"/>
                <w:szCs w:val="20"/>
              </w:rPr>
            </w:pPr>
            <w:r>
              <w:rPr>
                <w:rStyle w:val="TableText9"/>
                <w:sz w:val="20"/>
                <w:szCs w:val="20"/>
              </w:rPr>
              <w:t>Cough</w:t>
            </w:r>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15.3</w:t>
            </w:r>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0.8</w:t>
            </w:r>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16.6</w:t>
            </w:r>
          </w:p>
        </w:tc>
        <w:tc>
          <w:tcPr>
            <w:tcW w:w="976" w:type="dxa"/>
            <w:tcBorders>
              <w:top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0.6</w:t>
            </w:r>
          </w:p>
        </w:tc>
      </w:tr>
      <w:tr w:rsidR="00BA01CD" w:rsidRPr="006056DD" w:rsidTr="00482414">
        <w:trPr>
          <w:cantSplit/>
          <w:trHeight w:val="50"/>
        </w:trPr>
        <w:tc>
          <w:tcPr>
            <w:tcW w:w="1581" w:type="dxa"/>
            <w:vMerge/>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tcBorders>
            <w:shd w:val="clear" w:color="auto" w:fill="auto"/>
          </w:tcPr>
          <w:p w:rsidR="00BA01CD" w:rsidRPr="006056DD" w:rsidRDefault="00BA01CD" w:rsidP="006056DD">
            <w:pPr>
              <w:pStyle w:val="PITableTextListText"/>
              <w:rPr>
                <w:rStyle w:val="TableText9"/>
                <w:sz w:val="20"/>
                <w:szCs w:val="20"/>
              </w:rPr>
            </w:pPr>
            <w:proofErr w:type="spellStart"/>
            <w:r>
              <w:rPr>
                <w:rStyle w:val="TableText9"/>
                <w:sz w:val="20"/>
                <w:szCs w:val="20"/>
              </w:rPr>
              <w:t>Dysphonia</w:t>
            </w:r>
            <w:proofErr w:type="spellEnd"/>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30.9</w:t>
            </w:r>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13.5</w:t>
            </w:r>
          </w:p>
        </w:tc>
        <w:tc>
          <w:tcPr>
            <w:tcW w:w="976" w:type="dxa"/>
            <w:tcBorders>
              <w:top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r>
      <w:tr w:rsidR="00BA01CD" w:rsidRPr="006056DD" w:rsidTr="00482414">
        <w:trPr>
          <w:cantSplit/>
          <w:trHeight w:val="77"/>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val="restart"/>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Common</w:t>
            </w:r>
          </w:p>
        </w:tc>
        <w:tc>
          <w:tcPr>
            <w:tcW w:w="2010" w:type="dxa"/>
            <w:tcBorders>
              <w:bottom w:val="single" w:sz="2" w:space="0" w:color="auto"/>
            </w:tcBorders>
            <w:shd w:val="clear" w:color="auto" w:fill="auto"/>
          </w:tcPr>
          <w:p w:rsidR="00BA01CD" w:rsidRPr="00311975" w:rsidRDefault="00BA01CD" w:rsidP="006056DD">
            <w:pPr>
              <w:pStyle w:val="PITableTextListText"/>
              <w:rPr>
                <w:rStyle w:val="TableText9"/>
                <w:sz w:val="20"/>
                <w:szCs w:val="20"/>
              </w:rPr>
            </w:pPr>
            <w:r>
              <w:rPr>
                <w:rStyle w:val="TableText9"/>
                <w:sz w:val="20"/>
                <w:szCs w:val="20"/>
              </w:rPr>
              <w:t>Pulmonary embolism</w:t>
            </w:r>
          </w:p>
        </w:tc>
        <w:tc>
          <w:tcPr>
            <w:tcW w:w="976" w:type="dxa"/>
            <w:tcBorders>
              <w:bottom w:val="single" w:sz="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1.9</w:t>
            </w:r>
          </w:p>
        </w:tc>
        <w:tc>
          <w:tcPr>
            <w:tcW w:w="976" w:type="dxa"/>
            <w:tcBorders>
              <w:bottom w:val="single" w:sz="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1.9</w:t>
            </w:r>
          </w:p>
        </w:tc>
        <w:tc>
          <w:tcPr>
            <w:tcW w:w="976" w:type="dxa"/>
            <w:tcBorders>
              <w:bottom w:val="single" w:sz="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0.6</w:t>
            </w:r>
          </w:p>
        </w:tc>
        <w:tc>
          <w:tcPr>
            <w:tcW w:w="976" w:type="dxa"/>
            <w:tcBorders>
              <w:bottom w:val="single" w:sz="2" w:space="0" w:color="auto"/>
              <w:right w:val="single" w:sz="1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0.6</w:t>
            </w:r>
          </w:p>
        </w:tc>
      </w:tr>
      <w:tr w:rsidR="00BA01CD" w:rsidRPr="006056DD" w:rsidTr="00482414">
        <w:trPr>
          <w:cantSplit/>
          <w:trHeight w:val="143"/>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2" w:space="0" w:color="auto"/>
            </w:tcBorders>
            <w:shd w:val="clear" w:color="auto" w:fill="auto"/>
          </w:tcPr>
          <w:p w:rsidR="00BA01CD" w:rsidRPr="00311975" w:rsidRDefault="00BA01CD" w:rsidP="006056DD">
            <w:pPr>
              <w:pStyle w:val="PITableTextListText"/>
              <w:rPr>
                <w:rStyle w:val="TableText9"/>
                <w:sz w:val="20"/>
                <w:szCs w:val="20"/>
              </w:rPr>
            </w:pPr>
            <w:r>
              <w:rPr>
                <w:rStyle w:val="TableText9"/>
                <w:sz w:val="20"/>
                <w:szCs w:val="20"/>
              </w:rPr>
              <w:t>Haemoptysis</w:t>
            </w:r>
          </w:p>
        </w:tc>
        <w:tc>
          <w:tcPr>
            <w:tcW w:w="976" w:type="dxa"/>
            <w:tcBorders>
              <w:top w:val="single" w:sz="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2.2</w:t>
            </w:r>
          </w:p>
        </w:tc>
        <w:tc>
          <w:tcPr>
            <w:tcW w:w="976" w:type="dxa"/>
            <w:tcBorders>
              <w:top w:val="single" w:sz="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0.3</w:t>
            </w:r>
          </w:p>
        </w:tc>
        <w:tc>
          <w:tcPr>
            <w:tcW w:w="976" w:type="dxa"/>
            <w:tcBorders>
              <w:top w:val="single" w:sz="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3.9</w:t>
            </w:r>
          </w:p>
        </w:tc>
        <w:tc>
          <w:tcPr>
            <w:tcW w:w="976" w:type="dxa"/>
            <w:tcBorders>
              <w:top w:val="single" w:sz="2" w:space="0" w:color="auto"/>
              <w:right w:val="single" w:sz="1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0.6</w:t>
            </w:r>
          </w:p>
        </w:tc>
      </w:tr>
      <w:tr w:rsidR="00BA01CD" w:rsidRPr="006056DD" w:rsidTr="00482414">
        <w:trPr>
          <w:cantSplit/>
          <w:trHeight w:val="77"/>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2010" w:type="dxa"/>
            <w:tcBorders>
              <w:bottom w:val="single" w:sz="12" w:space="0" w:color="auto"/>
            </w:tcBorders>
            <w:shd w:val="clear" w:color="auto" w:fill="auto"/>
          </w:tcPr>
          <w:p w:rsidR="00BA01CD" w:rsidRPr="00311975" w:rsidRDefault="00BA01CD" w:rsidP="006056DD">
            <w:pPr>
              <w:pStyle w:val="PITableTextListText"/>
              <w:rPr>
                <w:rStyle w:val="TableText9"/>
                <w:sz w:val="20"/>
                <w:szCs w:val="20"/>
              </w:rPr>
            </w:pPr>
            <w:proofErr w:type="spellStart"/>
            <w:r>
              <w:rPr>
                <w:rStyle w:val="TableText9"/>
                <w:sz w:val="20"/>
                <w:szCs w:val="20"/>
              </w:rPr>
              <w:t>Epistaxis</w:t>
            </w:r>
            <w:proofErr w:type="spellEnd"/>
          </w:p>
        </w:tc>
        <w:tc>
          <w:tcPr>
            <w:tcW w:w="976" w:type="dxa"/>
            <w:tcBorders>
              <w:bottom w:val="single" w:sz="1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6.1</w:t>
            </w:r>
          </w:p>
        </w:tc>
        <w:tc>
          <w:tcPr>
            <w:tcW w:w="976" w:type="dxa"/>
            <w:tcBorders>
              <w:bottom w:val="single" w:sz="1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0</w:t>
            </w:r>
          </w:p>
        </w:tc>
        <w:tc>
          <w:tcPr>
            <w:tcW w:w="976" w:type="dxa"/>
            <w:tcBorders>
              <w:bottom w:val="single" w:sz="12" w:space="0" w:color="auto"/>
            </w:tcBorders>
            <w:shd w:val="clear" w:color="auto" w:fill="auto"/>
          </w:tcPr>
          <w:p w:rsidR="00BA01CD" w:rsidRPr="00311975" w:rsidRDefault="00BA01CD" w:rsidP="00CE5726">
            <w:pPr>
              <w:pStyle w:val="PITableTextListText"/>
              <w:jc w:val="center"/>
              <w:rPr>
                <w:rStyle w:val="TableText9"/>
                <w:sz w:val="20"/>
                <w:szCs w:val="20"/>
              </w:rPr>
            </w:pPr>
            <w:r>
              <w:rPr>
                <w:rStyle w:val="TableText9"/>
                <w:sz w:val="20"/>
                <w:szCs w:val="20"/>
              </w:rPr>
              <w:t>4.2</w:t>
            </w:r>
          </w:p>
        </w:tc>
        <w:tc>
          <w:tcPr>
            <w:tcW w:w="976" w:type="dxa"/>
            <w:tcBorders>
              <w:bottom w:val="single" w:sz="12" w:space="0" w:color="auto"/>
              <w:right w:val="single" w:sz="12" w:space="0" w:color="auto"/>
            </w:tcBorders>
            <w:shd w:val="clear" w:color="auto" w:fill="auto"/>
          </w:tcPr>
          <w:p w:rsidR="00BA01CD" w:rsidRPr="00311975" w:rsidRDefault="00BA01CD" w:rsidP="00C23F13">
            <w:pPr>
              <w:pStyle w:val="PITableTextListText"/>
              <w:jc w:val="center"/>
              <w:rPr>
                <w:rStyle w:val="TableText9"/>
                <w:sz w:val="20"/>
                <w:szCs w:val="20"/>
              </w:rPr>
            </w:pPr>
            <w:r>
              <w:rPr>
                <w:rStyle w:val="TableText9"/>
                <w:sz w:val="20"/>
                <w:szCs w:val="20"/>
              </w:rPr>
              <w:t>0</w:t>
            </w:r>
          </w:p>
        </w:tc>
      </w:tr>
      <w:tr w:rsidR="001C1D2D" w:rsidRPr="006056DD" w:rsidTr="00482414">
        <w:trPr>
          <w:cantSplit/>
          <w:trHeight w:val="77"/>
        </w:trPr>
        <w:tc>
          <w:tcPr>
            <w:tcW w:w="1581" w:type="dxa"/>
            <w:vMerge w:val="restart"/>
            <w:tcBorders>
              <w:top w:val="single" w:sz="12" w:space="0" w:color="auto"/>
              <w:left w:val="single" w:sz="12" w:space="0" w:color="auto"/>
            </w:tcBorders>
            <w:shd w:val="clear" w:color="auto" w:fill="auto"/>
          </w:tcPr>
          <w:p w:rsidR="001C1D2D" w:rsidRPr="006056DD" w:rsidRDefault="001C1D2D" w:rsidP="006056DD">
            <w:pPr>
              <w:pStyle w:val="PITableTextListText"/>
              <w:rPr>
                <w:rStyle w:val="TableText9"/>
                <w:sz w:val="20"/>
                <w:szCs w:val="20"/>
              </w:rPr>
            </w:pPr>
            <w:r w:rsidRPr="006056DD">
              <w:rPr>
                <w:rStyle w:val="TableText9"/>
                <w:sz w:val="20"/>
                <w:szCs w:val="20"/>
              </w:rPr>
              <w:t xml:space="preserve">Gastrointestinal disorders </w:t>
            </w:r>
          </w:p>
        </w:tc>
        <w:tc>
          <w:tcPr>
            <w:tcW w:w="1436" w:type="dxa"/>
            <w:vMerge w:val="restart"/>
            <w:tcBorders>
              <w:top w:val="single" w:sz="12" w:space="0" w:color="auto"/>
            </w:tcBorders>
            <w:shd w:val="clear" w:color="auto" w:fill="auto"/>
          </w:tcPr>
          <w:p w:rsidR="001C1D2D" w:rsidRPr="006056DD" w:rsidRDefault="001C1D2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tcBorders>
            <w:shd w:val="clear" w:color="auto" w:fill="auto"/>
          </w:tcPr>
          <w:p w:rsidR="001C1D2D" w:rsidRPr="006056DD" w:rsidRDefault="001C1D2D" w:rsidP="006056DD">
            <w:pPr>
              <w:pStyle w:val="PITableTextListText"/>
              <w:rPr>
                <w:rStyle w:val="TableText9"/>
                <w:sz w:val="20"/>
                <w:szCs w:val="20"/>
                <w:highlight w:val="yellow"/>
              </w:rPr>
            </w:pPr>
            <w:r w:rsidRPr="006056DD">
              <w:rPr>
                <w:rStyle w:val="TableText9"/>
                <w:sz w:val="20"/>
                <w:szCs w:val="20"/>
              </w:rPr>
              <w:t>Diarrhoea</w:t>
            </w:r>
          </w:p>
        </w:tc>
        <w:tc>
          <w:tcPr>
            <w:tcW w:w="976" w:type="dxa"/>
            <w:tcBorders>
              <w:top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54.9</w:t>
            </w:r>
          </w:p>
        </w:tc>
        <w:tc>
          <w:tcPr>
            <w:tcW w:w="976" w:type="dxa"/>
            <w:tcBorders>
              <w:top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10.6</w:t>
            </w:r>
          </w:p>
        </w:tc>
        <w:tc>
          <w:tcPr>
            <w:tcW w:w="976" w:type="dxa"/>
            <w:tcBorders>
              <w:top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53.2</w:t>
            </w:r>
          </w:p>
        </w:tc>
        <w:tc>
          <w:tcPr>
            <w:tcW w:w="976" w:type="dxa"/>
            <w:tcBorders>
              <w:top w:val="single" w:sz="12" w:space="0" w:color="auto"/>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7.3</w:t>
            </w:r>
          </w:p>
        </w:tc>
      </w:tr>
      <w:tr w:rsidR="001C1D2D" w:rsidRPr="006056DD" w:rsidTr="00482414">
        <w:trPr>
          <w:cantSplit/>
          <w:trHeight w:val="77"/>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shd w:val="clear" w:color="auto" w:fill="auto"/>
          </w:tcPr>
          <w:p w:rsidR="001C1D2D" w:rsidRPr="006056DD" w:rsidRDefault="001C1D2D" w:rsidP="006056DD">
            <w:pPr>
              <w:pStyle w:val="PITableTextListText"/>
              <w:rPr>
                <w:rStyle w:val="TableText9"/>
                <w:sz w:val="20"/>
                <w:szCs w:val="20"/>
              </w:rPr>
            </w:pPr>
          </w:p>
        </w:tc>
        <w:tc>
          <w:tcPr>
            <w:tcW w:w="2010" w:type="dxa"/>
            <w:shd w:val="clear" w:color="auto" w:fill="auto"/>
          </w:tcPr>
          <w:p w:rsidR="001C1D2D" w:rsidRPr="006056DD" w:rsidRDefault="001C1D2D" w:rsidP="006056DD">
            <w:pPr>
              <w:pStyle w:val="PITableTextListText"/>
              <w:rPr>
                <w:rStyle w:val="TableText9"/>
                <w:sz w:val="20"/>
                <w:szCs w:val="20"/>
              </w:rPr>
            </w:pPr>
            <w:r>
              <w:rPr>
                <w:rStyle w:val="TableText9"/>
                <w:sz w:val="20"/>
                <w:szCs w:val="20"/>
              </w:rPr>
              <w:t>Vomiting</w:t>
            </w:r>
          </w:p>
        </w:tc>
        <w:tc>
          <w:tcPr>
            <w:tcW w:w="976" w:type="dxa"/>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23.7</w:t>
            </w:r>
          </w:p>
        </w:tc>
        <w:tc>
          <w:tcPr>
            <w:tcW w:w="976" w:type="dxa"/>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3.3</w:t>
            </w:r>
          </w:p>
        </w:tc>
        <w:tc>
          <w:tcPr>
            <w:tcW w:w="976" w:type="dxa"/>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17.2</w:t>
            </w:r>
          </w:p>
        </w:tc>
        <w:tc>
          <w:tcPr>
            <w:tcW w:w="976" w:type="dxa"/>
            <w:tcBorders>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0.8</w:t>
            </w:r>
          </w:p>
        </w:tc>
      </w:tr>
      <w:tr w:rsidR="001C1D2D" w:rsidRPr="006056DD" w:rsidTr="00482414">
        <w:trPr>
          <w:cantSplit/>
          <w:trHeight w:val="77"/>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shd w:val="clear" w:color="auto" w:fill="auto"/>
          </w:tcPr>
          <w:p w:rsidR="001C1D2D" w:rsidRPr="006056DD" w:rsidRDefault="001C1D2D" w:rsidP="006056DD">
            <w:pPr>
              <w:pStyle w:val="PITableTextListText"/>
              <w:rPr>
                <w:rStyle w:val="TableText9"/>
                <w:sz w:val="20"/>
                <w:szCs w:val="20"/>
              </w:rPr>
            </w:pPr>
          </w:p>
        </w:tc>
        <w:tc>
          <w:tcPr>
            <w:tcW w:w="2010" w:type="dxa"/>
            <w:shd w:val="clear" w:color="auto" w:fill="auto"/>
          </w:tcPr>
          <w:p w:rsidR="001C1D2D" w:rsidRPr="006056DD" w:rsidRDefault="001C1D2D" w:rsidP="006056DD">
            <w:pPr>
              <w:pStyle w:val="PITableTextListText"/>
              <w:rPr>
                <w:rStyle w:val="TableText9"/>
                <w:sz w:val="20"/>
                <w:szCs w:val="20"/>
              </w:rPr>
            </w:pPr>
            <w:r>
              <w:rPr>
                <w:rStyle w:val="TableText9"/>
                <w:sz w:val="20"/>
                <w:szCs w:val="20"/>
              </w:rPr>
              <w:t>Nausea</w:t>
            </w:r>
          </w:p>
        </w:tc>
        <w:tc>
          <w:tcPr>
            <w:tcW w:w="976" w:type="dxa"/>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32.3</w:t>
            </w:r>
          </w:p>
        </w:tc>
        <w:tc>
          <w:tcPr>
            <w:tcW w:w="976" w:type="dxa"/>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2.5</w:t>
            </w:r>
          </w:p>
        </w:tc>
        <w:tc>
          <w:tcPr>
            <w:tcW w:w="976" w:type="dxa"/>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21.7</w:t>
            </w:r>
          </w:p>
        </w:tc>
        <w:tc>
          <w:tcPr>
            <w:tcW w:w="976" w:type="dxa"/>
            <w:tcBorders>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1.1</w:t>
            </w:r>
          </w:p>
        </w:tc>
      </w:tr>
      <w:tr w:rsidR="001C1D2D" w:rsidRPr="006056DD" w:rsidTr="00482414">
        <w:trPr>
          <w:cantSplit/>
          <w:trHeight w:val="77"/>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shd w:val="clear" w:color="auto" w:fill="auto"/>
          </w:tcPr>
          <w:p w:rsidR="001C1D2D" w:rsidRPr="006056DD" w:rsidRDefault="001C1D2D" w:rsidP="006056DD">
            <w:pPr>
              <w:pStyle w:val="PITableTextListText"/>
              <w:rPr>
                <w:rStyle w:val="TableText9"/>
                <w:sz w:val="20"/>
                <w:szCs w:val="20"/>
              </w:rPr>
            </w:pPr>
          </w:p>
        </w:tc>
        <w:tc>
          <w:tcPr>
            <w:tcW w:w="2010" w:type="dxa"/>
            <w:shd w:val="clear" w:color="auto" w:fill="auto"/>
          </w:tcPr>
          <w:p w:rsidR="001C1D2D" w:rsidRPr="006056DD" w:rsidRDefault="001C1D2D" w:rsidP="006056DD">
            <w:pPr>
              <w:pStyle w:val="PITableTextListText"/>
              <w:rPr>
                <w:rStyle w:val="TableText9"/>
                <w:sz w:val="20"/>
                <w:szCs w:val="20"/>
              </w:rPr>
            </w:pPr>
            <w:r>
              <w:rPr>
                <w:rStyle w:val="TableText9"/>
                <w:sz w:val="20"/>
                <w:szCs w:val="20"/>
              </w:rPr>
              <w:t>Abdominal pain</w:t>
            </w:r>
          </w:p>
        </w:tc>
        <w:tc>
          <w:tcPr>
            <w:tcW w:w="976" w:type="dxa"/>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14.2</w:t>
            </w:r>
          </w:p>
        </w:tc>
        <w:tc>
          <w:tcPr>
            <w:tcW w:w="976" w:type="dxa"/>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2.2</w:t>
            </w:r>
          </w:p>
        </w:tc>
        <w:tc>
          <w:tcPr>
            <w:tcW w:w="976" w:type="dxa"/>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10.7</w:t>
            </w:r>
          </w:p>
        </w:tc>
        <w:tc>
          <w:tcPr>
            <w:tcW w:w="976" w:type="dxa"/>
            <w:tcBorders>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0.8</w:t>
            </w:r>
          </w:p>
        </w:tc>
      </w:tr>
      <w:tr w:rsidR="001C1D2D" w:rsidRPr="006056DD" w:rsidTr="00482414">
        <w:trPr>
          <w:cantSplit/>
          <w:trHeight w:val="77"/>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shd w:val="clear" w:color="auto" w:fill="auto"/>
          </w:tcPr>
          <w:p w:rsidR="001C1D2D" w:rsidRPr="006056DD" w:rsidRDefault="001C1D2D" w:rsidP="006056DD">
            <w:pPr>
              <w:pStyle w:val="PITableTextListText"/>
              <w:rPr>
                <w:rStyle w:val="TableText9"/>
                <w:sz w:val="20"/>
                <w:szCs w:val="20"/>
              </w:rPr>
            </w:pPr>
          </w:p>
        </w:tc>
        <w:tc>
          <w:tcPr>
            <w:tcW w:w="2010" w:type="dxa"/>
            <w:tcBorders>
              <w:top w:val="single" w:sz="4" w:space="0" w:color="auto"/>
            </w:tcBorders>
            <w:shd w:val="clear" w:color="auto" w:fill="auto"/>
          </w:tcPr>
          <w:p w:rsidR="001C1D2D" w:rsidRPr="006056DD" w:rsidRDefault="001C1D2D" w:rsidP="006056DD">
            <w:pPr>
              <w:pStyle w:val="PITableTextListText"/>
              <w:rPr>
                <w:rStyle w:val="TableText9"/>
                <w:sz w:val="20"/>
                <w:szCs w:val="20"/>
                <w:highlight w:val="yellow"/>
              </w:rPr>
            </w:pPr>
            <w:proofErr w:type="spellStart"/>
            <w:r w:rsidRPr="006056DD">
              <w:rPr>
                <w:rStyle w:val="TableText9"/>
                <w:sz w:val="20"/>
                <w:szCs w:val="20"/>
              </w:rPr>
              <w:t>Stomatitis</w:t>
            </w:r>
            <w:proofErr w:type="spellEnd"/>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15.0</w:t>
            </w:r>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1.4</w:t>
            </w:r>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12.4</w:t>
            </w:r>
          </w:p>
        </w:tc>
        <w:tc>
          <w:tcPr>
            <w:tcW w:w="976" w:type="dxa"/>
            <w:tcBorders>
              <w:top w:val="single" w:sz="4" w:space="0" w:color="auto"/>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0.3</w:t>
            </w:r>
          </w:p>
        </w:tc>
      </w:tr>
      <w:tr w:rsidR="001C1D2D" w:rsidRPr="006056DD" w:rsidTr="00482414">
        <w:trPr>
          <w:cantSplit/>
          <w:trHeight w:val="77"/>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shd w:val="clear" w:color="auto" w:fill="auto"/>
          </w:tcPr>
          <w:p w:rsidR="001C1D2D" w:rsidRPr="006056DD" w:rsidRDefault="001C1D2D" w:rsidP="006056DD">
            <w:pPr>
              <w:pStyle w:val="PITableTextListText"/>
              <w:rPr>
                <w:rStyle w:val="TableText9"/>
                <w:sz w:val="20"/>
                <w:szCs w:val="20"/>
              </w:rPr>
            </w:pPr>
          </w:p>
        </w:tc>
        <w:tc>
          <w:tcPr>
            <w:tcW w:w="2010" w:type="dxa"/>
            <w:shd w:val="clear" w:color="auto" w:fill="auto"/>
          </w:tcPr>
          <w:p w:rsidR="001C1D2D" w:rsidRPr="006056DD" w:rsidRDefault="001C1D2D" w:rsidP="006056DD">
            <w:pPr>
              <w:pStyle w:val="PITableTextListText"/>
              <w:rPr>
                <w:rStyle w:val="TableText9"/>
                <w:sz w:val="20"/>
                <w:szCs w:val="20"/>
              </w:rPr>
            </w:pPr>
            <w:r>
              <w:rPr>
                <w:rStyle w:val="TableText9"/>
                <w:sz w:val="20"/>
                <w:szCs w:val="20"/>
              </w:rPr>
              <w:t>Constipation</w:t>
            </w:r>
          </w:p>
        </w:tc>
        <w:tc>
          <w:tcPr>
            <w:tcW w:w="976" w:type="dxa"/>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20.3</w:t>
            </w:r>
          </w:p>
        </w:tc>
        <w:tc>
          <w:tcPr>
            <w:tcW w:w="976" w:type="dxa"/>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1.1</w:t>
            </w:r>
          </w:p>
        </w:tc>
        <w:tc>
          <w:tcPr>
            <w:tcW w:w="976" w:type="dxa"/>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20.3</w:t>
            </w:r>
          </w:p>
        </w:tc>
        <w:tc>
          <w:tcPr>
            <w:tcW w:w="976" w:type="dxa"/>
            <w:tcBorders>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0.8</w:t>
            </w:r>
          </w:p>
        </w:tc>
      </w:tr>
      <w:tr w:rsidR="001C1D2D" w:rsidRPr="006056DD" w:rsidTr="00482414">
        <w:trPr>
          <w:cantSplit/>
          <w:trHeight w:val="174"/>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shd w:val="clear" w:color="auto" w:fill="auto"/>
          </w:tcPr>
          <w:p w:rsidR="001C1D2D" w:rsidRPr="006056DD" w:rsidRDefault="001C1D2D" w:rsidP="006056DD">
            <w:pPr>
              <w:pStyle w:val="PITableTextListText"/>
              <w:rPr>
                <w:rStyle w:val="TableText9"/>
                <w:sz w:val="20"/>
                <w:szCs w:val="20"/>
              </w:rPr>
            </w:pPr>
          </w:p>
        </w:tc>
        <w:tc>
          <w:tcPr>
            <w:tcW w:w="2010" w:type="dxa"/>
            <w:tcBorders>
              <w:top w:val="single" w:sz="4" w:space="0" w:color="auto"/>
            </w:tcBorders>
            <w:shd w:val="clear" w:color="auto" w:fill="auto"/>
          </w:tcPr>
          <w:p w:rsidR="001C1D2D" w:rsidRPr="006056DD" w:rsidRDefault="001C1D2D" w:rsidP="006056DD">
            <w:pPr>
              <w:pStyle w:val="PITableTextListText"/>
              <w:rPr>
                <w:rStyle w:val="TableText9"/>
                <w:sz w:val="20"/>
                <w:szCs w:val="20"/>
              </w:rPr>
            </w:pPr>
            <w:r>
              <w:rPr>
                <w:rStyle w:val="TableText9"/>
                <w:sz w:val="20"/>
                <w:szCs w:val="20"/>
              </w:rPr>
              <w:t>Upper abdominal pain</w:t>
            </w:r>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8.1</w:t>
            </w:r>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0.8</w:t>
            </w:r>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3.9</w:t>
            </w:r>
          </w:p>
        </w:tc>
        <w:tc>
          <w:tcPr>
            <w:tcW w:w="976" w:type="dxa"/>
            <w:tcBorders>
              <w:top w:val="single" w:sz="4" w:space="0" w:color="auto"/>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szCs w:val="20"/>
              </w:rPr>
              <w:t>0.3</w:t>
            </w:r>
          </w:p>
        </w:tc>
      </w:tr>
      <w:tr w:rsidR="001C1D2D" w:rsidRPr="006056DD" w:rsidTr="00482414">
        <w:trPr>
          <w:cantSplit/>
          <w:trHeight w:val="165"/>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shd w:val="clear" w:color="auto" w:fill="auto"/>
          </w:tcPr>
          <w:p w:rsidR="001C1D2D" w:rsidRPr="006056DD" w:rsidRDefault="001C1D2D" w:rsidP="006056DD">
            <w:pPr>
              <w:pStyle w:val="PITableTextListText"/>
              <w:rPr>
                <w:rStyle w:val="TableText9"/>
                <w:sz w:val="20"/>
                <w:szCs w:val="20"/>
              </w:rPr>
            </w:pPr>
          </w:p>
        </w:tc>
        <w:tc>
          <w:tcPr>
            <w:tcW w:w="2010" w:type="dxa"/>
            <w:tcBorders>
              <w:top w:val="single" w:sz="4" w:space="0" w:color="auto"/>
            </w:tcBorders>
            <w:shd w:val="clear" w:color="auto" w:fill="auto"/>
          </w:tcPr>
          <w:p w:rsidR="001C1D2D" w:rsidRPr="006056DD" w:rsidRDefault="001C1D2D" w:rsidP="00A510C0">
            <w:pPr>
              <w:pStyle w:val="PITableTextListText"/>
              <w:rPr>
                <w:rStyle w:val="TableText9"/>
                <w:sz w:val="20"/>
                <w:szCs w:val="20"/>
              </w:rPr>
            </w:pPr>
            <w:r w:rsidRPr="006056DD">
              <w:rPr>
                <w:rStyle w:val="TableText9"/>
                <w:sz w:val="20"/>
                <w:szCs w:val="20"/>
              </w:rPr>
              <w:t>Dyspepsia</w:t>
            </w:r>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10.0</w:t>
            </w:r>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2.3</w:t>
            </w:r>
          </w:p>
        </w:tc>
        <w:tc>
          <w:tcPr>
            <w:tcW w:w="976" w:type="dxa"/>
            <w:tcBorders>
              <w:top w:val="single" w:sz="4" w:space="0" w:color="auto"/>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w:t>
            </w:r>
          </w:p>
        </w:tc>
      </w:tr>
      <w:tr w:rsidR="001C1D2D" w:rsidRPr="006056DD" w:rsidTr="00482414">
        <w:trPr>
          <w:cantSplit/>
          <w:trHeight w:val="70"/>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val="restart"/>
            <w:tcBorders>
              <w:top w:val="single" w:sz="4" w:space="0" w:color="auto"/>
            </w:tcBorders>
            <w:shd w:val="clear" w:color="auto" w:fill="auto"/>
          </w:tcPr>
          <w:p w:rsidR="001C1D2D" w:rsidRPr="006056DD" w:rsidRDefault="001C1D2D" w:rsidP="006056DD">
            <w:pPr>
              <w:pStyle w:val="PITableTextListText"/>
              <w:rPr>
                <w:rStyle w:val="TableText9"/>
                <w:sz w:val="20"/>
                <w:szCs w:val="20"/>
              </w:rPr>
            </w:pPr>
            <w:r w:rsidRPr="006056DD">
              <w:rPr>
                <w:rStyle w:val="TableText9"/>
                <w:sz w:val="20"/>
                <w:szCs w:val="20"/>
              </w:rPr>
              <w:t>Common</w:t>
            </w:r>
          </w:p>
        </w:tc>
        <w:tc>
          <w:tcPr>
            <w:tcW w:w="2010" w:type="dxa"/>
            <w:tcBorders>
              <w:top w:val="single" w:sz="4" w:space="0" w:color="auto"/>
              <w:bottom w:val="single" w:sz="4" w:space="0" w:color="auto"/>
            </w:tcBorders>
            <w:shd w:val="clear" w:color="auto" w:fill="auto"/>
          </w:tcPr>
          <w:p w:rsidR="001C1D2D" w:rsidRPr="006056DD" w:rsidRDefault="001C1D2D" w:rsidP="006056DD">
            <w:pPr>
              <w:pStyle w:val="PITableTextListText"/>
              <w:rPr>
                <w:rStyle w:val="TableText9"/>
                <w:sz w:val="20"/>
                <w:szCs w:val="20"/>
                <w:highlight w:val="yellow"/>
              </w:rPr>
            </w:pPr>
            <w:r w:rsidRPr="006056DD">
              <w:rPr>
                <w:rStyle w:val="TableText9"/>
                <w:sz w:val="20"/>
                <w:szCs w:val="20"/>
              </w:rPr>
              <w:t>Haemorrhoids</w:t>
            </w:r>
          </w:p>
        </w:tc>
        <w:tc>
          <w:tcPr>
            <w:tcW w:w="976" w:type="dxa"/>
            <w:tcBorders>
              <w:top w:val="single" w:sz="4" w:space="0" w:color="auto"/>
              <w:bottom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4.2</w:t>
            </w:r>
          </w:p>
        </w:tc>
        <w:tc>
          <w:tcPr>
            <w:tcW w:w="976" w:type="dxa"/>
            <w:tcBorders>
              <w:top w:val="single" w:sz="4" w:space="0" w:color="auto"/>
              <w:bottom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4" w:space="0" w:color="auto"/>
              <w:bottom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1.4</w:t>
            </w:r>
          </w:p>
        </w:tc>
        <w:tc>
          <w:tcPr>
            <w:tcW w:w="976" w:type="dxa"/>
            <w:tcBorders>
              <w:top w:val="single" w:sz="4" w:space="0" w:color="auto"/>
              <w:bottom w:val="single" w:sz="4" w:space="0" w:color="auto"/>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0.3</w:t>
            </w:r>
          </w:p>
        </w:tc>
      </w:tr>
      <w:tr w:rsidR="001C1D2D" w:rsidRPr="006056DD" w:rsidTr="001C1D2D">
        <w:trPr>
          <w:cantSplit/>
          <w:trHeight w:val="195"/>
        </w:trPr>
        <w:tc>
          <w:tcPr>
            <w:tcW w:w="1581" w:type="dxa"/>
            <w:vMerge/>
            <w:tcBorders>
              <w:left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shd w:val="clear" w:color="auto" w:fill="auto"/>
          </w:tcPr>
          <w:p w:rsidR="001C1D2D" w:rsidRPr="006056DD" w:rsidRDefault="001C1D2D" w:rsidP="006056DD">
            <w:pPr>
              <w:pStyle w:val="PITableTextListText"/>
              <w:rPr>
                <w:rStyle w:val="TableText9"/>
                <w:sz w:val="20"/>
                <w:szCs w:val="20"/>
              </w:rPr>
            </w:pPr>
          </w:p>
        </w:tc>
        <w:tc>
          <w:tcPr>
            <w:tcW w:w="2010" w:type="dxa"/>
            <w:tcBorders>
              <w:top w:val="single" w:sz="4" w:space="0" w:color="auto"/>
              <w:bottom w:val="single" w:sz="4" w:space="0" w:color="auto"/>
            </w:tcBorders>
            <w:shd w:val="clear" w:color="auto" w:fill="auto"/>
          </w:tcPr>
          <w:p w:rsidR="001C1D2D" w:rsidRPr="006056DD" w:rsidRDefault="001C1D2D" w:rsidP="006056DD">
            <w:pPr>
              <w:pStyle w:val="PITableTextListText"/>
              <w:rPr>
                <w:rStyle w:val="TableText9"/>
                <w:sz w:val="20"/>
                <w:szCs w:val="20"/>
              </w:rPr>
            </w:pPr>
            <w:r w:rsidRPr="006056DD">
              <w:rPr>
                <w:rStyle w:val="TableText9"/>
                <w:sz w:val="20"/>
                <w:szCs w:val="20"/>
              </w:rPr>
              <w:t>Rectal haemorrhage</w:t>
            </w:r>
          </w:p>
        </w:tc>
        <w:tc>
          <w:tcPr>
            <w:tcW w:w="976" w:type="dxa"/>
            <w:tcBorders>
              <w:top w:val="single" w:sz="4" w:space="0" w:color="auto"/>
              <w:bottom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2.2</w:t>
            </w:r>
          </w:p>
        </w:tc>
        <w:tc>
          <w:tcPr>
            <w:tcW w:w="976" w:type="dxa"/>
            <w:tcBorders>
              <w:top w:val="single" w:sz="4" w:space="0" w:color="auto"/>
              <w:bottom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4" w:space="0" w:color="auto"/>
              <w:bottom w:val="single" w:sz="4"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1.4</w:t>
            </w:r>
          </w:p>
        </w:tc>
        <w:tc>
          <w:tcPr>
            <w:tcW w:w="976" w:type="dxa"/>
            <w:tcBorders>
              <w:top w:val="single" w:sz="4" w:space="0" w:color="auto"/>
              <w:bottom w:val="single" w:sz="4" w:space="0" w:color="auto"/>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sidRPr="006056DD">
              <w:rPr>
                <w:rStyle w:val="TableText9"/>
                <w:sz w:val="20"/>
                <w:szCs w:val="20"/>
              </w:rPr>
              <w:t>0</w:t>
            </w:r>
          </w:p>
        </w:tc>
      </w:tr>
      <w:tr w:rsidR="001C1D2D" w:rsidRPr="006056DD" w:rsidTr="00482414">
        <w:trPr>
          <w:cantSplit/>
          <w:trHeight w:val="195"/>
        </w:trPr>
        <w:tc>
          <w:tcPr>
            <w:tcW w:w="1581" w:type="dxa"/>
            <w:vMerge/>
            <w:tcBorders>
              <w:left w:val="single" w:sz="12" w:space="0" w:color="auto"/>
              <w:bottom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1436" w:type="dxa"/>
            <w:vMerge/>
            <w:tcBorders>
              <w:bottom w:val="single" w:sz="12" w:space="0" w:color="auto"/>
            </w:tcBorders>
            <w:shd w:val="clear" w:color="auto" w:fill="auto"/>
          </w:tcPr>
          <w:p w:rsidR="001C1D2D" w:rsidRPr="006056DD" w:rsidRDefault="001C1D2D" w:rsidP="006056DD">
            <w:pPr>
              <w:pStyle w:val="PITableTextListText"/>
              <w:rPr>
                <w:rStyle w:val="TableText9"/>
                <w:sz w:val="20"/>
                <w:szCs w:val="20"/>
              </w:rPr>
            </w:pPr>
          </w:p>
        </w:tc>
        <w:tc>
          <w:tcPr>
            <w:tcW w:w="2010" w:type="dxa"/>
            <w:tcBorders>
              <w:top w:val="single" w:sz="4" w:space="0" w:color="auto"/>
              <w:bottom w:val="single" w:sz="12" w:space="0" w:color="auto"/>
            </w:tcBorders>
            <w:shd w:val="clear" w:color="auto" w:fill="auto"/>
          </w:tcPr>
          <w:p w:rsidR="001C1D2D" w:rsidRPr="006056DD" w:rsidRDefault="001C1D2D" w:rsidP="006056DD">
            <w:pPr>
              <w:pStyle w:val="PITableTextListText"/>
              <w:rPr>
                <w:rStyle w:val="TableText9"/>
                <w:sz w:val="20"/>
                <w:szCs w:val="20"/>
              </w:rPr>
            </w:pPr>
            <w:r>
              <w:rPr>
                <w:rStyle w:val="TableText9"/>
                <w:sz w:val="20"/>
              </w:rPr>
              <w:t xml:space="preserve">Gastrointestinal perforation and </w:t>
            </w:r>
            <w:proofErr w:type="spellStart"/>
            <w:r>
              <w:rPr>
                <w:rStyle w:val="TableText9"/>
                <w:sz w:val="20"/>
              </w:rPr>
              <w:t>fistula</w:t>
            </w:r>
            <w:r w:rsidRPr="000F1681">
              <w:rPr>
                <w:rStyle w:val="TableText9"/>
                <w:sz w:val="20"/>
                <w:vertAlign w:val="superscript"/>
              </w:rPr>
              <w:t>b</w:t>
            </w:r>
            <w:proofErr w:type="spellEnd"/>
          </w:p>
        </w:tc>
        <w:tc>
          <w:tcPr>
            <w:tcW w:w="976" w:type="dxa"/>
            <w:tcBorders>
              <w:top w:val="single" w:sz="4" w:space="0" w:color="auto"/>
              <w:bottom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rPr>
              <w:t>1.0</w:t>
            </w:r>
          </w:p>
        </w:tc>
        <w:tc>
          <w:tcPr>
            <w:tcW w:w="976" w:type="dxa"/>
            <w:tcBorders>
              <w:top w:val="single" w:sz="4" w:space="0" w:color="auto"/>
              <w:bottom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rPr>
              <w:t>0</w:t>
            </w:r>
          </w:p>
        </w:tc>
        <w:tc>
          <w:tcPr>
            <w:tcW w:w="976" w:type="dxa"/>
            <w:tcBorders>
              <w:top w:val="single" w:sz="4" w:space="0" w:color="auto"/>
              <w:bottom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rPr>
              <w:t>0.3</w:t>
            </w:r>
          </w:p>
        </w:tc>
        <w:tc>
          <w:tcPr>
            <w:tcW w:w="976" w:type="dxa"/>
            <w:tcBorders>
              <w:top w:val="single" w:sz="4" w:space="0" w:color="auto"/>
              <w:bottom w:val="single" w:sz="12" w:space="0" w:color="auto"/>
              <w:right w:val="single" w:sz="12" w:space="0" w:color="auto"/>
            </w:tcBorders>
            <w:shd w:val="clear" w:color="auto" w:fill="auto"/>
          </w:tcPr>
          <w:p w:rsidR="001C1D2D" w:rsidRPr="006056DD" w:rsidRDefault="001C1D2D" w:rsidP="00CE5726">
            <w:pPr>
              <w:pStyle w:val="PITableTextListText"/>
              <w:jc w:val="center"/>
              <w:rPr>
                <w:rStyle w:val="TableText9"/>
                <w:sz w:val="20"/>
                <w:szCs w:val="20"/>
              </w:rPr>
            </w:pPr>
            <w:r>
              <w:rPr>
                <w:rStyle w:val="TableText9"/>
                <w:sz w:val="20"/>
              </w:rPr>
              <w:t>0</w:t>
            </w:r>
          </w:p>
        </w:tc>
      </w:tr>
      <w:tr w:rsidR="00BA01CD" w:rsidRPr="006056DD" w:rsidTr="00482414">
        <w:trPr>
          <w:cantSplit/>
          <w:trHeight w:val="50"/>
        </w:trPr>
        <w:tc>
          <w:tcPr>
            <w:tcW w:w="1581" w:type="dxa"/>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proofErr w:type="spellStart"/>
            <w:r w:rsidRPr="006056DD">
              <w:rPr>
                <w:rStyle w:val="TableText9"/>
                <w:sz w:val="20"/>
                <w:szCs w:val="20"/>
              </w:rPr>
              <w:t>Hepatobiliary</w:t>
            </w:r>
            <w:proofErr w:type="spellEnd"/>
            <w:r w:rsidRPr="006056DD">
              <w:rPr>
                <w:rStyle w:val="TableText9"/>
                <w:sz w:val="20"/>
                <w:szCs w:val="20"/>
              </w:rPr>
              <w:t xml:space="preserve"> disorders</w:t>
            </w:r>
          </w:p>
        </w:tc>
        <w:tc>
          <w:tcPr>
            <w:tcW w:w="1436" w:type="dxa"/>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Uncommon</w:t>
            </w:r>
          </w:p>
        </w:tc>
        <w:tc>
          <w:tcPr>
            <w:tcW w:w="2010" w:type="dxa"/>
            <w:tcBorders>
              <w:top w:val="single" w:sz="12"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proofErr w:type="spellStart"/>
            <w:r w:rsidRPr="006056DD">
              <w:rPr>
                <w:rStyle w:val="TableText9"/>
                <w:sz w:val="20"/>
                <w:szCs w:val="20"/>
              </w:rPr>
              <w:t>Hyperbilirubinaemia</w:t>
            </w:r>
            <w:proofErr w:type="spellEnd"/>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0.8</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0.8</w:t>
            </w:r>
          </w:p>
        </w:tc>
        <w:tc>
          <w:tcPr>
            <w:tcW w:w="976" w:type="dxa"/>
            <w:tcBorders>
              <w:top w:val="single" w:sz="12"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r>
      <w:tr w:rsidR="00BA01CD" w:rsidRPr="006056DD" w:rsidTr="00482414">
        <w:trPr>
          <w:cantSplit/>
          <w:trHeight w:val="675"/>
        </w:trPr>
        <w:tc>
          <w:tcPr>
            <w:tcW w:w="1581" w:type="dxa"/>
            <w:vMerge w:val="restart"/>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Skin and subcutaneous tissue disorders </w:t>
            </w:r>
          </w:p>
        </w:tc>
        <w:tc>
          <w:tcPr>
            <w:tcW w:w="1436" w:type="dxa"/>
            <w:vMerge w:val="restart"/>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proofErr w:type="spellStart"/>
            <w:r w:rsidRPr="006056DD">
              <w:rPr>
                <w:rStyle w:val="TableText9"/>
                <w:sz w:val="20"/>
                <w:szCs w:val="20"/>
              </w:rPr>
              <w:t>Palmar</w:t>
            </w:r>
            <w:proofErr w:type="spellEnd"/>
            <w:r w:rsidRPr="006056DD">
              <w:rPr>
                <w:rStyle w:val="TableText9"/>
                <w:sz w:val="20"/>
                <w:szCs w:val="20"/>
              </w:rPr>
              <w:t xml:space="preserve">-plantar </w:t>
            </w:r>
            <w:proofErr w:type="spellStart"/>
            <w:r w:rsidRPr="006056DD">
              <w:rPr>
                <w:rStyle w:val="TableText9"/>
                <w:sz w:val="20"/>
                <w:szCs w:val="20"/>
              </w:rPr>
              <w:t>erythrodysaesthesia</w:t>
            </w:r>
            <w:proofErr w:type="spellEnd"/>
            <w:r w:rsidRPr="006056DD">
              <w:rPr>
                <w:rStyle w:val="TableText9"/>
                <w:sz w:val="20"/>
                <w:szCs w:val="20"/>
              </w:rPr>
              <w:t xml:space="preserve"> (hand-foot syndrome)</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27.3</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5.0</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51.0</w:t>
            </w:r>
          </w:p>
        </w:tc>
        <w:tc>
          <w:tcPr>
            <w:tcW w:w="976" w:type="dxa"/>
            <w:tcBorders>
              <w:top w:val="single" w:sz="12"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16.1</w:t>
            </w:r>
          </w:p>
        </w:tc>
      </w:tr>
      <w:tr w:rsidR="00BA01CD" w:rsidRPr="006056DD" w:rsidTr="00482414">
        <w:trPr>
          <w:cantSplit/>
          <w:trHeight w:val="135"/>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Rash</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12.5</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31.5</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3.9</w:t>
            </w:r>
          </w:p>
        </w:tc>
      </w:tr>
      <w:tr w:rsidR="00BA01CD" w:rsidRPr="006056DD" w:rsidTr="00482414">
        <w:trPr>
          <w:cantSplit/>
          <w:trHeight w:val="120"/>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tcBorders>
              <w:bottom w:val="single" w:sz="4" w:space="0" w:color="auto"/>
            </w:tcBorders>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Dry skin</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10.0</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10.7</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180"/>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val="restart"/>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Common</w:t>
            </w:r>
          </w:p>
        </w:tc>
        <w:tc>
          <w:tcPr>
            <w:tcW w:w="2010" w:type="dxa"/>
            <w:tcBorders>
              <w:top w:val="single" w:sz="4"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proofErr w:type="spellStart"/>
            <w:r>
              <w:rPr>
                <w:rStyle w:val="TableText9"/>
                <w:sz w:val="20"/>
                <w:szCs w:val="20"/>
              </w:rPr>
              <w:t>Erythema</w:t>
            </w:r>
            <w:proofErr w:type="spellEnd"/>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2.2</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10.1</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0.3</w:t>
            </w:r>
          </w:p>
        </w:tc>
      </w:tr>
      <w:tr w:rsidR="00BA01CD" w:rsidRPr="006056DD" w:rsidTr="00482414">
        <w:trPr>
          <w:cantSplit/>
          <w:trHeight w:val="285"/>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proofErr w:type="spellStart"/>
            <w:r>
              <w:rPr>
                <w:rStyle w:val="TableText9"/>
                <w:sz w:val="20"/>
                <w:szCs w:val="20"/>
              </w:rPr>
              <w:t>Pruritis</w:t>
            </w:r>
            <w:proofErr w:type="spellEnd"/>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6.7</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12.4</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r>
      <w:tr w:rsidR="00BA01CD" w:rsidRPr="006056DD" w:rsidTr="00482414">
        <w:trPr>
          <w:cantSplit/>
          <w:trHeight w:val="70"/>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Pr>
                <w:rStyle w:val="TableText9"/>
                <w:sz w:val="20"/>
                <w:szCs w:val="20"/>
              </w:rPr>
              <w:t>Alopecia</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3.9</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32.4</w:t>
            </w:r>
          </w:p>
        </w:tc>
        <w:tc>
          <w:tcPr>
            <w:tcW w:w="976" w:type="dxa"/>
            <w:tcBorders>
              <w:top w:val="single" w:sz="4" w:space="0" w:color="auto"/>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r>
      <w:tr w:rsidR="00BA01CD" w:rsidRPr="006056DD" w:rsidTr="00482414">
        <w:trPr>
          <w:cantSplit/>
          <w:trHeight w:val="50"/>
        </w:trPr>
        <w:tc>
          <w:tcPr>
            <w:tcW w:w="1581" w:type="dxa"/>
            <w:vMerge w:val="restart"/>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Musculoskeletal and connective tissue disorders </w:t>
            </w:r>
          </w:p>
        </w:tc>
        <w:tc>
          <w:tcPr>
            <w:tcW w:w="1436" w:type="dxa"/>
            <w:vMerge w:val="restart"/>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tcBorders>
            <w:shd w:val="clear" w:color="auto" w:fill="auto"/>
          </w:tcPr>
          <w:p w:rsidR="00BA01CD" w:rsidRPr="006056DD" w:rsidRDefault="00BA01CD" w:rsidP="006056DD">
            <w:pPr>
              <w:pStyle w:val="PITableTextListText"/>
              <w:rPr>
                <w:rStyle w:val="TableText9"/>
                <w:sz w:val="20"/>
                <w:szCs w:val="20"/>
              </w:rPr>
            </w:pPr>
            <w:proofErr w:type="spellStart"/>
            <w:r w:rsidRPr="006056DD">
              <w:rPr>
                <w:rStyle w:val="TableText9"/>
                <w:sz w:val="20"/>
                <w:szCs w:val="20"/>
              </w:rPr>
              <w:t>Arthralgia</w:t>
            </w:r>
            <w:proofErr w:type="spellEnd"/>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15.0</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1.9</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11.0</w:t>
            </w:r>
          </w:p>
        </w:tc>
        <w:tc>
          <w:tcPr>
            <w:tcW w:w="976" w:type="dxa"/>
            <w:tcBorders>
              <w:top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1.4</w:t>
            </w:r>
          </w:p>
        </w:tc>
      </w:tr>
      <w:tr w:rsidR="00BA01CD" w:rsidRPr="006056DD" w:rsidTr="00482414">
        <w:trPr>
          <w:cantSplit/>
          <w:trHeight w:val="226"/>
        </w:trPr>
        <w:tc>
          <w:tcPr>
            <w:tcW w:w="1581" w:type="dxa"/>
            <w:vMerge/>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Pain in extremity</w:t>
            </w:r>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12.5</w:t>
            </w:r>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c>
          <w:tcPr>
            <w:tcW w:w="976" w:type="dxa"/>
            <w:tcBorders>
              <w:top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13.5</w:t>
            </w:r>
          </w:p>
        </w:tc>
        <w:tc>
          <w:tcPr>
            <w:tcW w:w="976" w:type="dxa"/>
            <w:tcBorders>
              <w:top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r>
      <w:tr w:rsidR="00BA01CD" w:rsidRPr="006056DD" w:rsidTr="00482414">
        <w:trPr>
          <w:cantSplit/>
          <w:trHeight w:val="77"/>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Common</w:t>
            </w:r>
          </w:p>
        </w:tc>
        <w:tc>
          <w:tcPr>
            <w:tcW w:w="2010" w:type="dxa"/>
            <w:tcBorders>
              <w:bottom w:val="single" w:sz="12" w:space="0" w:color="auto"/>
            </w:tcBorders>
            <w:shd w:val="clear" w:color="auto" w:fill="auto"/>
          </w:tcPr>
          <w:p w:rsidR="00BA01CD" w:rsidRPr="006056DD" w:rsidRDefault="00BA01CD" w:rsidP="006056DD">
            <w:pPr>
              <w:pStyle w:val="PITableTextListText"/>
              <w:rPr>
                <w:rStyle w:val="TableText9"/>
                <w:sz w:val="20"/>
                <w:szCs w:val="20"/>
                <w:highlight w:val="yellow"/>
              </w:rPr>
            </w:pPr>
            <w:proofErr w:type="spellStart"/>
            <w:r w:rsidRPr="006056DD">
              <w:rPr>
                <w:rStyle w:val="TableText9"/>
                <w:sz w:val="20"/>
                <w:szCs w:val="20"/>
              </w:rPr>
              <w:t>Myalgia</w:t>
            </w:r>
            <w:proofErr w:type="spellEnd"/>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7.0</w:t>
            </w:r>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0.8</w:t>
            </w:r>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2.8</w:t>
            </w:r>
          </w:p>
        </w:tc>
        <w:tc>
          <w:tcPr>
            <w:tcW w:w="976" w:type="dxa"/>
            <w:tcBorders>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50"/>
        </w:trPr>
        <w:tc>
          <w:tcPr>
            <w:tcW w:w="1581" w:type="dxa"/>
            <w:vMerge w:val="restart"/>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Renal and urinary disorders </w:t>
            </w:r>
          </w:p>
          <w:p w:rsidR="00BA01CD" w:rsidRPr="006056DD" w:rsidRDefault="00BA01CD" w:rsidP="006056DD">
            <w:pPr>
              <w:pStyle w:val="PITableTextListText"/>
              <w:rPr>
                <w:rStyle w:val="TableText9"/>
                <w:sz w:val="20"/>
                <w:szCs w:val="20"/>
              </w:rPr>
            </w:pPr>
          </w:p>
        </w:tc>
        <w:tc>
          <w:tcPr>
            <w:tcW w:w="1436" w:type="dxa"/>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bottom w:val="single" w:sz="4" w:space="0" w:color="auto"/>
            </w:tcBorders>
            <w:shd w:val="clear" w:color="auto" w:fill="auto"/>
          </w:tcPr>
          <w:p w:rsidR="00BA01CD" w:rsidRPr="006056DD" w:rsidRDefault="00BA01CD" w:rsidP="006056DD">
            <w:pPr>
              <w:pStyle w:val="PITableTextListText"/>
              <w:rPr>
                <w:rStyle w:val="TableText9"/>
                <w:sz w:val="20"/>
                <w:szCs w:val="20"/>
                <w:highlight w:val="yellow"/>
              </w:rPr>
            </w:pPr>
            <w:proofErr w:type="spellStart"/>
            <w:r w:rsidRPr="006056DD">
              <w:rPr>
                <w:rStyle w:val="TableText9"/>
                <w:sz w:val="20"/>
                <w:szCs w:val="20"/>
              </w:rPr>
              <w:t>Proteinuria</w:t>
            </w:r>
            <w:proofErr w:type="spellEnd"/>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10.9</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3.1</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7.3</w:t>
            </w:r>
          </w:p>
        </w:tc>
        <w:tc>
          <w:tcPr>
            <w:tcW w:w="976" w:type="dxa"/>
            <w:tcBorders>
              <w:top w:val="single" w:sz="12"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1.7</w:t>
            </w:r>
          </w:p>
        </w:tc>
      </w:tr>
      <w:tr w:rsidR="00BA01CD" w:rsidRPr="006056DD" w:rsidTr="00482414">
        <w:trPr>
          <w:cantSplit/>
          <w:trHeight w:val="240"/>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Common</w:t>
            </w:r>
          </w:p>
        </w:tc>
        <w:tc>
          <w:tcPr>
            <w:tcW w:w="2010" w:type="dxa"/>
            <w:tcBorders>
              <w:top w:val="single" w:sz="4"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roofErr w:type="spellStart"/>
            <w:r w:rsidRPr="006056DD">
              <w:rPr>
                <w:rStyle w:val="TableText9"/>
                <w:sz w:val="20"/>
                <w:szCs w:val="20"/>
              </w:rPr>
              <w:t>Haematuria</w:t>
            </w:r>
            <w:proofErr w:type="spellEnd"/>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3.3</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2.0</w:t>
            </w:r>
          </w:p>
        </w:tc>
        <w:tc>
          <w:tcPr>
            <w:tcW w:w="976" w:type="dxa"/>
            <w:tcBorders>
              <w:top w:val="single" w:sz="4" w:space="0" w:color="auto"/>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77"/>
        </w:trPr>
        <w:tc>
          <w:tcPr>
            <w:tcW w:w="1581" w:type="dxa"/>
            <w:vMerge w:val="restart"/>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General disorders and administration site conditions </w:t>
            </w:r>
          </w:p>
        </w:tc>
        <w:tc>
          <w:tcPr>
            <w:tcW w:w="1436" w:type="dxa"/>
            <w:vMerge w:val="restart"/>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Fatigue</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39.0</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11.4</w:t>
            </w:r>
          </w:p>
        </w:tc>
        <w:tc>
          <w:tcPr>
            <w:tcW w:w="976" w:type="dxa"/>
            <w:tcBorders>
              <w:top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31.5</w:t>
            </w:r>
          </w:p>
        </w:tc>
        <w:tc>
          <w:tcPr>
            <w:tcW w:w="976" w:type="dxa"/>
            <w:tcBorders>
              <w:top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5.1</w:t>
            </w:r>
          </w:p>
        </w:tc>
      </w:tr>
      <w:tr w:rsidR="00BA01CD" w:rsidRPr="006056DD" w:rsidTr="00482414">
        <w:trPr>
          <w:cantSplit/>
          <w:trHeight w:val="263"/>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shd w:val="clear" w:color="auto" w:fill="auto"/>
          </w:tcPr>
          <w:p w:rsidR="00BA01CD" w:rsidRPr="006056DD" w:rsidRDefault="00BA01CD" w:rsidP="006056DD">
            <w:pPr>
              <w:pStyle w:val="PITableTextListText"/>
              <w:rPr>
                <w:rStyle w:val="TableText9"/>
                <w:sz w:val="20"/>
                <w:szCs w:val="20"/>
              </w:rPr>
            </w:pPr>
            <w:proofErr w:type="spellStart"/>
            <w:r w:rsidRPr="006056DD">
              <w:rPr>
                <w:rStyle w:val="TableText9"/>
                <w:sz w:val="20"/>
                <w:szCs w:val="20"/>
              </w:rPr>
              <w:t>Asthaenia</w:t>
            </w:r>
            <w:proofErr w:type="spellEnd"/>
          </w:p>
        </w:tc>
        <w:tc>
          <w:tcPr>
            <w:tcW w:w="976" w:type="dxa"/>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20.6</w:t>
            </w:r>
          </w:p>
        </w:tc>
        <w:tc>
          <w:tcPr>
            <w:tcW w:w="976" w:type="dxa"/>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5.3</w:t>
            </w:r>
          </w:p>
        </w:tc>
        <w:tc>
          <w:tcPr>
            <w:tcW w:w="976" w:type="dxa"/>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14.1</w:t>
            </w:r>
          </w:p>
        </w:tc>
        <w:tc>
          <w:tcPr>
            <w:tcW w:w="976" w:type="dxa"/>
            <w:tcBorders>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2.5</w:t>
            </w:r>
          </w:p>
        </w:tc>
      </w:tr>
      <w:tr w:rsidR="00BA01CD" w:rsidRPr="006056DD" w:rsidTr="00482414">
        <w:trPr>
          <w:cantSplit/>
          <w:trHeight w:val="77"/>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2010" w:type="dxa"/>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Mucosal inflammation</w:t>
            </w:r>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15.3</w:t>
            </w:r>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1.4</w:t>
            </w:r>
          </w:p>
        </w:tc>
        <w:tc>
          <w:tcPr>
            <w:tcW w:w="976" w:type="dxa"/>
            <w:tcBorders>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12.4</w:t>
            </w:r>
          </w:p>
        </w:tc>
        <w:tc>
          <w:tcPr>
            <w:tcW w:w="976" w:type="dxa"/>
            <w:tcBorders>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r>
      <w:tr w:rsidR="00BA01CD" w:rsidRPr="006056DD" w:rsidTr="00482414">
        <w:trPr>
          <w:cantSplit/>
          <w:trHeight w:val="50"/>
        </w:trPr>
        <w:tc>
          <w:tcPr>
            <w:tcW w:w="1581" w:type="dxa"/>
            <w:vMerge w:val="restart"/>
            <w:tcBorders>
              <w:top w:val="single" w:sz="12" w:space="0" w:color="auto"/>
              <w:left w:val="single" w:sz="12"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Investigations </w:t>
            </w:r>
          </w:p>
        </w:tc>
        <w:tc>
          <w:tcPr>
            <w:tcW w:w="1436" w:type="dxa"/>
            <w:tcBorders>
              <w:top w:val="single" w:sz="12"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Very Common</w:t>
            </w:r>
          </w:p>
        </w:tc>
        <w:tc>
          <w:tcPr>
            <w:tcW w:w="2010" w:type="dxa"/>
            <w:tcBorders>
              <w:top w:val="single" w:sz="12"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Weight decreased</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24.8</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2.2</w:t>
            </w:r>
          </w:p>
        </w:tc>
        <w:tc>
          <w:tcPr>
            <w:tcW w:w="976" w:type="dxa"/>
            <w:tcBorders>
              <w:top w:val="single" w:sz="12"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20.8</w:t>
            </w:r>
          </w:p>
        </w:tc>
        <w:tc>
          <w:tcPr>
            <w:tcW w:w="976" w:type="dxa"/>
            <w:tcBorders>
              <w:top w:val="single" w:sz="12"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1.4</w:t>
            </w:r>
          </w:p>
        </w:tc>
      </w:tr>
      <w:tr w:rsidR="00BA01CD" w:rsidRPr="006056DD" w:rsidTr="00482414">
        <w:trPr>
          <w:cantSplit/>
          <w:trHeight w:val="211"/>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val="restart"/>
            <w:tcBorders>
              <w:top w:val="single" w:sz="4"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Common</w:t>
            </w:r>
          </w:p>
        </w:tc>
        <w:tc>
          <w:tcPr>
            <w:tcW w:w="2010" w:type="dxa"/>
            <w:tcBorders>
              <w:top w:val="single" w:sz="4" w:space="0" w:color="auto"/>
              <w:bottom w:val="single" w:sz="4" w:space="0" w:color="auto"/>
            </w:tcBorders>
            <w:shd w:val="clear" w:color="auto" w:fill="auto"/>
          </w:tcPr>
          <w:p w:rsidR="00BA01CD" w:rsidRPr="006056DD" w:rsidRDefault="00BA01CD" w:rsidP="00A510C0">
            <w:pPr>
              <w:pStyle w:val="PITableTextListText"/>
              <w:rPr>
                <w:rStyle w:val="TableText9"/>
                <w:sz w:val="20"/>
                <w:szCs w:val="20"/>
              </w:rPr>
            </w:pPr>
            <w:r w:rsidRPr="006056DD">
              <w:rPr>
                <w:rStyle w:val="TableText9"/>
                <w:sz w:val="20"/>
                <w:szCs w:val="20"/>
              </w:rPr>
              <w:t>Lipase increased</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2.5</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0.6</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5.4</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3.4</w:t>
            </w:r>
          </w:p>
        </w:tc>
      </w:tr>
      <w:tr w:rsidR="00BA01CD" w:rsidRPr="006056DD" w:rsidTr="00482414">
        <w:trPr>
          <w:cantSplit/>
          <w:trHeight w:val="70"/>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proofErr w:type="spellStart"/>
            <w:r>
              <w:rPr>
                <w:rStyle w:val="TableText9"/>
                <w:sz w:val="20"/>
                <w:szCs w:val="20"/>
              </w:rPr>
              <w:t>Creatinine</w:t>
            </w:r>
            <w:proofErr w:type="spellEnd"/>
            <w:r>
              <w:rPr>
                <w:rStyle w:val="TableText9"/>
                <w:sz w:val="20"/>
                <w:szCs w:val="20"/>
              </w:rPr>
              <w:t xml:space="preserve"> increased</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2.8</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0.3</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0.8</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r>
      <w:tr w:rsidR="00BA01CD" w:rsidRPr="006056DD" w:rsidTr="00482414">
        <w:trPr>
          <w:cantSplit/>
          <w:trHeight w:val="214"/>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proofErr w:type="spellStart"/>
            <w:r w:rsidRPr="006056DD">
              <w:rPr>
                <w:rStyle w:val="TableText9"/>
                <w:sz w:val="20"/>
                <w:szCs w:val="20"/>
              </w:rPr>
              <w:t>Alanine</w:t>
            </w:r>
            <w:proofErr w:type="spellEnd"/>
            <w:r w:rsidRPr="006056DD">
              <w:rPr>
                <w:rStyle w:val="TableText9"/>
                <w:sz w:val="20"/>
                <w:szCs w:val="20"/>
              </w:rPr>
              <w:t xml:space="preserve"> </w:t>
            </w:r>
            <w:proofErr w:type="spellStart"/>
            <w:r w:rsidRPr="006056DD">
              <w:rPr>
                <w:rStyle w:val="TableText9"/>
                <w:sz w:val="20"/>
                <w:szCs w:val="20"/>
              </w:rPr>
              <w:t>aminotranferase</w:t>
            </w:r>
            <w:proofErr w:type="spellEnd"/>
            <w:r w:rsidRPr="006056DD">
              <w:rPr>
                <w:rStyle w:val="TableText9"/>
                <w:sz w:val="20"/>
                <w:szCs w:val="20"/>
              </w:rPr>
              <w:t xml:space="preserve"> increased</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2.2</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3.7</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1.7</w:t>
            </w:r>
          </w:p>
        </w:tc>
      </w:tr>
      <w:tr w:rsidR="00BA01CD" w:rsidRPr="006056DD" w:rsidTr="00482414">
        <w:trPr>
          <w:cantSplit/>
          <w:trHeight w:val="450"/>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r w:rsidRPr="006056DD">
              <w:rPr>
                <w:rStyle w:val="TableText9"/>
                <w:sz w:val="20"/>
                <w:szCs w:val="20"/>
              </w:rPr>
              <w:t xml:space="preserve">Alkaline </w:t>
            </w:r>
            <w:proofErr w:type="spellStart"/>
            <w:r w:rsidRPr="006056DD">
              <w:rPr>
                <w:rStyle w:val="TableText9"/>
                <w:sz w:val="20"/>
                <w:szCs w:val="20"/>
              </w:rPr>
              <w:t>phosphatase</w:t>
            </w:r>
            <w:proofErr w:type="spellEnd"/>
            <w:r w:rsidRPr="006056DD">
              <w:rPr>
                <w:rStyle w:val="TableText9"/>
                <w:sz w:val="20"/>
                <w:szCs w:val="20"/>
              </w:rPr>
              <w:t xml:space="preserve"> increased</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1.9</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2.0</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w:t>
            </w:r>
          </w:p>
        </w:tc>
      </w:tr>
      <w:tr w:rsidR="00BA01CD" w:rsidRPr="006056DD" w:rsidTr="00482414">
        <w:trPr>
          <w:cantSplit/>
          <w:trHeight w:val="70"/>
        </w:trPr>
        <w:tc>
          <w:tcPr>
            <w:tcW w:w="1581" w:type="dxa"/>
            <w:vMerge/>
            <w:tcBorders>
              <w:left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4" w:space="0" w:color="auto"/>
            </w:tcBorders>
            <w:shd w:val="clear" w:color="auto" w:fill="auto"/>
          </w:tcPr>
          <w:p w:rsidR="00BA01CD" w:rsidRPr="006056DD" w:rsidRDefault="00BA01CD" w:rsidP="006056DD">
            <w:pPr>
              <w:pStyle w:val="PITableTextListText"/>
              <w:rPr>
                <w:rStyle w:val="TableText9"/>
                <w:sz w:val="20"/>
                <w:szCs w:val="20"/>
              </w:rPr>
            </w:pPr>
            <w:proofErr w:type="spellStart"/>
            <w:r w:rsidRPr="006056DD">
              <w:rPr>
                <w:rStyle w:val="TableText9"/>
                <w:sz w:val="20"/>
                <w:szCs w:val="20"/>
              </w:rPr>
              <w:t>Aspartate</w:t>
            </w:r>
            <w:proofErr w:type="spellEnd"/>
            <w:r w:rsidRPr="006056DD">
              <w:rPr>
                <w:rStyle w:val="TableText9"/>
                <w:sz w:val="20"/>
                <w:szCs w:val="20"/>
              </w:rPr>
              <w:t xml:space="preserve"> </w:t>
            </w:r>
            <w:proofErr w:type="spellStart"/>
            <w:r w:rsidRPr="006056DD">
              <w:rPr>
                <w:rStyle w:val="TableText9"/>
                <w:sz w:val="20"/>
                <w:szCs w:val="20"/>
              </w:rPr>
              <w:t>aminotransferase</w:t>
            </w:r>
            <w:proofErr w:type="spellEnd"/>
            <w:r w:rsidRPr="006056DD">
              <w:rPr>
                <w:rStyle w:val="TableText9"/>
                <w:sz w:val="20"/>
                <w:szCs w:val="20"/>
              </w:rPr>
              <w:t xml:space="preserve"> increased</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1.1</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0.3</w:t>
            </w:r>
          </w:p>
        </w:tc>
        <w:tc>
          <w:tcPr>
            <w:tcW w:w="976" w:type="dxa"/>
            <w:tcBorders>
              <w:top w:val="single" w:sz="4" w:space="0" w:color="auto"/>
              <w:bottom w:val="single" w:sz="4"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3.7</w:t>
            </w:r>
          </w:p>
        </w:tc>
        <w:tc>
          <w:tcPr>
            <w:tcW w:w="976" w:type="dxa"/>
            <w:tcBorders>
              <w:top w:val="single" w:sz="4" w:space="0" w:color="auto"/>
              <w:bottom w:val="single" w:sz="4"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sidRPr="006056DD">
              <w:rPr>
                <w:rStyle w:val="TableText9"/>
                <w:sz w:val="20"/>
                <w:szCs w:val="20"/>
              </w:rPr>
              <w:t>1.1</w:t>
            </w:r>
          </w:p>
        </w:tc>
      </w:tr>
      <w:tr w:rsidR="00BA01CD" w:rsidRPr="006056DD" w:rsidTr="00482414">
        <w:trPr>
          <w:cantSplit/>
          <w:trHeight w:val="291"/>
        </w:trPr>
        <w:tc>
          <w:tcPr>
            <w:tcW w:w="1581" w:type="dxa"/>
            <w:vMerge/>
            <w:tcBorders>
              <w:left w:val="single" w:sz="12"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1436" w:type="dxa"/>
            <w:vMerge/>
            <w:tcBorders>
              <w:bottom w:val="single" w:sz="12" w:space="0" w:color="auto"/>
            </w:tcBorders>
            <w:shd w:val="clear" w:color="auto" w:fill="auto"/>
          </w:tcPr>
          <w:p w:rsidR="00BA01CD" w:rsidRPr="006056DD" w:rsidRDefault="00BA01CD" w:rsidP="006056DD">
            <w:pPr>
              <w:pStyle w:val="PITableTextListText"/>
              <w:rPr>
                <w:rStyle w:val="TableText9"/>
                <w:sz w:val="20"/>
                <w:szCs w:val="20"/>
              </w:rPr>
            </w:pPr>
          </w:p>
        </w:tc>
        <w:tc>
          <w:tcPr>
            <w:tcW w:w="2010" w:type="dxa"/>
            <w:tcBorders>
              <w:top w:val="single" w:sz="4" w:space="0" w:color="auto"/>
              <w:bottom w:val="single" w:sz="12" w:space="0" w:color="auto"/>
            </w:tcBorders>
            <w:shd w:val="clear" w:color="auto" w:fill="auto"/>
          </w:tcPr>
          <w:p w:rsidR="00BA01CD" w:rsidRPr="006056DD" w:rsidRDefault="00BA01CD" w:rsidP="006056DD">
            <w:pPr>
              <w:pStyle w:val="PITableTextListText"/>
              <w:rPr>
                <w:rStyle w:val="TableText9"/>
                <w:sz w:val="20"/>
                <w:szCs w:val="20"/>
              </w:rPr>
            </w:pPr>
            <w:r>
              <w:rPr>
                <w:rStyle w:val="TableText9"/>
                <w:sz w:val="20"/>
                <w:szCs w:val="20"/>
              </w:rPr>
              <w:t>Amylase increase</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1.7</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w:t>
            </w:r>
          </w:p>
        </w:tc>
        <w:tc>
          <w:tcPr>
            <w:tcW w:w="976" w:type="dxa"/>
            <w:tcBorders>
              <w:top w:val="single" w:sz="4" w:space="0" w:color="auto"/>
              <w:bottom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3.9</w:t>
            </w:r>
          </w:p>
        </w:tc>
        <w:tc>
          <w:tcPr>
            <w:tcW w:w="976" w:type="dxa"/>
            <w:tcBorders>
              <w:top w:val="single" w:sz="4" w:space="0" w:color="auto"/>
              <w:bottom w:val="single" w:sz="12" w:space="0" w:color="auto"/>
              <w:right w:val="single" w:sz="12" w:space="0" w:color="auto"/>
            </w:tcBorders>
            <w:shd w:val="clear" w:color="auto" w:fill="auto"/>
          </w:tcPr>
          <w:p w:rsidR="00BA01CD" w:rsidRPr="006056DD" w:rsidRDefault="00BA01CD" w:rsidP="00CE5726">
            <w:pPr>
              <w:pStyle w:val="PITableTextListText"/>
              <w:jc w:val="center"/>
              <w:rPr>
                <w:rStyle w:val="TableText9"/>
                <w:sz w:val="20"/>
                <w:szCs w:val="20"/>
              </w:rPr>
            </w:pPr>
            <w:r>
              <w:rPr>
                <w:rStyle w:val="TableText9"/>
                <w:sz w:val="20"/>
                <w:szCs w:val="20"/>
              </w:rPr>
              <w:t>0.3</w:t>
            </w:r>
          </w:p>
        </w:tc>
      </w:tr>
    </w:tbl>
    <w:p w:rsidR="006056DD" w:rsidRDefault="006056DD" w:rsidP="00482414">
      <w:pPr>
        <w:spacing w:after="0"/>
        <w:rPr>
          <w:sz w:val="18"/>
          <w:szCs w:val="18"/>
        </w:rPr>
      </w:pPr>
      <w:proofErr w:type="gramStart"/>
      <w:r w:rsidRPr="0066602D">
        <w:rPr>
          <w:szCs w:val="22"/>
          <w:vertAlign w:val="superscript"/>
        </w:rPr>
        <w:t>a</w:t>
      </w:r>
      <w:proofErr w:type="gramEnd"/>
      <w:r w:rsidRPr="0066602D">
        <w:rPr>
          <w:szCs w:val="22"/>
        </w:rPr>
        <w:t xml:space="preserve"> </w:t>
      </w:r>
      <w:r w:rsidRPr="00E1286E">
        <w:rPr>
          <w:sz w:val="18"/>
          <w:szCs w:val="18"/>
        </w:rPr>
        <w:t>National Cancer Institute Common Terminology Criteria for Adverse Events, Version 3.0</w:t>
      </w:r>
    </w:p>
    <w:p w:rsidR="00482414" w:rsidRDefault="00482414" w:rsidP="00482414">
      <w:pPr>
        <w:spacing w:after="0"/>
        <w:rPr>
          <w:sz w:val="18"/>
          <w:szCs w:val="18"/>
        </w:rPr>
      </w:pPr>
      <w:proofErr w:type="gramStart"/>
      <w:r w:rsidRPr="00A5017E">
        <w:rPr>
          <w:sz w:val="18"/>
          <w:szCs w:val="18"/>
          <w:vertAlign w:val="superscript"/>
        </w:rPr>
        <w:t>b</w:t>
      </w:r>
      <w:proofErr w:type="gramEnd"/>
      <w:r>
        <w:rPr>
          <w:sz w:val="18"/>
          <w:szCs w:val="18"/>
        </w:rPr>
        <w:t xml:space="preserve"> Including fistula, anal fistula, and gastrointestinal perforation</w:t>
      </w:r>
    </w:p>
    <w:p w:rsidR="00812C64" w:rsidRDefault="00812C64" w:rsidP="000557A3">
      <w:pPr>
        <w:pStyle w:val="PIHeading1"/>
      </w:pPr>
      <w:r>
        <w:t>DOSAGE AND ADMINISTRATION</w:t>
      </w:r>
    </w:p>
    <w:p w:rsidR="00E96F11" w:rsidRDefault="00E96F11" w:rsidP="00E96F11">
      <w:pPr>
        <w:pStyle w:val="PIHeading2"/>
      </w:pPr>
      <w:r>
        <w:t>Recommended Dose</w:t>
      </w:r>
    </w:p>
    <w:p w:rsidR="00E96F11" w:rsidRPr="007F4C2E" w:rsidRDefault="00E96F11" w:rsidP="00E96F11">
      <w:pPr>
        <w:pStyle w:val="PINormal"/>
        <w:rPr>
          <w:rStyle w:val="BlueText"/>
          <w:color w:val="auto"/>
        </w:rPr>
      </w:pPr>
      <w:r w:rsidRPr="00D77149">
        <w:t xml:space="preserve">The recommended starting oral dose of </w:t>
      </w:r>
      <w:r w:rsidR="0047150E">
        <w:t>INLYTA</w:t>
      </w:r>
      <w:r>
        <w:t xml:space="preserve"> </w:t>
      </w:r>
      <w:r w:rsidRPr="00D77149">
        <w:t xml:space="preserve">is 5 mg twice daily. </w:t>
      </w:r>
      <w:r w:rsidR="00BE0639">
        <w:rPr>
          <w:color w:val="0000FF"/>
        </w:rPr>
        <w:t xml:space="preserve"> </w:t>
      </w:r>
      <w:r w:rsidR="0047150E">
        <w:t>INLYTA</w:t>
      </w:r>
      <w:r>
        <w:t xml:space="preserve"> </w:t>
      </w:r>
      <w:r w:rsidRPr="00D77149">
        <w:t>may be taken with or without food</w:t>
      </w:r>
      <w:r>
        <w:t>.</w:t>
      </w:r>
    </w:p>
    <w:p w:rsidR="00E96F11" w:rsidRPr="007F4C2E" w:rsidRDefault="00E96F11" w:rsidP="00E96F11">
      <w:pPr>
        <w:pStyle w:val="PINormal"/>
      </w:pPr>
      <w:r w:rsidRPr="004A30D8">
        <w:t>If the patient vomits or misses a dose,</w:t>
      </w:r>
      <w:r w:rsidR="006975E5">
        <w:t xml:space="preserve"> an additional dose should not be taken.  The next prescribed dose should be taken at the usual time.</w:t>
      </w:r>
    </w:p>
    <w:p w:rsidR="00FD575B" w:rsidRDefault="00E96F11" w:rsidP="000557A3">
      <w:pPr>
        <w:pStyle w:val="PIHeading2"/>
      </w:pPr>
      <w:r>
        <w:t>D</w:t>
      </w:r>
      <w:r w:rsidR="001917B7">
        <w:t>ose A</w:t>
      </w:r>
      <w:r>
        <w:t>djustment</w:t>
      </w:r>
    </w:p>
    <w:p w:rsidR="00E96F11" w:rsidRPr="00C00EA4" w:rsidRDefault="00E96F11" w:rsidP="00E96F11">
      <w:pPr>
        <w:pStyle w:val="PINormal"/>
      </w:pPr>
      <w:r w:rsidRPr="00C00EA4">
        <w:t>Dose increase or reduction is recommended based on individual safety and tolerability.</w:t>
      </w:r>
    </w:p>
    <w:p w:rsidR="00E96F11" w:rsidRPr="001D5215" w:rsidRDefault="00E96F11" w:rsidP="00E96F11">
      <w:pPr>
        <w:pStyle w:val="PINormal"/>
        <w:rPr>
          <w:rStyle w:val="BlueText"/>
          <w:b/>
          <w:color w:val="auto"/>
          <w:vertAlign w:val="superscript"/>
        </w:rPr>
      </w:pPr>
      <w:r>
        <w:t xml:space="preserve">Patients who tolerate the </w:t>
      </w:r>
      <w:r w:rsidR="0047150E">
        <w:t>INLYTA</w:t>
      </w:r>
      <w:r w:rsidRPr="00BE73D7">
        <w:t xml:space="preserve"> starting dose of 5 mg twice daily with no adverse reactions </w:t>
      </w:r>
      <w:r w:rsidR="00A510C0">
        <w:t xml:space="preserve">&gt;Grade 2 (according to the </w:t>
      </w:r>
      <w:r w:rsidRPr="00BE73D7">
        <w:t>Common Toxicity Criteria</w:t>
      </w:r>
      <w:r w:rsidR="001928FA">
        <w:t xml:space="preserve"> for Adverse Events [CTCAE])</w:t>
      </w:r>
      <w:r w:rsidRPr="00BE73D7">
        <w:t xml:space="preserve"> for</w:t>
      </w:r>
      <w:r w:rsidR="001917B7">
        <w:t xml:space="preserve"> </w:t>
      </w:r>
      <w:r w:rsidR="00CE5726">
        <w:t xml:space="preserve">two </w:t>
      </w:r>
      <w:r w:rsidR="001928FA">
        <w:t xml:space="preserve">consecutive </w:t>
      </w:r>
      <w:r w:rsidRPr="00BE73D7">
        <w:t>week</w:t>
      </w:r>
      <w:r w:rsidR="001928FA">
        <w:t>s</w:t>
      </w:r>
      <w:r w:rsidRPr="00BE73D7">
        <w:t xml:space="preserve">, are </w:t>
      </w:r>
      <w:proofErr w:type="spellStart"/>
      <w:r w:rsidRPr="00BE73D7">
        <w:t>normotensive</w:t>
      </w:r>
      <w:proofErr w:type="spellEnd"/>
      <w:r w:rsidRPr="00BE73D7">
        <w:t xml:space="preserve">, and are not receiving anti-hypertension medication, may have their dose increased to 7 mg twice daily.  Subsequently, using the same criteria, patients who tolerate the </w:t>
      </w:r>
      <w:r w:rsidR="0047150E">
        <w:t>INLYTA</w:t>
      </w:r>
      <w:r w:rsidRPr="00BE73D7">
        <w:t xml:space="preserve"> dose of 7 mg twice daily, may have their dose increased to a maximum of 10 mg</w:t>
      </w:r>
      <w:r>
        <w:t xml:space="preserve"> twice daily</w:t>
      </w:r>
      <w:r w:rsidRPr="00BE73D7">
        <w:t>.</w:t>
      </w:r>
    </w:p>
    <w:p w:rsidR="00E96F11" w:rsidRPr="007F4C2E" w:rsidRDefault="00E96F11" w:rsidP="00E96F11">
      <w:pPr>
        <w:pStyle w:val="PINormal"/>
        <w:rPr>
          <w:rStyle w:val="BlueText"/>
          <w:color w:val="auto"/>
        </w:rPr>
      </w:pPr>
      <w:r w:rsidRPr="004A30D8">
        <w:t xml:space="preserve">Management of some adverse drug reactions may require temporary or permanent discontinuation and/or </w:t>
      </w:r>
      <w:r w:rsidR="001917B7">
        <w:t>dose reduction of INLYTA</w:t>
      </w:r>
      <w:r>
        <w:t xml:space="preserve"> therapy</w:t>
      </w:r>
      <w:r w:rsidR="00FF1C1C">
        <w:t xml:space="preserve"> (see Precautions)</w:t>
      </w:r>
      <w:r w:rsidRPr="004A30D8">
        <w:t>.</w:t>
      </w:r>
      <w:r w:rsidRPr="004A30D8">
        <w:rPr>
          <w:rStyle w:val="BlueText"/>
          <w:color w:val="000000"/>
        </w:rPr>
        <w:t xml:space="preserve"> </w:t>
      </w:r>
      <w:r w:rsidRPr="004A30D8">
        <w:t xml:space="preserve">When dose reduction is necessary, the </w:t>
      </w:r>
      <w:r w:rsidR="0047150E">
        <w:t>INLYTA</w:t>
      </w:r>
      <w:r w:rsidRPr="004A30D8">
        <w:t xml:space="preserve"> dose may be reduced to 3 mg twice daily and further to 2 mg twice daily.</w:t>
      </w:r>
    </w:p>
    <w:p w:rsidR="00E96F11" w:rsidRPr="007F4C2E" w:rsidRDefault="00E96F11" w:rsidP="00E96F11">
      <w:pPr>
        <w:pStyle w:val="PINormal"/>
        <w:rPr>
          <w:rStyle w:val="BlueText"/>
          <w:color w:val="auto"/>
        </w:rPr>
      </w:pPr>
      <w:r w:rsidRPr="00D77149">
        <w:t>Dose adjustment is not re</w:t>
      </w:r>
      <w:r>
        <w:t>quired</w:t>
      </w:r>
      <w:r w:rsidRPr="00D77149">
        <w:t xml:space="preserve"> on the basis of patient age, race, gender, or body weight.</w:t>
      </w:r>
    </w:p>
    <w:p w:rsidR="00FF1C1C" w:rsidRDefault="00FF1C1C" w:rsidP="00FF1C1C">
      <w:pPr>
        <w:pStyle w:val="PIHeading2"/>
      </w:pPr>
      <w:r w:rsidRPr="00180E83">
        <w:t>Concomitant Strong CYP3A4/5 Inhibitors</w:t>
      </w:r>
      <w:r>
        <w:t xml:space="preserve"> </w:t>
      </w:r>
    </w:p>
    <w:p w:rsidR="009107E1" w:rsidRPr="007F4C2E" w:rsidRDefault="00FF1C1C" w:rsidP="00FF1C1C">
      <w:pPr>
        <w:pStyle w:val="PINormal"/>
        <w:rPr>
          <w:rStyle w:val="BlueText"/>
          <w:color w:val="auto"/>
        </w:rPr>
      </w:pPr>
      <w:r>
        <w:t xml:space="preserve">Co-administration of </w:t>
      </w:r>
      <w:r w:rsidR="0047150E">
        <w:t>INLYTA</w:t>
      </w:r>
      <w:r w:rsidRPr="00E57A19">
        <w:t xml:space="preserve"> with strong CYP3A4/5 inhibitors (e.g.</w:t>
      </w:r>
      <w:r>
        <w:t>,</w:t>
      </w:r>
      <w:r w:rsidRPr="00E57A19">
        <w:t xml:space="preserve"> </w:t>
      </w:r>
      <w:proofErr w:type="spellStart"/>
      <w:r w:rsidRPr="00E57A19">
        <w:t>ketoconazole</w:t>
      </w:r>
      <w:proofErr w:type="spellEnd"/>
      <w:r w:rsidRPr="00E57A19">
        <w:t xml:space="preserve">, </w:t>
      </w:r>
      <w:proofErr w:type="spellStart"/>
      <w:r w:rsidRPr="00E57A19">
        <w:t>itraconazole</w:t>
      </w:r>
      <w:proofErr w:type="spellEnd"/>
      <w:r w:rsidRPr="00E57A19">
        <w:t xml:space="preserve">, </w:t>
      </w:r>
      <w:proofErr w:type="spellStart"/>
      <w:r w:rsidRPr="00E57A19">
        <w:t>clarithromycin</w:t>
      </w:r>
      <w:proofErr w:type="spellEnd"/>
      <w:r w:rsidRPr="00E57A19">
        <w:t xml:space="preserve">, </w:t>
      </w:r>
      <w:proofErr w:type="spellStart"/>
      <w:r w:rsidRPr="00E57A19">
        <w:t>atazanavir</w:t>
      </w:r>
      <w:proofErr w:type="spellEnd"/>
      <w:r w:rsidRPr="00E57A19">
        <w:t xml:space="preserve">, </w:t>
      </w:r>
      <w:proofErr w:type="spellStart"/>
      <w:r w:rsidRPr="00E57A19">
        <w:t>indinavir</w:t>
      </w:r>
      <w:proofErr w:type="spellEnd"/>
      <w:r w:rsidRPr="00E57A19">
        <w:t xml:space="preserve">, </w:t>
      </w:r>
      <w:proofErr w:type="spellStart"/>
      <w:r w:rsidRPr="00E57A19">
        <w:t>nefazodone</w:t>
      </w:r>
      <w:proofErr w:type="spellEnd"/>
      <w:r w:rsidRPr="00E57A19">
        <w:t xml:space="preserve">, </w:t>
      </w:r>
      <w:proofErr w:type="spellStart"/>
      <w:r w:rsidRPr="00E57A19">
        <w:t>nelfinavir</w:t>
      </w:r>
      <w:proofErr w:type="spellEnd"/>
      <w:r w:rsidRPr="00E57A19">
        <w:t xml:space="preserve">, </w:t>
      </w:r>
      <w:proofErr w:type="spellStart"/>
      <w:r w:rsidRPr="00E57A19">
        <w:t>ritonavir</w:t>
      </w:r>
      <w:proofErr w:type="spellEnd"/>
      <w:r w:rsidRPr="00E57A19">
        <w:t xml:space="preserve">, </w:t>
      </w:r>
      <w:proofErr w:type="spellStart"/>
      <w:r w:rsidRPr="00E57A19">
        <w:t>saquinavir</w:t>
      </w:r>
      <w:proofErr w:type="spellEnd"/>
      <w:r w:rsidRPr="00E57A19">
        <w:t xml:space="preserve">, and </w:t>
      </w:r>
      <w:proofErr w:type="spellStart"/>
      <w:r w:rsidRPr="00E57A19">
        <w:t>telithromycin</w:t>
      </w:r>
      <w:proofErr w:type="spellEnd"/>
      <w:r w:rsidRPr="00E57A19">
        <w:t xml:space="preserve">) may increase </w:t>
      </w:r>
      <w:proofErr w:type="spellStart"/>
      <w:r w:rsidRPr="00E57A19">
        <w:t>axitinib</w:t>
      </w:r>
      <w:proofErr w:type="spellEnd"/>
      <w:r w:rsidRPr="00E57A19">
        <w:t xml:space="preserve"> plasma concentrations.</w:t>
      </w:r>
      <w:r w:rsidR="00BE0639">
        <w:t xml:space="preserve">  </w:t>
      </w:r>
      <w:r w:rsidRPr="00E57A19">
        <w:t xml:space="preserve">Grapefruit may also increase </w:t>
      </w:r>
      <w:proofErr w:type="spellStart"/>
      <w:r w:rsidRPr="00E57A19">
        <w:t>axitinib</w:t>
      </w:r>
      <w:proofErr w:type="spellEnd"/>
      <w:r w:rsidRPr="00E57A19">
        <w:t xml:space="preserve"> plasma concentrations. </w:t>
      </w:r>
      <w:r w:rsidR="00BE0639">
        <w:t xml:space="preserve"> </w:t>
      </w:r>
      <w:r w:rsidRPr="00E57A19">
        <w:t xml:space="preserve">Selection of an alternate </w:t>
      </w:r>
      <w:r w:rsidRPr="000401CE">
        <w:t>concomitant medication with no or minimal CYP3A4/5 inhibition potential is recommended.</w:t>
      </w:r>
    </w:p>
    <w:p w:rsidR="00FF1C1C" w:rsidRPr="007F4C2E" w:rsidRDefault="00FF1C1C" w:rsidP="00FF1C1C">
      <w:pPr>
        <w:pStyle w:val="PINormal"/>
      </w:pPr>
      <w:r w:rsidRPr="000401CE">
        <w:t xml:space="preserve">Although </w:t>
      </w:r>
      <w:r w:rsidR="0047150E">
        <w:t>INLYTA</w:t>
      </w:r>
      <w:r w:rsidRPr="000401CE">
        <w:t xml:space="preserve"> dose adjustment has not been studied in patients receiving strong CYP3A4/5 inhibitors, if a strong CYP3A4/5 inhibitor must be co-administered, a dose decrease of </w:t>
      </w:r>
      <w:r w:rsidR="0047150E">
        <w:t>INLYTA</w:t>
      </w:r>
      <w:r w:rsidRPr="000401CE">
        <w:t xml:space="preserve"> to approximately half the dose (e.g., from a starting dose of 5 mg twice daily to a reduced dose of 2 mg twice daily) </w:t>
      </w:r>
      <w:r w:rsidR="001928FA">
        <w:t>is recommended</w:t>
      </w:r>
      <w:r w:rsidRPr="000401CE">
        <w:t>.</w:t>
      </w:r>
      <w:r w:rsidRPr="000401CE">
        <w:rPr>
          <w:vertAlign w:val="superscript"/>
        </w:rPr>
        <w:t xml:space="preserve"> </w:t>
      </w:r>
      <w:r w:rsidR="00BE0639">
        <w:rPr>
          <w:rStyle w:val="BlueText"/>
        </w:rPr>
        <w:t xml:space="preserve"> </w:t>
      </w:r>
      <w:r w:rsidRPr="000401CE">
        <w:t xml:space="preserve">If co-administration of the </w:t>
      </w:r>
      <w:r w:rsidRPr="000401CE">
        <w:lastRenderedPageBreak/>
        <w:t xml:space="preserve">strong inhibitor is discontinued, </w:t>
      </w:r>
      <w:r>
        <w:t xml:space="preserve">a return to the </w:t>
      </w:r>
      <w:r w:rsidR="0047150E">
        <w:t>INLYTA</w:t>
      </w:r>
      <w:r w:rsidRPr="000401CE">
        <w:t xml:space="preserve"> </w:t>
      </w:r>
      <w:r>
        <w:t xml:space="preserve">dose </w:t>
      </w:r>
      <w:r w:rsidRPr="000401CE">
        <w:t>used prior to initiation of the strong CYP3A4/5 inhibitor</w:t>
      </w:r>
      <w:r>
        <w:t xml:space="preserve"> should be considered</w:t>
      </w:r>
      <w:r w:rsidR="007F4C2E">
        <w:t>.</w:t>
      </w:r>
    </w:p>
    <w:p w:rsidR="00FF1C1C" w:rsidRDefault="00FF1C1C" w:rsidP="00FF1C1C">
      <w:pPr>
        <w:pStyle w:val="PIHeading2"/>
      </w:pPr>
      <w:r w:rsidRPr="000401CE">
        <w:t>Conco</w:t>
      </w:r>
      <w:r>
        <w:t>mitant Strong CYP3A4/5 Inducers</w:t>
      </w:r>
      <w:r w:rsidRPr="000401CE">
        <w:t xml:space="preserve"> </w:t>
      </w:r>
    </w:p>
    <w:p w:rsidR="009107E1" w:rsidRPr="007F4C2E" w:rsidRDefault="00FF1C1C" w:rsidP="00FF1C1C">
      <w:pPr>
        <w:pStyle w:val="PINormal"/>
        <w:rPr>
          <w:rStyle w:val="BlueText"/>
          <w:color w:val="auto"/>
        </w:rPr>
      </w:pPr>
      <w:r w:rsidRPr="000401CE">
        <w:t xml:space="preserve">Co-administration of </w:t>
      </w:r>
      <w:r w:rsidR="0047150E">
        <w:t>INLYTA</w:t>
      </w:r>
      <w:r w:rsidRPr="000401CE">
        <w:t xml:space="preserve"> with strong CYP3A4/5 inducers (e.g., </w:t>
      </w:r>
      <w:proofErr w:type="spellStart"/>
      <w:r w:rsidRPr="000401CE">
        <w:t>rifampin</w:t>
      </w:r>
      <w:proofErr w:type="spellEnd"/>
      <w:r w:rsidRPr="000401CE">
        <w:t xml:space="preserve">, </w:t>
      </w:r>
      <w:proofErr w:type="spellStart"/>
      <w:r w:rsidRPr="000401CE">
        <w:t>dexamethasone</w:t>
      </w:r>
      <w:proofErr w:type="spellEnd"/>
      <w:r w:rsidRPr="000401CE">
        <w:t xml:space="preserve">, </w:t>
      </w:r>
      <w:proofErr w:type="spellStart"/>
      <w:r w:rsidRPr="000401CE">
        <w:t>phenytoin</w:t>
      </w:r>
      <w:proofErr w:type="spellEnd"/>
      <w:r w:rsidRPr="000401CE">
        <w:t xml:space="preserve">, </w:t>
      </w:r>
      <w:proofErr w:type="spellStart"/>
      <w:r w:rsidRPr="000401CE">
        <w:t>carbamazepine</w:t>
      </w:r>
      <w:proofErr w:type="spellEnd"/>
      <w:r w:rsidRPr="000401CE">
        <w:t xml:space="preserve">, </w:t>
      </w:r>
      <w:proofErr w:type="spellStart"/>
      <w:r w:rsidRPr="000401CE">
        <w:t>rifabutin</w:t>
      </w:r>
      <w:proofErr w:type="spellEnd"/>
      <w:r w:rsidRPr="000401CE">
        <w:t xml:space="preserve">, </w:t>
      </w:r>
      <w:proofErr w:type="spellStart"/>
      <w:r w:rsidRPr="000401CE">
        <w:t>rifapentin</w:t>
      </w:r>
      <w:proofErr w:type="spellEnd"/>
      <w:r w:rsidRPr="000401CE">
        <w:t xml:space="preserve">, </w:t>
      </w:r>
      <w:proofErr w:type="spellStart"/>
      <w:r w:rsidRPr="000401CE">
        <w:t>phenobarbital</w:t>
      </w:r>
      <w:proofErr w:type="spellEnd"/>
      <w:r w:rsidRPr="000401CE">
        <w:t xml:space="preserve">, and </w:t>
      </w:r>
      <w:proofErr w:type="spellStart"/>
      <w:r w:rsidRPr="000401CE">
        <w:rPr>
          <w:i/>
          <w:iCs/>
        </w:rPr>
        <w:t>Hypericum</w:t>
      </w:r>
      <w:proofErr w:type="spellEnd"/>
      <w:r w:rsidRPr="000401CE">
        <w:rPr>
          <w:i/>
          <w:iCs/>
        </w:rPr>
        <w:t xml:space="preserve"> </w:t>
      </w:r>
      <w:proofErr w:type="spellStart"/>
      <w:r w:rsidRPr="000401CE">
        <w:rPr>
          <w:i/>
          <w:iCs/>
        </w:rPr>
        <w:t>perforatum</w:t>
      </w:r>
      <w:proofErr w:type="spellEnd"/>
      <w:r w:rsidRPr="000401CE">
        <w:t xml:space="preserve"> [also known as St. John’s </w:t>
      </w:r>
      <w:proofErr w:type="spellStart"/>
      <w:r w:rsidR="00A7562C">
        <w:t>w</w:t>
      </w:r>
      <w:r w:rsidRPr="000401CE">
        <w:t>ort</w:t>
      </w:r>
      <w:proofErr w:type="spellEnd"/>
      <w:r w:rsidRPr="000401CE">
        <w:t xml:space="preserve">]) may decrease </w:t>
      </w:r>
      <w:proofErr w:type="spellStart"/>
      <w:r w:rsidRPr="000401CE">
        <w:t>axitinib</w:t>
      </w:r>
      <w:proofErr w:type="spellEnd"/>
      <w:r w:rsidRPr="000401CE">
        <w:t xml:space="preserve"> plasma concentrations.</w:t>
      </w:r>
      <w:r w:rsidR="00BE0639">
        <w:t xml:space="preserve"> </w:t>
      </w:r>
      <w:r w:rsidRPr="000401CE">
        <w:rPr>
          <w:rStyle w:val="BlueText"/>
        </w:rPr>
        <w:t xml:space="preserve"> </w:t>
      </w:r>
      <w:r w:rsidRPr="000401CE">
        <w:t>Selection of an alternate concomitant medication with no or minimal CYP3A4/5 induction potential is recommended.</w:t>
      </w:r>
    </w:p>
    <w:p w:rsidR="00FF1C1C" w:rsidRPr="007F4C2E" w:rsidRDefault="00FF1C1C" w:rsidP="00FF1C1C">
      <w:pPr>
        <w:pStyle w:val="PINormal"/>
        <w:rPr>
          <w:rStyle w:val="BlueText"/>
          <w:color w:val="auto"/>
        </w:rPr>
      </w:pPr>
      <w:r w:rsidRPr="000401CE">
        <w:t xml:space="preserve">Although </w:t>
      </w:r>
      <w:r w:rsidR="0047150E">
        <w:t>INLYTA</w:t>
      </w:r>
      <w:r w:rsidRPr="000401CE">
        <w:t xml:space="preserve"> dose adjustment has not been studied in patients receiving strong CYP3A4/5 inducers, if a strong CYP3A4/5 inducer must be co-administered, a gradual dose increase of </w:t>
      </w:r>
      <w:r w:rsidR="0047150E">
        <w:t>INLYTA</w:t>
      </w:r>
      <w:r w:rsidRPr="000401CE">
        <w:t xml:space="preserve"> </w:t>
      </w:r>
      <w:r w:rsidR="001928FA">
        <w:t>is recommended</w:t>
      </w:r>
      <w:r w:rsidRPr="000401CE">
        <w:t>.</w:t>
      </w:r>
      <w:r w:rsidR="001928FA">
        <w:t xml:space="preserve"> </w:t>
      </w:r>
      <w:r w:rsidRPr="000401CE">
        <w:t xml:space="preserve"> If the dose of </w:t>
      </w:r>
      <w:r w:rsidR="0047150E">
        <w:t>INLYTA</w:t>
      </w:r>
      <w:r w:rsidRPr="000401CE">
        <w:t xml:space="preserve"> is increased, the patient should be monitored carefully for toxicity.</w:t>
      </w:r>
      <w:r w:rsidR="00BE0639">
        <w:t xml:space="preserve"> </w:t>
      </w:r>
      <w:r w:rsidRPr="000401CE">
        <w:rPr>
          <w:rStyle w:val="BlueText"/>
        </w:rPr>
        <w:t xml:space="preserve"> </w:t>
      </w:r>
      <w:r w:rsidRPr="000401CE">
        <w:t xml:space="preserve">If co-administration of the strong inducer is discontinued, the </w:t>
      </w:r>
      <w:r w:rsidR="0047150E">
        <w:t>INLYTA</w:t>
      </w:r>
      <w:r w:rsidRPr="000401CE">
        <w:t xml:space="preserve"> dose should be immediately returned to the dose used prior to initiation of the strong CYP3A4/5 inducer</w:t>
      </w:r>
      <w:r w:rsidR="006B717A">
        <w:t>.</w:t>
      </w:r>
    </w:p>
    <w:p w:rsidR="00554669" w:rsidRDefault="00554669" w:rsidP="00554669">
      <w:pPr>
        <w:pStyle w:val="PIHeading2"/>
      </w:pPr>
      <w:r>
        <w:t>Use in Hepatic Impairment</w:t>
      </w:r>
    </w:p>
    <w:p w:rsidR="00554669" w:rsidRDefault="00554669" w:rsidP="00554669">
      <w:pPr>
        <w:pStyle w:val="PINormal"/>
      </w:pPr>
      <w:r w:rsidRPr="005B104B">
        <w:t>No dose adjustment is required when administerin</w:t>
      </w:r>
      <w:r>
        <w:t xml:space="preserve">g </w:t>
      </w:r>
      <w:r w:rsidR="0047150E">
        <w:t>INLYTA</w:t>
      </w:r>
      <w:r w:rsidRPr="005B104B">
        <w:t xml:space="preserve"> to patients with mild hepatic impairment (Child-Pugh class A).</w:t>
      </w:r>
      <w:r w:rsidR="00BE0639">
        <w:t xml:space="preserve">  </w:t>
      </w:r>
      <w:r w:rsidRPr="005B104B">
        <w:t xml:space="preserve">A </w:t>
      </w:r>
      <w:r w:rsidR="0072190F">
        <w:t xml:space="preserve">dose decrease </w:t>
      </w:r>
      <w:r w:rsidRPr="005B104B">
        <w:t>is recom</w:t>
      </w:r>
      <w:r>
        <w:t xml:space="preserve">mended when administering </w:t>
      </w:r>
      <w:r w:rsidR="0047150E">
        <w:t>INLYTA</w:t>
      </w:r>
      <w:r w:rsidRPr="005B104B">
        <w:t xml:space="preserve"> to patients with moderate hepatic impairment (Child-Pugh class B)</w:t>
      </w:r>
      <w:r w:rsidR="0072190F">
        <w:t xml:space="preserve"> [e.g., the starting dose should be reduced from 5 mg twice daily to 2 mg twice daily]</w:t>
      </w:r>
      <w:r w:rsidRPr="005B104B">
        <w:t>.</w:t>
      </w:r>
      <w:r w:rsidR="00BE0639">
        <w:t xml:space="preserve"> </w:t>
      </w:r>
      <w:r w:rsidRPr="005B104B">
        <w:rPr>
          <w:rStyle w:val="BlueText"/>
          <w:color w:val="auto"/>
        </w:rPr>
        <w:t xml:space="preserve"> </w:t>
      </w:r>
      <w:r w:rsidR="0047150E">
        <w:t>INLYTA</w:t>
      </w:r>
      <w:r w:rsidRPr="005B104B">
        <w:t xml:space="preserve"> has not been studied in patients with severe hepatic impairment (Child-Pugh class C).</w:t>
      </w:r>
    </w:p>
    <w:p w:rsidR="00554669" w:rsidRDefault="00554669" w:rsidP="00554669">
      <w:pPr>
        <w:pStyle w:val="PIHeading2"/>
      </w:pPr>
      <w:r>
        <w:t>Use in Renal Impairment</w:t>
      </w:r>
    </w:p>
    <w:p w:rsidR="00554669" w:rsidRPr="007F4C2E" w:rsidRDefault="00554669" w:rsidP="00554669">
      <w:pPr>
        <w:pStyle w:val="PINormal"/>
      </w:pPr>
      <w:r w:rsidRPr="005B104B">
        <w:t xml:space="preserve">No dose adjustment </w:t>
      </w:r>
      <w:r w:rsidRPr="00591D95">
        <w:t xml:space="preserve">is </w:t>
      </w:r>
      <w:r>
        <w:t>required</w:t>
      </w:r>
      <w:r w:rsidRPr="00591D95">
        <w:t xml:space="preserve"> (see</w:t>
      </w:r>
      <w:r>
        <w:t xml:space="preserve"> Pharmacokinetics</w:t>
      </w:r>
      <w:r w:rsidRPr="00591D95">
        <w:t>)</w:t>
      </w:r>
      <w:r>
        <w:t>.</w:t>
      </w:r>
    </w:p>
    <w:p w:rsidR="000703FB" w:rsidRDefault="002C043B" w:rsidP="000703FB">
      <w:pPr>
        <w:pStyle w:val="Heading2"/>
      </w:pPr>
      <w:r>
        <w:t>Use in Children</w:t>
      </w:r>
    </w:p>
    <w:p w:rsidR="00D26C39" w:rsidRDefault="00801956" w:rsidP="000557A3">
      <w:pPr>
        <w:pStyle w:val="PINormal"/>
      </w:pPr>
      <w:r w:rsidRPr="00180E83">
        <w:t xml:space="preserve">The safety and efficacy of </w:t>
      </w:r>
      <w:r w:rsidR="0047150E">
        <w:t>INLYTA</w:t>
      </w:r>
      <w:r w:rsidRPr="00180E83">
        <w:t xml:space="preserve"> in children</w:t>
      </w:r>
      <w:r w:rsidR="00622D52">
        <w:t xml:space="preserve"> and adolescents</w:t>
      </w:r>
      <w:r w:rsidRPr="00180E83">
        <w:t xml:space="preserve"> (&lt;18 years) have not been established.</w:t>
      </w:r>
    </w:p>
    <w:p w:rsidR="00CF7561" w:rsidRDefault="00CF7561" w:rsidP="00CF7561">
      <w:pPr>
        <w:pStyle w:val="PIHeading2"/>
      </w:pPr>
      <w:r>
        <w:t>Use in the Elderly</w:t>
      </w:r>
    </w:p>
    <w:p w:rsidR="00CF7561" w:rsidRPr="007F4C2E" w:rsidRDefault="00CF7561" w:rsidP="000703FB">
      <w:pPr>
        <w:pStyle w:val="PINormal"/>
        <w:rPr>
          <w:rStyle w:val="BlueText"/>
          <w:color w:val="auto"/>
        </w:rPr>
      </w:pPr>
      <w:r w:rsidRPr="005B104B">
        <w:t xml:space="preserve">No dose adjustment is </w:t>
      </w:r>
      <w:r>
        <w:t>required</w:t>
      </w:r>
      <w:r w:rsidRPr="00591D95">
        <w:t xml:space="preserve"> (se</w:t>
      </w:r>
      <w:r>
        <w:t>e Pharmacokinetics)</w:t>
      </w:r>
      <w:r w:rsidRPr="00591D95">
        <w:t>.</w:t>
      </w:r>
    </w:p>
    <w:p w:rsidR="00812C64" w:rsidRDefault="00812C64" w:rsidP="000557A3">
      <w:pPr>
        <w:pStyle w:val="PIHeading1"/>
      </w:pPr>
      <w:r>
        <w:t>OVERDOSAGE</w:t>
      </w:r>
    </w:p>
    <w:p w:rsidR="00E20D45" w:rsidRPr="006F5440" w:rsidRDefault="00E20D45" w:rsidP="00E20D45">
      <w:pPr>
        <w:pStyle w:val="PINormal"/>
        <w:rPr>
          <w:rStyle w:val="BlueText"/>
          <w:b/>
          <w:color w:val="000000"/>
          <w:vertAlign w:val="superscript"/>
        </w:rPr>
      </w:pPr>
      <w:r w:rsidRPr="009A2541">
        <w:t xml:space="preserve">There is </w:t>
      </w:r>
      <w:r>
        <w:t xml:space="preserve">no specific treatment for </w:t>
      </w:r>
      <w:r w:rsidR="0047150E">
        <w:t>INLYTA</w:t>
      </w:r>
      <w:r w:rsidRPr="009A2541">
        <w:t xml:space="preserve"> overdose.</w:t>
      </w:r>
      <w:r>
        <w:t xml:space="preserve"> </w:t>
      </w:r>
      <w:r w:rsidR="00C23F13">
        <w:t>For information on the management of overdose, contact the Poison Information Centre on 131126.</w:t>
      </w:r>
    </w:p>
    <w:p w:rsidR="00E20D45" w:rsidRPr="00A9459E" w:rsidRDefault="00E20D45" w:rsidP="00E20D45">
      <w:pPr>
        <w:pStyle w:val="PINormal"/>
        <w:rPr>
          <w:rStyle w:val="BlueText"/>
          <w:b/>
          <w:color w:val="000000"/>
          <w:vertAlign w:val="superscript"/>
        </w:rPr>
      </w:pPr>
      <w:r w:rsidRPr="009A2541">
        <w:t>In a contr</w:t>
      </w:r>
      <w:r>
        <w:t xml:space="preserve">olled clinical study with </w:t>
      </w:r>
      <w:r w:rsidR="0047150E">
        <w:t>INLYTA</w:t>
      </w:r>
      <w:r w:rsidRPr="009A2541">
        <w:t xml:space="preserve"> for the treatment of patients with RCC, one patient </w:t>
      </w:r>
      <w:r>
        <w:t xml:space="preserve">inadvertently </w:t>
      </w:r>
      <w:r w:rsidRPr="009A2541">
        <w:t xml:space="preserve">received a </w:t>
      </w:r>
      <w:r w:rsidRPr="00FB5E6C">
        <w:t xml:space="preserve">dose of 20 mg twice daily for 4 days </w:t>
      </w:r>
      <w:r>
        <w:t>and experienced dizziness (Grade 1).</w:t>
      </w:r>
    </w:p>
    <w:p w:rsidR="00E20D45" w:rsidRPr="00B6770A" w:rsidRDefault="00E20D45" w:rsidP="00E20D45">
      <w:pPr>
        <w:pStyle w:val="PINormal"/>
        <w:rPr>
          <w:rStyle w:val="bluetext0"/>
          <w:b/>
          <w:color w:val="000000"/>
        </w:rPr>
      </w:pPr>
      <w:r w:rsidRPr="00C10ADD">
        <w:rPr>
          <w:rStyle w:val="BlueText"/>
          <w:color w:val="000000"/>
        </w:rPr>
        <w:t xml:space="preserve">In a clinical dose finding study </w:t>
      </w:r>
      <w:r w:rsidRPr="00C10ADD">
        <w:rPr>
          <w:color w:val="000000"/>
        </w:rPr>
        <w:t>with</w:t>
      </w:r>
      <w:r w:rsidRPr="009A2541">
        <w:t xml:space="preserve"> </w:t>
      </w:r>
      <w:r w:rsidR="0035140B">
        <w:t>INLYTA</w:t>
      </w:r>
      <w:r w:rsidRPr="009A2541">
        <w:rPr>
          <w:rStyle w:val="BlueText"/>
        </w:rPr>
        <w:t xml:space="preserve">, </w:t>
      </w:r>
      <w:r w:rsidRPr="009A2541">
        <w:t xml:space="preserve">subjects who received starting doses of 10 twice daily or 20 mg twice daily experienced adverse reactions which included hypertension, seizures associated with hypertension, and </w:t>
      </w:r>
      <w:r w:rsidR="00DB1A84">
        <w:t>fatal</w:t>
      </w:r>
      <w:r w:rsidRPr="009A2541">
        <w:t xml:space="preserve"> </w:t>
      </w:r>
      <w:proofErr w:type="spellStart"/>
      <w:r w:rsidRPr="009A2541">
        <w:t>hemoptysis</w:t>
      </w:r>
      <w:proofErr w:type="spellEnd"/>
      <w:r w:rsidRPr="009A2541">
        <w:t>.</w:t>
      </w:r>
    </w:p>
    <w:p w:rsidR="00E20D45" w:rsidRPr="008554D0" w:rsidRDefault="00E20D45" w:rsidP="00E20D45">
      <w:pPr>
        <w:pStyle w:val="PINormal"/>
      </w:pPr>
      <w:r w:rsidRPr="009A2541">
        <w:t xml:space="preserve">In cases </w:t>
      </w:r>
      <w:r w:rsidR="0035140B">
        <w:t>of suspected overdose, INLYTA</w:t>
      </w:r>
      <w:r w:rsidRPr="009A2541">
        <w:t xml:space="preserve"> should be withheld and supportive care </w:t>
      </w:r>
      <w:r w:rsidRPr="008554D0">
        <w:t>instituted.</w:t>
      </w:r>
    </w:p>
    <w:p w:rsidR="00812C64" w:rsidRDefault="00812C64" w:rsidP="000557A3">
      <w:pPr>
        <w:pStyle w:val="PIHeading1"/>
      </w:pPr>
      <w:r>
        <w:lastRenderedPageBreak/>
        <w:t>PRESENTATION</w:t>
      </w:r>
      <w:r w:rsidR="00BA4894">
        <w:t xml:space="preserve"> AND STORAGE CONDITIONS</w:t>
      </w:r>
    </w:p>
    <w:p w:rsidR="00273D47" w:rsidRDefault="00273D47" w:rsidP="00273D47">
      <w:pPr>
        <w:pStyle w:val="PINormal"/>
        <w:rPr>
          <w:noProof/>
        </w:rPr>
      </w:pPr>
      <w:r>
        <w:rPr>
          <w:noProof/>
        </w:rPr>
        <w:t xml:space="preserve">Store below </w:t>
      </w:r>
      <w:r w:rsidR="00674792">
        <w:rPr>
          <w:noProof/>
        </w:rPr>
        <w:t>30</w:t>
      </w:r>
      <w:r>
        <w:rPr>
          <w:noProof/>
        </w:rPr>
        <w:t>°C.</w:t>
      </w:r>
    </w:p>
    <w:p w:rsidR="00731A50" w:rsidRPr="00D41BAB" w:rsidRDefault="00731A50" w:rsidP="00731A50">
      <w:pPr>
        <w:pStyle w:val="PIHeading2"/>
        <w:rPr>
          <w:noProof/>
        </w:rPr>
      </w:pPr>
      <w:r w:rsidRPr="00D41BAB">
        <w:rPr>
          <w:noProof/>
        </w:rPr>
        <w:t>INLYTA 1 mg film-coated tablets</w:t>
      </w:r>
    </w:p>
    <w:p w:rsidR="00731A50" w:rsidRPr="00D77149" w:rsidRDefault="00273D47" w:rsidP="00731A50">
      <w:pPr>
        <w:pStyle w:val="Paragraph"/>
      </w:pPr>
      <w:r>
        <w:t>R</w:t>
      </w:r>
      <w:r w:rsidR="00731A50">
        <w:t>ed, film-</w:t>
      </w:r>
      <w:r w:rsidR="00731A50" w:rsidRPr="00D77149">
        <w:t xml:space="preserve">coated, oval tablets, </w:t>
      </w:r>
      <w:proofErr w:type="spellStart"/>
      <w:r w:rsidR="00731A50" w:rsidRPr="00D77149">
        <w:t>debossed</w:t>
      </w:r>
      <w:proofErr w:type="spellEnd"/>
      <w:r w:rsidR="00731A50" w:rsidRPr="00D77149">
        <w:t xml:space="preserve"> with “Pfizer” on one side and “1 XNB” on the other</w:t>
      </w:r>
      <w:r w:rsidR="00E178E9">
        <w:t>.</w:t>
      </w:r>
    </w:p>
    <w:p w:rsidR="00731A50" w:rsidRDefault="00731A50" w:rsidP="00731A50">
      <w:pPr>
        <w:pStyle w:val="PINormal"/>
        <w:rPr>
          <w:noProof/>
        </w:rPr>
      </w:pPr>
      <w:r w:rsidRPr="00D41BAB">
        <w:rPr>
          <w:noProof/>
        </w:rPr>
        <w:t xml:space="preserve">Packs containing </w:t>
      </w:r>
      <w:r>
        <w:rPr>
          <w:noProof/>
        </w:rPr>
        <w:t>28</w:t>
      </w:r>
      <w:r w:rsidR="0021294F">
        <w:rPr>
          <w:noProof/>
        </w:rPr>
        <w:t xml:space="preserve"> (</w:t>
      </w:r>
      <w:r>
        <w:rPr>
          <w:noProof/>
        </w:rPr>
        <w:t>14</w:t>
      </w:r>
      <w:r w:rsidRPr="00D41BAB">
        <w:rPr>
          <w:noProof/>
        </w:rPr>
        <w:t xml:space="preserve"> tab</w:t>
      </w:r>
      <w:r w:rsidR="00D5294B">
        <w:rPr>
          <w:noProof/>
        </w:rPr>
        <w:t>lets</w:t>
      </w:r>
      <w:r w:rsidRPr="00D41BAB">
        <w:rPr>
          <w:noProof/>
        </w:rPr>
        <w:t xml:space="preserve">/blister x </w:t>
      </w:r>
      <w:r>
        <w:rPr>
          <w:noProof/>
        </w:rPr>
        <w:t>2</w:t>
      </w:r>
      <w:r w:rsidRPr="00D41BAB">
        <w:rPr>
          <w:noProof/>
        </w:rPr>
        <w:t xml:space="preserve"> blisters) or </w:t>
      </w:r>
      <w:r>
        <w:rPr>
          <w:noProof/>
        </w:rPr>
        <w:t>56</w:t>
      </w:r>
      <w:r w:rsidR="00350D34">
        <w:rPr>
          <w:noProof/>
        </w:rPr>
        <w:t>*</w:t>
      </w:r>
      <w:r w:rsidRPr="00D41BAB">
        <w:rPr>
          <w:noProof/>
        </w:rPr>
        <w:t xml:space="preserve"> (</w:t>
      </w:r>
      <w:r>
        <w:rPr>
          <w:noProof/>
        </w:rPr>
        <w:t>14</w:t>
      </w:r>
      <w:r w:rsidRPr="00D41BAB">
        <w:rPr>
          <w:noProof/>
        </w:rPr>
        <w:t xml:space="preserve"> tab</w:t>
      </w:r>
      <w:r w:rsidR="00D5294B">
        <w:rPr>
          <w:noProof/>
        </w:rPr>
        <w:t>lets</w:t>
      </w:r>
      <w:r w:rsidRPr="00D41BAB">
        <w:rPr>
          <w:noProof/>
        </w:rPr>
        <w:t xml:space="preserve">/blister x </w:t>
      </w:r>
      <w:r>
        <w:rPr>
          <w:noProof/>
        </w:rPr>
        <w:t>4</w:t>
      </w:r>
      <w:r w:rsidRPr="00D41BAB">
        <w:rPr>
          <w:noProof/>
        </w:rPr>
        <w:t xml:space="preserve"> blisters) tablets.</w:t>
      </w:r>
    </w:p>
    <w:p w:rsidR="00731A50" w:rsidRDefault="00731A50" w:rsidP="00731A50">
      <w:pPr>
        <w:pStyle w:val="PINormal"/>
        <w:rPr>
          <w:noProof/>
        </w:rPr>
      </w:pPr>
      <w:r w:rsidRPr="00D41BAB">
        <w:rPr>
          <w:noProof/>
        </w:rPr>
        <w:t xml:space="preserve">High-density polyethylene (HDPE) bottle with </w:t>
      </w:r>
      <w:r w:rsidR="0021294F">
        <w:rPr>
          <w:noProof/>
        </w:rPr>
        <w:t>de</w:t>
      </w:r>
      <w:r>
        <w:rPr>
          <w:noProof/>
        </w:rPr>
        <w:t xml:space="preserve">siccant and </w:t>
      </w:r>
      <w:r w:rsidR="006146D4">
        <w:rPr>
          <w:noProof/>
        </w:rPr>
        <w:t>a child-resistant</w:t>
      </w:r>
      <w:r w:rsidRPr="00D41BAB">
        <w:rPr>
          <w:noProof/>
        </w:rPr>
        <w:t xml:space="preserve"> closure containing </w:t>
      </w:r>
      <w:r>
        <w:rPr>
          <w:noProof/>
        </w:rPr>
        <w:t>180</w:t>
      </w:r>
      <w:r w:rsidRPr="00D41BAB">
        <w:rPr>
          <w:noProof/>
        </w:rPr>
        <w:t xml:space="preserve"> tablets.</w:t>
      </w:r>
      <w:r w:rsidR="00622D52">
        <w:rPr>
          <w:noProof/>
        </w:rPr>
        <w:t>*</w:t>
      </w:r>
    </w:p>
    <w:p w:rsidR="00731A50" w:rsidRPr="00D41BAB" w:rsidRDefault="00731A50" w:rsidP="00731A50">
      <w:pPr>
        <w:pStyle w:val="PIHeading2"/>
        <w:rPr>
          <w:noProof/>
        </w:rPr>
      </w:pPr>
      <w:r w:rsidRPr="00D41BAB">
        <w:rPr>
          <w:noProof/>
        </w:rPr>
        <w:t xml:space="preserve">INLYTA </w:t>
      </w:r>
      <w:r>
        <w:rPr>
          <w:noProof/>
        </w:rPr>
        <w:t>5</w:t>
      </w:r>
      <w:r w:rsidRPr="00D41BAB">
        <w:rPr>
          <w:noProof/>
        </w:rPr>
        <w:t xml:space="preserve"> mg film-coated tablets</w:t>
      </w:r>
    </w:p>
    <w:p w:rsidR="00731A50" w:rsidRDefault="00273D47" w:rsidP="00731A50">
      <w:pPr>
        <w:pStyle w:val="Paragraph"/>
      </w:pPr>
      <w:bookmarkStart w:id="5" w:name="_Toc163888141"/>
      <w:r>
        <w:t>R</w:t>
      </w:r>
      <w:r w:rsidR="00731A50" w:rsidRPr="00D77149">
        <w:t xml:space="preserve">ed, film-coated, triangular tablets, </w:t>
      </w:r>
      <w:proofErr w:type="spellStart"/>
      <w:r w:rsidR="00731A50" w:rsidRPr="00D77149">
        <w:t>debossed</w:t>
      </w:r>
      <w:proofErr w:type="spellEnd"/>
      <w:r w:rsidR="00731A50" w:rsidRPr="00D77149">
        <w:t xml:space="preserve"> with “Pfizer” on one si</w:t>
      </w:r>
      <w:r w:rsidR="00C50BC5">
        <w:t>de and “5 XNB” on the other</w:t>
      </w:r>
      <w:r w:rsidR="00731A50" w:rsidRPr="00D77149">
        <w:t>.</w:t>
      </w:r>
    </w:p>
    <w:bookmarkEnd w:id="5"/>
    <w:p w:rsidR="00731A50" w:rsidRDefault="00731A50" w:rsidP="00731A50">
      <w:pPr>
        <w:pStyle w:val="PINormal"/>
        <w:rPr>
          <w:noProof/>
        </w:rPr>
      </w:pPr>
      <w:r w:rsidRPr="00D41BAB">
        <w:rPr>
          <w:noProof/>
        </w:rPr>
        <w:t xml:space="preserve">Packs containing </w:t>
      </w:r>
      <w:r>
        <w:rPr>
          <w:noProof/>
        </w:rPr>
        <w:t>28</w:t>
      </w:r>
      <w:r w:rsidR="00200D1F">
        <w:rPr>
          <w:noProof/>
        </w:rPr>
        <w:t xml:space="preserve"> (</w:t>
      </w:r>
      <w:r>
        <w:rPr>
          <w:noProof/>
        </w:rPr>
        <w:t>14</w:t>
      </w:r>
      <w:r w:rsidRPr="00D41BAB">
        <w:rPr>
          <w:noProof/>
        </w:rPr>
        <w:t xml:space="preserve"> tab</w:t>
      </w:r>
      <w:r w:rsidR="00D5294B">
        <w:rPr>
          <w:noProof/>
        </w:rPr>
        <w:t>lets</w:t>
      </w:r>
      <w:r w:rsidRPr="00D41BAB">
        <w:rPr>
          <w:noProof/>
        </w:rPr>
        <w:t>/blister</w:t>
      </w:r>
      <w:r w:rsidR="00200D1F">
        <w:rPr>
          <w:noProof/>
        </w:rPr>
        <w:t xml:space="preserve"> x </w:t>
      </w:r>
      <w:r>
        <w:rPr>
          <w:noProof/>
        </w:rPr>
        <w:t>2</w:t>
      </w:r>
      <w:r w:rsidRPr="00D41BAB">
        <w:rPr>
          <w:noProof/>
        </w:rPr>
        <w:t xml:space="preserve"> blisters) or </w:t>
      </w:r>
      <w:r>
        <w:rPr>
          <w:noProof/>
        </w:rPr>
        <w:t>56</w:t>
      </w:r>
      <w:r w:rsidR="00350D34">
        <w:rPr>
          <w:noProof/>
        </w:rPr>
        <w:t>*</w:t>
      </w:r>
      <w:r w:rsidRPr="00D41BAB">
        <w:rPr>
          <w:noProof/>
        </w:rPr>
        <w:t xml:space="preserve"> (</w:t>
      </w:r>
      <w:r>
        <w:rPr>
          <w:noProof/>
        </w:rPr>
        <w:t>14</w:t>
      </w:r>
      <w:r w:rsidRPr="00D41BAB">
        <w:rPr>
          <w:noProof/>
        </w:rPr>
        <w:t xml:space="preserve"> tab</w:t>
      </w:r>
      <w:r w:rsidR="00D5294B">
        <w:rPr>
          <w:noProof/>
        </w:rPr>
        <w:t>lets</w:t>
      </w:r>
      <w:r w:rsidRPr="00D41BAB">
        <w:rPr>
          <w:noProof/>
        </w:rPr>
        <w:t xml:space="preserve">/blister x </w:t>
      </w:r>
      <w:r>
        <w:rPr>
          <w:noProof/>
        </w:rPr>
        <w:t>4</w:t>
      </w:r>
      <w:r w:rsidRPr="00D41BAB">
        <w:rPr>
          <w:noProof/>
        </w:rPr>
        <w:t xml:space="preserve"> blisters) tablets.</w:t>
      </w:r>
    </w:p>
    <w:p w:rsidR="00731A50" w:rsidRDefault="00731A50" w:rsidP="00731A50">
      <w:pPr>
        <w:pStyle w:val="PINormal"/>
        <w:rPr>
          <w:noProof/>
        </w:rPr>
      </w:pPr>
      <w:r w:rsidRPr="00D41BAB">
        <w:rPr>
          <w:noProof/>
        </w:rPr>
        <w:t xml:space="preserve">High-density polyethylene (HDPE) bottle with </w:t>
      </w:r>
      <w:r w:rsidR="00200D1F">
        <w:rPr>
          <w:noProof/>
        </w:rPr>
        <w:t>de</w:t>
      </w:r>
      <w:r>
        <w:rPr>
          <w:noProof/>
        </w:rPr>
        <w:t xml:space="preserve">siccant and </w:t>
      </w:r>
      <w:r w:rsidRPr="00D41BAB">
        <w:rPr>
          <w:noProof/>
        </w:rPr>
        <w:t xml:space="preserve">a </w:t>
      </w:r>
      <w:r w:rsidR="006146D4">
        <w:rPr>
          <w:noProof/>
        </w:rPr>
        <w:t xml:space="preserve">child-resistant </w:t>
      </w:r>
      <w:r w:rsidRPr="00D41BAB">
        <w:rPr>
          <w:noProof/>
        </w:rPr>
        <w:t xml:space="preserve">closure containing </w:t>
      </w:r>
      <w:r>
        <w:rPr>
          <w:noProof/>
        </w:rPr>
        <w:t>60</w:t>
      </w:r>
      <w:r w:rsidRPr="00D41BAB">
        <w:rPr>
          <w:noProof/>
        </w:rPr>
        <w:t xml:space="preserve"> tablets.</w:t>
      </w:r>
      <w:r w:rsidR="00622D52">
        <w:rPr>
          <w:noProof/>
        </w:rPr>
        <w:t>*</w:t>
      </w:r>
    </w:p>
    <w:p w:rsidR="00C50BC5" w:rsidRPr="00C23F13" w:rsidRDefault="00622D52" w:rsidP="00731A50">
      <w:pPr>
        <w:pStyle w:val="PINormal"/>
        <w:rPr>
          <w:noProof/>
          <w:sz w:val="20"/>
        </w:rPr>
      </w:pPr>
      <w:r w:rsidRPr="00C23F13">
        <w:rPr>
          <w:noProof/>
          <w:sz w:val="20"/>
        </w:rPr>
        <w:t>*Not</w:t>
      </w:r>
      <w:r w:rsidR="00C50BC5" w:rsidRPr="00C23F13">
        <w:rPr>
          <w:noProof/>
          <w:sz w:val="20"/>
        </w:rPr>
        <w:t xml:space="preserve"> marketed.</w:t>
      </w:r>
    </w:p>
    <w:p w:rsidR="00812C64" w:rsidRDefault="00812C64" w:rsidP="000557A3">
      <w:pPr>
        <w:pStyle w:val="PIHeading1"/>
      </w:pPr>
      <w:r>
        <w:t xml:space="preserve">NAME AND ADDRESS OF </w:t>
      </w:r>
      <w:r w:rsidR="00773BA3">
        <w:t xml:space="preserve">the </w:t>
      </w:r>
      <w:r>
        <w:t>SPONSOR</w:t>
      </w:r>
    </w:p>
    <w:p w:rsidR="00812C64" w:rsidRPr="009C515F" w:rsidRDefault="00812C64" w:rsidP="000557A3">
      <w:pPr>
        <w:pStyle w:val="PITableTextListText"/>
      </w:pPr>
      <w:r w:rsidRPr="009C515F">
        <w:t>Pfizer Australia Pt</w:t>
      </w:r>
      <w:r w:rsidR="00832C92" w:rsidRPr="009C515F">
        <w:t>y Ltd</w:t>
      </w:r>
    </w:p>
    <w:p w:rsidR="00812C64" w:rsidRPr="009C515F" w:rsidRDefault="00812C64" w:rsidP="000557A3">
      <w:pPr>
        <w:pStyle w:val="PITableTextListText"/>
      </w:pPr>
      <w:r w:rsidRPr="009C515F">
        <w:t>A.B.N. 5000 8422 348</w:t>
      </w:r>
    </w:p>
    <w:p w:rsidR="00812C64" w:rsidRPr="009C515F" w:rsidRDefault="00812C64" w:rsidP="000557A3">
      <w:pPr>
        <w:pStyle w:val="PITableTextListText"/>
      </w:pPr>
      <w:r w:rsidRPr="009C515F">
        <w:t>38-42 Wharf Road</w:t>
      </w:r>
    </w:p>
    <w:p w:rsidR="00812C64" w:rsidRPr="009C515F" w:rsidRDefault="00812C64" w:rsidP="007849A9">
      <w:pPr>
        <w:pStyle w:val="PINormal"/>
        <w:rPr>
          <w:szCs w:val="24"/>
        </w:rPr>
      </w:pPr>
      <w:r w:rsidRPr="009C515F">
        <w:rPr>
          <w:szCs w:val="24"/>
        </w:rPr>
        <w:t xml:space="preserve">WEST </w:t>
      </w:r>
      <w:proofErr w:type="gramStart"/>
      <w:r w:rsidRPr="009C515F">
        <w:rPr>
          <w:szCs w:val="24"/>
        </w:rPr>
        <w:t>RYDE  NSW</w:t>
      </w:r>
      <w:proofErr w:type="gramEnd"/>
      <w:r w:rsidRPr="009C515F">
        <w:rPr>
          <w:szCs w:val="24"/>
        </w:rPr>
        <w:t xml:space="preserve">  2114</w:t>
      </w:r>
    </w:p>
    <w:p w:rsidR="00EC69FE" w:rsidRDefault="00894142" w:rsidP="000557A3">
      <w:pPr>
        <w:pStyle w:val="PIHeading1"/>
      </w:pPr>
      <w:r>
        <w:t>POISO</w:t>
      </w:r>
      <w:r w:rsidR="00EC69FE" w:rsidRPr="00BA4894">
        <w:t>N SCHEDULE</w:t>
      </w:r>
      <w:r w:rsidR="00C23F13">
        <w:t xml:space="preserve"> of the medicine</w:t>
      </w:r>
    </w:p>
    <w:p w:rsidR="0090203A" w:rsidRDefault="009C515F" w:rsidP="000557A3">
      <w:pPr>
        <w:pStyle w:val="PINormal"/>
      </w:pPr>
      <w:r>
        <w:t>S4 (Prescription Medicine)</w:t>
      </w:r>
    </w:p>
    <w:p w:rsidR="00EC69FE" w:rsidRPr="00BA4894" w:rsidRDefault="00EC69FE" w:rsidP="000557A3">
      <w:pPr>
        <w:pStyle w:val="PIHeading1"/>
      </w:pPr>
      <w:r w:rsidRPr="00BA4894">
        <w:t xml:space="preserve">DATE OF </w:t>
      </w:r>
      <w:r w:rsidR="00C23F13">
        <w:t>first inclusion in the artg</w:t>
      </w:r>
    </w:p>
    <w:p w:rsidR="00812C64" w:rsidRPr="00C46F53" w:rsidRDefault="005260EA" w:rsidP="00C46F53">
      <w:pPr>
        <w:pStyle w:val="PINormal"/>
      </w:pPr>
      <w:r>
        <w:t>26 July 2012</w:t>
      </w:r>
    </w:p>
    <w:p w:rsidR="00F26C63" w:rsidRDefault="00F26C63" w:rsidP="000557A3">
      <w:pPr>
        <w:pStyle w:val="PINormal"/>
      </w:pPr>
      <w:r>
        <w:sym w:font="Symbol" w:char="F0D2"/>
      </w:r>
      <w:r>
        <w:t xml:space="preserve"> </w:t>
      </w:r>
      <w:proofErr w:type="gramStart"/>
      <w:r>
        <w:t>Registered trademark.</w:t>
      </w:r>
      <w:proofErr w:type="gramEnd"/>
    </w:p>
    <w:p w:rsidR="001C1D2D" w:rsidRPr="007310AC" w:rsidRDefault="001C1D2D" w:rsidP="000557A3">
      <w:pPr>
        <w:pStyle w:val="PINormal"/>
      </w:pPr>
      <w:r>
        <w:t>© Copyright 2012</w:t>
      </w:r>
    </w:p>
    <w:sectPr w:rsidR="001C1D2D" w:rsidRPr="007310AC" w:rsidSect="00EA20A3">
      <w:headerReference w:type="default" r:id="rId11"/>
      <w:footerReference w:type="default" r:id="rId12"/>
      <w:pgSz w:w="11906" w:h="16838" w:code="9"/>
      <w:pgMar w:top="1440" w:right="1440" w:bottom="1440" w:left="1440" w:header="567" w:footer="56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CB3" w:rsidRDefault="00992CB3">
      <w:r>
        <w:separator/>
      </w:r>
    </w:p>
  </w:endnote>
  <w:endnote w:type="continuationSeparator" w:id="0">
    <w:p w:rsidR="00992CB3" w:rsidRDefault="00992C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1E2" w:rsidRDefault="005260EA" w:rsidP="0062681D">
    <w:pPr>
      <w:pStyle w:val="PIFooter"/>
    </w:pPr>
    <w:r>
      <w:t>Version: pfpinlyt107</w:t>
    </w:r>
    <w:r w:rsidR="000021E2">
      <w:t>12</w:t>
    </w:r>
    <w:r w:rsidR="000021E2">
      <w:tab/>
      <w:t>Supersedes: New</w:t>
    </w:r>
  </w:p>
  <w:p w:rsidR="000021E2" w:rsidRDefault="000021E2" w:rsidP="0062681D">
    <w:pPr>
      <w:pStyle w:val="PIFooter"/>
    </w:pPr>
    <w:r>
      <w:tab/>
    </w:r>
    <w:r>
      <w:rPr>
        <w:lang w:val="en-US"/>
      </w:rPr>
      <w:t xml:space="preserve">Page </w:t>
    </w:r>
    <w:r w:rsidR="00BD58D0">
      <w:rPr>
        <w:lang w:val="en-US"/>
      </w:rPr>
      <w:fldChar w:fldCharType="begin"/>
    </w:r>
    <w:r>
      <w:rPr>
        <w:lang w:val="en-US"/>
      </w:rPr>
      <w:instrText xml:space="preserve"> PAGE </w:instrText>
    </w:r>
    <w:r w:rsidR="00BD58D0">
      <w:rPr>
        <w:lang w:val="en-US"/>
      </w:rPr>
      <w:fldChar w:fldCharType="separate"/>
    </w:r>
    <w:r w:rsidR="00967FDE">
      <w:rPr>
        <w:noProof/>
        <w:lang w:val="en-US"/>
      </w:rPr>
      <w:t>1</w:t>
    </w:r>
    <w:r w:rsidR="00BD58D0">
      <w:rPr>
        <w:lang w:val="en-US"/>
      </w:rPr>
      <w:fldChar w:fldCharType="end"/>
    </w:r>
    <w:r>
      <w:rPr>
        <w:lang w:val="en-US"/>
      </w:rPr>
      <w:t xml:space="preserve"> of </w:t>
    </w:r>
    <w:r w:rsidR="00BD58D0">
      <w:rPr>
        <w:lang w:val="en-US"/>
      </w:rPr>
      <w:fldChar w:fldCharType="begin"/>
    </w:r>
    <w:r>
      <w:rPr>
        <w:lang w:val="en-US"/>
      </w:rPr>
      <w:instrText xml:space="preserve"> NUMPAGES </w:instrText>
    </w:r>
    <w:r w:rsidR="00BD58D0">
      <w:rPr>
        <w:lang w:val="en-US"/>
      </w:rPr>
      <w:fldChar w:fldCharType="separate"/>
    </w:r>
    <w:r w:rsidR="00967FDE">
      <w:rPr>
        <w:noProof/>
        <w:lang w:val="en-US"/>
      </w:rPr>
      <w:t>16</w:t>
    </w:r>
    <w:r w:rsidR="00BD58D0">
      <w:rPr>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CB3" w:rsidRDefault="00992CB3">
      <w:r>
        <w:separator/>
      </w:r>
    </w:p>
  </w:footnote>
  <w:footnote w:type="continuationSeparator" w:id="0">
    <w:p w:rsidR="00992CB3" w:rsidRDefault="00992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BB" w:rsidRPr="00AB2BBB" w:rsidRDefault="00AB2BBB" w:rsidP="00AB2BBB">
    <w:pPr>
      <w:pStyle w:val="Header"/>
      <w:pBdr>
        <w:top w:val="single" w:sz="4" w:space="1" w:color="auto"/>
        <w:left w:val="single" w:sz="4" w:space="4" w:color="auto"/>
        <w:bottom w:val="single" w:sz="4" w:space="1" w:color="auto"/>
        <w:right w:val="single" w:sz="4" w:space="4" w:color="auto"/>
      </w:pBdr>
      <w:shd w:val="clear" w:color="auto" w:fill="E4F2E0"/>
      <w:rPr>
        <w:rFonts w:ascii="Cambria" w:hAnsi="Cambria"/>
      </w:rPr>
    </w:pPr>
    <w:r w:rsidRPr="00AB2BBB">
      <w:rPr>
        <w:rFonts w:ascii="Cambria" w:hAnsi="Cambria"/>
        <w:b/>
        <w:sz w:val="20"/>
      </w:rPr>
      <w:t xml:space="preserve">Attachment 1: Product information for </w:t>
    </w:r>
    <w:proofErr w:type="spellStart"/>
    <w:r w:rsidRPr="00AB2BBB">
      <w:rPr>
        <w:rFonts w:ascii="Cambria" w:hAnsi="Cambria"/>
        <w:b/>
        <w:sz w:val="20"/>
      </w:rPr>
      <w:t>AusPAR</w:t>
    </w:r>
    <w:proofErr w:type="spellEnd"/>
    <w:r w:rsidRPr="00AB2BBB">
      <w:rPr>
        <w:rFonts w:ascii="Cambria" w:hAnsi="Cambria"/>
        <w:b/>
        <w:sz w:val="20"/>
      </w:rPr>
      <w:t xml:space="preserve"> </w:t>
    </w:r>
    <w:proofErr w:type="spellStart"/>
    <w:r w:rsidRPr="00AB2BBB">
      <w:rPr>
        <w:rFonts w:ascii="Cambria" w:hAnsi="Cambria"/>
        <w:b/>
        <w:sz w:val="20"/>
      </w:rPr>
      <w:t>Inlyta</w:t>
    </w:r>
    <w:proofErr w:type="spellEnd"/>
    <w:r w:rsidRPr="00AB2BBB">
      <w:rPr>
        <w:rFonts w:ascii="Cambria" w:hAnsi="Cambria"/>
        <w:b/>
        <w:sz w:val="20"/>
      </w:rPr>
      <w:t xml:space="preserve"> </w:t>
    </w:r>
    <w:proofErr w:type="spellStart"/>
    <w:r w:rsidRPr="00AB2BBB">
      <w:rPr>
        <w:rFonts w:ascii="Cambria" w:hAnsi="Cambria"/>
        <w:b/>
        <w:sz w:val="20"/>
      </w:rPr>
      <w:t>axitinib</w:t>
    </w:r>
    <w:proofErr w:type="spellEnd"/>
    <w:r w:rsidRPr="00AB2BBB">
      <w:rPr>
        <w:rFonts w:ascii="Cambria" w:hAnsi="Cambria"/>
        <w:b/>
        <w:sz w:val="20"/>
      </w:rPr>
      <w:t xml:space="preserve"> Pfizer Australia Pty Ltd PM-2011-00876-3-4 Final 12 February 2013. This Product Information was approved at the time this </w:t>
    </w:r>
    <w:proofErr w:type="spellStart"/>
    <w:r w:rsidRPr="00AB2BBB">
      <w:rPr>
        <w:rFonts w:ascii="Cambria" w:hAnsi="Cambria"/>
        <w:b/>
        <w:sz w:val="20"/>
      </w:rPr>
      <w:t>AusPAR</w:t>
    </w:r>
    <w:proofErr w:type="spellEnd"/>
    <w:r w:rsidRPr="00AB2BBB">
      <w:rPr>
        <w:rFonts w:ascii="Cambria" w:hAnsi="Cambria"/>
        <w:b/>
        <w:sz w:val="20"/>
      </w:rPr>
      <w:t xml:space="preserve">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2521786"/>
    <w:lvl w:ilvl="0">
      <w:start w:val="1"/>
      <w:numFmt w:val="decimal"/>
      <w:pStyle w:val="ListNumber2"/>
      <w:lvlText w:val="%1."/>
      <w:lvlJc w:val="left"/>
      <w:pPr>
        <w:tabs>
          <w:tab w:val="num" w:pos="720"/>
        </w:tabs>
        <w:ind w:left="720" w:hanging="360"/>
      </w:pPr>
    </w:lvl>
  </w:abstractNum>
  <w:abstractNum w:abstractNumId="1">
    <w:nsid w:val="FFFFFF88"/>
    <w:multiLevelType w:val="singleLevel"/>
    <w:tmpl w:val="CF86FFD4"/>
    <w:lvl w:ilvl="0">
      <w:start w:val="1"/>
      <w:numFmt w:val="decimal"/>
      <w:lvlText w:val="%1."/>
      <w:lvlJc w:val="left"/>
      <w:pPr>
        <w:tabs>
          <w:tab w:val="num" w:pos="360"/>
        </w:tabs>
        <w:ind w:left="360" w:hanging="360"/>
      </w:pPr>
    </w:lvl>
  </w:abstractNum>
  <w:abstractNum w:abstractNumId="2">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5052D3"/>
    <w:multiLevelType w:val="hybridMultilevel"/>
    <w:tmpl w:val="2BB044B6"/>
    <w:lvl w:ilvl="0" w:tplc="8B6421D6">
      <w:start w:val="1"/>
      <w:numFmt w:val="bullet"/>
      <w:pStyle w:val="PI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A25FE4"/>
    <w:multiLevelType w:val="hybridMultilevel"/>
    <w:tmpl w:val="F2D0A7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A0E5098"/>
    <w:multiLevelType w:val="hybridMultilevel"/>
    <w:tmpl w:val="A23A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71C90598"/>
    <w:multiLevelType w:val="hybridMultilevel"/>
    <w:tmpl w:val="AABEE858"/>
    <w:lvl w:ilvl="0" w:tplc="F68CDA88">
      <w:start w:val="1"/>
      <w:numFmt w:val="decimal"/>
      <w:pStyle w:val="tableheading"/>
      <w:lvlText w:val="Table %1: "/>
      <w:lvlJc w:val="left"/>
      <w:pPr>
        <w:tabs>
          <w:tab w:val="num" w:pos="2160"/>
        </w:tabs>
        <w:ind w:left="2160" w:hanging="360"/>
      </w:pPr>
      <w:rPr>
        <w:rFonts w:ascii="Times New Roman Bold" w:hAnsi="Times New Roman Bold" w:hint="default"/>
        <w:b/>
        <w:i w:val="0"/>
        <w:sz w:val="24"/>
      </w:rPr>
    </w:lvl>
    <w:lvl w:ilvl="1" w:tplc="2558E9D2" w:tentative="1">
      <w:start w:val="1"/>
      <w:numFmt w:val="lowerLetter"/>
      <w:lvlText w:val="%2."/>
      <w:lvlJc w:val="left"/>
      <w:pPr>
        <w:tabs>
          <w:tab w:val="num" w:pos="3120"/>
        </w:tabs>
        <w:ind w:left="3120" w:hanging="360"/>
      </w:pPr>
    </w:lvl>
    <w:lvl w:ilvl="2" w:tplc="E2904490" w:tentative="1">
      <w:start w:val="1"/>
      <w:numFmt w:val="lowerRoman"/>
      <w:lvlText w:val="%3."/>
      <w:lvlJc w:val="right"/>
      <w:pPr>
        <w:tabs>
          <w:tab w:val="num" w:pos="3840"/>
        </w:tabs>
        <w:ind w:left="3840" w:hanging="180"/>
      </w:pPr>
    </w:lvl>
    <w:lvl w:ilvl="3" w:tplc="B6C674B4" w:tentative="1">
      <w:start w:val="1"/>
      <w:numFmt w:val="decimal"/>
      <w:lvlText w:val="%4."/>
      <w:lvlJc w:val="left"/>
      <w:pPr>
        <w:tabs>
          <w:tab w:val="num" w:pos="4560"/>
        </w:tabs>
        <w:ind w:left="4560" w:hanging="360"/>
      </w:pPr>
    </w:lvl>
    <w:lvl w:ilvl="4" w:tplc="AC548042" w:tentative="1">
      <w:start w:val="1"/>
      <w:numFmt w:val="lowerLetter"/>
      <w:lvlText w:val="%5."/>
      <w:lvlJc w:val="left"/>
      <w:pPr>
        <w:tabs>
          <w:tab w:val="num" w:pos="5280"/>
        </w:tabs>
        <w:ind w:left="5280" w:hanging="360"/>
      </w:pPr>
    </w:lvl>
    <w:lvl w:ilvl="5" w:tplc="FF367126" w:tentative="1">
      <w:start w:val="1"/>
      <w:numFmt w:val="lowerRoman"/>
      <w:lvlText w:val="%6."/>
      <w:lvlJc w:val="right"/>
      <w:pPr>
        <w:tabs>
          <w:tab w:val="num" w:pos="6000"/>
        </w:tabs>
        <w:ind w:left="6000" w:hanging="180"/>
      </w:pPr>
    </w:lvl>
    <w:lvl w:ilvl="6" w:tplc="2BB6377E" w:tentative="1">
      <w:start w:val="1"/>
      <w:numFmt w:val="decimal"/>
      <w:lvlText w:val="%7."/>
      <w:lvlJc w:val="left"/>
      <w:pPr>
        <w:tabs>
          <w:tab w:val="num" w:pos="6720"/>
        </w:tabs>
        <w:ind w:left="6720" w:hanging="360"/>
      </w:pPr>
    </w:lvl>
    <w:lvl w:ilvl="7" w:tplc="426A28F6" w:tentative="1">
      <w:start w:val="1"/>
      <w:numFmt w:val="lowerLetter"/>
      <w:lvlText w:val="%8."/>
      <w:lvlJc w:val="left"/>
      <w:pPr>
        <w:tabs>
          <w:tab w:val="num" w:pos="7440"/>
        </w:tabs>
        <w:ind w:left="7440" w:hanging="360"/>
      </w:pPr>
    </w:lvl>
    <w:lvl w:ilvl="8" w:tplc="CF849084" w:tentative="1">
      <w:start w:val="1"/>
      <w:numFmt w:val="lowerRoman"/>
      <w:lvlText w:val="%9."/>
      <w:lvlJc w:val="right"/>
      <w:pPr>
        <w:tabs>
          <w:tab w:val="num" w:pos="8160"/>
        </w:tabs>
        <w:ind w:left="8160" w:hanging="180"/>
      </w:pPr>
    </w:lvl>
  </w:abstractNum>
  <w:num w:numId="1">
    <w:abstractNumId w:val="2"/>
  </w:num>
  <w:num w:numId="2">
    <w:abstractNumId w:val="7"/>
  </w:num>
  <w:num w:numId="3">
    <w:abstractNumId w:val="2"/>
  </w:num>
  <w:num w:numId="4">
    <w:abstractNumId w:val="1"/>
  </w:num>
  <w:num w:numId="5">
    <w:abstractNumId w:val="6"/>
  </w:num>
  <w:num w:numId="6">
    <w:abstractNumId w:val="2"/>
  </w:num>
  <w:num w:numId="7">
    <w:abstractNumId w:val="6"/>
  </w:num>
  <w:num w:numId="8">
    <w:abstractNumId w:val="3"/>
  </w:num>
  <w:num w:numId="9">
    <w:abstractNumId w:val="8"/>
  </w:num>
  <w:num w:numId="10">
    <w:abstractNumId w:val="4"/>
  </w:num>
  <w:num w:numId="11">
    <w:abstractNumId w:val="0"/>
  </w:num>
  <w:num w:numId="12">
    <w:abstractNumId w:val="5"/>
  </w:num>
  <w:num w:numId="1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hideSpellingErrors/>
  <w:hideGrammaticalErrors/>
  <w:proofState w:spelling="clean" w:grammar="clean"/>
  <w:attachedTemplate r:id="rId1"/>
  <w:stylePaneFormatFilter w:val="3001"/>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rsids>
    <w:rsidRoot w:val="00DB6AA6"/>
    <w:rsid w:val="00000235"/>
    <w:rsid w:val="00000D7D"/>
    <w:rsid w:val="000021E2"/>
    <w:rsid w:val="00002D0A"/>
    <w:rsid w:val="000059C4"/>
    <w:rsid w:val="00005B5B"/>
    <w:rsid w:val="000070F3"/>
    <w:rsid w:val="000120C2"/>
    <w:rsid w:val="00013830"/>
    <w:rsid w:val="00015E9E"/>
    <w:rsid w:val="00016D79"/>
    <w:rsid w:val="00020D3F"/>
    <w:rsid w:val="000241AA"/>
    <w:rsid w:val="0002586F"/>
    <w:rsid w:val="0002680E"/>
    <w:rsid w:val="00036022"/>
    <w:rsid w:val="00037B14"/>
    <w:rsid w:val="000467E0"/>
    <w:rsid w:val="00050648"/>
    <w:rsid w:val="000557A3"/>
    <w:rsid w:val="00056A95"/>
    <w:rsid w:val="0006288B"/>
    <w:rsid w:val="0006668F"/>
    <w:rsid w:val="000703FB"/>
    <w:rsid w:val="000720DD"/>
    <w:rsid w:val="00076385"/>
    <w:rsid w:val="00076866"/>
    <w:rsid w:val="000A1A47"/>
    <w:rsid w:val="000A2074"/>
    <w:rsid w:val="000B5CE3"/>
    <w:rsid w:val="000B64E8"/>
    <w:rsid w:val="000B7BA3"/>
    <w:rsid w:val="000C1202"/>
    <w:rsid w:val="000C4ADE"/>
    <w:rsid w:val="000D7B5D"/>
    <w:rsid w:val="000F0CE0"/>
    <w:rsid w:val="000F12A4"/>
    <w:rsid w:val="000F2F6B"/>
    <w:rsid w:val="00102501"/>
    <w:rsid w:val="00103FC4"/>
    <w:rsid w:val="00104FDF"/>
    <w:rsid w:val="0010564E"/>
    <w:rsid w:val="001102CC"/>
    <w:rsid w:val="001130F2"/>
    <w:rsid w:val="0011417E"/>
    <w:rsid w:val="00124192"/>
    <w:rsid w:val="001308DF"/>
    <w:rsid w:val="00137B22"/>
    <w:rsid w:val="00141391"/>
    <w:rsid w:val="00143BB7"/>
    <w:rsid w:val="00146C43"/>
    <w:rsid w:val="00146FD9"/>
    <w:rsid w:val="00160022"/>
    <w:rsid w:val="0016305D"/>
    <w:rsid w:val="00163279"/>
    <w:rsid w:val="001633A0"/>
    <w:rsid w:val="00163EEF"/>
    <w:rsid w:val="00167E8E"/>
    <w:rsid w:val="001713BC"/>
    <w:rsid w:val="001766ED"/>
    <w:rsid w:val="0018263E"/>
    <w:rsid w:val="00183811"/>
    <w:rsid w:val="00185F79"/>
    <w:rsid w:val="001917B7"/>
    <w:rsid w:val="001928FA"/>
    <w:rsid w:val="001933DF"/>
    <w:rsid w:val="00196937"/>
    <w:rsid w:val="00197915"/>
    <w:rsid w:val="001A1EA2"/>
    <w:rsid w:val="001A7393"/>
    <w:rsid w:val="001B1A52"/>
    <w:rsid w:val="001B2FD7"/>
    <w:rsid w:val="001B5548"/>
    <w:rsid w:val="001C1BDE"/>
    <w:rsid w:val="001C1D2D"/>
    <w:rsid w:val="001C57C6"/>
    <w:rsid w:val="001D47B5"/>
    <w:rsid w:val="001D4C61"/>
    <w:rsid w:val="001D53AD"/>
    <w:rsid w:val="001D5986"/>
    <w:rsid w:val="001D76E0"/>
    <w:rsid w:val="001D7DA0"/>
    <w:rsid w:val="001E1518"/>
    <w:rsid w:val="001E6012"/>
    <w:rsid w:val="001F4AD5"/>
    <w:rsid w:val="00200D1F"/>
    <w:rsid w:val="00203675"/>
    <w:rsid w:val="00203F3E"/>
    <w:rsid w:val="00206646"/>
    <w:rsid w:val="00206EDB"/>
    <w:rsid w:val="00210FEC"/>
    <w:rsid w:val="00211479"/>
    <w:rsid w:val="0021294F"/>
    <w:rsid w:val="00212EAA"/>
    <w:rsid w:val="00215F20"/>
    <w:rsid w:val="002162E9"/>
    <w:rsid w:val="0021793C"/>
    <w:rsid w:val="00222136"/>
    <w:rsid w:val="002229A4"/>
    <w:rsid w:val="00222CFC"/>
    <w:rsid w:val="0022702F"/>
    <w:rsid w:val="00227A6E"/>
    <w:rsid w:val="00230972"/>
    <w:rsid w:val="00230BD1"/>
    <w:rsid w:val="00232F05"/>
    <w:rsid w:val="00236673"/>
    <w:rsid w:val="002436FE"/>
    <w:rsid w:val="00243FB7"/>
    <w:rsid w:val="0024635E"/>
    <w:rsid w:val="00246E68"/>
    <w:rsid w:val="00252C83"/>
    <w:rsid w:val="00261A05"/>
    <w:rsid w:val="002640B1"/>
    <w:rsid w:val="00273D47"/>
    <w:rsid w:val="002853CC"/>
    <w:rsid w:val="0029353E"/>
    <w:rsid w:val="0029432E"/>
    <w:rsid w:val="002960DD"/>
    <w:rsid w:val="002A68DB"/>
    <w:rsid w:val="002A72FC"/>
    <w:rsid w:val="002B7637"/>
    <w:rsid w:val="002C043B"/>
    <w:rsid w:val="002D262E"/>
    <w:rsid w:val="002D41DB"/>
    <w:rsid w:val="002E159B"/>
    <w:rsid w:val="002E312C"/>
    <w:rsid w:val="002E3DEA"/>
    <w:rsid w:val="002E3E63"/>
    <w:rsid w:val="002E5B0A"/>
    <w:rsid w:val="002F0A40"/>
    <w:rsid w:val="002F2E42"/>
    <w:rsid w:val="002F3436"/>
    <w:rsid w:val="002F49D3"/>
    <w:rsid w:val="002F4D4D"/>
    <w:rsid w:val="002F7087"/>
    <w:rsid w:val="00303D4D"/>
    <w:rsid w:val="00311975"/>
    <w:rsid w:val="003130E1"/>
    <w:rsid w:val="00313584"/>
    <w:rsid w:val="00320509"/>
    <w:rsid w:val="003277F1"/>
    <w:rsid w:val="0033091C"/>
    <w:rsid w:val="00334221"/>
    <w:rsid w:val="00334E01"/>
    <w:rsid w:val="00335620"/>
    <w:rsid w:val="003371D8"/>
    <w:rsid w:val="0033789C"/>
    <w:rsid w:val="00340B8F"/>
    <w:rsid w:val="00341931"/>
    <w:rsid w:val="00341DD1"/>
    <w:rsid w:val="00342D6F"/>
    <w:rsid w:val="00345B4A"/>
    <w:rsid w:val="00345BE1"/>
    <w:rsid w:val="00345F12"/>
    <w:rsid w:val="00350A4D"/>
    <w:rsid w:val="00350D34"/>
    <w:rsid w:val="0035140B"/>
    <w:rsid w:val="003536A9"/>
    <w:rsid w:val="00366E4E"/>
    <w:rsid w:val="00370A32"/>
    <w:rsid w:val="003718E3"/>
    <w:rsid w:val="0038287E"/>
    <w:rsid w:val="00382B17"/>
    <w:rsid w:val="00382F22"/>
    <w:rsid w:val="003841AE"/>
    <w:rsid w:val="00387775"/>
    <w:rsid w:val="00390E5C"/>
    <w:rsid w:val="00391703"/>
    <w:rsid w:val="003A0F41"/>
    <w:rsid w:val="003A2684"/>
    <w:rsid w:val="003A369F"/>
    <w:rsid w:val="003A6EE8"/>
    <w:rsid w:val="003B0294"/>
    <w:rsid w:val="003C294E"/>
    <w:rsid w:val="003D2ED5"/>
    <w:rsid w:val="003D30F8"/>
    <w:rsid w:val="003D4EF4"/>
    <w:rsid w:val="003E4367"/>
    <w:rsid w:val="003E6C12"/>
    <w:rsid w:val="003F1DA3"/>
    <w:rsid w:val="003F29AC"/>
    <w:rsid w:val="003F38B4"/>
    <w:rsid w:val="0040418B"/>
    <w:rsid w:val="00405480"/>
    <w:rsid w:val="004232CD"/>
    <w:rsid w:val="00423B0A"/>
    <w:rsid w:val="00423B6A"/>
    <w:rsid w:val="00426C05"/>
    <w:rsid w:val="0043091A"/>
    <w:rsid w:val="004320C9"/>
    <w:rsid w:val="004333E6"/>
    <w:rsid w:val="00437DC2"/>
    <w:rsid w:val="00440DC4"/>
    <w:rsid w:val="0044508F"/>
    <w:rsid w:val="00445169"/>
    <w:rsid w:val="00452919"/>
    <w:rsid w:val="00465826"/>
    <w:rsid w:val="00465D79"/>
    <w:rsid w:val="00466BE1"/>
    <w:rsid w:val="0047150E"/>
    <w:rsid w:val="00472F7C"/>
    <w:rsid w:val="00473880"/>
    <w:rsid w:val="0047544B"/>
    <w:rsid w:val="00475D18"/>
    <w:rsid w:val="00482414"/>
    <w:rsid w:val="00482AFA"/>
    <w:rsid w:val="004861EC"/>
    <w:rsid w:val="00491F3A"/>
    <w:rsid w:val="00491FA1"/>
    <w:rsid w:val="00493F05"/>
    <w:rsid w:val="0049495F"/>
    <w:rsid w:val="00496C77"/>
    <w:rsid w:val="004971B0"/>
    <w:rsid w:val="0049727D"/>
    <w:rsid w:val="004A27F0"/>
    <w:rsid w:val="004A2DC9"/>
    <w:rsid w:val="004A6B7E"/>
    <w:rsid w:val="004B443C"/>
    <w:rsid w:val="004B46C6"/>
    <w:rsid w:val="004B4B77"/>
    <w:rsid w:val="004B57DE"/>
    <w:rsid w:val="004B6266"/>
    <w:rsid w:val="004B64FE"/>
    <w:rsid w:val="004C1A0D"/>
    <w:rsid w:val="004C3404"/>
    <w:rsid w:val="004D0067"/>
    <w:rsid w:val="004D098F"/>
    <w:rsid w:val="004D2569"/>
    <w:rsid w:val="004D67E5"/>
    <w:rsid w:val="004E20F8"/>
    <w:rsid w:val="004E3E29"/>
    <w:rsid w:val="004E6B2D"/>
    <w:rsid w:val="004E7EFC"/>
    <w:rsid w:val="00500DCB"/>
    <w:rsid w:val="00513050"/>
    <w:rsid w:val="00513B8C"/>
    <w:rsid w:val="00514885"/>
    <w:rsid w:val="005153A4"/>
    <w:rsid w:val="005177C5"/>
    <w:rsid w:val="00522830"/>
    <w:rsid w:val="00524AB3"/>
    <w:rsid w:val="005260EA"/>
    <w:rsid w:val="00537D0E"/>
    <w:rsid w:val="00541292"/>
    <w:rsid w:val="005421CD"/>
    <w:rsid w:val="00547E42"/>
    <w:rsid w:val="0055092A"/>
    <w:rsid w:val="005515F9"/>
    <w:rsid w:val="00554669"/>
    <w:rsid w:val="00565C36"/>
    <w:rsid w:val="00566062"/>
    <w:rsid w:val="005668CA"/>
    <w:rsid w:val="005704F9"/>
    <w:rsid w:val="0057568C"/>
    <w:rsid w:val="00580272"/>
    <w:rsid w:val="00582B4B"/>
    <w:rsid w:val="00590239"/>
    <w:rsid w:val="005909B3"/>
    <w:rsid w:val="00592696"/>
    <w:rsid w:val="005A4ABE"/>
    <w:rsid w:val="005A6E09"/>
    <w:rsid w:val="005A7597"/>
    <w:rsid w:val="005B0D1A"/>
    <w:rsid w:val="005B5B2A"/>
    <w:rsid w:val="005B6E4B"/>
    <w:rsid w:val="005C0469"/>
    <w:rsid w:val="005C7509"/>
    <w:rsid w:val="005D7206"/>
    <w:rsid w:val="005E4F7E"/>
    <w:rsid w:val="005F3D02"/>
    <w:rsid w:val="00601207"/>
    <w:rsid w:val="00603EFD"/>
    <w:rsid w:val="006056DD"/>
    <w:rsid w:val="00611230"/>
    <w:rsid w:val="006146D4"/>
    <w:rsid w:val="006161C6"/>
    <w:rsid w:val="0062080C"/>
    <w:rsid w:val="006221D8"/>
    <w:rsid w:val="00622D52"/>
    <w:rsid w:val="00622F19"/>
    <w:rsid w:val="0062681D"/>
    <w:rsid w:val="0062761F"/>
    <w:rsid w:val="00627D5D"/>
    <w:rsid w:val="0063089C"/>
    <w:rsid w:val="00632C62"/>
    <w:rsid w:val="00632F26"/>
    <w:rsid w:val="00634328"/>
    <w:rsid w:val="0064473B"/>
    <w:rsid w:val="00653E38"/>
    <w:rsid w:val="00661FAC"/>
    <w:rsid w:val="00662BB9"/>
    <w:rsid w:val="0067138C"/>
    <w:rsid w:val="00674792"/>
    <w:rsid w:val="00680597"/>
    <w:rsid w:val="00680EA7"/>
    <w:rsid w:val="00681F1A"/>
    <w:rsid w:val="00682900"/>
    <w:rsid w:val="0069227E"/>
    <w:rsid w:val="006945EC"/>
    <w:rsid w:val="00694C3D"/>
    <w:rsid w:val="00694E48"/>
    <w:rsid w:val="006975E5"/>
    <w:rsid w:val="006A1261"/>
    <w:rsid w:val="006A63EF"/>
    <w:rsid w:val="006A7789"/>
    <w:rsid w:val="006B6078"/>
    <w:rsid w:val="006B68AA"/>
    <w:rsid w:val="006B717A"/>
    <w:rsid w:val="006C3AD4"/>
    <w:rsid w:val="006C7703"/>
    <w:rsid w:val="006D3F94"/>
    <w:rsid w:val="006D59A0"/>
    <w:rsid w:val="006E37B4"/>
    <w:rsid w:val="006E3EFD"/>
    <w:rsid w:val="006E6856"/>
    <w:rsid w:val="006F4033"/>
    <w:rsid w:val="00701710"/>
    <w:rsid w:val="0070463E"/>
    <w:rsid w:val="007053F0"/>
    <w:rsid w:val="0071266E"/>
    <w:rsid w:val="00712A81"/>
    <w:rsid w:val="00713825"/>
    <w:rsid w:val="007213A6"/>
    <w:rsid w:val="007213B1"/>
    <w:rsid w:val="0072190F"/>
    <w:rsid w:val="00722100"/>
    <w:rsid w:val="0072729A"/>
    <w:rsid w:val="00727DF4"/>
    <w:rsid w:val="007310AC"/>
    <w:rsid w:val="00731A50"/>
    <w:rsid w:val="00733610"/>
    <w:rsid w:val="00737A35"/>
    <w:rsid w:val="00737E25"/>
    <w:rsid w:val="00770234"/>
    <w:rsid w:val="0077308D"/>
    <w:rsid w:val="00773BA3"/>
    <w:rsid w:val="00783F05"/>
    <w:rsid w:val="007849A9"/>
    <w:rsid w:val="0078761B"/>
    <w:rsid w:val="00791FEA"/>
    <w:rsid w:val="007921B4"/>
    <w:rsid w:val="00794C86"/>
    <w:rsid w:val="007976FC"/>
    <w:rsid w:val="007A6446"/>
    <w:rsid w:val="007B3E11"/>
    <w:rsid w:val="007B49A0"/>
    <w:rsid w:val="007B7597"/>
    <w:rsid w:val="007C012F"/>
    <w:rsid w:val="007C1E7F"/>
    <w:rsid w:val="007C2CA5"/>
    <w:rsid w:val="007C56AD"/>
    <w:rsid w:val="007C66EB"/>
    <w:rsid w:val="007D4113"/>
    <w:rsid w:val="007D61A3"/>
    <w:rsid w:val="007E0B08"/>
    <w:rsid w:val="007E2E4A"/>
    <w:rsid w:val="007E49CC"/>
    <w:rsid w:val="007E664A"/>
    <w:rsid w:val="007F2823"/>
    <w:rsid w:val="007F4C2E"/>
    <w:rsid w:val="007F5F87"/>
    <w:rsid w:val="00801956"/>
    <w:rsid w:val="00802604"/>
    <w:rsid w:val="008042A0"/>
    <w:rsid w:val="008049B9"/>
    <w:rsid w:val="0080554E"/>
    <w:rsid w:val="00810ACF"/>
    <w:rsid w:val="00812C64"/>
    <w:rsid w:val="008146EB"/>
    <w:rsid w:val="00817B8C"/>
    <w:rsid w:val="008213E8"/>
    <w:rsid w:val="00821CD2"/>
    <w:rsid w:val="008247F6"/>
    <w:rsid w:val="00824ABF"/>
    <w:rsid w:val="008254BA"/>
    <w:rsid w:val="00825DB1"/>
    <w:rsid w:val="0083014E"/>
    <w:rsid w:val="00832C92"/>
    <w:rsid w:val="00836CCB"/>
    <w:rsid w:val="00837E10"/>
    <w:rsid w:val="00844947"/>
    <w:rsid w:val="00845D22"/>
    <w:rsid w:val="00852617"/>
    <w:rsid w:val="00861EB1"/>
    <w:rsid w:val="0086670A"/>
    <w:rsid w:val="00870D41"/>
    <w:rsid w:val="00871FDC"/>
    <w:rsid w:val="008729B2"/>
    <w:rsid w:val="00881165"/>
    <w:rsid w:val="008820CC"/>
    <w:rsid w:val="008863D7"/>
    <w:rsid w:val="0088646E"/>
    <w:rsid w:val="00894142"/>
    <w:rsid w:val="00894D9E"/>
    <w:rsid w:val="00895219"/>
    <w:rsid w:val="008968B7"/>
    <w:rsid w:val="008973CE"/>
    <w:rsid w:val="00897C81"/>
    <w:rsid w:val="008A0DA0"/>
    <w:rsid w:val="008A18EE"/>
    <w:rsid w:val="008A2316"/>
    <w:rsid w:val="008A3444"/>
    <w:rsid w:val="008B6BD2"/>
    <w:rsid w:val="008C56D0"/>
    <w:rsid w:val="008D3A82"/>
    <w:rsid w:val="008E429A"/>
    <w:rsid w:val="008E6A87"/>
    <w:rsid w:val="008F1626"/>
    <w:rsid w:val="008F3C28"/>
    <w:rsid w:val="008F6B8C"/>
    <w:rsid w:val="0090203A"/>
    <w:rsid w:val="00905FA6"/>
    <w:rsid w:val="009107E1"/>
    <w:rsid w:val="00927D86"/>
    <w:rsid w:val="00930223"/>
    <w:rsid w:val="00932EB8"/>
    <w:rsid w:val="009342A9"/>
    <w:rsid w:val="00941E04"/>
    <w:rsid w:val="0094386D"/>
    <w:rsid w:val="00944D63"/>
    <w:rsid w:val="00945FF0"/>
    <w:rsid w:val="009513F2"/>
    <w:rsid w:val="00954BF4"/>
    <w:rsid w:val="0095596C"/>
    <w:rsid w:val="00955E31"/>
    <w:rsid w:val="00957F73"/>
    <w:rsid w:val="009611E8"/>
    <w:rsid w:val="00961FE8"/>
    <w:rsid w:val="009627E4"/>
    <w:rsid w:val="00967FDE"/>
    <w:rsid w:val="0097090B"/>
    <w:rsid w:val="00972D9D"/>
    <w:rsid w:val="00973948"/>
    <w:rsid w:val="00975AC7"/>
    <w:rsid w:val="00980541"/>
    <w:rsid w:val="00981844"/>
    <w:rsid w:val="00983CF7"/>
    <w:rsid w:val="00992CB3"/>
    <w:rsid w:val="009952F4"/>
    <w:rsid w:val="009A1C2D"/>
    <w:rsid w:val="009A28B6"/>
    <w:rsid w:val="009A28C2"/>
    <w:rsid w:val="009A682F"/>
    <w:rsid w:val="009A76B2"/>
    <w:rsid w:val="009B0B62"/>
    <w:rsid w:val="009B33C0"/>
    <w:rsid w:val="009B7EFB"/>
    <w:rsid w:val="009C3139"/>
    <w:rsid w:val="009C454C"/>
    <w:rsid w:val="009C515F"/>
    <w:rsid w:val="009C587F"/>
    <w:rsid w:val="009C7CD7"/>
    <w:rsid w:val="009D0FFC"/>
    <w:rsid w:val="009D67C6"/>
    <w:rsid w:val="009E4C0B"/>
    <w:rsid w:val="009F092C"/>
    <w:rsid w:val="00A0230E"/>
    <w:rsid w:val="00A0434C"/>
    <w:rsid w:val="00A05661"/>
    <w:rsid w:val="00A0781B"/>
    <w:rsid w:val="00A13CE8"/>
    <w:rsid w:val="00A2024E"/>
    <w:rsid w:val="00A23719"/>
    <w:rsid w:val="00A24DAB"/>
    <w:rsid w:val="00A25532"/>
    <w:rsid w:val="00A311EF"/>
    <w:rsid w:val="00A40AFA"/>
    <w:rsid w:val="00A43DDC"/>
    <w:rsid w:val="00A510AB"/>
    <w:rsid w:val="00A510C0"/>
    <w:rsid w:val="00A521ED"/>
    <w:rsid w:val="00A54B81"/>
    <w:rsid w:val="00A61709"/>
    <w:rsid w:val="00A6250C"/>
    <w:rsid w:val="00A66598"/>
    <w:rsid w:val="00A66DE5"/>
    <w:rsid w:val="00A7077B"/>
    <w:rsid w:val="00A74483"/>
    <w:rsid w:val="00A74A36"/>
    <w:rsid w:val="00A74E45"/>
    <w:rsid w:val="00A7562C"/>
    <w:rsid w:val="00A77569"/>
    <w:rsid w:val="00A82B66"/>
    <w:rsid w:val="00A83A02"/>
    <w:rsid w:val="00A83C84"/>
    <w:rsid w:val="00A841F9"/>
    <w:rsid w:val="00A84789"/>
    <w:rsid w:val="00A90604"/>
    <w:rsid w:val="00A93138"/>
    <w:rsid w:val="00A97172"/>
    <w:rsid w:val="00AA081F"/>
    <w:rsid w:val="00AA3820"/>
    <w:rsid w:val="00AA56E5"/>
    <w:rsid w:val="00AB04B9"/>
    <w:rsid w:val="00AB0F22"/>
    <w:rsid w:val="00AB2BBB"/>
    <w:rsid w:val="00AB493B"/>
    <w:rsid w:val="00AB781D"/>
    <w:rsid w:val="00AD074E"/>
    <w:rsid w:val="00AD2995"/>
    <w:rsid w:val="00AE26DA"/>
    <w:rsid w:val="00AE3C85"/>
    <w:rsid w:val="00AF0CE0"/>
    <w:rsid w:val="00AF1FB3"/>
    <w:rsid w:val="00AF2B2D"/>
    <w:rsid w:val="00AF2D92"/>
    <w:rsid w:val="00AF40D9"/>
    <w:rsid w:val="00B03C1C"/>
    <w:rsid w:val="00B03FF7"/>
    <w:rsid w:val="00B041F6"/>
    <w:rsid w:val="00B05F45"/>
    <w:rsid w:val="00B10368"/>
    <w:rsid w:val="00B3161A"/>
    <w:rsid w:val="00B32F72"/>
    <w:rsid w:val="00B33EDA"/>
    <w:rsid w:val="00B35389"/>
    <w:rsid w:val="00B362D6"/>
    <w:rsid w:val="00B44D9E"/>
    <w:rsid w:val="00B53D3B"/>
    <w:rsid w:val="00B60BAE"/>
    <w:rsid w:val="00B629BE"/>
    <w:rsid w:val="00B6310E"/>
    <w:rsid w:val="00B71767"/>
    <w:rsid w:val="00B87C35"/>
    <w:rsid w:val="00B96111"/>
    <w:rsid w:val="00BA0054"/>
    <w:rsid w:val="00BA01CD"/>
    <w:rsid w:val="00BA4894"/>
    <w:rsid w:val="00BA4AB8"/>
    <w:rsid w:val="00BB2AE4"/>
    <w:rsid w:val="00BB3C4E"/>
    <w:rsid w:val="00BB5501"/>
    <w:rsid w:val="00BC17DA"/>
    <w:rsid w:val="00BC1F41"/>
    <w:rsid w:val="00BD58D0"/>
    <w:rsid w:val="00BE0639"/>
    <w:rsid w:val="00BE253A"/>
    <w:rsid w:val="00BE6F6D"/>
    <w:rsid w:val="00BF1373"/>
    <w:rsid w:val="00BF176F"/>
    <w:rsid w:val="00BF3342"/>
    <w:rsid w:val="00BF4467"/>
    <w:rsid w:val="00C03CA9"/>
    <w:rsid w:val="00C065AF"/>
    <w:rsid w:val="00C06D7F"/>
    <w:rsid w:val="00C10826"/>
    <w:rsid w:val="00C144A9"/>
    <w:rsid w:val="00C16949"/>
    <w:rsid w:val="00C23711"/>
    <w:rsid w:val="00C23F13"/>
    <w:rsid w:val="00C36474"/>
    <w:rsid w:val="00C4105A"/>
    <w:rsid w:val="00C41223"/>
    <w:rsid w:val="00C442F9"/>
    <w:rsid w:val="00C46F53"/>
    <w:rsid w:val="00C50B0F"/>
    <w:rsid w:val="00C50BC5"/>
    <w:rsid w:val="00C50D15"/>
    <w:rsid w:val="00C544C8"/>
    <w:rsid w:val="00C553CC"/>
    <w:rsid w:val="00C56CCC"/>
    <w:rsid w:val="00C57C07"/>
    <w:rsid w:val="00C704BD"/>
    <w:rsid w:val="00C7239E"/>
    <w:rsid w:val="00C7315D"/>
    <w:rsid w:val="00C77AB5"/>
    <w:rsid w:val="00C84C22"/>
    <w:rsid w:val="00C87042"/>
    <w:rsid w:val="00C87B67"/>
    <w:rsid w:val="00C90177"/>
    <w:rsid w:val="00C90311"/>
    <w:rsid w:val="00C97867"/>
    <w:rsid w:val="00CA043A"/>
    <w:rsid w:val="00CA2710"/>
    <w:rsid w:val="00CA5BAB"/>
    <w:rsid w:val="00CB280D"/>
    <w:rsid w:val="00CB33A3"/>
    <w:rsid w:val="00CB5C12"/>
    <w:rsid w:val="00CC2C7E"/>
    <w:rsid w:val="00CC2ED5"/>
    <w:rsid w:val="00CC4489"/>
    <w:rsid w:val="00CD015F"/>
    <w:rsid w:val="00CE5726"/>
    <w:rsid w:val="00CE6696"/>
    <w:rsid w:val="00CF0C7E"/>
    <w:rsid w:val="00CF1D95"/>
    <w:rsid w:val="00CF7561"/>
    <w:rsid w:val="00D02195"/>
    <w:rsid w:val="00D1012F"/>
    <w:rsid w:val="00D10458"/>
    <w:rsid w:val="00D200D6"/>
    <w:rsid w:val="00D212BD"/>
    <w:rsid w:val="00D2666D"/>
    <w:rsid w:val="00D269F5"/>
    <w:rsid w:val="00D26C39"/>
    <w:rsid w:val="00D3753F"/>
    <w:rsid w:val="00D4093C"/>
    <w:rsid w:val="00D41493"/>
    <w:rsid w:val="00D5294B"/>
    <w:rsid w:val="00D537FC"/>
    <w:rsid w:val="00D635F8"/>
    <w:rsid w:val="00D64EAD"/>
    <w:rsid w:val="00D74F62"/>
    <w:rsid w:val="00D7795F"/>
    <w:rsid w:val="00D80A3E"/>
    <w:rsid w:val="00D85BBB"/>
    <w:rsid w:val="00D862F5"/>
    <w:rsid w:val="00D87934"/>
    <w:rsid w:val="00D91167"/>
    <w:rsid w:val="00D95E18"/>
    <w:rsid w:val="00D978F7"/>
    <w:rsid w:val="00D97AB6"/>
    <w:rsid w:val="00DA1A50"/>
    <w:rsid w:val="00DA35EF"/>
    <w:rsid w:val="00DA5092"/>
    <w:rsid w:val="00DA64B1"/>
    <w:rsid w:val="00DB1596"/>
    <w:rsid w:val="00DB1A84"/>
    <w:rsid w:val="00DB5D71"/>
    <w:rsid w:val="00DB6AA6"/>
    <w:rsid w:val="00DC4119"/>
    <w:rsid w:val="00DC73BC"/>
    <w:rsid w:val="00DD5551"/>
    <w:rsid w:val="00DD6640"/>
    <w:rsid w:val="00DE4C78"/>
    <w:rsid w:val="00DF0442"/>
    <w:rsid w:val="00DF07E9"/>
    <w:rsid w:val="00DF2823"/>
    <w:rsid w:val="00E02469"/>
    <w:rsid w:val="00E03E96"/>
    <w:rsid w:val="00E048C6"/>
    <w:rsid w:val="00E16C49"/>
    <w:rsid w:val="00E178E9"/>
    <w:rsid w:val="00E20D45"/>
    <w:rsid w:val="00E215FF"/>
    <w:rsid w:val="00E2266C"/>
    <w:rsid w:val="00E3747E"/>
    <w:rsid w:val="00E46DF1"/>
    <w:rsid w:val="00E50A99"/>
    <w:rsid w:val="00E65E73"/>
    <w:rsid w:val="00E7005E"/>
    <w:rsid w:val="00E7022C"/>
    <w:rsid w:val="00E92012"/>
    <w:rsid w:val="00E94C93"/>
    <w:rsid w:val="00E96F11"/>
    <w:rsid w:val="00EA017F"/>
    <w:rsid w:val="00EA20A3"/>
    <w:rsid w:val="00EA6400"/>
    <w:rsid w:val="00EA6CAA"/>
    <w:rsid w:val="00EB1498"/>
    <w:rsid w:val="00EB2F38"/>
    <w:rsid w:val="00EB5127"/>
    <w:rsid w:val="00EB60C1"/>
    <w:rsid w:val="00EB7BEC"/>
    <w:rsid w:val="00EC69FE"/>
    <w:rsid w:val="00ED3EC5"/>
    <w:rsid w:val="00ED58A8"/>
    <w:rsid w:val="00EE6D06"/>
    <w:rsid w:val="00EF41A9"/>
    <w:rsid w:val="00F03FFD"/>
    <w:rsid w:val="00F078E9"/>
    <w:rsid w:val="00F1093D"/>
    <w:rsid w:val="00F12EA2"/>
    <w:rsid w:val="00F13692"/>
    <w:rsid w:val="00F17630"/>
    <w:rsid w:val="00F2274B"/>
    <w:rsid w:val="00F22DB6"/>
    <w:rsid w:val="00F26C63"/>
    <w:rsid w:val="00F36471"/>
    <w:rsid w:val="00F410E4"/>
    <w:rsid w:val="00F42F6B"/>
    <w:rsid w:val="00F517C3"/>
    <w:rsid w:val="00F52034"/>
    <w:rsid w:val="00F5378C"/>
    <w:rsid w:val="00F60598"/>
    <w:rsid w:val="00F62F39"/>
    <w:rsid w:val="00F6420B"/>
    <w:rsid w:val="00F65A61"/>
    <w:rsid w:val="00F66F5E"/>
    <w:rsid w:val="00F8600D"/>
    <w:rsid w:val="00F9340C"/>
    <w:rsid w:val="00F939BD"/>
    <w:rsid w:val="00F948E7"/>
    <w:rsid w:val="00FA0BE1"/>
    <w:rsid w:val="00FA18A0"/>
    <w:rsid w:val="00FA66FD"/>
    <w:rsid w:val="00FB61E9"/>
    <w:rsid w:val="00FB798D"/>
    <w:rsid w:val="00FC0B0B"/>
    <w:rsid w:val="00FD1C27"/>
    <w:rsid w:val="00FD3196"/>
    <w:rsid w:val="00FD3566"/>
    <w:rsid w:val="00FD3C5C"/>
    <w:rsid w:val="00FD575B"/>
    <w:rsid w:val="00FE1C00"/>
    <w:rsid w:val="00FE653F"/>
    <w:rsid w:val="00FF1C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81D"/>
    <w:pPr>
      <w:spacing w:after="240"/>
      <w:jc w:val="both"/>
    </w:pPr>
    <w:rPr>
      <w:sz w:val="24"/>
      <w:lang w:eastAsia="en-US"/>
    </w:rPr>
  </w:style>
  <w:style w:type="paragraph" w:styleId="Heading1">
    <w:name w:val="heading 1"/>
    <w:basedOn w:val="Normal"/>
    <w:next w:val="Normal"/>
    <w:qFormat/>
    <w:rsid w:val="0062681D"/>
    <w:pPr>
      <w:keepNext/>
      <w:spacing w:before="360" w:line="280" w:lineRule="exact"/>
      <w:outlineLvl w:val="0"/>
    </w:pPr>
    <w:rPr>
      <w:b/>
      <w:caps/>
      <w:kern w:val="28"/>
      <w:sz w:val="28"/>
    </w:rPr>
  </w:style>
  <w:style w:type="paragraph" w:styleId="Heading2">
    <w:name w:val="heading 2"/>
    <w:basedOn w:val="Normal"/>
    <w:next w:val="Normal"/>
    <w:qFormat/>
    <w:rsid w:val="0062681D"/>
    <w:pPr>
      <w:keepNext/>
      <w:spacing w:before="240" w:after="120" w:line="280" w:lineRule="exact"/>
      <w:outlineLvl w:val="1"/>
    </w:pPr>
    <w:rPr>
      <w:b/>
    </w:rPr>
  </w:style>
  <w:style w:type="paragraph" w:styleId="Heading3">
    <w:name w:val="heading 3"/>
    <w:basedOn w:val="Normal"/>
    <w:next w:val="Normal"/>
    <w:qFormat/>
    <w:rsid w:val="0062681D"/>
    <w:pPr>
      <w:keepNext/>
      <w:spacing w:before="120" w:after="120"/>
      <w:outlineLvl w:val="2"/>
    </w:pPr>
    <w:rPr>
      <w:b/>
      <w:i/>
      <w:iCs/>
    </w:rPr>
  </w:style>
  <w:style w:type="paragraph" w:styleId="Heading4">
    <w:name w:val="heading 4"/>
    <w:basedOn w:val="Normal"/>
    <w:next w:val="Normal"/>
    <w:link w:val="Heading4Char"/>
    <w:qFormat/>
    <w:rsid w:val="0062681D"/>
    <w:pPr>
      <w:keepNext/>
      <w:outlineLvl w:val="3"/>
    </w:pPr>
    <w:rPr>
      <w:i/>
      <w:iCs/>
    </w:rPr>
  </w:style>
  <w:style w:type="paragraph" w:styleId="Heading5">
    <w:name w:val="heading 5"/>
    <w:basedOn w:val="Normal"/>
    <w:next w:val="Normal"/>
    <w:qFormat/>
    <w:rsid w:val="006268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681D"/>
    <w:rPr>
      <w:rFonts w:ascii="Tahoma" w:hAnsi="Tahoma" w:cs="Tahoma"/>
      <w:sz w:val="16"/>
      <w:szCs w:val="16"/>
    </w:rPr>
  </w:style>
  <w:style w:type="character" w:customStyle="1" w:styleId="BalloonTextChar">
    <w:name w:val="Balloon Text Char"/>
    <w:basedOn w:val="DefaultParagraphFont"/>
    <w:link w:val="BalloonText"/>
    <w:rsid w:val="0062681D"/>
    <w:rPr>
      <w:rFonts w:ascii="Tahoma" w:hAnsi="Tahoma" w:cs="Tahoma"/>
      <w:sz w:val="16"/>
      <w:szCs w:val="16"/>
      <w:lang w:eastAsia="en-US"/>
    </w:rPr>
  </w:style>
  <w:style w:type="character" w:styleId="CommentReference">
    <w:name w:val="annotation reference"/>
    <w:basedOn w:val="DefaultParagraphFont"/>
    <w:rsid w:val="0062681D"/>
    <w:rPr>
      <w:sz w:val="16"/>
      <w:szCs w:val="16"/>
    </w:rPr>
  </w:style>
  <w:style w:type="paragraph" w:styleId="CommentText">
    <w:name w:val="annotation text"/>
    <w:basedOn w:val="Normal"/>
    <w:link w:val="CommentTextChar"/>
    <w:uiPriority w:val="99"/>
    <w:rsid w:val="0062681D"/>
    <w:rPr>
      <w:sz w:val="20"/>
    </w:rPr>
  </w:style>
  <w:style w:type="character" w:customStyle="1" w:styleId="CommentTextChar">
    <w:name w:val="Comment Text Char"/>
    <w:basedOn w:val="DefaultParagraphFont"/>
    <w:link w:val="CommentText"/>
    <w:rsid w:val="0062681D"/>
    <w:rPr>
      <w:lang w:eastAsia="en-US"/>
    </w:rPr>
  </w:style>
  <w:style w:type="paragraph" w:styleId="CommentSubject">
    <w:name w:val="annotation subject"/>
    <w:basedOn w:val="CommentText"/>
    <w:next w:val="CommentText"/>
    <w:link w:val="CommentSubjectChar"/>
    <w:rsid w:val="0062681D"/>
    <w:rPr>
      <w:b/>
      <w:bCs/>
    </w:rPr>
  </w:style>
  <w:style w:type="character" w:customStyle="1" w:styleId="CommentSubjectChar">
    <w:name w:val="Comment Subject Char"/>
    <w:basedOn w:val="CommentTextChar"/>
    <w:link w:val="CommentSubject"/>
    <w:rsid w:val="0062681D"/>
    <w:rPr>
      <w:b/>
      <w:bCs/>
    </w:rPr>
  </w:style>
  <w:style w:type="paragraph" w:customStyle="1" w:styleId="Figure">
    <w:name w:val="Figure"/>
    <w:basedOn w:val="Normal"/>
    <w:next w:val="Normal"/>
    <w:rsid w:val="0062681D"/>
    <w:pPr>
      <w:spacing w:before="240" w:after="360"/>
    </w:pPr>
    <w:rPr>
      <w:color w:val="000000"/>
    </w:rPr>
  </w:style>
  <w:style w:type="paragraph" w:customStyle="1" w:styleId="FigureFootnote">
    <w:name w:val="Figure Footnote"/>
    <w:basedOn w:val="Normal"/>
    <w:next w:val="Normal"/>
    <w:semiHidden/>
    <w:rsid w:val="0062681D"/>
    <w:pPr>
      <w:spacing w:before="240" w:after="360"/>
    </w:pPr>
    <w:rPr>
      <w:color w:val="000000"/>
    </w:rPr>
  </w:style>
  <w:style w:type="paragraph" w:customStyle="1" w:styleId="FigureTitle">
    <w:name w:val="Figure Title"/>
    <w:basedOn w:val="Normal"/>
    <w:next w:val="Figure"/>
    <w:semiHidden/>
    <w:rsid w:val="0062681D"/>
    <w:pPr>
      <w:keepNext/>
      <w:spacing w:before="360"/>
    </w:pPr>
    <w:rPr>
      <w:b/>
      <w:color w:val="000000"/>
    </w:rPr>
  </w:style>
  <w:style w:type="paragraph" w:styleId="Footer">
    <w:name w:val="footer"/>
    <w:basedOn w:val="Normal"/>
    <w:link w:val="FooterChar"/>
    <w:rsid w:val="0062681D"/>
    <w:pPr>
      <w:pBdr>
        <w:top w:val="single" w:sz="6" w:space="1" w:color="auto"/>
      </w:pBdr>
      <w:tabs>
        <w:tab w:val="left" w:pos="9923"/>
      </w:tabs>
      <w:spacing w:after="0" w:line="280" w:lineRule="exact"/>
      <w:jc w:val="left"/>
    </w:pPr>
    <w:rPr>
      <w:sz w:val="20"/>
    </w:rPr>
  </w:style>
  <w:style w:type="character" w:customStyle="1" w:styleId="FooterChar">
    <w:name w:val="Footer Char"/>
    <w:basedOn w:val="DefaultParagraphFont"/>
    <w:link w:val="Footer"/>
    <w:rsid w:val="0062681D"/>
    <w:rPr>
      <w:lang w:eastAsia="en-US"/>
    </w:rPr>
  </w:style>
  <w:style w:type="character" w:styleId="FootnoteReference">
    <w:name w:val="footnote reference"/>
    <w:basedOn w:val="DefaultParagraphFont"/>
    <w:rsid w:val="0062681D"/>
    <w:rPr>
      <w:sz w:val="24"/>
      <w:vertAlign w:val="superscript"/>
    </w:rPr>
  </w:style>
  <w:style w:type="paragraph" w:styleId="Header">
    <w:name w:val="header"/>
    <w:basedOn w:val="Normal"/>
    <w:link w:val="HeaderChar"/>
    <w:rsid w:val="0062681D"/>
    <w:pPr>
      <w:tabs>
        <w:tab w:val="center" w:pos="4153"/>
        <w:tab w:val="right" w:pos="8306"/>
      </w:tabs>
    </w:pPr>
  </w:style>
  <w:style w:type="character" w:customStyle="1" w:styleId="HeaderChar">
    <w:name w:val="Header Char"/>
    <w:basedOn w:val="DefaultParagraphFont"/>
    <w:link w:val="Header"/>
    <w:rsid w:val="0062681D"/>
    <w:rPr>
      <w:sz w:val="24"/>
      <w:lang w:eastAsia="en-US"/>
    </w:rPr>
  </w:style>
  <w:style w:type="character" w:styleId="Hyperlink">
    <w:name w:val="Hyperlink"/>
    <w:basedOn w:val="DefaultParagraphFont"/>
    <w:uiPriority w:val="99"/>
    <w:rsid w:val="0062681D"/>
    <w:rPr>
      <w:color w:val="auto"/>
      <w:u w:val="none"/>
    </w:rPr>
  </w:style>
  <w:style w:type="paragraph" w:styleId="ListBullet">
    <w:name w:val="List Bullet"/>
    <w:basedOn w:val="Normal"/>
    <w:rsid w:val="0062681D"/>
    <w:pPr>
      <w:numPr>
        <w:numId w:val="6"/>
      </w:numPr>
    </w:pPr>
  </w:style>
  <w:style w:type="paragraph" w:styleId="ListNumber">
    <w:name w:val="List Number"/>
    <w:basedOn w:val="Normal"/>
    <w:rsid w:val="0062681D"/>
    <w:pPr>
      <w:numPr>
        <w:numId w:val="7"/>
      </w:numPr>
    </w:pPr>
  </w:style>
  <w:style w:type="character" w:styleId="PageNumber">
    <w:name w:val="page number"/>
    <w:basedOn w:val="DefaultParagraphFont"/>
    <w:rsid w:val="0062681D"/>
  </w:style>
  <w:style w:type="paragraph" w:customStyle="1" w:styleId="PINormal">
    <w:name w:val="PI Normal"/>
    <w:basedOn w:val="Normal"/>
    <w:uiPriority w:val="6"/>
    <w:qFormat/>
    <w:rsid w:val="0062681D"/>
  </w:style>
  <w:style w:type="paragraph" w:customStyle="1" w:styleId="PIBulletList">
    <w:name w:val="PI Bullet List"/>
    <w:basedOn w:val="PINormal"/>
    <w:qFormat/>
    <w:rsid w:val="0062681D"/>
    <w:pPr>
      <w:numPr>
        <w:numId w:val="8"/>
      </w:numPr>
      <w:spacing w:before="20" w:after="20"/>
    </w:pPr>
  </w:style>
  <w:style w:type="paragraph" w:customStyle="1" w:styleId="PIFigure">
    <w:name w:val="PI Figure"/>
    <w:basedOn w:val="Figure"/>
    <w:uiPriority w:val="7"/>
    <w:qFormat/>
    <w:rsid w:val="0062681D"/>
  </w:style>
  <w:style w:type="paragraph" w:customStyle="1" w:styleId="PIFooter">
    <w:name w:val="PI Footer"/>
    <w:basedOn w:val="Footer"/>
    <w:uiPriority w:val="7"/>
    <w:qFormat/>
    <w:rsid w:val="0062681D"/>
    <w:pPr>
      <w:tabs>
        <w:tab w:val="clear" w:pos="9923"/>
        <w:tab w:val="right" w:pos="8800"/>
      </w:tabs>
      <w:spacing w:line="240" w:lineRule="auto"/>
    </w:pPr>
  </w:style>
  <w:style w:type="paragraph" w:customStyle="1" w:styleId="PIHeading1">
    <w:name w:val="PI Heading 1"/>
    <w:basedOn w:val="Heading1"/>
    <w:uiPriority w:val="2"/>
    <w:qFormat/>
    <w:rsid w:val="0062681D"/>
  </w:style>
  <w:style w:type="paragraph" w:customStyle="1" w:styleId="PIHeading2">
    <w:name w:val="PI Heading 2"/>
    <w:basedOn w:val="Heading2"/>
    <w:uiPriority w:val="3"/>
    <w:qFormat/>
    <w:rsid w:val="0062681D"/>
  </w:style>
  <w:style w:type="paragraph" w:customStyle="1" w:styleId="PIHeading3">
    <w:name w:val="PI Heading 3"/>
    <w:basedOn w:val="Heading3"/>
    <w:uiPriority w:val="4"/>
    <w:qFormat/>
    <w:rsid w:val="0062681D"/>
  </w:style>
  <w:style w:type="paragraph" w:customStyle="1" w:styleId="PIHeading4">
    <w:name w:val="PI Heading 4"/>
    <w:basedOn w:val="Heading4"/>
    <w:uiPriority w:val="5"/>
    <w:qFormat/>
    <w:rsid w:val="0062681D"/>
    <w:pPr>
      <w:spacing w:before="120" w:after="120"/>
    </w:pPr>
  </w:style>
  <w:style w:type="paragraph" w:styleId="Subtitle">
    <w:name w:val="Subtitle"/>
    <w:basedOn w:val="Normal"/>
    <w:link w:val="SubtitleChar"/>
    <w:qFormat/>
    <w:rsid w:val="0062681D"/>
    <w:pPr>
      <w:spacing w:after="60"/>
      <w:outlineLvl w:val="1"/>
    </w:pPr>
    <w:rPr>
      <w:b/>
      <w:sz w:val="32"/>
    </w:rPr>
  </w:style>
  <w:style w:type="character" w:customStyle="1" w:styleId="SubtitleChar">
    <w:name w:val="Subtitle Char"/>
    <w:basedOn w:val="DefaultParagraphFont"/>
    <w:link w:val="Subtitle"/>
    <w:rsid w:val="0062681D"/>
    <w:rPr>
      <w:b/>
      <w:sz w:val="32"/>
      <w:lang w:eastAsia="en-US"/>
    </w:rPr>
  </w:style>
  <w:style w:type="paragraph" w:customStyle="1" w:styleId="PISubtitle">
    <w:name w:val="PI Subtitle"/>
    <w:basedOn w:val="Subtitle"/>
    <w:uiPriority w:val="1"/>
    <w:qFormat/>
    <w:rsid w:val="0062681D"/>
  </w:style>
  <w:style w:type="paragraph" w:customStyle="1" w:styleId="TableFootnote">
    <w:name w:val="Table Footnote"/>
    <w:basedOn w:val="FigureFootnote"/>
    <w:next w:val="Normal"/>
    <w:semiHidden/>
    <w:rsid w:val="0062681D"/>
    <w:pPr>
      <w:spacing w:before="0" w:after="0"/>
      <w:jc w:val="left"/>
    </w:pPr>
    <w:rPr>
      <w:sz w:val="20"/>
      <w:szCs w:val="24"/>
    </w:rPr>
  </w:style>
  <w:style w:type="paragraph" w:customStyle="1" w:styleId="PITableFootnote">
    <w:name w:val="PI Table Footnote"/>
    <w:basedOn w:val="TableFootnote"/>
    <w:uiPriority w:val="7"/>
    <w:qFormat/>
    <w:rsid w:val="0062681D"/>
    <w:pPr>
      <w:spacing w:before="40"/>
    </w:pPr>
  </w:style>
  <w:style w:type="paragraph" w:customStyle="1" w:styleId="TableSpace">
    <w:name w:val="Table Space"/>
    <w:basedOn w:val="Figure"/>
    <w:next w:val="Normal"/>
    <w:semiHidden/>
    <w:rsid w:val="0062681D"/>
    <w:pPr>
      <w:spacing w:before="0" w:after="480"/>
      <w:jc w:val="left"/>
    </w:pPr>
    <w:rPr>
      <w:szCs w:val="24"/>
    </w:rPr>
  </w:style>
  <w:style w:type="paragraph" w:customStyle="1" w:styleId="PITableSpaceListSpace">
    <w:name w:val="PI Table Space/List Space"/>
    <w:basedOn w:val="TableSpace"/>
    <w:uiPriority w:val="7"/>
    <w:qFormat/>
    <w:rsid w:val="0062681D"/>
    <w:pPr>
      <w:spacing w:after="120"/>
    </w:pPr>
  </w:style>
  <w:style w:type="paragraph" w:customStyle="1" w:styleId="TableText">
    <w:name w:val="Table Text"/>
    <w:basedOn w:val="Figure"/>
    <w:link w:val="TableTextChar"/>
    <w:rsid w:val="0062681D"/>
    <w:pPr>
      <w:spacing w:before="0" w:after="0"/>
      <w:jc w:val="left"/>
    </w:pPr>
    <w:rPr>
      <w:snapToGrid w:val="0"/>
      <w:szCs w:val="24"/>
    </w:rPr>
  </w:style>
  <w:style w:type="paragraph" w:customStyle="1" w:styleId="PITableTextListText">
    <w:name w:val="PI Table Text/List Text"/>
    <w:basedOn w:val="TableText"/>
    <w:uiPriority w:val="7"/>
    <w:qFormat/>
    <w:rsid w:val="0062681D"/>
    <w:pPr>
      <w:spacing w:before="20" w:after="20"/>
    </w:pPr>
  </w:style>
  <w:style w:type="paragraph" w:customStyle="1" w:styleId="TableTitle">
    <w:name w:val="Table Title"/>
    <w:basedOn w:val="FigureTitle"/>
    <w:next w:val="TableText"/>
    <w:semiHidden/>
    <w:rsid w:val="0062681D"/>
    <w:pPr>
      <w:spacing w:after="0"/>
      <w:jc w:val="left"/>
    </w:pPr>
    <w:rPr>
      <w:szCs w:val="24"/>
    </w:rPr>
  </w:style>
  <w:style w:type="paragraph" w:customStyle="1" w:styleId="PITableTitle">
    <w:name w:val="PI Table Title"/>
    <w:basedOn w:val="TableTitle"/>
    <w:uiPriority w:val="7"/>
    <w:qFormat/>
    <w:rsid w:val="0062681D"/>
    <w:pPr>
      <w:keepLines/>
      <w:spacing w:before="120"/>
    </w:pPr>
  </w:style>
  <w:style w:type="paragraph" w:styleId="Title">
    <w:name w:val="Title"/>
    <w:basedOn w:val="Normal"/>
    <w:link w:val="TitleChar"/>
    <w:qFormat/>
    <w:rsid w:val="0062681D"/>
    <w:pPr>
      <w:spacing w:before="240" w:after="60"/>
      <w:outlineLvl w:val="0"/>
    </w:pPr>
    <w:rPr>
      <w:b/>
      <w:kern w:val="28"/>
      <w:sz w:val="40"/>
    </w:rPr>
  </w:style>
  <w:style w:type="character" w:customStyle="1" w:styleId="TitleChar">
    <w:name w:val="Title Char"/>
    <w:basedOn w:val="DefaultParagraphFont"/>
    <w:link w:val="Title"/>
    <w:rsid w:val="0062681D"/>
    <w:rPr>
      <w:b/>
      <w:kern w:val="28"/>
      <w:sz w:val="40"/>
      <w:lang w:eastAsia="en-US"/>
    </w:rPr>
  </w:style>
  <w:style w:type="paragraph" w:customStyle="1" w:styleId="PITITLE">
    <w:name w:val="PI TITLE"/>
    <w:basedOn w:val="Title"/>
    <w:qFormat/>
    <w:rsid w:val="0062681D"/>
  </w:style>
  <w:style w:type="table" w:styleId="TableGrid">
    <w:name w:val="Table Grid"/>
    <w:basedOn w:val="TableNormal"/>
    <w:rsid w:val="00626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0">
    <w:name w:val="Table Heading"/>
    <w:basedOn w:val="TableText"/>
    <w:semiHidden/>
    <w:rsid w:val="0062681D"/>
    <w:pPr>
      <w:keepNext/>
    </w:pPr>
    <w:rPr>
      <w:b/>
      <w:bCs/>
    </w:rPr>
  </w:style>
  <w:style w:type="paragraph" w:customStyle="1" w:styleId="TableTitleCont">
    <w:name w:val="Table Title Cont"/>
    <w:basedOn w:val="TableTitle"/>
    <w:next w:val="TableText"/>
    <w:semiHidden/>
    <w:rsid w:val="0062681D"/>
    <w:pPr>
      <w:spacing w:before="0"/>
    </w:pPr>
    <w:rPr>
      <w:b w:val="0"/>
    </w:rPr>
  </w:style>
  <w:style w:type="paragraph" w:customStyle="1" w:styleId="Paragraph">
    <w:name w:val="Paragraph"/>
    <w:link w:val="ParagraphChar"/>
    <w:autoRedefine/>
    <w:rsid w:val="00731A50"/>
    <w:pPr>
      <w:spacing w:before="120" w:after="120"/>
    </w:pPr>
    <w:rPr>
      <w:rFonts w:eastAsia="MS Mincho"/>
      <w:color w:val="000000"/>
      <w:sz w:val="24"/>
      <w:szCs w:val="24"/>
      <w:lang w:val="en-US" w:eastAsia="en-US"/>
    </w:rPr>
  </w:style>
  <w:style w:type="character" w:customStyle="1" w:styleId="BlueText">
    <w:name w:val="Blue Text"/>
    <w:basedOn w:val="DefaultParagraphFont"/>
    <w:rsid w:val="00731A50"/>
    <w:rPr>
      <w:color w:val="0000FF"/>
    </w:rPr>
  </w:style>
  <w:style w:type="character" w:customStyle="1" w:styleId="ParagraphChar">
    <w:name w:val="Paragraph Char"/>
    <w:basedOn w:val="DefaultParagraphFont"/>
    <w:link w:val="Paragraph"/>
    <w:rsid w:val="00731A50"/>
    <w:rPr>
      <w:rFonts w:eastAsia="MS Mincho"/>
      <w:color w:val="000000"/>
      <w:sz w:val="24"/>
      <w:szCs w:val="24"/>
      <w:lang w:val="en-US" w:eastAsia="en-US" w:bidi="ar-SA"/>
    </w:rPr>
  </w:style>
  <w:style w:type="paragraph" w:customStyle="1" w:styleId="superscript">
    <w:name w:val="superscript"/>
    <w:basedOn w:val="Paragraph"/>
    <w:link w:val="superscriptChar"/>
    <w:autoRedefine/>
    <w:rsid w:val="00731A50"/>
    <w:rPr>
      <w:vertAlign w:val="superscript"/>
    </w:rPr>
  </w:style>
  <w:style w:type="character" w:customStyle="1" w:styleId="superscriptChar">
    <w:name w:val="superscript Char"/>
    <w:basedOn w:val="ParagraphChar"/>
    <w:link w:val="superscript"/>
    <w:rsid w:val="00731A50"/>
    <w:rPr>
      <w:vertAlign w:val="superscript"/>
    </w:rPr>
  </w:style>
  <w:style w:type="paragraph" w:customStyle="1" w:styleId="paragraph0">
    <w:name w:val="paragraph"/>
    <w:basedOn w:val="Normal"/>
    <w:link w:val="paragraphChar0"/>
    <w:rsid w:val="00955E31"/>
    <w:pPr>
      <w:spacing w:before="120" w:after="120"/>
      <w:jc w:val="left"/>
    </w:pPr>
    <w:rPr>
      <w:rFonts w:eastAsia="Calibri"/>
      <w:color w:val="000000"/>
      <w:szCs w:val="24"/>
      <w:lang w:val="en-US"/>
    </w:rPr>
  </w:style>
  <w:style w:type="paragraph" w:styleId="FootnoteText">
    <w:name w:val="footnote text"/>
    <w:link w:val="FootnoteTextChar"/>
    <w:uiPriority w:val="99"/>
    <w:rsid w:val="001D53AD"/>
    <w:pPr>
      <w:spacing w:after="120"/>
      <w:ind w:firstLine="461"/>
    </w:pPr>
    <w:rPr>
      <w:lang w:val="en-US" w:eastAsia="en-US"/>
    </w:rPr>
  </w:style>
  <w:style w:type="character" w:customStyle="1" w:styleId="FootnoteTextChar">
    <w:name w:val="Footnote Text Char"/>
    <w:basedOn w:val="DefaultParagraphFont"/>
    <w:link w:val="FootnoteText"/>
    <w:uiPriority w:val="99"/>
    <w:rsid w:val="001D53AD"/>
    <w:rPr>
      <w:lang w:val="en-US" w:eastAsia="en-US" w:bidi="ar-SA"/>
    </w:rPr>
  </w:style>
  <w:style w:type="paragraph" w:customStyle="1" w:styleId="TableText0">
    <w:name w:val="TableText"/>
    <w:link w:val="TableTextChar0"/>
    <w:rsid w:val="001D53AD"/>
    <w:rPr>
      <w:rFonts w:cs="Arial"/>
      <w:lang w:val="en-US" w:eastAsia="en-US"/>
    </w:rPr>
  </w:style>
  <w:style w:type="paragraph" w:customStyle="1" w:styleId="tableheading">
    <w:name w:val="table heading"/>
    <w:basedOn w:val="Normal"/>
    <w:autoRedefine/>
    <w:rsid w:val="001D53AD"/>
    <w:pPr>
      <w:numPr>
        <w:numId w:val="9"/>
      </w:numPr>
      <w:tabs>
        <w:tab w:val="left" w:pos="972"/>
      </w:tabs>
      <w:spacing w:before="120" w:after="120"/>
      <w:ind w:left="972" w:hanging="972"/>
      <w:jc w:val="left"/>
    </w:pPr>
    <w:rPr>
      <w:rFonts w:ascii="Times New Roman Bold" w:hAnsi="Times New Roman Bold"/>
      <w:b/>
      <w:lang w:val="en-US"/>
    </w:rPr>
  </w:style>
  <w:style w:type="character" w:customStyle="1" w:styleId="TableTextChar">
    <w:name w:val="Table Text Char"/>
    <w:basedOn w:val="DefaultParagraphFont"/>
    <w:link w:val="TableText"/>
    <w:rsid w:val="001D53AD"/>
    <w:rPr>
      <w:snapToGrid w:val="0"/>
      <w:color w:val="000000"/>
      <w:sz w:val="24"/>
      <w:szCs w:val="24"/>
      <w:lang w:eastAsia="en-US"/>
    </w:rPr>
  </w:style>
  <w:style w:type="character" w:customStyle="1" w:styleId="TableTextChar0">
    <w:name w:val="TableText Char"/>
    <w:basedOn w:val="DefaultParagraphFont"/>
    <w:link w:val="TableText0"/>
    <w:rsid w:val="001D53AD"/>
    <w:rPr>
      <w:rFonts w:cs="Arial"/>
      <w:lang w:val="en-US" w:eastAsia="en-US" w:bidi="ar-SA"/>
    </w:rPr>
  </w:style>
  <w:style w:type="paragraph" w:customStyle="1" w:styleId="tableheader">
    <w:name w:val="table header"/>
    <w:basedOn w:val="Normal"/>
    <w:rsid w:val="00DA5092"/>
    <w:pPr>
      <w:tabs>
        <w:tab w:val="num" w:pos="576"/>
      </w:tabs>
      <w:overflowPunct w:val="0"/>
      <w:autoSpaceDE w:val="0"/>
      <w:autoSpaceDN w:val="0"/>
      <w:adjustRightInd w:val="0"/>
      <w:spacing w:after="0"/>
      <w:ind w:left="576" w:hanging="576"/>
      <w:jc w:val="left"/>
      <w:textAlignment w:val="baseline"/>
    </w:pPr>
    <w:rPr>
      <w:szCs w:val="24"/>
      <w:lang w:val="en-US"/>
    </w:rPr>
  </w:style>
  <w:style w:type="paragraph" w:styleId="Revision">
    <w:name w:val="Revision"/>
    <w:hidden/>
    <w:uiPriority w:val="99"/>
    <w:semiHidden/>
    <w:rsid w:val="00CD015F"/>
    <w:rPr>
      <w:sz w:val="24"/>
      <w:lang w:eastAsia="en-US"/>
    </w:rPr>
  </w:style>
  <w:style w:type="character" w:customStyle="1" w:styleId="Italics">
    <w:name w:val="Italics"/>
    <w:rsid w:val="004B4B77"/>
    <w:rPr>
      <w:i/>
      <w:iCs/>
    </w:rPr>
  </w:style>
  <w:style w:type="character" w:customStyle="1" w:styleId="Instructions">
    <w:name w:val="Instructions"/>
    <w:rsid w:val="000F2F6B"/>
    <w:rPr>
      <w:i/>
      <w:iCs/>
      <w:color w:val="008000"/>
    </w:rPr>
  </w:style>
  <w:style w:type="paragraph" w:styleId="EndnoteText">
    <w:name w:val="endnote text"/>
    <w:link w:val="EndnoteTextChar"/>
    <w:rsid w:val="00E16C49"/>
    <w:pPr>
      <w:spacing w:after="240"/>
      <w:ind w:left="461" w:right="1440" w:hanging="461"/>
    </w:pPr>
    <w:rPr>
      <w:sz w:val="24"/>
      <w:lang w:val="en-US" w:eastAsia="en-US"/>
    </w:rPr>
  </w:style>
  <w:style w:type="character" w:customStyle="1" w:styleId="EndnoteTextChar">
    <w:name w:val="Endnote Text Char"/>
    <w:basedOn w:val="DefaultParagraphFont"/>
    <w:link w:val="EndnoteText"/>
    <w:rsid w:val="00E16C49"/>
    <w:rPr>
      <w:sz w:val="24"/>
      <w:lang w:val="en-US" w:eastAsia="en-US" w:bidi="ar-SA"/>
    </w:rPr>
  </w:style>
  <w:style w:type="character" w:customStyle="1" w:styleId="TableText9">
    <w:name w:val="TableText 9"/>
    <w:basedOn w:val="DefaultParagraphFont"/>
    <w:rsid w:val="00E16C49"/>
    <w:rPr>
      <w:rFonts w:ascii="Times New Roman" w:hAnsi="Times New Roman"/>
      <w:sz w:val="18"/>
    </w:rPr>
  </w:style>
  <w:style w:type="character" w:customStyle="1" w:styleId="paragraphChar0">
    <w:name w:val="paragraph Char"/>
    <w:basedOn w:val="DefaultParagraphFont"/>
    <w:link w:val="paragraph0"/>
    <w:rsid w:val="00E16C49"/>
    <w:rPr>
      <w:rFonts w:eastAsia="Calibri"/>
      <w:color w:val="000000"/>
      <w:sz w:val="24"/>
      <w:szCs w:val="24"/>
      <w:lang w:val="en-US" w:eastAsia="en-US"/>
    </w:rPr>
  </w:style>
  <w:style w:type="character" w:customStyle="1" w:styleId="bluetext0">
    <w:name w:val="bluetext"/>
    <w:basedOn w:val="DefaultParagraphFont"/>
    <w:rsid w:val="00E20D45"/>
    <w:rPr>
      <w:color w:val="0000FF"/>
    </w:rPr>
  </w:style>
  <w:style w:type="paragraph" w:customStyle="1" w:styleId="TableTextColHeadSpace">
    <w:name w:val="TableText Col Head Space"/>
    <w:next w:val="Normal"/>
    <w:rsid w:val="00E96F11"/>
    <w:pPr>
      <w:spacing w:before="60" w:after="60"/>
      <w:jc w:val="center"/>
    </w:pPr>
    <w:rPr>
      <w:rFonts w:ascii="Times New Roman Bold" w:eastAsia="MS Mincho" w:hAnsi="Times New Roman Bold"/>
      <w:b/>
      <w:lang w:val="en-US" w:eastAsia="en-US"/>
    </w:rPr>
  </w:style>
  <w:style w:type="paragraph" w:styleId="Caption">
    <w:name w:val="caption"/>
    <w:basedOn w:val="Normal"/>
    <w:next w:val="Normal"/>
    <w:qFormat/>
    <w:rsid w:val="00E96F11"/>
    <w:pPr>
      <w:tabs>
        <w:tab w:val="left" w:pos="567"/>
      </w:tabs>
      <w:spacing w:after="0" w:line="260" w:lineRule="exact"/>
      <w:jc w:val="left"/>
    </w:pPr>
    <w:rPr>
      <w:rFonts w:eastAsia="MS Mincho"/>
      <w:b/>
      <w:bCs/>
      <w:sz w:val="20"/>
      <w:lang w:val="en-GB"/>
    </w:rPr>
  </w:style>
  <w:style w:type="paragraph" w:styleId="TOCHeading">
    <w:name w:val="TOC Heading"/>
    <w:basedOn w:val="Heading1"/>
    <w:next w:val="Normal"/>
    <w:uiPriority w:val="39"/>
    <w:semiHidden/>
    <w:unhideWhenUsed/>
    <w:qFormat/>
    <w:rsid w:val="008042A0"/>
    <w:pPr>
      <w:keepLines/>
      <w:spacing w:before="480" w:after="0" w:line="276" w:lineRule="auto"/>
      <w:jc w:val="left"/>
      <w:outlineLvl w:val="9"/>
    </w:pPr>
    <w:rPr>
      <w:rFonts w:ascii="Cambria" w:hAnsi="Cambria"/>
      <w:bCs/>
      <w:caps w:val="0"/>
      <w:color w:val="365F91"/>
      <w:kern w:val="0"/>
      <w:szCs w:val="28"/>
      <w:lang w:val="en-US"/>
    </w:rPr>
  </w:style>
  <w:style w:type="paragraph" w:styleId="TOC1">
    <w:name w:val="toc 1"/>
    <w:basedOn w:val="Normal"/>
    <w:next w:val="Normal"/>
    <w:autoRedefine/>
    <w:uiPriority w:val="39"/>
    <w:rsid w:val="008042A0"/>
  </w:style>
  <w:style w:type="paragraph" w:styleId="TOC2">
    <w:name w:val="toc 2"/>
    <w:basedOn w:val="Normal"/>
    <w:next w:val="Normal"/>
    <w:autoRedefine/>
    <w:uiPriority w:val="39"/>
    <w:rsid w:val="008042A0"/>
    <w:pPr>
      <w:ind w:left="240"/>
    </w:pPr>
  </w:style>
  <w:style w:type="paragraph" w:styleId="TOC3">
    <w:name w:val="toc 3"/>
    <w:basedOn w:val="Normal"/>
    <w:next w:val="Normal"/>
    <w:autoRedefine/>
    <w:uiPriority w:val="39"/>
    <w:rsid w:val="008042A0"/>
    <w:pPr>
      <w:ind w:left="480"/>
    </w:pPr>
  </w:style>
  <w:style w:type="paragraph" w:customStyle="1" w:styleId="TableTextColHead">
    <w:name w:val="TableText Col Head"/>
    <w:next w:val="Normal"/>
    <w:rsid w:val="00F66F5E"/>
    <w:pPr>
      <w:jc w:val="center"/>
    </w:pPr>
    <w:rPr>
      <w:rFonts w:ascii="Times New Roman Bold" w:hAnsi="Times New Roman Bold"/>
      <w:b/>
      <w:lang w:val="en-US" w:eastAsia="en-US"/>
    </w:rPr>
  </w:style>
  <w:style w:type="paragraph" w:customStyle="1" w:styleId="BodyText8point">
    <w:name w:val="Body Text 8 point"/>
    <w:basedOn w:val="BalloonText"/>
    <w:next w:val="TableTitle"/>
    <w:link w:val="BodyText8pointChar"/>
    <w:rsid w:val="00AE3C85"/>
    <w:pPr>
      <w:tabs>
        <w:tab w:val="left" w:pos="288"/>
      </w:tabs>
      <w:spacing w:after="120"/>
      <w:jc w:val="left"/>
    </w:pPr>
    <w:rPr>
      <w:rFonts w:ascii="Times New Roman" w:hAnsi="Times New Roman" w:cs="Times New Roman"/>
      <w:szCs w:val="20"/>
      <w:lang w:val="en-US"/>
    </w:rPr>
  </w:style>
  <w:style w:type="character" w:customStyle="1" w:styleId="BodyText8pointChar">
    <w:name w:val="Body Text 8 point Char"/>
    <w:basedOn w:val="DefaultParagraphFont"/>
    <w:link w:val="BodyText8point"/>
    <w:rsid w:val="00AE3C85"/>
    <w:rPr>
      <w:sz w:val="16"/>
      <w:lang w:val="en-US" w:eastAsia="en-US"/>
    </w:rPr>
  </w:style>
  <w:style w:type="paragraph" w:styleId="BodyText">
    <w:name w:val="Body Text"/>
    <w:basedOn w:val="Normal"/>
    <w:link w:val="BodyTextChar"/>
    <w:rsid w:val="00AE3C85"/>
    <w:pPr>
      <w:spacing w:after="120"/>
    </w:pPr>
  </w:style>
  <w:style w:type="character" w:customStyle="1" w:styleId="BodyTextChar">
    <w:name w:val="Body Text Char"/>
    <w:basedOn w:val="DefaultParagraphFont"/>
    <w:link w:val="BodyText"/>
    <w:rsid w:val="00AE3C85"/>
    <w:rPr>
      <w:sz w:val="24"/>
      <w:lang w:eastAsia="en-US"/>
    </w:rPr>
  </w:style>
  <w:style w:type="paragraph" w:styleId="ListNumber2">
    <w:name w:val="List Number 2"/>
    <w:basedOn w:val="Normal"/>
    <w:rsid w:val="008A2316"/>
    <w:pPr>
      <w:numPr>
        <w:numId w:val="11"/>
      </w:numPr>
      <w:contextualSpacing/>
    </w:pPr>
  </w:style>
  <w:style w:type="character" w:customStyle="1" w:styleId="Heading4Char">
    <w:name w:val="Heading 4 Char"/>
    <w:basedOn w:val="DefaultParagraphFont"/>
    <w:link w:val="Heading4"/>
    <w:uiPriority w:val="99"/>
    <w:locked/>
    <w:rsid w:val="004A6B7E"/>
    <w:rPr>
      <w:i/>
      <w:iCs/>
      <w:sz w:val="24"/>
      <w:lang w:val="en-AU"/>
    </w:rPr>
  </w:style>
  <w:style w:type="character" w:customStyle="1" w:styleId="CommentTextChar1">
    <w:name w:val="Comment Text Char1"/>
    <w:uiPriority w:val="99"/>
    <w:semiHidden/>
    <w:locked/>
    <w:rsid w:val="004A6B7E"/>
    <w:rPr>
      <w:rFonts w:cs="Times New Roman"/>
      <w:lang w:val="en-US" w:eastAsia="en-US" w:bidi="ar-SA"/>
    </w:rPr>
  </w:style>
</w:styles>
</file>

<file path=word/webSettings.xml><?xml version="1.0" encoding="utf-8"?>
<w:webSettings xmlns:r="http://schemas.openxmlformats.org/officeDocument/2006/relationships" xmlns:w="http://schemas.openxmlformats.org/wordprocessingml/2006/main">
  <w:divs>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oducts\Axitinib\Additional_Information\10.%20Draft%20PI%20and%20CMI\110228%20Axitinib%20Draft%20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570E-974E-43D4-8DF2-D98D804B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110228 Axitinib Draft PI.dotx</Template>
  <TotalTime>13</TotalTime>
  <Pages>16</Pages>
  <Words>5661</Words>
  <Characters>33130</Characters>
  <Application>Microsoft Office Word</Application>
  <DocSecurity>0</DocSecurity>
  <Lines>613</Lines>
  <Paragraphs>334</Paragraphs>
  <ScaleCrop>false</ScaleCrop>
  <HeadingPairs>
    <vt:vector size="2" baseType="variant">
      <vt:variant>
        <vt:lpstr>Title</vt:lpstr>
      </vt:variant>
      <vt:variant>
        <vt:i4>1</vt:i4>
      </vt:variant>
    </vt:vector>
  </HeadingPairs>
  <TitlesOfParts>
    <vt:vector size="1" baseType="lpstr">
      <vt:lpstr>Attachment 1: Product Information for Inlyta (axitinib)</vt:lpstr>
    </vt:vector>
  </TitlesOfParts>
  <Company>Pfizer Inc</Company>
  <LinksUpToDate>false</LinksUpToDate>
  <CharactersWithSpaces>38457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Inlyta (axitinib)</dc:title>
  <dc:subject>prescription medicine regulation</dc:subject>
  <dc:creator>Pfizer Australia Pty Ltd</dc:creator>
  <cp:keywords>product information, pi, prescription, medicine, regulation, australia, inlyta, axitinib</cp:keywords>
  <cp:lastModifiedBy>Sheppard, Fran</cp:lastModifiedBy>
  <cp:revision>7</cp:revision>
  <cp:lastPrinted>2012-06-20T02:56:00Z</cp:lastPrinted>
  <dcterms:created xsi:type="dcterms:W3CDTF">2013-05-01T03:45:00Z</dcterms:created>
  <dcterms:modified xsi:type="dcterms:W3CDTF">2013-08-27T06:34:00Z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0x010100DE2FBA8B4608934A9116EAC92E622F74</vt:lpwstr>
  </property>
  <property fmtid="{D5CDD505-2E9C-101B-9397-08002B2CF9AE}" pid="3" name="Confirmation of Learning">
    <vt:lpwstr/>
  </property>
  <property fmtid="{D5CDD505-2E9C-101B-9397-08002B2CF9AE}" pid="4" name="Subcategory1">
    <vt:lpwstr/>
  </property>
  <property fmtid="{D5CDD505-2E9C-101B-9397-08002B2CF9AE}" pid="5" name="Group">
    <vt:lpwstr>Regulatory Affairs</vt:lpwstr>
  </property>
  <property fmtid="{D5CDD505-2E9C-101B-9397-08002B2CF9AE}" pid="6" name="Category">
    <vt:lpwstr>LPDs &amp; CMIs</vt:lpwstr>
  </property>
</Properties>
</file>