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99153" w14:textId="77777777" w:rsidR="007F7F2E" w:rsidRPr="00AA048B" w:rsidRDefault="007F7F2E" w:rsidP="00AA048B">
      <w:pPr>
        <w:jc w:val="center"/>
        <w:rPr>
          <w:rFonts w:ascii="Verdana" w:hAnsi="Verdana"/>
          <w:b/>
          <w:szCs w:val="20"/>
        </w:rPr>
      </w:pPr>
      <w:r w:rsidRPr="00AA048B">
        <w:rPr>
          <w:rFonts w:ascii="Verdana" w:hAnsi="Verdana"/>
          <w:b/>
          <w:szCs w:val="20"/>
        </w:rPr>
        <w:t xml:space="preserve">BAVENCIO 200 mg per 10 </w:t>
      </w:r>
      <w:r w:rsidR="00AA048B">
        <w:rPr>
          <w:rFonts w:ascii="Verdana" w:hAnsi="Verdana"/>
          <w:b/>
          <w:szCs w:val="20"/>
        </w:rPr>
        <w:t>mL concentrated solution for</w:t>
      </w:r>
      <w:r w:rsidRPr="00AA048B">
        <w:rPr>
          <w:rFonts w:ascii="Verdana" w:hAnsi="Verdana"/>
          <w:b/>
          <w:szCs w:val="20"/>
        </w:rPr>
        <w:t xml:space="preserve"> infusion</w:t>
      </w:r>
    </w:p>
    <w:p w14:paraId="41A9060D" w14:textId="77777777" w:rsidR="00375DF3" w:rsidRPr="00F34B68" w:rsidRDefault="00375DF3" w:rsidP="006018AE">
      <w:pPr>
        <w:tabs>
          <w:tab w:val="left" w:pos="284"/>
        </w:tabs>
        <w:spacing w:after="480" w:line="240" w:lineRule="auto"/>
        <w:rPr>
          <w:rFonts w:ascii="Verdana" w:hAnsi="Verdana"/>
        </w:rPr>
      </w:pPr>
      <w:r>
        <w:rPr>
          <w:noProof/>
          <w:lang w:eastAsia="en-AU"/>
        </w:rPr>
        <mc:AlternateContent>
          <mc:Choice Requires="wps">
            <w:drawing>
              <wp:inline distT="0" distB="0" distL="0" distR="0" wp14:anchorId="303D2A7D" wp14:editId="3593DC0C">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3EF53" w14:textId="77777777" w:rsidR="006D355D" w:rsidRPr="00BE2A26" w:rsidRDefault="006D355D"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4173EF53" w14:textId="77777777" w:rsidR="006D355D" w:rsidRPr="00BE2A26" w:rsidRDefault="006D355D"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F34B68">
        <w:rPr>
          <w:rFonts w:ascii="Verdana" w:hAnsi="Verdana"/>
        </w:rPr>
        <w:t xml:space="preserve">This medicinal product is subject to additional monitoring in Australia. This will allow quick identification of new safety information. Healthcare professionals are asked to report any suspected adverse events at </w:t>
      </w:r>
      <w:hyperlink r:id="rId9" w:history="1">
        <w:r w:rsidRPr="00F34B68">
          <w:rPr>
            <w:rStyle w:val="Hyperlink"/>
            <w:rFonts w:ascii="Verdana" w:hAnsi="Verdana"/>
          </w:rPr>
          <w:t>www.tga.gov.au/reporting-problems</w:t>
        </w:r>
      </w:hyperlink>
      <w:r w:rsidRPr="00F34B68">
        <w:rPr>
          <w:rFonts w:ascii="Verdana" w:hAnsi="Verdana"/>
        </w:rPr>
        <w:t>.</w:t>
      </w:r>
    </w:p>
    <w:p w14:paraId="0C5A05F4" w14:textId="77777777" w:rsidR="006018AE" w:rsidRPr="00F34B68" w:rsidRDefault="006018AE" w:rsidP="00285173">
      <w:pPr>
        <w:pStyle w:val="Heading1"/>
        <w:numPr>
          <w:ilvl w:val="0"/>
          <w:numId w:val="0"/>
        </w:numPr>
        <w:spacing w:after="240"/>
        <w:rPr>
          <w:rFonts w:ascii="Verdana" w:eastAsia="SimSun" w:hAnsi="Verdana"/>
          <w:sz w:val="22"/>
          <w:szCs w:val="22"/>
        </w:rPr>
      </w:pPr>
      <w:r w:rsidRPr="00F34B68">
        <w:rPr>
          <w:rFonts w:ascii="Verdana" w:eastAsia="SimSun" w:hAnsi="Verdana"/>
          <w:sz w:val="22"/>
          <w:szCs w:val="22"/>
        </w:rPr>
        <w:t>Australian P</w:t>
      </w:r>
      <w:r w:rsidR="002226E7" w:rsidRPr="00F34B68">
        <w:rPr>
          <w:rFonts w:ascii="Verdana" w:eastAsia="SimSun" w:hAnsi="Verdana"/>
          <w:sz w:val="22"/>
          <w:szCs w:val="22"/>
        </w:rPr>
        <w:t xml:space="preserve">roduct </w:t>
      </w:r>
      <w:r w:rsidRPr="00F34B68">
        <w:rPr>
          <w:rFonts w:ascii="Verdana" w:eastAsia="SimSun" w:hAnsi="Verdana"/>
          <w:sz w:val="22"/>
          <w:szCs w:val="22"/>
        </w:rPr>
        <w:t>I</w:t>
      </w:r>
      <w:r w:rsidR="002226E7" w:rsidRPr="00F34B68">
        <w:rPr>
          <w:rFonts w:ascii="Verdana" w:eastAsia="SimSun" w:hAnsi="Verdana"/>
          <w:sz w:val="22"/>
          <w:szCs w:val="22"/>
        </w:rPr>
        <w:t>nformation</w:t>
      </w:r>
      <w:r w:rsidRPr="00F34B68">
        <w:rPr>
          <w:rFonts w:ascii="Verdana" w:eastAsia="SimSun" w:hAnsi="Verdana"/>
          <w:sz w:val="22"/>
          <w:szCs w:val="22"/>
        </w:rPr>
        <w:t xml:space="preserve"> – </w:t>
      </w:r>
      <w:r w:rsidR="002226E7" w:rsidRPr="00F34B68">
        <w:rPr>
          <w:rFonts w:ascii="Verdana" w:eastAsia="SimSun" w:hAnsi="Verdana"/>
          <w:sz w:val="22"/>
          <w:szCs w:val="22"/>
        </w:rPr>
        <w:t>avelumab</w:t>
      </w:r>
      <w:r w:rsidRPr="00F34B68">
        <w:rPr>
          <w:rFonts w:ascii="Verdana" w:eastAsia="SimSun" w:hAnsi="Verdana"/>
          <w:sz w:val="22"/>
          <w:szCs w:val="22"/>
        </w:rPr>
        <w:t xml:space="preserve"> (</w:t>
      </w:r>
      <w:r w:rsidR="002226E7" w:rsidRPr="00F34B68">
        <w:rPr>
          <w:rFonts w:ascii="Verdana" w:eastAsia="SimSun" w:hAnsi="Verdana"/>
          <w:sz w:val="22"/>
          <w:szCs w:val="22"/>
        </w:rPr>
        <w:t>bavencio™</w:t>
      </w:r>
      <w:r w:rsidRPr="00F34B68">
        <w:rPr>
          <w:rFonts w:ascii="Verdana" w:eastAsia="SimSun" w:hAnsi="Verdana"/>
          <w:sz w:val="22"/>
          <w:szCs w:val="22"/>
        </w:rPr>
        <w:t>)</w:t>
      </w:r>
    </w:p>
    <w:p w14:paraId="74A32453" w14:textId="77777777" w:rsidR="001A3992" w:rsidRPr="00F34B68" w:rsidRDefault="001A3992" w:rsidP="001A3992">
      <w:pPr>
        <w:pStyle w:val="Heading1"/>
        <w:spacing w:before="0" w:after="120"/>
        <w:rPr>
          <w:rFonts w:ascii="Verdana" w:hAnsi="Verdana"/>
          <w:sz w:val="22"/>
          <w:szCs w:val="22"/>
        </w:rPr>
      </w:pPr>
      <w:r w:rsidRPr="00F34B68">
        <w:rPr>
          <w:rFonts w:ascii="Verdana" w:hAnsi="Verdana"/>
          <w:sz w:val="22"/>
          <w:szCs w:val="22"/>
        </w:rPr>
        <w:t>Name of the medicine</w:t>
      </w:r>
    </w:p>
    <w:p w14:paraId="31B57751" w14:textId="066E32A4" w:rsidR="002226E7" w:rsidRPr="00F34B68" w:rsidRDefault="002226E7" w:rsidP="002226E7">
      <w:pPr>
        <w:rPr>
          <w:rFonts w:ascii="Verdana" w:hAnsi="Verdana"/>
        </w:rPr>
      </w:pPr>
      <w:r w:rsidRPr="00F34B68">
        <w:rPr>
          <w:rFonts w:ascii="Verdana" w:hAnsi="Verdana"/>
        </w:rPr>
        <w:t xml:space="preserve">BAVENCIO (avelumab) </w:t>
      </w:r>
      <w:r w:rsidR="00D878A1" w:rsidRPr="00F34B68">
        <w:rPr>
          <w:rFonts w:ascii="Verdana" w:hAnsi="Verdana"/>
        </w:rPr>
        <w:t>200</w:t>
      </w:r>
      <w:r w:rsidRPr="00F34B68">
        <w:rPr>
          <w:rFonts w:ascii="Verdana" w:hAnsi="Verdana"/>
        </w:rPr>
        <w:t xml:space="preserve"> mg per 10 mL concentrated solution for intravenous infusion</w:t>
      </w:r>
    </w:p>
    <w:p w14:paraId="19AF3F50" w14:textId="77777777" w:rsidR="001A3992" w:rsidRPr="00F34B68" w:rsidRDefault="001A3992" w:rsidP="001A3992">
      <w:pPr>
        <w:pStyle w:val="Heading1"/>
        <w:spacing w:before="0" w:after="120"/>
        <w:rPr>
          <w:rFonts w:ascii="Verdana" w:hAnsi="Verdana"/>
          <w:sz w:val="22"/>
          <w:szCs w:val="22"/>
        </w:rPr>
      </w:pPr>
      <w:r w:rsidRPr="00F34B68">
        <w:rPr>
          <w:rFonts w:ascii="Verdana" w:hAnsi="Verdana"/>
          <w:sz w:val="22"/>
          <w:szCs w:val="22"/>
        </w:rPr>
        <w:t>Qualitative and quantitative composition</w:t>
      </w:r>
    </w:p>
    <w:p w14:paraId="731C8E37" w14:textId="553FE0FC" w:rsidR="00AA048B" w:rsidRPr="00F34B68" w:rsidRDefault="00AA048B" w:rsidP="00AA048B">
      <w:pPr>
        <w:spacing w:after="120" w:line="240" w:lineRule="auto"/>
        <w:rPr>
          <w:rFonts w:ascii="Verdana" w:hAnsi="Verdana"/>
        </w:rPr>
      </w:pPr>
      <w:r w:rsidRPr="00F34B68">
        <w:rPr>
          <w:rFonts w:ascii="Verdana" w:hAnsi="Verdana"/>
        </w:rPr>
        <w:t>Each mL of concentrate contains 20 mg of avelumab.</w:t>
      </w:r>
    </w:p>
    <w:p w14:paraId="2988CFFD" w14:textId="77777777" w:rsidR="00AA048B" w:rsidRPr="00F34B68" w:rsidRDefault="00AA048B" w:rsidP="00AA048B">
      <w:pPr>
        <w:spacing w:after="120" w:line="240" w:lineRule="auto"/>
        <w:rPr>
          <w:rFonts w:ascii="Verdana" w:hAnsi="Verdana"/>
        </w:rPr>
      </w:pPr>
      <w:r w:rsidRPr="00F34B68">
        <w:rPr>
          <w:rFonts w:ascii="Verdana" w:hAnsi="Verdana"/>
        </w:rPr>
        <w:t>One vial of 10 mL contains 200 mg of avelumab.</w:t>
      </w:r>
    </w:p>
    <w:p w14:paraId="009FE811" w14:textId="05E5A8BB" w:rsidR="00AA048B" w:rsidRDefault="00AA048B" w:rsidP="00AA048B">
      <w:pPr>
        <w:spacing w:after="120" w:line="240" w:lineRule="auto"/>
        <w:rPr>
          <w:rFonts w:ascii="Verdana" w:hAnsi="Verdana"/>
        </w:rPr>
      </w:pPr>
      <w:r w:rsidRPr="00F34B68">
        <w:rPr>
          <w:rFonts w:ascii="Verdana" w:hAnsi="Verdana"/>
        </w:rPr>
        <w:t>Avelumab is a human monoclonal IgG1 antibody directed against the immunomodulatory cell surface ligand protein PD-L1 and produced in Chinese hamster ovary cells by recombinant DNA technology.</w:t>
      </w:r>
    </w:p>
    <w:p w14:paraId="11968EC6" w14:textId="77777777" w:rsidR="00AA048B" w:rsidRPr="00F34B68" w:rsidRDefault="00AA048B" w:rsidP="00AA048B">
      <w:pPr>
        <w:spacing w:after="120" w:line="240" w:lineRule="auto"/>
        <w:rPr>
          <w:rFonts w:ascii="Verdana" w:hAnsi="Verdana"/>
        </w:rPr>
      </w:pPr>
      <w:r w:rsidRPr="00F34B68">
        <w:rPr>
          <w:rFonts w:ascii="Verdana" w:hAnsi="Verdana"/>
        </w:rPr>
        <w:t>For the full list of excipients, see section 6.1.</w:t>
      </w:r>
    </w:p>
    <w:p w14:paraId="57EFF70E" w14:textId="77777777" w:rsidR="001A3992" w:rsidRPr="00F34B68" w:rsidRDefault="001A3992" w:rsidP="001A3992">
      <w:pPr>
        <w:pStyle w:val="Heading1"/>
        <w:spacing w:before="0" w:after="120"/>
        <w:rPr>
          <w:rFonts w:ascii="Verdana" w:hAnsi="Verdana"/>
          <w:sz w:val="22"/>
          <w:szCs w:val="22"/>
        </w:rPr>
      </w:pPr>
      <w:r w:rsidRPr="00F34B68">
        <w:rPr>
          <w:rFonts w:ascii="Verdana" w:hAnsi="Verdana"/>
          <w:sz w:val="22"/>
          <w:szCs w:val="22"/>
        </w:rPr>
        <w:t>Pharmaceutical form</w:t>
      </w:r>
    </w:p>
    <w:p w14:paraId="2BE5B11C" w14:textId="77777777" w:rsidR="00AA048B" w:rsidRPr="00F34B68" w:rsidRDefault="00AA048B" w:rsidP="00AA048B">
      <w:pPr>
        <w:spacing w:after="120" w:line="240" w:lineRule="auto"/>
        <w:rPr>
          <w:rFonts w:ascii="Verdana" w:hAnsi="Verdana"/>
        </w:rPr>
      </w:pPr>
      <w:r w:rsidRPr="00F34B68">
        <w:rPr>
          <w:rFonts w:ascii="Verdana" w:hAnsi="Verdana"/>
        </w:rPr>
        <w:t>Concentrate for solution for infusion (sterile concentrate).</w:t>
      </w:r>
    </w:p>
    <w:p w14:paraId="25C8593D" w14:textId="77777777" w:rsidR="00AA048B" w:rsidRPr="00F34B68" w:rsidRDefault="00AA048B" w:rsidP="00AA048B">
      <w:pPr>
        <w:spacing w:after="120" w:line="240" w:lineRule="auto"/>
        <w:rPr>
          <w:rFonts w:ascii="Verdana" w:hAnsi="Verdana"/>
        </w:rPr>
      </w:pPr>
      <w:r w:rsidRPr="00F34B68">
        <w:rPr>
          <w:rFonts w:ascii="Verdana" w:hAnsi="Verdana"/>
        </w:rPr>
        <w:t xml:space="preserve">Clear, colourless to slightly yellow solution. The solution pH is in the range of 5.0 - 5.6 and the osmolality is between 270 and 330 </w:t>
      </w:r>
      <w:proofErr w:type="spellStart"/>
      <w:r w:rsidRPr="00F34B68">
        <w:rPr>
          <w:rFonts w:ascii="Verdana" w:hAnsi="Verdana"/>
        </w:rPr>
        <w:t>mOsm</w:t>
      </w:r>
      <w:proofErr w:type="spellEnd"/>
      <w:r w:rsidRPr="00F34B68">
        <w:rPr>
          <w:rFonts w:ascii="Verdana" w:hAnsi="Verdana"/>
        </w:rPr>
        <w:t>/kg.</w:t>
      </w:r>
    </w:p>
    <w:p w14:paraId="12143960" w14:textId="77777777" w:rsidR="001A3992" w:rsidRPr="00F34B68" w:rsidRDefault="001A3992" w:rsidP="001A3992">
      <w:pPr>
        <w:pStyle w:val="Heading1"/>
        <w:spacing w:before="0" w:after="120"/>
        <w:rPr>
          <w:rFonts w:ascii="Verdana" w:hAnsi="Verdana"/>
          <w:sz w:val="22"/>
          <w:szCs w:val="22"/>
        </w:rPr>
      </w:pPr>
      <w:r w:rsidRPr="00F34B68">
        <w:rPr>
          <w:rFonts w:ascii="Verdana" w:hAnsi="Verdana"/>
          <w:sz w:val="22"/>
          <w:szCs w:val="22"/>
        </w:rPr>
        <w:t>Clinical particulars</w:t>
      </w:r>
    </w:p>
    <w:p w14:paraId="2CE9E4E7" w14:textId="77777777" w:rsidR="001A3992" w:rsidRPr="00F34B68" w:rsidRDefault="001A3992" w:rsidP="001A3992">
      <w:pPr>
        <w:pStyle w:val="Heading2"/>
        <w:spacing w:before="0" w:after="120"/>
        <w:rPr>
          <w:rFonts w:ascii="Verdana" w:hAnsi="Verdana"/>
          <w:sz w:val="22"/>
        </w:rPr>
      </w:pPr>
      <w:r w:rsidRPr="00F34B68">
        <w:rPr>
          <w:rFonts w:ascii="Verdana" w:hAnsi="Verdana"/>
          <w:sz w:val="22"/>
        </w:rPr>
        <w:t xml:space="preserve">Therapeutic indications </w:t>
      </w:r>
    </w:p>
    <w:p w14:paraId="23FF4145" w14:textId="77777777" w:rsidR="00AA048B" w:rsidRPr="00F34B68" w:rsidRDefault="00AA048B" w:rsidP="00AA048B">
      <w:pPr>
        <w:spacing w:after="120" w:line="240" w:lineRule="auto"/>
        <w:rPr>
          <w:rFonts w:ascii="Verdana" w:hAnsi="Verdana"/>
        </w:rPr>
      </w:pPr>
      <w:r w:rsidRPr="00F34B68">
        <w:rPr>
          <w:rFonts w:ascii="Verdana" w:hAnsi="Verdana"/>
        </w:rPr>
        <w:t>BAVENCIO is indicated for the treatment of adults and paediatric patients 12 years and older with metastatic Merkel Cell Carcinoma (</w:t>
      </w:r>
      <w:proofErr w:type="spellStart"/>
      <w:r w:rsidRPr="00F34B68">
        <w:rPr>
          <w:rFonts w:ascii="Verdana" w:hAnsi="Verdana"/>
        </w:rPr>
        <w:t>mMCC</w:t>
      </w:r>
      <w:proofErr w:type="spellEnd"/>
      <w:r w:rsidRPr="00F34B68">
        <w:rPr>
          <w:rFonts w:ascii="Verdana" w:hAnsi="Verdana"/>
        </w:rPr>
        <w:t xml:space="preserve">). </w:t>
      </w:r>
    </w:p>
    <w:p w14:paraId="1277B542" w14:textId="3B7421DD" w:rsidR="00AA048B" w:rsidRPr="00F34B68" w:rsidRDefault="00AA048B" w:rsidP="00AA048B">
      <w:pPr>
        <w:spacing w:after="120" w:line="240" w:lineRule="auto"/>
        <w:rPr>
          <w:rFonts w:ascii="Verdana" w:hAnsi="Verdana"/>
        </w:rPr>
      </w:pPr>
      <w:r w:rsidRPr="00F34B68">
        <w:rPr>
          <w:rFonts w:ascii="Verdana" w:hAnsi="Verdana"/>
        </w:rPr>
        <w:t xml:space="preserve">This indication is approved based on tumour response rate, duration of response in a single arm study. </w:t>
      </w:r>
    </w:p>
    <w:p w14:paraId="15715981" w14:textId="77777777" w:rsidR="001A3992" w:rsidRPr="00F34B68" w:rsidRDefault="001A3992" w:rsidP="001A3992">
      <w:pPr>
        <w:pStyle w:val="Heading2"/>
        <w:spacing w:before="0" w:after="120"/>
        <w:rPr>
          <w:rFonts w:ascii="Verdana" w:hAnsi="Verdana"/>
          <w:sz w:val="22"/>
        </w:rPr>
      </w:pPr>
      <w:r w:rsidRPr="00F34B68">
        <w:rPr>
          <w:rFonts w:ascii="Verdana" w:hAnsi="Verdana"/>
          <w:sz w:val="22"/>
        </w:rPr>
        <w:t xml:space="preserve">Dose and method of administration </w:t>
      </w:r>
    </w:p>
    <w:p w14:paraId="38836A01" w14:textId="77777777" w:rsidR="00AA048B" w:rsidRPr="00F34B68" w:rsidRDefault="00AA048B" w:rsidP="00AA048B">
      <w:pPr>
        <w:rPr>
          <w:rFonts w:ascii="Verdana" w:hAnsi="Verdana"/>
        </w:rPr>
      </w:pPr>
      <w:r w:rsidRPr="00F34B68">
        <w:rPr>
          <w:rFonts w:ascii="Verdana" w:hAnsi="Verdana"/>
        </w:rPr>
        <w:t xml:space="preserve">Treatment should be initiated and supervised by a physician experienced in the treatment of cancer.  </w:t>
      </w:r>
    </w:p>
    <w:p w14:paraId="24866E6C" w14:textId="77777777" w:rsidR="00AA048B" w:rsidRPr="00F34B68" w:rsidRDefault="00AA048B" w:rsidP="00AA048B">
      <w:pPr>
        <w:rPr>
          <w:rFonts w:ascii="Verdana" w:hAnsi="Verdana"/>
          <w:i/>
          <w:u w:val="single"/>
        </w:rPr>
      </w:pPr>
      <w:r w:rsidRPr="00F34B68">
        <w:rPr>
          <w:rFonts w:ascii="Verdana" w:hAnsi="Verdana"/>
          <w:i/>
          <w:u w:val="single"/>
        </w:rPr>
        <w:t>Premedication</w:t>
      </w:r>
    </w:p>
    <w:p w14:paraId="5446F8B4" w14:textId="7C3B3283" w:rsidR="00AA048B" w:rsidRPr="00F34B68" w:rsidRDefault="00AA048B" w:rsidP="00AA048B">
      <w:pPr>
        <w:rPr>
          <w:rFonts w:ascii="Verdana" w:hAnsi="Verdana"/>
        </w:rPr>
      </w:pPr>
      <w:r w:rsidRPr="00F34B68">
        <w:rPr>
          <w:rFonts w:ascii="Verdana" w:hAnsi="Verdana"/>
        </w:rPr>
        <w:t xml:space="preserve">Patients have to be </w:t>
      </w:r>
      <w:proofErr w:type="spellStart"/>
      <w:r w:rsidRPr="00F34B68">
        <w:rPr>
          <w:rFonts w:ascii="Verdana" w:hAnsi="Verdana"/>
        </w:rPr>
        <w:t>premedicated</w:t>
      </w:r>
      <w:proofErr w:type="spellEnd"/>
      <w:r w:rsidRPr="00F34B68">
        <w:rPr>
          <w:rFonts w:ascii="Verdana" w:hAnsi="Verdana"/>
        </w:rPr>
        <w:t xml:space="preserve"> with an antihistamine and with paracetamol prior to the first 4 infusions of </w:t>
      </w:r>
      <w:r w:rsidR="00751AA2" w:rsidRPr="00F34B68">
        <w:rPr>
          <w:rFonts w:ascii="Verdana" w:hAnsi="Verdana"/>
        </w:rPr>
        <w:t>BAVENCIO</w:t>
      </w:r>
      <w:r w:rsidRPr="00F34B68">
        <w:rPr>
          <w:rFonts w:ascii="Verdana" w:hAnsi="Verdana"/>
        </w:rPr>
        <w:t xml:space="preserve">. </w:t>
      </w:r>
      <w:r w:rsidR="00D36E1B" w:rsidRPr="00F34B68">
        <w:rPr>
          <w:rFonts w:ascii="Verdana" w:hAnsi="Verdana"/>
        </w:rPr>
        <w:t>If the fourth infusion is completed without an infusion-related reaction, premedication for subsequent doses should be administered at the discretion of the physician.</w:t>
      </w:r>
    </w:p>
    <w:p w14:paraId="41BFF891" w14:textId="77777777" w:rsidR="00AA048B" w:rsidRPr="00F34B68" w:rsidRDefault="00AA048B" w:rsidP="00AA048B">
      <w:pPr>
        <w:rPr>
          <w:rFonts w:ascii="Verdana" w:hAnsi="Verdana"/>
          <w:i/>
          <w:u w:val="single"/>
        </w:rPr>
      </w:pPr>
      <w:r w:rsidRPr="00F34B68">
        <w:rPr>
          <w:rFonts w:ascii="Verdana" w:hAnsi="Verdana"/>
          <w:i/>
          <w:u w:val="single"/>
        </w:rPr>
        <w:t>Dosage</w:t>
      </w:r>
    </w:p>
    <w:p w14:paraId="7CAFB115" w14:textId="77777777" w:rsidR="00AA048B" w:rsidRPr="00F34B68" w:rsidRDefault="00AA048B" w:rsidP="00AA048B">
      <w:pPr>
        <w:rPr>
          <w:rFonts w:ascii="Verdana" w:hAnsi="Verdana"/>
        </w:rPr>
      </w:pPr>
      <w:r w:rsidRPr="00F34B68">
        <w:rPr>
          <w:rFonts w:ascii="Verdana" w:hAnsi="Verdana"/>
        </w:rPr>
        <w:lastRenderedPageBreak/>
        <w:t>The recommended dose of BAVENCIO is 10 mg/kg body weight administered intravenously over 60 minutes every 2 weeks.</w:t>
      </w:r>
    </w:p>
    <w:p w14:paraId="7B296DBC" w14:textId="77777777" w:rsidR="00AA048B" w:rsidRPr="00F34B68" w:rsidRDefault="00AA048B" w:rsidP="00AA048B">
      <w:pPr>
        <w:rPr>
          <w:rFonts w:ascii="Verdana" w:hAnsi="Verdana"/>
        </w:rPr>
      </w:pPr>
      <w:r w:rsidRPr="00F34B68">
        <w:rPr>
          <w:rFonts w:ascii="Verdana" w:hAnsi="Verdana"/>
        </w:rPr>
        <w:t>The administration of BAVENCIO should continue according to the recommended schedule until disease progression or unacceptable toxicity.</w:t>
      </w:r>
    </w:p>
    <w:p w14:paraId="7F63AFEB" w14:textId="77777777" w:rsidR="00AA048B" w:rsidRPr="00F34B68" w:rsidRDefault="00AA048B" w:rsidP="00AA048B">
      <w:pPr>
        <w:rPr>
          <w:rFonts w:ascii="Verdana" w:hAnsi="Verdana"/>
          <w:i/>
          <w:u w:val="single"/>
        </w:rPr>
      </w:pPr>
      <w:r w:rsidRPr="00F34B68">
        <w:rPr>
          <w:rFonts w:ascii="Verdana" w:hAnsi="Verdana"/>
          <w:i/>
          <w:u w:val="single"/>
        </w:rPr>
        <w:t>Treatment modifications</w:t>
      </w:r>
    </w:p>
    <w:p w14:paraId="2E60B67E" w14:textId="77777777" w:rsidR="00AA048B" w:rsidRDefault="00AA048B" w:rsidP="00AA048B">
      <w:pPr>
        <w:rPr>
          <w:rFonts w:ascii="Verdana" w:hAnsi="Verdana"/>
        </w:rPr>
      </w:pPr>
      <w:r w:rsidRPr="00F34B68">
        <w:rPr>
          <w:rFonts w:ascii="Verdana" w:hAnsi="Verdana"/>
        </w:rPr>
        <w:t xml:space="preserve">Dose escalation or reduction is not recommended. Dosing delay or discontinuation may be required based on individual safety and tolerability. </w:t>
      </w:r>
    </w:p>
    <w:p w14:paraId="77A24042" w14:textId="47A5EACF" w:rsidR="006D355D" w:rsidRDefault="006D355D" w:rsidP="00AA048B">
      <w:pPr>
        <w:rPr>
          <w:rFonts w:ascii="Verdana" w:eastAsia="TimesNewRoman" w:hAnsi="Verdana"/>
          <w:b/>
          <w:sz w:val="20"/>
          <w:lang w:eastAsia="en-GB"/>
        </w:rPr>
      </w:pPr>
      <w:r w:rsidRPr="00F34B68">
        <w:rPr>
          <w:rFonts w:ascii="Verdana" w:eastAsia="TimesNewRoman" w:hAnsi="Verdana"/>
          <w:b/>
          <w:sz w:val="20"/>
          <w:lang w:eastAsia="en-GB"/>
        </w:rPr>
        <w:t xml:space="preserve">Table 1: </w:t>
      </w:r>
      <w:r w:rsidRPr="00F34B68">
        <w:rPr>
          <w:rFonts w:ascii="Verdana" w:hAnsi="Verdana" w:cs="Times New Roman"/>
          <w:b/>
          <w:bCs/>
          <w:sz w:val="20"/>
          <w:lang w:val="en-US" w:eastAsia="en-AU"/>
        </w:rPr>
        <w:t>Recommended dose modifications of BAVENCIO</w:t>
      </w:r>
      <w:r w:rsidRPr="00F34B68">
        <w:rPr>
          <w:rFonts w:ascii="Verdana" w:hAnsi="Verdana"/>
          <w:b/>
          <w:sz w:val="20"/>
          <w:lang w:val="en-US"/>
        </w:rPr>
        <w:t xml:space="preserve"> for</w:t>
      </w:r>
      <w:r w:rsidRPr="00F34B68">
        <w:rPr>
          <w:rFonts w:ascii="Verdana" w:eastAsia="TimesNewRoman" w:hAnsi="Verdana"/>
          <w:b/>
          <w:sz w:val="20"/>
          <w:lang w:eastAsia="en-GB"/>
        </w:rPr>
        <w:t xml:space="preserve"> the management of adverse reactions</w:t>
      </w:r>
    </w:p>
    <w:tbl>
      <w:tblPr>
        <w:tblW w:w="8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67"/>
        <w:gridCol w:w="3544"/>
        <w:gridCol w:w="3119"/>
      </w:tblGrid>
      <w:tr w:rsidR="006D355D" w:rsidRPr="00F34B68" w14:paraId="433C861B" w14:textId="77777777" w:rsidTr="006D355D">
        <w:trPr>
          <w:trHeight w:hRule="exact" w:val="588"/>
          <w:tblHeader/>
        </w:trPr>
        <w:tc>
          <w:tcPr>
            <w:tcW w:w="1867" w:type="dxa"/>
            <w:shd w:val="clear" w:color="auto" w:fill="auto"/>
          </w:tcPr>
          <w:p w14:paraId="7E5F18CF" w14:textId="77777777" w:rsidR="006D355D" w:rsidRPr="00F34B68" w:rsidRDefault="006D355D" w:rsidP="006D355D">
            <w:pPr>
              <w:pStyle w:val="TableParagraph"/>
              <w:keepNext/>
              <w:keepLines/>
              <w:kinsoku w:val="0"/>
              <w:overflowPunct w:val="0"/>
              <w:rPr>
                <w:rFonts w:ascii="Verdana" w:hAnsi="Verdana"/>
                <w:sz w:val="20"/>
                <w:szCs w:val="22"/>
              </w:rPr>
            </w:pPr>
            <w:r w:rsidRPr="00F34B68">
              <w:rPr>
                <w:rFonts w:ascii="Verdana" w:hAnsi="Verdana"/>
                <w:b/>
                <w:bCs/>
                <w:sz w:val="20"/>
                <w:szCs w:val="22"/>
              </w:rPr>
              <w:t>Adverse</w:t>
            </w:r>
            <w:r w:rsidRPr="00F34B68">
              <w:rPr>
                <w:rFonts w:ascii="Verdana" w:hAnsi="Verdana"/>
                <w:b/>
                <w:bCs/>
                <w:spacing w:val="-1"/>
                <w:sz w:val="20"/>
                <w:szCs w:val="22"/>
              </w:rPr>
              <w:t xml:space="preserve"> Reaction</w:t>
            </w:r>
          </w:p>
        </w:tc>
        <w:tc>
          <w:tcPr>
            <w:tcW w:w="3544" w:type="dxa"/>
            <w:shd w:val="clear" w:color="auto" w:fill="auto"/>
          </w:tcPr>
          <w:p w14:paraId="2147AC9F" w14:textId="77777777" w:rsidR="006D355D" w:rsidRPr="00F34B68" w:rsidRDefault="006D355D" w:rsidP="006D355D">
            <w:pPr>
              <w:pStyle w:val="TableParagraph"/>
              <w:keepNext/>
              <w:keepLines/>
              <w:kinsoku w:val="0"/>
              <w:overflowPunct w:val="0"/>
              <w:rPr>
                <w:rFonts w:ascii="Verdana" w:hAnsi="Verdana"/>
                <w:sz w:val="20"/>
                <w:szCs w:val="22"/>
              </w:rPr>
            </w:pPr>
            <w:r w:rsidRPr="00F34B68">
              <w:rPr>
                <w:rFonts w:ascii="Verdana" w:hAnsi="Verdana"/>
                <w:b/>
                <w:bCs/>
                <w:spacing w:val="-1"/>
                <w:sz w:val="20"/>
                <w:szCs w:val="22"/>
              </w:rPr>
              <w:t>Severity</w:t>
            </w:r>
          </w:p>
        </w:tc>
        <w:tc>
          <w:tcPr>
            <w:tcW w:w="3119" w:type="dxa"/>
            <w:shd w:val="clear" w:color="auto" w:fill="auto"/>
          </w:tcPr>
          <w:p w14:paraId="55B60722" w14:textId="77777777" w:rsidR="006D355D" w:rsidRPr="00F34B68" w:rsidRDefault="006D355D" w:rsidP="006D355D">
            <w:pPr>
              <w:pStyle w:val="TableParagraph"/>
              <w:keepNext/>
              <w:keepLines/>
              <w:kinsoku w:val="0"/>
              <w:overflowPunct w:val="0"/>
              <w:rPr>
                <w:rFonts w:ascii="Verdana" w:hAnsi="Verdana"/>
                <w:sz w:val="20"/>
                <w:szCs w:val="22"/>
              </w:rPr>
            </w:pPr>
            <w:r w:rsidRPr="00F34B68">
              <w:rPr>
                <w:rFonts w:ascii="Verdana" w:hAnsi="Verdana"/>
                <w:b/>
                <w:bCs/>
                <w:sz w:val="20"/>
                <w:szCs w:val="22"/>
              </w:rPr>
              <w:t>Treatment modification</w:t>
            </w:r>
            <w:r w:rsidRPr="00F34B68">
              <w:rPr>
                <w:rFonts w:ascii="Verdana" w:hAnsi="Verdana"/>
                <w:b/>
                <w:bCs/>
                <w:spacing w:val="-3"/>
                <w:sz w:val="20"/>
                <w:szCs w:val="22"/>
              </w:rPr>
              <w:t xml:space="preserve"> </w:t>
            </w:r>
          </w:p>
        </w:tc>
      </w:tr>
      <w:tr w:rsidR="006D355D" w:rsidRPr="00F34B68" w14:paraId="4679579D" w14:textId="77777777" w:rsidTr="006D355D">
        <w:trPr>
          <w:trHeight w:val="133"/>
        </w:trPr>
        <w:tc>
          <w:tcPr>
            <w:tcW w:w="1867" w:type="dxa"/>
            <w:vMerge w:val="restart"/>
          </w:tcPr>
          <w:p w14:paraId="03F1A316"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z w:val="20"/>
                <w:szCs w:val="22"/>
              </w:rPr>
              <w:t>Infusion</w:t>
            </w:r>
            <w:r w:rsidRPr="00F34B68">
              <w:rPr>
                <w:rFonts w:ascii="Verdana" w:hAnsi="Verdana"/>
                <w:sz w:val="20"/>
                <w:szCs w:val="22"/>
              </w:rPr>
              <w:noBreakHyphen/>
              <w:t>related reactions</w:t>
            </w:r>
          </w:p>
        </w:tc>
        <w:tc>
          <w:tcPr>
            <w:tcW w:w="3544" w:type="dxa"/>
          </w:tcPr>
          <w:p w14:paraId="680A3E55"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0"/>
                <w:szCs w:val="22"/>
              </w:rPr>
              <w:t>Grade 1 infusion</w:t>
            </w:r>
            <w:r w:rsidRPr="00F34B68">
              <w:rPr>
                <w:rFonts w:ascii="Verdana" w:hAnsi="Verdana"/>
                <w:spacing w:val="-1"/>
                <w:sz w:val="20"/>
                <w:szCs w:val="22"/>
              </w:rPr>
              <w:noBreakHyphen/>
              <w:t>related reaction</w:t>
            </w:r>
          </w:p>
        </w:tc>
        <w:tc>
          <w:tcPr>
            <w:tcW w:w="3119" w:type="dxa"/>
          </w:tcPr>
          <w:p w14:paraId="6C063DAF" w14:textId="77777777" w:rsidR="006D355D" w:rsidRPr="00F34B68" w:rsidRDefault="006D355D" w:rsidP="006D355D">
            <w:pPr>
              <w:autoSpaceDE w:val="0"/>
              <w:autoSpaceDN w:val="0"/>
              <w:adjustRightInd w:val="0"/>
              <w:rPr>
                <w:rFonts w:ascii="Verdana" w:hAnsi="Verdana"/>
                <w:spacing w:val="-1"/>
                <w:sz w:val="20"/>
              </w:rPr>
            </w:pPr>
            <w:r w:rsidRPr="00F34B68">
              <w:rPr>
                <w:rFonts w:ascii="Verdana" w:hAnsi="Verdana"/>
                <w:color w:val="000000"/>
                <w:sz w:val="20"/>
              </w:rPr>
              <w:t>Reduce infusion rate by 50%</w:t>
            </w:r>
          </w:p>
        </w:tc>
      </w:tr>
      <w:tr w:rsidR="006D355D" w:rsidRPr="00F34B68" w14:paraId="08EEAA30" w14:textId="77777777" w:rsidTr="006D355D">
        <w:trPr>
          <w:trHeight w:val="1126"/>
        </w:trPr>
        <w:tc>
          <w:tcPr>
            <w:tcW w:w="1867" w:type="dxa"/>
            <w:vMerge/>
          </w:tcPr>
          <w:p w14:paraId="3822F13C" w14:textId="77777777" w:rsidR="006D355D" w:rsidRPr="00F34B68" w:rsidRDefault="006D355D" w:rsidP="006D355D">
            <w:pPr>
              <w:pStyle w:val="TableParagraph"/>
              <w:kinsoku w:val="0"/>
              <w:overflowPunct w:val="0"/>
              <w:rPr>
                <w:rFonts w:ascii="Verdana" w:hAnsi="Verdana"/>
                <w:sz w:val="20"/>
                <w:szCs w:val="22"/>
              </w:rPr>
            </w:pPr>
          </w:p>
        </w:tc>
        <w:tc>
          <w:tcPr>
            <w:tcW w:w="3544" w:type="dxa"/>
          </w:tcPr>
          <w:p w14:paraId="2F8D646A"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0"/>
                <w:szCs w:val="22"/>
              </w:rPr>
              <w:t>Grade 2 infusion</w:t>
            </w:r>
            <w:r w:rsidRPr="00F34B68">
              <w:rPr>
                <w:rFonts w:ascii="Verdana" w:hAnsi="Verdana"/>
                <w:spacing w:val="-1"/>
                <w:sz w:val="20"/>
                <w:szCs w:val="22"/>
              </w:rPr>
              <w:noBreakHyphen/>
              <w:t>related reaction</w:t>
            </w:r>
          </w:p>
        </w:tc>
        <w:tc>
          <w:tcPr>
            <w:tcW w:w="3119" w:type="dxa"/>
          </w:tcPr>
          <w:p w14:paraId="5E51F346" w14:textId="77777777" w:rsidR="006D355D" w:rsidRPr="00F34B68" w:rsidRDefault="006D355D" w:rsidP="006D355D">
            <w:pPr>
              <w:autoSpaceDE w:val="0"/>
              <w:autoSpaceDN w:val="0"/>
              <w:adjustRightInd w:val="0"/>
              <w:rPr>
                <w:rFonts w:ascii="Verdana" w:hAnsi="Verdana"/>
                <w:spacing w:val="-1"/>
                <w:sz w:val="20"/>
                <w:lang w:eastAsia="ja-JP"/>
              </w:rPr>
            </w:pPr>
            <w:r w:rsidRPr="00F34B68">
              <w:rPr>
                <w:rFonts w:ascii="Verdana" w:hAnsi="Verdana"/>
                <w:sz w:val="20"/>
                <w:lang w:eastAsia="en-GB"/>
              </w:rPr>
              <w:t xml:space="preserve">Withhold until adverse reactions recover to Grade 0-1; </w:t>
            </w:r>
            <w:r w:rsidRPr="00F34B68">
              <w:rPr>
                <w:rFonts w:ascii="Verdana" w:hAnsi="Verdana"/>
                <w:color w:val="000000"/>
                <w:sz w:val="20"/>
                <w:lang w:eastAsia="en-GB"/>
              </w:rPr>
              <w:t>restart infusion with a 50% slower rate</w:t>
            </w:r>
          </w:p>
        </w:tc>
      </w:tr>
      <w:tr w:rsidR="006D355D" w:rsidRPr="00F34B68" w14:paraId="6DD70BC6" w14:textId="77777777" w:rsidTr="006D355D">
        <w:trPr>
          <w:trHeight w:hRule="exact" w:val="629"/>
        </w:trPr>
        <w:tc>
          <w:tcPr>
            <w:tcW w:w="1867" w:type="dxa"/>
            <w:vMerge/>
          </w:tcPr>
          <w:p w14:paraId="47039A2D" w14:textId="77777777" w:rsidR="006D355D" w:rsidRPr="00F34B68" w:rsidRDefault="006D355D" w:rsidP="006D355D">
            <w:pPr>
              <w:pStyle w:val="TableParagraph"/>
              <w:kinsoku w:val="0"/>
              <w:overflowPunct w:val="0"/>
              <w:rPr>
                <w:rFonts w:ascii="Verdana" w:hAnsi="Verdana"/>
                <w:i/>
                <w:sz w:val="20"/>
                <w:szCs w:val="22"/>
              </w:rPr>
            </w:pPr>
          </w:p>
        </w:tc>
        <w:tc>
          <w:tcPr>
            <w:tcW w:w="3544" w:type="dxa"/>
          </w:tcPr>
          <w:p w14:paraId="703E86AA"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0"/>
                <w:szCs w:val="22"/>
              </w:rPr>
              <w:t>Grade</w:t>
            </w:r>
            <w:r w:rsidRPr="00F34B68">
              <w:rPr>
                <w:rFonts w:ascii="Verdana" w:hAnsi="Verdana"/>
                <w:spacing w:val="-2"/>
                <w:sz w:val="20"/>
                <w:szCs w:val="22"/>
              </w:rPr>
              <w:t> 3</w:t>
            </w:r>
            <w:r w:rsidRPr="00F34B68">
              <w:rPr>
                <w:rFonts w:ascii="Verdana" w:hAnsi="Verdana"/>
                <w:sz w:val="20"/>
                <w:szCs w:val="22"/>
              </w:rPr>
              <w:t xml:space="preserve"> or Grade 4 infusion</w:t>
            </w:r>
            <w:r w:rsidRPr="00F34B68">
              <w:rPr>
                <w:rFonts w:ascii="Verdana" w:hAnsi="Verdana"/>
                <w:sz w:val="20"/>
                <w:szCs w:val="22"/>
              </w:rPr>
              <w:noBreakHyphen/>
              <w:t>related reaction</w:t>
            </w:r>
          </w:p>
        </w:tc>
        <w:tc>
          <w:tcPr>
            <w:tcW w:w="3119" w:type="dxa"/>
          </w:tcPr>
          <w:p w14:paraId="29C10B30"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0"/>
                <w:szCs w:val="22"/>
              </w:rPr>
              <w:t>Permanently</w:t>
            </w:r>
            <w:r w:rsidRPr="00F34B68">
              <w:rPr>
                <w:rFonts w:ascii="Verdana" w:hAnsi="Verdana"/>
                <w:sz w:val="20"/>
                <w:szCs w:val="22"/>
              </w:rPr>
              <w:t xml:space="preserve"> </w:t>
            </w:r>
            <w:r w:rsidRPr="00F34B68">
              <w:rPr>
                <w:rFonts w:ascii="Verdana" w:hAnsi="Verdana"/>
                <w:spacing w:val="-1"/>
                <w:sz w:val="20"/>
                <w:szCs w:val="22"/>
              </w:rPr>
              <w:t>discontinue</w:t>
            </w:r>
          </w:p>
        </w:tc>
      </w:tr>
      <w:tr w:rsidR="006D355D" w:rsidRPr="00F34B68" w14:paraId="6AF9F6EA" w14:textId="77777777" w:rsidTr="006D355D">
        <w:trPr>
          <w:trHeight w:val="284"/>
        </w:trPr>
        <w:tc>
          <w:tcPr>
            <w:tcW w:w="1867" w:type="dxa"/>
            <w:vMerge w:val="restart"/>
          </w:tcPr>
          <w:p w14:paraId="6DEB94E0"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Pneumonitis</w:t>
            </w:r>
          </w:p>
        </w:tc>
        <w:tc>
          <w:tcPr>
            <w:tcW w:w="3544" w:type="dxa"/>
          </w:tcPr>
          <w:p w14:paraId="01BB4F70"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Grade</w:t>
            </w:r>
            <w:r w:rsidRPr="00F34B68">
              <w:rPr>
                <w:rFonts w:ascii="Verdana" w:hAnsi="Verdana"/>
                <w:spacing w:val="-2"/>
                <w:sz w:val="20"/>
                <w:szCs w:val="22"/>
              </w:rPr>
              <w:t> </w:t>
            </w:r>
            <w:r w:rsidRPr="00F34B68">
              <w:rPr>
                <w:rFonts w:ascii="Verdana" w:hAnsi="Verdana"/>
                <w:sz w:val="20"/>
                <w:szCs w:val="22"/>
              </w:rPr>
              <w:t>2</w:t>
            </w:r>
            <w:r w:rsidRPr="00F34B68">
              <w:rPr>
                <w:rFonts w:ascii="Verdana" w:hAnsi="Verdana"/>
                <w:spacing w:val="-1"/>
                <w:sz w:val="20"/>
                <w:szCs w:val="22"/>
              </w:rPr>
              <w:t xml:space="preserve"> pneumonitis</w:t>
            </w:r>
          </w:p>
        </w:tc>
        <w:tc>
          <w:tcPr>
            <w:tcW w:w="3119" w:type="dxa"/>
          </w:tcPr>
          <w:p w14:paraId="09E32B1F"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Withhold until adverse reactions recover to Grade 0-1</w:t>
            </w:r>
          </w:p>
        </w:tc>
      </w:tr>
      <w:tr w:rsidR="006D355D" w:rsidRPr="00F34B68" w14:paraId="490B9674" w14:textId="77777777" w:rsidTr="006D355D">
        <w:trPr>
          <w:trHeight w:val="287"/>
        </w:trPr>
        <w:tc>
          <w:tcPr>
            <w:tcW w:w="1867" w:type="dxa"/>
            <w:vMerge/>
          </w:tcPr>
          <w:p w14:paraId="128257C0" w14:textId="77777777" w:rsidR="006D355D" w:rsidRPr="00F34B68" w:rsidRDefault="006D355D" w:rsidP="006D355D">
            <w:pPr>
              <w:pStyle w:val="TableParagraph"/>
              <w:kinsoku w:val="0"/>
              <w:overflowPunct w:val="0"/>
              <w:rPr>
                <w:rFonts w:ascii="Verdana" w:hAnsi="Verdana"/>
                <w:sz w:val="20"/>
                <w:szCs w:val="22"/>
              </w:rPr>
            </w:pPr>
          </w:p>
        </w:tc>
        <w:tc>
          <w:tcPr>
            <w:tcW w:w="3544" w:type="dxa"/>
          </w:tcPr>
          <w:p w14:paraId="2D6D28C2"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Grade</w:t>
            </w:r>
            <w:r w:rsidRPr="00F34B68">
              <w:rPr>
                <w:rFonts w:ascii="Verdana" w:hAnsi="Verdana"/>
                <w:spacing w:val="-2"/>
                <w:sz w:val="20"/>
                <w:szCs w:val="22"/>
              </w:rPr>
              <w:t> </w:t>
            </w:r>
            <w:r w:rsidRPr="00F34B68">
              <w:rPr>
                <w:rFonts w:ascii="Verdana" w:hAnsi="Verdana"/>
                <w:sz w:val="20"/>
                <w:szCs w:val="22"/>
              </w:rPr>
              <w:t xml:space="preserve">3 or Grade 4 </w:t>
            </w:r>
            <w:r w:rsidRPr="00F34B68">
              <w:rPr>
                <w:rFonts w:ascii="Verdana" w:hAnsi="Verdana"/>
                <w:spacing w:val="-1"/>
                <w:sz w:val="20"/>
                <w:szCs w:val="22"/>
              </w:rPr>
              <w:t>pneumonitis or recurrent Grade 2 pneumonitis</w:t>
            </w:r>
          </w:p>
        </w:tc>
        <w:tc>
          <w:tcPr>
            <w:tcW w:w="3119" w:type="dxa"/>
          </w:tcPr>
          <w:p w14:paraId="4FC1634E"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Permanently</w:t>
            </w:r>
            <w:r w:rsidRPr="00F34B68">
              <w:rPr>
                <w:rFonts w:ascii="Verdana" w:hAnsi="Verdana"/>
                <w:sz w:val="20"/>
                <w:szCs w:val="22"/>
              </w:rPr>
              <w:t xml:space="preserve"> </w:t>
            </w:r>
            <w:r w:rsidRPr="00F34B68">
              <w:rPr>
                <w:rFonts w:ascii="Verdana" w:hAnsi="Verdana"/>
                <w:spacing w:val="-1"/>
                <w:sz w:val="20"/>
                <w:szCs w:val="22"/>
              </w:rPr>
              <w:t>discontinue</w:t>
            </w:r>
          </w:p>
        </w:tc>
      </w:tr>
      <w:tr w:rsidR="006D355D" w:rsidRPr="00F34B68" w14:paraId="3240CC3B" w14:textId="77777777" w:rsidTr="006D355D">
        <w:trPr>
          <w:trHeight w:val="319"/>
        </w:trPr>
        <w:tc>
          <w:tcPr>
            <w:tcW w:w="1867" w:type="dxa"/>
            <w:vMerge w:val="restart"/>
          </w:tcPr>
          <w:p w14:paraId="5C97C84A"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Hepatitis</w:t>
            </w:r>
          </w:p>
        </w:tc>
        <w:tc>
          <w:tcPr>
            <w:tcW w:w="3544" w:type="dxa"/>
          </w:tcPr>
          <w:p w14:paraId="45EBAB27"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color w:val="000000"/>
                <w:sz w:val="20"/>
                <w:szCs w:val="22"/>
              </w:rPr>
              <w:t>Aspartate aminotransferase (AST) or alanine aminotransferase (ALT) greater than 3 and up to 5 times upper limit of normal (ULN) or total bilirubin greater than 1.5 and up to 3 times ULN</w:t>
            </w:r>
          </w:p>
        </w:tc>
        <w:tc>
          <w:tcPr>
            <w:tcW w:w="3119" w:type="dxa"/>
          </w:tcPr>
          <w:p w14:paraId="7D11E310"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Withhold</w:t>
            </w:r>
            <w:r w:rsidRPr="00F34B68">
              <w:rPr>
                <w:rFonts w:ascii="Verdana" w:hAnsi="Verdana"/>
                <w:sz w:val="20"/>
                <w:szCs w:val="22"/>
              </w:rPr>
              <w:t xml:space="preserve"> </w:t>
            </w:r>
            <w:r w:rsidRPr="00F34B68">
              <w:rPr>
                <w:rFonts w:ascii="Verdana" w:hAnsi="Verdana"/>
                <w:spacing w:val="-1"/>
                <w:sz w:val="20"/>
                <w:szCs w:val="22"/>
              </w:rPr>
              <w:t>until adverse reactions recover to Grade 0-1</w:t>
            </w:r>
          </w:p>
        </w:tc>
      </w:tr>
      <w:tr w:rsidR="006D355D" w:rsidRPr="00F34B68" w14:paraId="79453882" w14:textId="77777777" w:rsidTr="006D355D">
        <w:trPr>
          <w:trHeight w:val="272"/>
        </w:trPr>
        <w:tc>
          <w:tcPr>
            <w:tcW w:w="1867" w:type="dxa"/>
            <w:vMerge/>
          </w:tcPr>
          <w:p w14:paraId="7AE7D12A" w14:textId="77777777" w:rsidR="006D355D" w:rsidRPr="00F34B68" w:rsidRDefault="006D355D" w:rsidP="006D355D">
            <w:pPr>
              <w:pStyle w:val="TableParagraph"/>
              <w:kinsoku w:val="0"/>
              <w:overflowPunct w:val="0"/>
              <w:rPr>
                <w:rFonts w:ascii="Verdana" w:hAnsi="Verdana"/>
                <w:sz w:val="20"/>
                <w:szCs w:val="22"/>
              </w:rPr>
            </w:pPr>
          </w:p>
        </w:tc>
        <w:tc>
          <w:tcPr>
            <w:tcW w:w="3544" w:type="dxa"/>
          </w:tcPr>
          <w:p w14:paraId="2A504161"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color w:val="000000"/>
                <w:sz w:val="20"/>
                <w:szCs w:val="22"/>
              </w:rPr>
              <w:t>AST or ALT greater than 5 times ULN or total bilirubin greater than 3 times ULN</w:t>
            </w:r>
          </w:p>
        </w:tc>
        <w:tc>
          <w:tcPr>
            <w:tcW w:w="3119" w:type="dxa"/>
          </w:tcPr>
          <w:p w14:paraId="63E8E926"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Permanently</w:t>
            </w:r>
            <w:r w:rsidRPr="00F34B68">
              <w:rPr>
                <w:rFonts w:ascii="Verdana" w:hAnsi="Verdana"/>
                <w:sz w:val="20"/>
                <w:szCs w:val="22"/>
              </w:rPr>
              <w:t xml:space="preserve"> </w:t>
            </w:r>
            <w:r w:rsidRPr="00F34B68">
              <w:rPr>
                <w:rFonts w:ascii="Verdana" w:hAnsi="Verdana"/>
                <w:spacing w:val="-1"/>
                <w:sz w:val="20"/>
                <w:szCs w:val="22"/>
              </w:rPr>
              <w:t>discontinue</w:t>
            </w:r>
          </w:p>
        </w:tc>
      </w:tr>
      <w:tr w:rsidR="006D355D" w:rsidRPr="00F34B68" w14:paraId="7DC507E8" w14:textId="77777777" w:rsidTr="006D355D">
        <w:trPr>
          <w:trHeight w:val="276"/>
        </w:trPr>
        <w:tc>
          <w:tcPr>
            <w:tcW w:w="1867" w:type="dxa"/>
            <w:vMerge w:val="restart"/>
          </w:tcPr>
          <w:p w14:paraId="6F95CE08"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Colitis</w:t>
            </w:r>
          </w:p>
        </w:tc>
        <w:tc>
          <w:tcPr>
            <w:tcW w:w="3544" w:type="dxa"/>
          </w:tcPr>
          <w:p w14:paraId="610DFE04"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Grade</w:t>
            </w:r>
            <w:r w:rsidRPr="00F34B68">
              <w:rPr>
                <w:rFonts w:ascii="Verdana" w:hAnsi="Verdana"/>
                <w:spacing w:val="-2"/>
                <w:sz w:val="20"/>
                <w:szCs w:val="22"/>
              </w:rPr>
              <w:t> </w:t>
            </w:r>
            <w:r w:rsidRPr="00F34B68">
              <w:rPr>
                <w:rFonts w:ascii="Verdana" w:hAnsi="Verdana"/>
                <w:sz w:val="20"/>
                <w:szCs w:val="22"/>
              </w:rPr>
              <w:t>2</w:t>
            </w:r>
            <w:r w:rsidRPr="00F34B68">
              <w:rPr>
                <w:rFonts w:ascii="Verdana" w:hAnsi="Verdana"/>
                <w:spacing w:val="-1"/>
                <w:sz w:val="20"/>
                <w:szCs w:val="22"/>
              </w:rPr>
              <w:t xml:space="preserve"> or Grade 3 colitis or diarrhoea</w:t>
            </w:r>
          </w:p>
        </w:tc>
        <w:tc>
          <w:tcPr>
            <w:tcW w:w="3119" w:type="dxa"/>
          </w:tcPr>
          <w:p w14:paraId="70D6DC0E"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Withhold until adverse reactions recover to Grade 0-1</w:t>
            </w:r>
          </w:p>
        </w:tc>
      </w:tr>
      <w:tr w:rsidR="006D355D" w:rsidRPr="00F34B68" w14:paraId="27D241EC" w14:textId="77777777" w:rsidTr="006D355D">
        <w:trPr>
          <w:trHeight w:val="279"/>
        </w:trPr>
        <w:tc>
          <w:tcPr>
            <w:tcW w:w="1867" w:type="dxa"/>
            <w:vMerge/>
          </w:tcPr>
          <w:p w14:paraId="0ACD5508" w14:textId="77777777" w:rsidR="006D355D" w:rsidRPr="00F34B68" w:rsidRDefault="006D355D" w:rsidP="006D355D">
            <w:pPr>
              <w:pStyle w:val="TableParagraph"/>
              <w:kinsoku w:val="0"/>
              <w:overflowPunct w:val="0"/>
              <w:rPr>
                <w:rFonts w:ascii="Verdana" w:hAnsi="Verdana"/>
                <w:sz w:val="20"/>
                <w:szCs w:val="22"/>
              </w:rPr>
            </w:pPr>
          </w:p>
        </w:tc>
        <w:tc>
          <w:tcPr>
            <w:tcW w:w="3544" w:type="dxa"/>
          </w:tcPr>
          <w:p w14:paraId="0243D03A"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Grade </w:t>
            </w:r>
            <w:r w:rsidRPr="00F34B68">
              <w:rPr>
                <w:rFonts w:ascii="Verdana" w:hAnsi="Verdana"/>
                <w:sz w:val="20"/>
                <w:szCs w:val="22"/>
              </w:rPr>
              <w:t>4</w:t>
            </w:r>
            <w:r w:rsidRPr="00F34B68">
              <w:rPr>
                <w:rFonts w:ascii="Verdana" w:hAnsi="Verdana"/>
                <w:spacing w:val="-1"/>
                <w:sz w:val="20"/>
                <w:szCs w:val="22"/>
              </w:rPr>
              <w:t xml:space="preserve"> colitis or diarrhoea or recurrent Grade 3 colitis</w:t>
            </w:r>
          </w:p>
        </w:tc>
        <w:tc>
          <w:tcPr>
            <w:tcW w:w="3119" w:type="dxa"/>
          </w:tcPr>
          <w:p w14:paraId="7E97FD02"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pacing w:val="-1"/>
                <w:sz w:val="20"/>
                <w:szCs w:val="22"/>
              </w:rPr>
              <w:t>Permanently</w:t>
            </w:r>
            <w:r w:rsidRPr="00F34B68">
              <w:rPr>
                <w:rFonts w:ascii="Verdana" w:hAnsi="Verdana"/>
                <w:sz w:val="20"/>
                <w:szCs w:val="22"/>
              </w:rPr>
              <w:t xml:space="preserve"> </w:t>
            </w:r>
            <w:r w:rsidRPr="00F34B68">
              <w:rPr>
                <w:rFonts w:ascii="Verdana" w:hAnsi="Verdana"/>
                <w:spacing w:val="-1"/>
                <w:sz w:val="20"/>
                <w:szCs w:val="22"/>
              </w:rPr>
              <w:t>discontinue</w:t>
            </w:r>
          </w:p>
        </w:tc>
      </w:tr>
      <w:tr w:rsidR="006D355D" w:rsidRPr="00F34B68" w14:paraId="546FE14A" w14:textId="77777777" w:rsidTr="006D355D">
        <w:trPr>
          <w:trHeight w:val="1126"/>
        </w:trPr>
        <w:tc>
          <w:tcPr>
            <w:tcW w:w="1867" w:type="dxa"/>
          </w:tcPr>
          <w:p w14:paraId="4837BF72"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z w:val="20"/>
                <w:szCs w:val="22"/>
              </w:rPr>
              <w:t>Endocrinopathies (</w:t>
            </w:r>
            <w:r w:rsidRPr="00F34B68">
              <w:rPr>
                <w:rFonts w:ascii="Verdana" w:hAnsi="Verdana"/>
                <w:color w:val="000000"/>
                <w:sz w:val="20"/>
                <w:szCs w:val="22"/>
              </w:rPr>
              <w:t xml:space="preserve">hypothyroidism, hyperthyroidism, adrenal insufficiency, </w:t>
            </w:r>
            <w:proofErr w:type="spellStart"/>
            <w:r w:rsidRPr="00F34B68">
              <w:rPr>
                <w:rFonts w:ascii="Verdana" w:hAnsi="Verdana"/>
                <w:color w:val="000000"/>
                <w:sz w:val="20"/>
                <w:szCs w:val="22"/>
              </w:rPr>
              <w:t>hyperglycemia</w:t>
            </w:r>
            <w:proofErr w:type="spellEnd"/>
            <w:r w:rsidRPr="00F34B68">
              <w:rPr>
                <w:rFonts w:ascii="Verdana" w:hAnsi="Verdana"/>
                <w:spacing w:val="-1"/>
                <w:sz w:val="20"/>
                <w:szCs w:val="22"/>
              </w:rPr>
              <w:t>)</w:t>
            </w:r>
          </w:p>
        </w:tc>
        <w:tc>
          <w:tcPr>
            <w:tcW w:w="3544" w:type="dxa"/>
          </w:tcPr>
          <w:p w14:paraId="1DB8418C"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0"/>
                <w:szCs w:val="22"/>
              </w:rPr>
              <w:t>Grade</w:t>
            </w:r>
            <w:r w:rsidRPr="00F34B68">
              <w:rPr>
                <w:rFonts w:ascii="Verdana" w:hAnsi="Verdana"/>
                <w:spacing w:val="-2"/>
                <w:sz w:val="20"/>
                <w:szCs w:val="22"/>
              </w:rPr>
              <w:t> 3 or Grade 4</w:t>
            </w:r>
            <w:r w:rsidRPr="00F34B68">
              <w:rPr>
                <w:rFonts w:ascii="Verdana" w:hAnsi="Verdana"/>
                <w:sz w:val="20"/>
                <w:szCs w:val="22"/>
              </w:rPr>
              <w:t xml:space="preserve"> endocrinopathies</w:t>
            </w:r>
          </w:p>
        </w:tc>
        <w:tc>
          <w:tcPr>
            <w:tcW w:w="3119" w:type="dxa"/>
          </w:tcPr>
          <w:p w14:paraId="40B75620"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0"/>
                <w:szCs w:val="22"/>
              </w:rPr>
              <w:t>Withhold</w:t>
            </w:r>
            <w:r w:rsidRPr="00F34B68">
              <w:rPr>
                <w:rFonts w:ascii="Verdana" w:hAnsi="Verdana"/>
                <w:sz w:val="20"/>
                <w:szCs w:val="22"/>
              </w:rPr>
              <w:t xml:space="preserve"> </w:t>
            </w:r>
            <w:r w:rsidRPr="00F34B68">
              <w:rPr>
                <w:rFonts w:ascii="Verdana" w:hAnsi="Verdana"/>
                <w:spacing w:val="-1"/>
                <w:sz w:val="20"/>
                <w:szCs w:val="22"/>
              </w:rPr>
              <w:t>until adverse reactions recover to Grade 0-1</w:t>
            </w:r>
          </w:p>
        </w:tc>
      </w:tr>
      <w:tr w:rsidR="006D355D" w:rsidRPr="00F34B68" w14:paraId="26597E27" w14:textId="77777777" w:rsidTr="006D355D">
        <w:trPr>
          <w:trHeight w:val="484"/>
        </w:trPr>
        <w:tc>
          <w:tcPr>
            <w:tcW w:w="1867" w:type="dxa"/>
            <w:vMerge w:val="restart"/>
          </w:tcPr>
          <w:p w14:paraId="6322C1A7" w14:textId="77777777" w:rsidR="006D355D" w:rsidRPr="00F34B68" w:rsidRDefault="006D355D" w:rsidP="006D355D">
            <w:pPr>
              <w:pStyle w:val="TableParagraph"/>
              <w:kinsoku w:val="0"/>
              <w:overflowPunct w:val="0"/>
              <w:rPr>
                <w:rFonts w:ascii="Verdana" w:hAnsi="Verdana"/>
                <w:sz w:val="20"/>
                <w:szCs w:val="22"/>
              </w:rPr>
            </w:pPr>
            <w:r w:rsidRPr="00F34B68">
              <w:rPr>
                <w:rFonts w:ascii="Verdana" w:hAnsi="Verdana"/>
                <w:sz w:val="20"/>
                <w:szCs w:val="22"/>
              </w:rPr>
              <w:t>Nephritis and renal dysfunction</w:t>
            </w:r>
          </w:p>
        </w:tc>
        <w:tc>
          <w:tcPr>
            <w:tcW w:w="3544" w:type="dxa"/>
          </w:tcPr>
          <w:p w14:paraId="476C017A"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0"/>
                <w:szCs w:val="22"/>
              </w:rPr>
              <w:t>Serum creatinine more than 1.5 and up to 6 times ULN</w:t>
            </w:r>
          </w:p>
        </w:tc>
        <w:tc>
          <w:tcPr>
            <w:tcW w:w="3119" w:type="dxa"/>
          </w:tcPr>
          <w:p w14:paraId="15818F0C"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0"/>
                <w:szCs w:val="22"/>
              </w:rPr>
              <w:t>Withhold until adverse reactions recover to Grade 0-1</w:t>
            </w:r>
          </w:p>
        </w:tc>
      </w:tr>
      <w:tr w:rsidR="006D355D" w:rsidRPr="00F34B68" w14:paraId="2B2E3221" w14:textId="77777777" w:rsidTr="006D355D">
        <w:trPr>
          <w:trHeight w:val="279"/>
        </w:trPr>
        <w:tc>
          <w:tcPr>
            <w:tcW w:w="1867" w:type="dxa"/>
            <w:vMerge/>
          </w:tcPr>
          <w:p w14:paraId="524959E3" w14:textId="77777777" w:rsidR="006D355D" w:rsidRPr="00F34B68" w:rsidRDefault="006D355D" w:rsidP="006D355D">
            <w:pPr>
              <w:pStyle w:val="TableParagraph"/>
              <w:kinsoku w:val="0"/>
              <w:overflowPunct w:val="0"/>
              <w:rPr>
                <w:rFonts w:ascii="Verdana" w:hAnsi="Verdana"/>
                <w:sz w:val="20"/>
                <w:szCs w:val="22"/>
              </w:rPr>
            </w:pPr>
          </w:p>
        </w:tc>
        <w:tc>
          <w:tcPr>
            <w:tcW w:w="3544" w:type="dxa"/>
          </w:tcPr>
          <w:p w14:paraId="630A2A63"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0"/>
                <w:szCs w:val="22"/>
              </w:rPr>
              <w:t>Serum creatinine more than 6 times ULN</w:t>
            </w:r>
          </w:p>
        </w:tc>
        <w:tc>
          <w:tcPr>
            <w:tcW w:w="3119" w:type="dxa"/>
          </w:tcPr>
          <w:p w14:paraId="1808F866"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0"/>
                <w:szCs w:val="22"/>
              </w:rPr>
              <w:t>Permanently discontinue</w:t>
            </w:r>
          </w:p>
        </w:tc>
      </w:tr>
      <w:tr w:rsidR="006D355D" w:rsidRPr="00F34B68" w14:paraId="47AE068A" w14:textId="77777777" w:rsidTr="006D355D">
        <w:trPr>
          <w:trHeight w:val="454"/>
        </w:trPr>
        <w:tc>
          <w:tcPr>
            <w:tcW w:w="1867" w:type="dxa"/>
            <w:vMerge w:val="restart"/>
          </w:tcPr>
          <w:p w14:paraId="2645E3FF" w14:textId="77777777" w:rsidR="006D355D" w:rsidRPr="00F34B68" w:rsidRDefault="006D355D" w:rsidP="006D355D">
            <w:pPr>
              <w:pStyle w:val="TableParagraph"/>
              <w:kinsoku w:val="0"/>
              <w:overflowPunct w:val="0"/>
              <w:rPr>
                <w:rFonts w:ascii="Verdana" w:hAnsi="Verdana"/>
                <w:spacing w:val="-1"/>
                <w:sz w:val="20"/>
                <w:szCs w:val="22"/>
                <w:highlight w:val="yellow"/>
              </w:rPr>
            </w:pPr>
            <w:r w:rsidRPr="00F34B68">
              <w:rPr>
                <w:rFonts w:ascii="Verdana" w:hAnsi="Verdana"/>
                <w:spacing w:val="-1"/>
                <w:sz w:val="20"/>
                <w:szCs w:val="22"/>
              </w:rPr>
              <w:t xml:space="preserve">Other immune-related adverse reactions (including myocarditis myositis, hypopituitarism, uveitis, </w:t>
            </w:r>
            <w:proofErr w:type="spellStart"/>
            <w:r w:rsidRPr="00F34B68">
              <w:rPr>
                <w:rFonts w:ascii="Verdana" w:hAnsi="Verdana"/>
                <w:spacing w:val="-1"/>
                <w:sz w:val="20"/>
                <w:szCs w:val="22"/>
              </w:rPr>
              <w:t>Guillain-Barré</w:t>
            </w:r>
            <w:proofErr w:type="spellEnd"/>
            <w:r w:rsidRPr="00F34B68">
              <w:rPr>
                <w:rFonts w:ascii="Verdana" w:hAnsi="Verdana"/>
                <w:spacing w:val="-1"/>
                <w:sz w:val="20"/>
                <w:szCs w:val="22"/>
              </w:rPr>
              <w:t xml:space="preserve"> syndrome)</w:t>
            </w:r>
          </w:p>
          <w:p w14:paraId="62487677" w14:textId="77777777" w:rsidR="006D355D" w:rsidRPr="00F34B68" w:rsidRDefault="006D355D" w:rsidP="006D355D">
            <w:pPr>
              <w:pStyle w:val="TableParagraph"/>
              <w:kinsoku w:val="0"/>
              <w:overflowPunct w:val="0"/>
              <w:rPr>
                <w:rFonts w:ascii="Verdana" w:hAnsi="Verdana"/>
                <w:spacing w:val="-1"/>
                <w:sz w:val="20"/>
                <w:szCs w:val="22"/>
                <w:highlight w:val="yellow"/>
              </w:rPr>
            </w:pPr>
          </w:p>
        </w:tc>
        <w:tc>
          <w:tcPr>
            <w:tcW w:w="3544" w:type="dxa"/>
          </w:tcPr>
          <w:p w14:paraId="10F5A25A"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0"/>
                <w:szCs w:val="22"/>
              </w:rPr>
              <w:t>For any of the following:</w:t>
            </w:r>
          </w:p>
          <w:p w14:paraId="3A62187C" w14:textId="77777777" w:rsidR="006D355D" w:rsidRPr="00F34B68" w:rsidDel="002A5A93" w:rsidRDefault="006D355D" w:rsidP="006D355D">
            <w:pPr>
              <w:pStyle w:val="TableParagraph"/>
              <w:numPr>
                <w:ilvl w:val="0"/>
                <w:numId w:val="11"/>
              </w:numPr>
              <w:kinsoku w:val="0"/>
              <w:overflowPunct w:val="0"/>
              <w:rPr>
                <w:rFonts w:ascii="Verdana" w:hAnsi="Verdana"/>
                <w:spacing w:val="-1"/>
                <w:sz w:val="20"/>
                <w:szCs w:val="22"/>
              </w:rPr>
            </w:pPr>
            <w:r w:rsidRPr="00F34B68">
              <w:rPr>
                <w:rFonts w:ascii="Verdana" w:hAnsi="Verdana"/>
                <w:spacing w:val="-1"/>
                <w:sz w:val="20"/>
                <w:szCs w:val="22"/>
              </w:rPr>
              <w:t>Grade 2 or Grade 3 clinical signs or symptoms of an immune-related adverse reaction not described above.</w:t>
            </w:r>
          </w:p>
        </w:tc>
        <w:tc>
          <w:tcPr>
            <w:tcW w:w="3119" w:type="dxa"/>
          </w:tcPr>
          <w:p w14:paraId="605212F4" w14:textId="77777777" w:rsidR="006D355D" w:rsidRPr="00F34B68" w:rsidDel="002A5A93" w:rsidRDefault="006D355D" w:rsidP="006D355D">
            <w:pPr>
              <w:rPr>
                <w:rFonts w:ascii="Verdana" w:hAnsi="Verdana"/>
                <w:spacing w:val="-1"/>
                <w:sz w:val="20"/>
              </w:rPr>
            </w:pPr>
            <w:r w:rsidRPr="00F34B68">
              <w:rPr>
                <w:rFonts w:ascii="Verdana" w:hAnsi="Verdana"/>
                <w:spacing w:val="-1"/>
                <w:sz w:val="20"/>
              </w:rPr>
              <w:t>Withhold until adverse reactions recover to Grade 0-1</w:t>
            </w:r>
          </w:p>
        </w:tc>
      </w:tr>
      <w:tr w:rsidR="006D355D" w:rsidRPr="00F34B68" w14:paraId="1BF0A30F" w14:textId="77777777" w:rsidTr="006D355D">
        <w:trPr>
          <w:trHeight w:val="454"/>
        </w:trPr>
        <w:tc>
          <w:tcPr>
            <w:tcW w:w="1867" w:type="dxa"/>
            <w:vMerge/>
          </w:tcPr>
          <w:p w14:paraId="7A3DA52F" w14:textId="77777777" w:rsidR="006D355D" w:rsidRPr="00F34B68" w:rsidRDefault="006D355D" w:rsidP="006D355D">
            <w:pPr>
              <w:pStyle w:val="TableParagraph"/>
              <w:kinsoku w:val="0"/>
              <w:overflowPunct w:val="0"/>
              <w:rPr>
                <w:rFonts w:ascii="Verdana" w:hAnsi="Verdana"/>
                <w:spacing w:val="-1"/>
                <w:sz w:val="20"/>
                <w:szCs w:val="22"/>
                <w:highlight w:val="yellow"/>
              </w:rPr>
            </w:pPr>
          </w:p>
        </w:tc>
        <w:tc>
          <w:tcPr>
            <w:tcW w:w="3544" w:type="dxa"/>
          </w:tcPr>
          <w:p w14:paraId="29F70019" w14:textId="77777777" w:rsidR="006D355D" w:rsidRPr="00F34B68" 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0"/>
                <w:szCs w:val="22"/>
              </w:rPr>
              <w:t>For any of the following:</w:t>
            </w:r>
          </w:p>
          <w:p w14:paraId="03CB9AE0" w14:textId="77777777" w:rsidR="006D355D" w:rsidRPr="00F34B68" w:rsidRDefault="006D355D" w:rsidP="006D355D">
            <w:pPr>
              <w:pStyle w:val="TableParagraph"/>
              <w:numPr>
                <w:ilvl w:val="0"/>
                <w:numId w:val="11"/>
              </w:numPr>
              <w:kinsoku w:val="0"/>
              <w:overflowPunct w:val="0"/>
              <w:rPr>
                <w:rFonts w:ascii="Verdana" w:hAnsi="Verdana"/>
                <w:spacing w:val="-1"/>
                <w:sz w:val="20"/>
                <w:szCs w:val="22"/>
              </w:rPr>
            </w:pPr>
            <w:r w:rsidRPr="00F34B68">
              <w:rPr>
                <w:rFonts w:ascii="Verdana" w:hAnsi="Verdana"/>
                <w:spacing w:val="-1"/>
                <w:sz w:val="20"/>
                <w:szCs w:val="22"/>
              </w:rPr>
              <w:t>Life threatening or Grade 4 adverse reaction (excluding endocrinopathies controlled with hormone replacement therapy)</w:t>
            </w:r>
          </w:p>
          <w:p w14:paraId="3501240B" w14:textId="77777777" w:rsidR="006D355D" w:rsidRPr="00F34B68" w:rsidRDefault="006D355D" w:rsidP="006D355D">
            <w:pPr>
              <w:pStyle w:val="TableParagraph"/>
              <w:numPr>
                <w:ilvl w:val="0"/>
                <w:numId w:val="11"/>
              </w:numPr>
              <w:kinsoku w:val="0"/>
              <w:overflowPunct w:val="0"/>
              <w:rPr>
                <w:rFonts w:ascii="Verdana" w:hAnsi="Verdana"/>
                <w:spacing w:val="-1"/>
                <w:sz w:val="20"/>
                <w:szCs w:val="22"/>
              </w:rPr>
            </w:pPr>
            <w:r w:rsidRPr="00F34B68">
              <w:rPr>
                <w:rFonts w:ascii="Verdana" w:hAnsi="Verdana"/>
                <w:spacing w:val="-1"/>
                <w:sz w:val="20"/>
                <w:szCs w:val="22"/>
              </w:rPr>
              <w:t>Recurrent Grade 3 immune-related adverse reaction</w:t>
            </w:r>
          </w:p>
          <w:p w14:paraId="07D09B55" w14:textId="77777777" w:rsidR="006D355D" w:rsidRPr="00F34B68" w:rsidRDefault="006D355D" w:rsidP="006D355D">
            <w:pPr>
              <w:pStyle w:val="TableParagraph"/>
              <w:numPr>
                <w:ilvl w:val="0"/>
                <w:numId w:val="11"/>
              </w:numPr>
              <w:kinsoku w:val="0"/>
              <w:overflowPunct w:val="0"/>
              <w:rPr>
                <w:rFonts w:ascii="Verdana" w:hAnsi="Verdana"/>
                <w:spacing w:val="-1"/>
                <w:sz w:val="20"/>
                <w:szCs w:val="22"/>
              </w:rPr>
            </w:pPr>
            <w:r w:rsidRPr="00F34B68">
              <w:rPr>
                <w:rFonts w:ascii="Verdana" w:hAnsi="Verdana"/>
                <w:spacing w:val="-1"/>
                <w:sz w:val="20"/>
                <w:szCs w:val="22"/>
              </w:rPr>
              <w:t>Requirement for 10 mg per day or greater prednisone or equivalent for more than 12 weeks</w:t>
            </w:r>
          </w:p>
          <w:p w14:paraId="68E3BD7B" w14:textId="77777777" w:rsidR="006D355D" w:rsidRPr="00F34B68" w:rsidDel="002A5A93" w:rsidRDefault="006D355D" w:rsidP="006D355D">
            <w:pPr>
              <w:pStyle w:val="TableParagraph"/>
              <w:numPr>
                <w:ilvl w:val="0"/>
                <w:numId w:val="11"/>
              </w:numPr>
              <w:kinsoku w:val="0"/>
              <w:overflowPunct w:val="0"/>
              <w:rPr>
                <w:rFonts w:ascii="Verdana" w:hAnsi="Verdana"/>
                <w:spacing w:val="-1"/>
                <w:sz w:val="20"/>
                <w:szCs w:val="22"/>
              </w:rPr>
            </w:pPr>
            <w:r w:rsidRPr="00F34B68">
              <w:rPr>
                <w:rFonts w:ascii="Verdana" w:hAnsi="Verdana"/>
                <w:spacing w:val="-1"/>
                <w:sz w:val="20"/>
                <w:szCs w:val="22"/>
              </w:rPr>
              <w:t>Persistent Grade 2 or Grade 3 immune-mediated adverse reactions lasting 12 weeks or longer</w:t>
            </w:r>
          </w:p>
        </w:tc>
        <w:tc>
          <w:tcPr>
            <w:tcW w:w="3119" w:type="dxa"/>
          </w:tcPr>
          <w:p w14:paraId="03E8FAF8" w14:textId="77777777" w:rsidR="006D355D" w:rsidRPr="00F34B68" w:rsidRDefault="006D355D" w:rsidP="006D355D">
            <w:pPr>
              <w:spacing w:after="0" w:line="240" w:lineRule="atLeast"/>
              <w:rPr>
                <w:rFonts w:ascii="Verdana" w:hAnsi="Verdana"/>
                <w:spacing w:val="-1"/>
                <w:sz w:val="20"/>
              </w:rPr>
            </w:pPr>
            <w:r w:rsidRPr="00F34B68">
              <w:rPr>
                <w:rFonts w:ascii="Verdana" w:eastAsia="SimSun" w:hAnsi="Verdana" w:cs="Arial"/>
                <w:spacing w:val="-1"/>
                <w:sz w:val="20"/>
                <w:lang w:eastAsia="zh-CN"/>
              </w:rPr>
              <w:t>Permanently discontinue</w:t>
            </w:r>
          </w:p>
        </w:tc>
      </w:tr>
    </w:tbl>
    <w:p w14:paraId="432DE862" w14:textId="57705B36" w:rsidR="006D355D" w:rsidRPr="00F34B68" w:rsidRDefault="006D355D" w:rsidP="00AA048B">
      <w:pPr>
        <w:rPr>
          <w:rFonts w:ascii="Verdana" w:hAnsi="Verdana"/>
        </w:rPr>
      </w:pPr>
      <w:r w:rsidRPr="00F34B68">
        <w:rPr>
          <w:rFonts w:ascii="Verdana" w:eastAsia="TimesNewRoman" w:hAnsi="Verdana"/>
          <w:sz w:val="20"/>
          <w:lang w:eastAsia="en-GB"/>
        </w:rPr>
        <w:t>Note: toxicity grades are in accordance with National Cancer Institute Common Terminology Criteria for Adverse Events Version 4.0 (NCI</w:t>
      </w:r>
      <w:r w:rsidRPr="00F34B68">
        <w:rPr>
          <w:rFonts w:ascii="Verdana" w:eastAsia="TimesNewRoman" w:hAnsi="Verdana"/>
          <w:sz w:val="20"/>
          <w:lang w:eastAsia="en-GB"/>
        </w:rPr>
        <w:noBreakHyphen/>
        <w:t>CTCAE v4.03)</w:t>
      </w:r>
    </w:p>
    <w:p w14:paraId="12AAD14E" w14:textId="77777777" w:rsidR="00AA048B" w:rsidRPr="00F34B68" w:rsidRDefault="00AA048B" w:rsidP="00623248">
      <w:pPr>
        <w:spacing w:after="120" w:line="240" w:lineRule="auto"/>
        <w:rPr>
          <w:rFonts w:ascii="Verdana" w:hAnsi="Verdana"/>
          <w:i/>
          <w:u w:val="single"/>
        </w:rPr>
      </w:pPr>
      <w:r w:rsidRPr="00F34B68">
        <w:rPr>
          <w:rFonts w:ascii="Verdana" w:hAnsi="Verdana"/>
          <w:i/>
          <w:u w:val="single"/>
        </w:rPr>
        <w:t>Special populations</w:t>
      </w:r>
    </w:p>
    <w:p w14:paraId="3E2C67F7" w14:textId="77777777" w:rsidR="00AA048B" w:rsidRPr="00F34B68" w:rsidRDefault="00AA048B" w:rsidP="00623248">
      <w:pPr>
        <w:spacing w:after="120" w:line="240" w:lineRule="auto"/>
        <w:rPr>
          <w:rFonts w:ascii="Verdana" w:hAnsi="Verdana"/>
          <w:i/>
        </w:rPr>
      </w:pPr>
      <w:r w:rsidRPr="00F34B68">
        <w:rPr>
          <w:rFonts w:ascii="Verdana" w:hAnsi="Verdana"/>
          <w:i/>
        </w:rPr>
        <w:t>Renal impairment</w:t>
      </w:r>
    </w:p>
    <w:p w14:paraId="489D4546" w14:textId="55FD4B5C" w:rsidR="00AA048B" w:rsidRPr="00F34B68" w:rsidRDefault="00AA048B" w:rsidP="00623248">
      <w:pPr>
        <w:spacing w:after="120" w:line="240" w:lineRule="auto"/>
        <w:rPr>
          <w:rFonts w:ascii="Verdana" w:hAnsi="Verdana"/>
        </w:rPr>
      </w:pPr>
      <w:r w:rsidRPr="00F34B68">
        <w:rPr>
          <w:rFonts w:ascii="Verdana" w:hAnsi="Verdana"/>
        </w:rPr>
        <w:t>No dose adjustment is needed for patients with</w:t>
      </w:r>
      <w:r w:rsidR="004B34D9" w:rsidRPr="00F34B68">
        <w:rPr>
          <w:rFonts w:ascii="Verdana" w:hAnsi="Verdana"/>
        </w:rPr>
        <w:t xml:space="preserve"> mild or moderate</w:t>
      </w:r>
      <w:r w:rsidRPr="00F34B68">
        <w:rPr>
          <w:rFonts w:ascii="Verdana" w:hAnsi="Verdana"/>
        </w:rPr>
        <w:t xml:space="preserve"> renal impairment. </w:t>
      </w:r>
      <w:r w:rsidR="004B34D9" w:rsidRPr="00F34B68">
        <w:rPr>
          <w:rFonts w:ascii="Verdana" w:hAnsi="Verdana"/>
        </w:rPr>
        <w:t>There are insufficient data in patients with severe hepatic impairment for dosing.</w:t>
      </w:r>
    </w:p>
    <w:p w14:paraId="54776066" w14:textId="77777777" w:rsidR="00AA048B" w:rsidRPr="00F34B68" w:rsidRDefault="00AA048B" w:rsidP="00623248">
      <w:pPr>
        <w:spacing w:after="120" w:line="240" w:lineRule="auto"/>
        <w:rPr>
          <w:rFonts w:ascii="Verdana" w:hAnsi="Verdana"/>
          <w:i/>
        </w:rPr>
      </w:pPr>
      <w:r w:rsidRPr="00F34B68">
        <w:rPr>
          <w:rFonts w:ascii="Verdana" w:hAnsi="Verdana"/>
          <w:i/>
        </w:rPr>
        <w:t>Hepatic impairment</w:t>
      </w:r>
    </w:p>
    <w:p w14:paraId="02BA1E52" w14:textId="59E85479" w:rsidR="00AA048B" w:rsidRPr="00F34B68" w:rsidRDefault="00AA048B" w:rsidP="00623248">
      <w:pPr>
        <w:spacing w:after="120" w:line="240" w:lineRule="auto"/>
        <w:rPr>
          <w:rFonts w:ascii="Verdana" w:hAnsi="Verdana"/>
        </w:rPr>
      </w:pPr>
      <w:r w:rsidRPr="00F34B68">
        <w:rPr>
          <w:rFonts w:ascii="Verdana" w:hAnsi="Verdana"/>
        </w:rPr>
        <w:t xml:space="preserve">No dose adjustment is needed for patients with mild hepatic impairment. </w:t>
      </w:r>
      <w:r w:rsidR="004B34D9" w:rsidRPr="00F34B68">
        <w:rPr>
          <w:rFonts w:ascii="Verdana" w:hAnsi="Verdana"/>
        </w:rPr>
        <w:t xml:space="preserve">There are insufficient data in patients with moderate or severe hepatic impairment for dosing </w:t>
      </w:r>
      <w:r w:rsidRPr="00F34B68">
        <w:rPr>
          <w:rFonts w:ascii="Verdana" w:hAnsi="Verdana"/>
        </w:rPr>
        <w:t>recommendations.</w:t>
      </w:r>
    </w:p>
    <w:p w14:paraId="3929ED88" w14:textId="77777777" w:rsidR="00AA048B" w:rsidRPr="00F34B68" w:rsidRDefault="00AA048B" w:rsidP="00623248">
      <w:pPr>
        <w:spacing w:after="120" w:line="240" w:lineRule="auto"/>
        <w:rPr>
          <w:rFonts w:ascii="Verdana" w:hAnsi="Verdana"/>
          <w:i/>
          <w:u w:val="single"/>
        </w:rPr>
      </w:pPr>
      <w:r w:rsidRPr="00F34B68">
        <w:rPr>
          <w:rFonts w:ascii="Verdana" w:hAnsi="Verdana"/>
          <w:i/>
          <w:u w:val="single"/>
        </w:rPr>
        <w:t>Administration</w:t>
      </w:r>
    </w:p>
    <w:p w14:paraId="188A47AA" w14:textId="77777777" w:rsidR="00AA048B" w:rsidRPr="00F34B68" w:rsidRDefault="00AA048B" w:rsidP="00623248">
      <w:pPr>
        <w:spacing w:after="120" w:line="240" w:lineRule="auto"/>
        <w:rPr>
          <w:rFonts w:ascii="Verdana" w:hAnsi="Verdana"/>
        </w:rPr>
      </w:pPr>
      <w:r w:rsidRPr="00F34B68">
        <w:rPr>
          <w:rFonts w:ascii="Verdana" w:hAnsi="Verdana"/>
        </w:rPr>
        <w:t>BAVENCIO is administered over 60 minutes as an intravenous infusion using a sterile, non</w:t>
      </w:r>
      <w:r w:rsidRPr="00F34B68">
        <w:rPr>
          <w:rFonts w:ascii="Verdana" w:hAnsi="Verdana"/>
        </w:rPr>
        <w:noBreakHyphen/>
        <w:t>pyrogenic, low</w:t>
      </w:r>
      <w:r w:rsidRPr="00F34B68">
        <w:rPr>
          <w:rFonts w:ascii="Verdana" w:hAnsi="Verdana"/>
        </w:rPr>
        <w:noBreakHyphen/>
        <w:t>protein binding 0.2 µm in</w:t>
      </w:r>
      <w:r w:rsidRPr="00F34B68">
        <w:rPr>
          <w:rFonts w:ascii="Verdana" w:hAnsi="Verdana"/>
        </w:rPr>
        <w:noBreakHyphen/>
        <w:t>line or add</w:t>
      </w:r>
      <w:r w:rsidRPr="00F34B68">
        <w:rPr>
          <w:rFonts w:ascii="Verdana" w:hAnsi="Verdana"/>
        </w:rPr>
        <w:noBreakHyphen/>
        <w:t>on filter.</w:t>
      </w:r>
    </w:p>
    <w:p w14:paraId="0BEBF34B" w14:textId="77777777" w:rsidR="00AA048B" w:rsidRPr="00F34B68" w:rsidRDefault="00AA048B" w:rsidP="00623248">
      <w:pPr>
        <w:spacing w:after="120" w:line="240" w:lineRule="auto"/>
        <w:rPr>
          <w:rFonts w:ascii="Verdana" w:hAnsi="Verdana"/>
        </w:rPr>
      </w:pPr>
      <w:r w:rsidRPr="00F34B68">
        <w:rPr>
          <w:rFonts w:ascii="Verdana" w:hAnsi="Verdana"/>
        </w:rPr>
        <w:t>BAVENCIO has to be diluted with either 0.9% or 0.45% sodium chloride solution prior to infusion.</w:t>
      </w:r>
    </w:p>
    <w:p w14:paraId="5AFB7333" w14:textId="33528D33" w:rsidR="00AA048B" w:rsidRPr="00F34B68" w:rsidRDefault="00AA048B" w:rsidP="00623248">
      <w:pPr>
        <w:spacing w:after="120" w:line="240" w:lineRule="auto"/>
        <w:rPr>
          <w:rFonts w:ascii="Verdana" w:hAnsi="Verdana"/>
        </w:rPr>
      </w:pPr>
      <w:r w:rsidRPr="00F34B68">
        <w:rPr>
          <w:rFonts w:ascii="Verdana" w:hAnsi="Verdana"/>
        </w:rPr>
        <w:t>BAVENCIO infusion must not be administered as an intra</w:t>
      </w:r>
      <w:r w:rsidR="00D878A1" w:rsidRPr="00F34B68">
        <w:rPr>
          <w:rFonts w:ascii="Verdana" w:hAnsi="Verdana"/>
        </w:rPr>
        <w:t>venous push or bolus injection.</w:t>
      </w:r>
    </w:p>
    <w:p w14:paraId="7B7F4776" w14:textId="77777777" w:rsidR="00AA048B" w:rsidRPr="00F34B68" w:rsidRDefault="00AA048B" w:rsidP="00623248">
      <w:pPr>
        <w:spacing w:after="120" w:line="240" w:lineRule="auto"/>
        <w:rPr>
          <w:rFonts w:ascii="Verdana" w:hAnsi="Verdana"/>
          <w:i/>
        </w:rPr>
      </w:pPr>
      <w:r w:rsidRPr="00F34B68">
        <w:rPr>
          <w:rFonts w:ascii="Verdana" w:hAnsi="Verdana"/>
          <w:i/>
        </w:rPr>
        <w:t>Compatibilities</w:t>
      </w:r>
    </w:p>
    <w:p w14:paraId="5CE57533" w14:textId="77777777" w:rsidR="00AA048B" w:rsidRPr="00F34B68" w:rsidRDefault="00AA048B" w:rsidP="00623248">
      <w:pPr>
        <w:spacing w:after="120" w:line="240" w:lineRule="auto"/>
        <w:rPr>
          <w:rFonts w:ascii="Verdana" w:hAnsi="Verdana"/>
        </w:rPr>
      </w:pPr>
      <w:r w:rsidRPr="00F34B68">
        <w:rPr>
          <w:rFonts w:ascii="Verdana" w:hAnsi="Verdana"/>
        </w:rPr>
        <w:t>BAVENCIO is compatible with either 0.9% or 0.45% sodium chloride solution.</w:t>
      </w:r>
    </w:p>
    <w:p w14:paraId="69CDFEC4" w14:textId="77777777" w:rsidR="00AA048B" w:rsidRPr="00F34B68" w:rsidRDefault="00AA048B" w:rsidP="00623248">
      <w:pPr>
        <w:spacing w:after="120" w:line="240" w:lineRule="auto"/>
        <w:rPr>
          <w:rFonts w:ascii="Verdana" w:hAnsi="Verdana"/>
        </w:rPr>
      </w:pPr>
      <w:r w:rsidRPr="00F34B68">
        <w:rPr>
          <w:rFonts w:ascii="Verdana" w:hAnsi="Verdana"/>
        </w:rPr>
        <w:t>BAVENCIO is compatible with polypropylene, and ethylene vinyl acetate infusion bags, glass bottles, polyvinyl chloride infusion sets and in</w:t>
      </w:r>
      <w:r w:rsidRPr="00F34B68">
        <w:rPr>
          <w:rFonts w:ascii="Verdana" w:hAnsi="Verdana"/>
        </w:rPr>
        <w:noBreakHyphen/>
        <w:t xml:space="preserve">line filters with </w:t>
      </w:r>
      <w:proofErr w:type="spellStart"/>
      <w:r w:rsidRPr="00F34B68">
        <w:rPr>
          <w:rFonts w:ascii="Verdana" w:hAnsi="Verdana"/>
        </w:rPr>
        <w:t>polyethersulfone</w:t>
      </w:r>
      <w:proofErr w:type="spellEnd"/>
      <w:r w:rsidRPr="00F34B68">
        <w:rPr>
          <w:rFonts w:ascii="Verdana" w:hAnsi="Verdana"/>
        </w:rPr>
        <w:t xml:space="preserve"> membranes with pore sizes of 0.2 µm.</w:t>
      </w:r>
    </w:p>
    <w:p w14:paraId="6909248D" w14:textId="42496AE7" w:rsidR="00AA048B" w:rsidRPr="00F34B68" w:rsidRDefault="00AA048B" w:rsidP="00623248">
      <w:pPr>
        <w:spacing w:after="120" w:line="240" w:lineRule="auto"/>
        <w:rPr>
          <w:rFonts w:ascii="Verdana" w:hAnsi="Verdana"/>
        </w:rPr>
      </w:pPr>
      <w:r w:rsidRPr="00F34B68">
        <w:rPr>
          <w:rFonts w:ascii="Verdana" w:hAnsi="Verdana"/>
        </w:rPr>
        <w:t>BAVENCIO must not be mixed with other medicinal product</w:t>
      </w:r>
      <w:r w:rsidR="00D878A1" w:rsidRPr="00F34B68">
        <w:rPr>
          <w:rFonts w:ascii="Verdana" w:hAnsi="Verdana"/>
        </w:rPr>
        <w:t>s except those mentioned above.</w:t>
      </w:r>
    </w:p>
    <w:p w14:paraId="1ECC26D1" w14:textId="77777777" w:rsidR="00AA048B" w:rsidRPr="00F34B68" w:rsidRDefault="00AA048B" w:rsidP="00623248">
      <w:pPr>
        <w:spacing w:after="120" w:line="240" w:lineRule="auto"/>
        <w:rPr>
          <w:rFonts w:ascii="Verdana" w:hAnsi="Verdana"/>
          <w:i/>
        </w:rPr>
      </w:pPr>
      <w:r w:rsidRPr="00F34B68">
        <w:rPr>
          <w:rFonts w:ascii="Verdana" w:hAnsi="Verdana"/>
          <w:i/>
        </w:rPr>
        <w:lastRenderedPageBreak/>
        <w:t>Handling instructions</w:t>
      </w:r>
    </w:p>
    <w:p w14:paraId="18F9E17E" w14:textId="77777777" w:rsidR="00AA048B" w:rsidRPr="00F34B68" w:rsidRDefault="00AA048B" w:rsidP="00623248">
      <w:pPr>
        <w:spacing w:after="120" w:line="240" w:lineRule="auto"/>
        <w:rPr>
          <w:rFonts w:ascii="Verdana" w:hAnsi="Verdana"/>
        </w:rPr>
      </w:pPr>
      <w:r w:rsidRPr="00F34B68">
        <w:rPr>
          <w:rFonts w:ascii="Verdana" w:hAnsi="Verdana"/>
        </w:rPr>
        <w:t>An aseptic technique for the preparation of the solution for infusion has to be used.</w:t>
      </w:r>
    </w:p>
    <w:p w14:paraId="454C4FC7" w14:textId="77777777" w:rsidR="00AA048B" w:rsidRPr="00F34B68" w:rsidRDefault="00AA048B" w:rsidP="00623248">
      <w:pPr>
        <w:spacing w:after="120" w:line="240" w:lineRule="auto"/>
        <w:rPr>
          <w:rFonts w:ascii="Verdana" w:hAnsi="Verdana"/>
        </w:rPr>
      </w:pPr>
      <w:r w:rsidRPr="00F34B68">
        <w:rPr>
          <w:rFonts w:ascii="Verdana" w:hAnsi="Verdana"/>
        </w:rPr>
        <w:t>The vial should be visually inspected for particulate matter and discoloration. BAVENCIO is a clear, colourless to slightly yellow solution. If the solution is cloudy, discoloured, or contains particulate matter, the vial has to be discarded.</w:t>
      </w:r>
    </w:p>
    <w:p w14:paraId="1B9D5731" w14:textId="77777777" w:rsidR="00AA048B" w:rsidRPr="00F34B68" w:rsidRDefault="00AA048B" w:rsidP="00623248">
      <w:pPr>
        <w:spacing w:after="120" w:line="240" w:lineRule="auto"/>
        <w:rPr>
          <w:rFonts w:ascii="Verdana" w:hAnsi="Verdana"/>
        </w:rPr>
      </w:pPr>
      <w:r w:rsidRPr="00F34B68">
        <w:rPr>
          <w:rFonts w:ascii="Verdana" w:hAnsi="Verdana"/>
        </w:rPr>
        <w:t>An infusion bag of appropriate size (preferable 250 mL) containing either 0.9% or 0.45% sodium chloride solution should be used. The required volume of BAVENCIO has to be withdrawn from the vial(s) and to be transferred to the infusion bag. Any partially used or empty vials have to be discarded.</w:t>
      </w:r>
    </w:p>
    <w:p w14:paraId="2ED68029" w14:textId="732D2EEA" w:rsidR="00AA048B" w:rsidRPr="00F34B68" w:rsidRDefault="00AA048B" w:rsidP="00623248">
      <w:pPr>
        <w:spacing w:after="120" w:line="240" w:lineRule="auto"/>
        <w:rPr>
          <w:rFonts w:ascii="Verdana" w:hAnsi="Verdana"/>
        </w:rPr>
      </w:pPr>
      <w:r w:rsidRPr="00F34B68">
        <w:rPr>
          <w:rFonts w:ascii="Verdana" w:hAnsi="Verdana"/>
        </w:rPr>
        <w:t>The diluted solution should be mixed gently inverting the bag in order to avoid foaming or exce</w:t>
      </w:r>
      <w:r w:rsidR="00623248">
        <w:rPr>
          <w:rFonts w:ascii="Verdana" w:hAnsi="Verdana"/>
        </w:rPr>
        <w:t>ssive shearing of the solution.</w:t>
      </w:r>
    </w:p>
    <w:p w14:paraId="75FF71D8" w14:textId="77777777" w:rsidR="00AA048B" w:rsidRPr="00F34B68" w:rsidRDefault="00AA048B" w:rsidP="00623248">
      <w:pPr>
        <w:spacing w:after="120" w:line="240" w:lineRule="auto"/>
        <w:rPr>
          <w:rFonts w:ascii="Verdana" w:hAnsi="Verdana"/>
        </w:rPr>
      </w:pPr>
      <w:r w:rsidRPr="00F34B68">
        <w:rPr>
          <w:rFonts w:ascii="Verdana" w:hAnsi="Verdana"/>
        </w:rPr>
        <w:t>The solution should be inspected to ensure it is clear, colourless, and free of visible particles. The diluted solution should be used immediately once prepared.</w:t>
      </w:r>
    </w:p>
    <w:p w14:paraId="63BF5A36" w14:textId="77777777" w:rsidR="00AA048B" w:rsidRPr="00F34B68" w:rsidRDefault="00AA048B" w:rsidP="00623248">
      <w:pPr>
        <w:spacing w:after="120" w:line="240" w:lineRule="auto"/>
        <w:rPr>
          <w:rFonts w:ascii="Verdana" w:hAnsi="Verdana"/>
        </w:rPr>
      </w:pPr>
      <w:r w:rsidRPr="00F34B68">
        <w:rPr>
          <w:rFonts w:ascii="Verdana" w:hAnsi="Verdana"/>
        </w:rPr>
        <w:t>Do not co</w:t>
      </w:r>
      <w:r w:rsidRPr="00F34B68">
        <w:rPr>
          <w:rFonts w:ascii="Verdana" w:hAnsi="Verdana"/>
        </w:rPr>
        <w:noBreakHyphen/>
        <w:t>administer other drugs through the same intravenous line.</w:t>
      </w:r>
    </w:p>
    <w:p w14:paraId="3EF4B570" w14:textId="77777777" w:rsidR="00AA048B" w:rsidRPr="00F34B68" w:rsidRDefault="00AA048B" w:rsidP="00623248">
      <w:pPr>
        <w:spacing w:after="120" w:line="240" w:lineRule="auto"/>
        <w:rPr>
          <w:rFonts w:ascii="Verdana" w:hAnsi="Verdana"/>
        </w:rPr>
      </w:pPr>
      <w:r w:rsidRPr="00F34B68">
        <w:rPr>
          <w:rFonts w:ascii="Verdana" w:hAnsi="Verdana"/>
        </w:rPr>
        <w:t>Administer the infusion as described above.</w:t>
      </w:r>
    </w:p>
    <w:p w14:paraId="4CE17223" w14:textId="77777777" w:rsidR="00AA048B" w:rsidRPr="00F34B68" w:rsidRDefault="00AA048B" w:rsidP="00623248">
      <w:pPr>
        <w:spacing w:after="120" w:line="240" w:lineRule="auto"/>
        <w:rPr>
          <w:rFonts w:ascii="Verdana" w:hAnsi="Verdana"/>
        </w:rPr>
      </w:pPr>
      <w:r w:rsidRPr="00F34B68">
        <w:rPr>
          <w:rFonts w:ascii="Verdana" w:hAnsi="Verdana"/>
        </w:rPr>
        <w:t>After administration of BAVENCIO, the line should be flushed with either 0.9% or 0.45% sodium chloride solution.</w:t>
      </w:r>
    </w:p>
    <w:p w14:paraId="7FE48A7E" w14:textId="77777777" w:rsidR="001A3992" w:rsidRPr="00F34B68" w:rsidRDefault="001A3992" w:rsidP="001A3992">
      <w:pPr>
        <w:pStyle w:val="Heading2"/>
        <w:spacing w:before="0" w:after="120"/>
        <w:rPr>
          <w:rFonts w:ascii="Verdana" w:hAnsi="Verdana"/>
          <w:sz w:val="22"/>
        </w:rPr>
      </w:pPr>
      <w:r w:rsidRPr="00F34B68">
        <w:rPr>
          <w:rFonts w:ascii="Verdana" w:hAnsi="Verdana"/>
          <w:sz w:val="22"/>
        </w:rPr>
        <w:t>Contraindications</w:t>
      </w:r>
    </w:p>
    <w:p w14:paraId="7DA2058C" w14:textId="7140DC1D" w:rsidR="00816131" w:rsidRPr="00F34B68" w:rsidRDefault="00970AD9" w:rsidP="00816131">
      <w:pPr>
        <w:rPr>
          <w:rFonts w:ascii="Verdana" w:hAnsi="Verdana"/>
        </w:rPr>
      </w:pPr>
      <w:r>
        <w:rPr>
          <w:rFonts w:ascii="Verdana" w:hAnsi="Verdana"/>
        </w:rPr>
        <w:t>Hypersensitivity to the active substance or to any of the excipients</w:t>
      </w:r>
    </w:p>
    <w:p w14:paraId="4BBBBCC7" w14:textId="5EFC78B8" w:rsidR="001A3992" w:rsidRPr="00F34B68" w:rsidRDefault="00E74A56" w:rsidP="001A3992">
      <w:pPr>
        <w:pStyle w:val="Heading2"/>
        <w:spacing w:before="0" w:after="120"/>
        <w:rPr>
          <w:rFonts w:ascii="Verdana" w:hAnsi="Verdana"/>
          <w:sz w:val="22"/>
        </w:rPr>
      </w:pPr>
      <w:r w:rsidRPr="00F34B68">
        <w:rPr>
          <w:rFonts w:ascii="Verdana" w:hAnsi="Verdana"/>
          <w:sz w:val="22"/>
        </w:rPr>
        <w:t>Special warnings and p</w:t>
      </w:r>
      <w:r w:rsidR="001A3992" w:rsidRPr="00F34B68">
        <w:rPr>
          <w:rFonts w:ascii="Verdana" w:hAnsi="Verdana"/>
          <w:sz w:val="22"/>
        </w:rPr>
        <w:t xml:space="preserve">recautions </w:t>
      </w:r>
      <w:r w:rsidRPr="00F34B68">
        <w:rPr>
          <w:rFonts w:ascii="Verdana" w:hAnsi="Verdana"/>
          <w:sz w:val="22"/>
        </w:rPr>
        <w:t>for use</w:t>
      </w:r>
    </w:p>
    <w:p w14:paraId="115A6C77" w14:textId="77777777" w:rsidR="007805E4" w:rsidRPr="00623248" w:rsidRDefault="007805E4" w:rsidP="00623248">
      <w:pPr>
        <w:spacing w:after="120" w:line="240" w:lineRule="auto"/>
        <w:rPr>
          <w:rFonts w:ascii="Verdana" w:eastAsia="TimesNewRoman" w:hAnsi="Verdana"/>
          <w:lang w:eastAsia="en-GB"/>
        </w:rPr>
      </w:pPr>
      <w:r w:rsidRPr="00623248">
        <w:rPr>
          <w:rFonts w:ascii="Verdana" w:hAnsi="Verdana"/>
          <w:noProof/>
          <w:u w:val="single"/>
        </w:rPr>
        <w:t>Infusion</w:t>
      </w:r>
      <w:r w:rsidRPr="00623248">
        <w:rPr>
          <w:rFonts w:ascii="Verdana" w:hAnsi="Verdana"/>
          <w:noProof/>
          <w:u w:val="single"/>
        </w:rPr>
        <w:noBreakHyphen/>
        <w:t>related reactions</w:t>
      </w:r>
    </w:p>
    <w:p w14:paraId="54FFC30F" w14:textId="6101F39A" w:rsidR="007805E4" w:rsidRPr="00623248" w:rsidRDefault="007805E4" w:rsidP="00623248">
      <w:pPr>
        <w:spacing w:after="120" w:line="240" w:lineRule="auto"/>
        <w:rPr>
          <w:rFonts w:ascii="Verdana" w:eastAsia="TimesNewRoman" w:hAnsi="Verdana"/>
          <w:lang w:eastAsia="en-GB"/>
        </w:rPr>
      </w:pPr>
      <w:r w:rsidRPr="00623248">
        <w:rPr>
          <w:rFonts w:ascii="Verdana" w:eastAsia="TimesNewRoman" w:hAnsi="Verdana"/>
          <w:lang w:eastAsia="en-GB"/>
        </w:rPr>
        <w:t>Infusion</w:t>
      </w:r>
      <w:r w:rsidRPr="00623248">
        <w:rPr>
          <w:rFonts w:ascii="Verdana" w:eastAsia="TimesNewRoman" w:hAnsi="Verdana"/>
          <w:lang w:eastAsia="en-GB"/>
        </w:rPr>
        <w:noBreakHyphen/>
        <w:t xml:space="preserve">related reactions, </w:t>
      </w:r>
      <w:r w:rsidRPr="00623248">
        <w:rPr>
          <w:rFonts w:ascii="Verdana" w:hAnsi="Verdana"/>
        </w:rPr>
        <w:t>which might be severe,</w:t>
      </w:r>
      <w:r w:rsidRPr="00623248">
        <w:rPr>
          <w:rFonts w:ascii="Verdana" w:eastAsia="TimesNewRoman" w:hAnsi="Verdana"/>
          <w:lang w:eastAsia="en-GB"/>
        </w:rPr>
        <w:t xml:space="preserve"> have been reported in patients receiving </w:t>
      </w:r>
      <w:r w:rsidRPr="00623248">
        <w:rPr>
          <w:rFonts w:ascii="Verdana" w:hAnsi="Verdana"/>
          <w:noProof/>
        </w:rPr>
        <w:t>avelumab</w:t>
      </w:r>
      <w:r w:rsidR="004D0C55">
        <w:rPr>
          <w:rFonts w:ascii="Verdana" w:hAnsi="Verdana"/>
          <w:noProof/>
        </w:rPr>
        <w:t>,</w:t>
      </w:r>
      <w:r w:rsidRPr="00623248">
        <w:rPr>
          <w:rFonts w:ascii="Verdana" w:hAnsi="Verdana"/>
          <w:noProof/>
        </w:rPr>
        <w:t xml:space="preserve"> </w:t>
      </w:r>
      <w:r w:rsidR="00F34B68" w:rsidRPr="00623248">
        <w:rPr>
          <w:rFonts w:ascii="Verdana" w:eastAsia="TimesNewRoman" w:hAnsi="Verdana"/>
          <w:lang w:eastAsia="en-GB"/>
        </w:rPr>
        <w:t>see section 4.8.</w:t>
      </w:r>
    </w:p>
    <w:p w14:paraId="72EAE845" w14:textId="77777777" w:rsidR="007805E4" w:rsidRPr="00623248" w:rsidRDefault="007805E4" w:rsidP="00623248">
      <w:pPr>
        <w:spacing w:after="120" w:line="240" w:lineRule="auto"/>
        <w:rPr>
          <w:rFonts w:ascii="Verdana" w:hAnsi="Verdana"/>
          <w:lang w:eastAsia="en-GB"/>
        </w:rPr>
      </w:pPr>
      <w:r w:rsidRPr="00623248">
        <w:rPr>
          <w:rFonts w:ascii="Verdana" w:hAnsi="Verdana"/>
          <w:lang w:eastAsia="en-GB"/>
        </w:rPr>
        <w:t>Patients should be monitored for signs and symptoms of infusion</w:t>
      </w:r>
      <w:r w:rsidRPr="00623248">
        <w:rPr>
          <w:rFonts w:ascii="Verdana" w:hAnsi="Verdana"/>
          <w:lang w:eastAsia="en-GB"/>
        </w:rPr>
        <w:noBreakHyphen/>
        <w:t>related reactions including pyrexia, chills, flushing, hypotension, dyspnoea, wheezing, back pain, abdominal pain, and urticaria.</w:t>
      </w:r>
    </w:p>
    <w:p w14:paraId="38DD8665" w14:textId="77777777" w:rsidR="007805E4" w:rsidRPr="00623248" w:rsidRDefault="007805E4" w:rsidP="00623248">
      <w:pPr>
        <w:spacing w:after="120" w:line="240" w:lineRule="auto"/>
        <w:rPr>
          <w:rFonts w:ascii="Verdana" w:eastAsia="TimesNewRoman" w:hAnsi="Verdana"/>
          <w:lang w:eastAsia="en-GB"/>
        </w:rPr>
      </w:pPr>
      <w:r w:rsidRPr="00623248">
        <w:rPr>
          <w:rFonts w:ascii="Verdana" w:hAnsi="Verdana"/>
          <w:lang w:eastAsia="en-GB"/>
        </w:rPr>
        <w:t>For Grade 3 or Grade 4 infusion</w:t>
      </w:r>
      <w:r w:rsidRPr="00623248">
        <w:rPr>
          <w:rFonts w:ascii="Verdana" w:hAnsi="Verdana"/>
          <w:lang w:eastAsia="en-GB"/>
        </w:rPr>
        <w:noBreakHyphen/>
        <w:t xml:space="preserve">related reactions, the infusion should be stopped and </w:t>
      </w:r>
      <w:r w:rsidRPr="00623248">
        <w:rPr>
          <w:rFonts w:ascii="Verdana" w:hAnsi="Verdana"/>
          <w:noProof/>
        </w:rPr>
        <w:t xml:space="preserve">avelumab </w:t>
      </w:r>
      <w:r w:rsidRPr="00623248">
        <w:rPr>
          <w:rFonts w:ascii="Verdana" w:hAnsi="Verdana"/>
          <w:lang w:eastAsia="en-GB"/>
        </w:rPr>
        <w:t>should be permanently discontinued</w:t>
      </w:r>
      <w:r w:rsidRPr="00623248">
        <w:rPr>
          <w:rFonts w:ascii="Verdana" w:eastAsia="TimesNewRoman" w:hAnsi="Verdana"/>
          <w:lang w:eastAsia="en-GB"/>
        </w:rPr>
        <w:t>.</w:t>
      </w:r>
    </w:p>
    <w:p w14:paraId="257996C0" w14:textId="74203054" w:rsidR="007805E4" w:rsidRPr="00623248" w:rsidRDefault="007805E4" w:rsidP="00623248">
      <w:pPr>
        <w:spacing w:after="120" w:line="240" w:lineRule="auto"/>
        <w:rPr>
          <w:rFonts w:ascii="Verdana" w:hAnsi="Verdana"/>
          <w:lang w:eastAsia="en-GB"/>
        </w:rPr>
      </w:pPr>
      <w:r w:rsidRPr="00623248">
        <w:rPr>
          <w:rFonts w:ascii="Verdana" w:hAnsi="Verdana"/>
          <w:lang w:eastAsia="en-GB"/>
        </w:rPr>
        <w:t>For Grade 1 infusion</w:t>
      </w:r>
      <w:r w:rsidRPr="00623248">
        <w:rPr>
          <w:rFonts w:ascii="Verdana" w:hAnsi="Verdana"/>
          <w:lang w:eastAsia="en-GB"/>
        </w:rPr>
        <w:noBreakHyphen/>
        <w:t>related reactions, the infusion rate should be slowed by 50% for the current infusion. For patients with Grade 2 infusion</w:t>
      </w:r>
      <w:r w:rsidRPr="00623248">
        <w:rPr>
          <w:rFonts w:ascii="Verdana" w:hAnsi="Verdana"/>
          <w:lang w:eastAsia="en-GB"/>
        </w:rPr>
        <w:noBreakHyphen/>
        <w:t>related reactions, the infusion should be temporar</w:t>
      </w:r>
      <w:r w:rsidR="001E5C06">
        <w:rPr>
          <w:rFonts w:ascii="Verdana" w:hAnsi="Verdana"/>
          <w:lang w:eastAsia="en-GB"/>
        </w:rPr>
        <w:t>il</w:t>
      </w:r>
      <w:r w:rsidRPr="00623248">
        <w:rPr>
          <w:rFonts w:ascii="Verdana" w:hAnsi="Verdana"/>
          <w:lang w:eastAsia="en-GB"/>
        </w:rPr>
        <w:t xml:space="preserve">y discontinued until Grade 1 or resolved, </w:t>
      </w:r>
      <w:proofErr w:type="gramStart"/>
      <w:r w:rsidRPr="00623248">
        <w:rPr>
          <w:rFonts w:ascii="Verdana" w:hAnsi="Verdana"/>
          <w:lang w:eastAsia="en-GB"/>
        </w:rPr>
        <w:t>then</w:t>
      </w:r>
      <w:proofErr w:type="gramEnd"/>
      <w:r w:rsidRPr="00623248">
        <w:rPr>
          <w:rFonts w:ascii="Verdana" w:hAnsi="Verdana"/>
          <w:lang w:eastAsia="en-GB"/>
        </w:rPr>
        <w:t xml:space="preserve"> the infusion will restart with a 50% slower infusion rate</w:t>
      </w:r>
      <w:r w:rsidR="004D0C55">
        <w:rPr>
          <w:rFonts w:ascii="Verdana" w:hAnsi="Verdana"/>
          <w:lang w:eastAsia="en-GB"/>
        </w:rPr>
        <w:t>,</w:t>
      </w:r>
      <w:r w:rsidR="00F34B68" w:rsidRPr="00623248">
        <w:rPr>
          <w:rFonts w:ascii="Verdana" w:hAnsi="Verdana"/>
          <w:b/>
          <w:lang w:eastAsia="en-GB"/>
        </w:rPr>
        <w:t xml:space="preserve"> </w:t>
      </w:r>
      <w:r w:rsidR="00F34B68" w:rsidRPr="00623248">
        <w:rPr>
          <w:rFonts w:ascii="Verdana" w:hAnsi="Verdana"/>
          <w:lang w:eastAsia="en-GB"/>
        </w:rPr>
        <w:t>see section 4.2.</w:t>
      </w:r>
    </w:p>
    <w:p w14:paraId="44991738" w14:textId="68F63583" w:rsidR="007805E4" w:rsidRPr="00623248" w:rsidRDefault="007805E4" w:rsidP="00623248">
      <w:pPr>
        <w:spacing w:after="120" w:line="240" w:lineRule="auto"/>
        <w:rPr>
          <w:rFonts w:ascii="Verdana" w:hAnsi="Verdana"/>
          <w:lang w:eastAsia="en-GB"/>
        </w:rPr>
      </w:pPr>
      <w:r w:rsidRPr="00623248">
        <w:rPr>
          <w:rFonts w:ascii="Verdana" w:hAnsi="Verdana"/>
          <w:lang w:eastAsia="en-GB"/>
        </w:rPr>
        <w:t>In case of recurrence of Grade 1 or Grade 2 infusion-related reaction, the patient may continue to receive avelumab under close monitoring, after appropriate infusion rate modification and premedication with paracetamol and antihistamine</w:t>
      </w:r>
      <w:r w:rsidR="004D0C55">
        <w:rPr>
          <w:rFonts w:ascii="Verdana" w:hAnsi="Verdana"/>
          <w:lang w:eastAsia="en-GB"/>
        </w:rPr>
        <w:t>,</w:t>
      </w:r>
      <w:r w:rsidRPr="00623248">
        <w:rPr>
          <w:rFonts w:ascii="Verdana" w:hAnsi="Verdana"/>
          <w:lang w:eastAsia="en-GB"/>
        </w:rPr>
        <w:t xml:space="preserve"> </w:t>
      </w:r>
      <w:r w:rsidR="00F34B68" w:rsidRPr="00623248">
        <w:rPr>
          <w:rFonts w:ascii="Verdana" w:eastAsia="TimesNewRoman" w:hAnsi="Verdana"/>
          <w:lang w:eastAsia="en-GB"/>
        </w:rPr>
        <w:t>see section 4.2.</w:t>
      </w:r>
    </w:p>
    <w:p w14:paraId="31524C5C" w14:textId="77777777" w:rsidR="00502B50" w:rsidRPr="00623248" w:rsidRDefault="00502B50" w:rsidP="00502B50">
      <w:pPr>
        <w:spacing w:after="120" w:line="240" w:lineRule="auto"/>
        <w:rPr>
          <w:rFonts w:ascii="Verdana" w:hAnsi="Verdana"/>
          <w:lang w:eastAsia="en-GB"/>
        </w:rPr>
      </w:pPr>
      <w:r w:rsidRPr="00623248">
        <w:rPr>
          <w:rFonts w:ascii="Verdana" w:hAnsi="Verdana"/>
          <w:lang w:eastAsia="en-GB"/>
        </w:rPr>
        <w:t>In clinical trials, 98.6% (433/439) of patients with infusion-related reactions had a first infusion-related reaction during the first 4 infusions of which 2.7% (12/439) were Grade ≥ 3. In the remaining 1.4% (6/439) of patients, infusion-related reactions occurred after the first 4 infusions and all were of Grade 1 or Grade 2.</w:t>
      </w:r>
    </w:p>
    <w:p w14:paraId="3F3D130D" w14:textId="77777777" w:rsidR="00422D8C" w:rsidRPr="00623248" w:rsidRDefault="00422D8C" w:rsidP="00623248">
      <w:pPr>
        <w:spacing w:after="120" w:line="240" w:lineRule="auto"/>
        <w:rPr>
          <w:rFonts w:ascii="Verdana" w:hAnsi="Verdana"/>
          <w:noProof/>
          <w:u w:val="single"/>
        </w:rPr>
      </w:pPr>
      <w:r w:rsidRPr="00623248">
        <w:rPr>
          <w:rFonts w:ascii="Verdana" w:hAnsi="Verdana"/>
          <w:noProof/>
          <w:u w:val="single"/>
        </w:rPr>
        <w:lastRenderedPageBreak/>
        <w:t>Immune</w:t>
      </w:r>
      <w:r w:rsidRPr="00623248">
        <w:rPr>
          <w:rFonts w:ascii="Verdana" w:hAnsi="Verdana"/>
          <w:noProof/>
          <w:u w:val="single"/>
        </w:rPr>
        <w:noBreakHyphen/>
        <w:t>related adverse reactions</w:t>
      </w:r>
    </w:p>
    <w:p w14:paraId="0EFBB383" w14:textId="5F662C94" w:rsidR="00422D8C" w:rsidRPr="00623248" w:rsidRDefault="00422D8C" w:rsidP="00623248">
      <w:pPr>
        <w:spacing w:after="120" w:line="240" w:lineRule="auto"/>
        <w:rPr>
          <w:rFonts w:ascii="Verdana" w:hAnsi="Verdana"/>
          <w:noProof/>
        </w:rPr>
      </w:pPr>
      <w:r w:rsidRPr="00623248">
        <w:rPr>
          <w:rFonts w:ascii="Verdana" w:hAnsi="Verdana"/>
          <w:noProof/>
        </w:rPr>
        <w:t>Most immune</w:t>
      </w:r>
      <w:r w:rsidRPr="00623248">
        <w:rPr>
          <w:rFonts w:ascii="Verdana" w:hAnsi="Verdana"/>
          <w:noProof/>
        </w:rPr>
        <w:noBreakHyphen/>
        <w:t xml:space="preserve">related adverse reactions occurring during treatment with avelumab were reversible and managed with </w:t>
      </w:r>
      <w:r w:rsidRPr="00623248">
        <w:rPr>
          <w:rFonts w:ascii="Verdana" w:hAnsi="Verdana"/>
          <w:lang w:eastAsia="en-GB"/>
        </w:rPr>
        <w:t>temporary or permanent discontinuation</w:t>
      </w:r>
      <w:r w:rsidRPr="00623248" w:rsidDel="0076599A">
        <w:rPr>
          <w:rFonts w:ascii="Verdana" w:hAnsi="Verdana"/>
          <w:noProof/>
        </w:rPr>
        <w:t xml:space="preserve"> </w:t>
      </w:r>
      <w:r w:rsidRPr="00623248">
        <w:rPr>
          <w:rFonts w:ascii="Verdana" w:hAnsi="Verdana"/>
          <w:noProof/>
        </w:rPr>
        <w:t>of avelumab, administration of corticosteroids and/or supportive care. Immune</w:t>
      </w:r>
      <w:r w:rsidRPr="00623248">
        <w:rPr>
          <w:rFonts w:ascii="Verdana" w:hAnsi="Verdana"/>
          <w:noProof/>
        </w:rPr>
        <w:noBreakHyphen/>
        <w:t>related adverse reactions have also occurred after the last dose of avelumab.</w:t>
      </w:r>
    </w:p>
    <w:p w14:paraId="6532F55B" w14:textId="7380E450" w:rsidR="00422D8C" w:rsidRPr="00623248" w:rsidRDefault="00422D8C" w:rsidP="00623248">
      <w:pPr>
        <w:spacing w:after="120" w:line="240" w:lineRule="auto"/>
        <w:rPr>
          <w:rFonts w:ascii="Verdana" w:hAnsi="Verdana"/>
          <w:noProof/>
        </w:rPr>
      </w:pPr>
      <w:r w:rsidRPr="00623248">
        <w:rPr>
          <w:rFonts w:ascii="Verdana" w:hAnsi="Verdana"/>
          <w:noProof/>
        </w:rPr>
        <w:t xml:space="preserve">For suspected immune-related adverse reactions, adequate evaluation should be performed to confirm aetiology or exclude other causes. Based on the severity of the adverse reaction, avelumab should be withheld and corticosteroids administered. If corticosteroids are used to treat an adverse reaction, a taper of at least 1 month duration should be initiated upon improvement. In patients, whose immune-related adverse reactions could not be controlled with corticosteroid use, administration of other systemic immunosuppressants may be considered. </w:t>
      </w:r>
    </w:p>
    <w:p w14:paraId="6EFB92F3" w14:textId="77777777" w:rsidR="00422D8C" w:rsidRPr="00623248" w:rsidRDefault="00422D8C" w:rsidP="00623248">
      <w:pPr>
        <w:spacing w:after="120" w:line="240" w:lineRule="auto"/>
        <w:rPr>
          <w:rFonts w:ascii="Verdana" w:hAnsi="Verdana"/>
          <w:i/>
          <w:noProof/>
          <w:u w:val="single"/>
        </w:rPr>
      </w:pPr>
      <w:r w:rsidRPr="00623248">
        <w:rPr>
          <w:rFonts w:ascii="Verdana" w:hAnsi="Verdana"/>
          <w:i/>
          <w:noProof/>
          <w:u w:val="single"/>
        </w:rPr>
        <w:t>Immune</w:t>
      </w:r>
      <w:r w:rsidRPr="00623248">
        <w:rPr>
          <w:rFonts w:ascii="Verdana" w:hAnsi="Verdana"/>
          <w:i/>
          <w:noProof/>
          <w:u w:val="single"/>
        </w:rPr>
        <w:noBreakHyphen/>
        <w:t>related pneumonitis</w:t>
      </w:r>
    </w:p>
    <w:p w14:paraId="1D216FD0" w14:textId="69DDF20D" w:rsidR="00422D8C" w:rsidRPr="00623248" w:rsidRDefault="00422D8C" w:rsidP="00623248">
      <w:pPr>
        <w:spacing w:after="120" w:line="240" w:lineRule="auto"/>
        <w:rPr>
          <w:rFonts w:ascii="Verdana" w:eastAsia="TimesNewRoman" w:hAnsi="Verdana"/>
          <w:iCs/>
          <w:lang w:eastAsia="en-GB"/>
        </w:rPr>
      </w:pPr>
      <w:r w:rsidRPr="00623248">
        <w:rPr>
          <w:rFonts w:ascii="Verdana" w:eastAsia="TimesNewRoman" w:hAnsi="Verdana"/>
          <w:lang w:eastAsia="en-GB"/>
        </w:rPr>
        <w:t>Immune</w:t>
      </w:r>
      <w:r w:rsidRPr="00623248">
        <w:rPr>
          <w:rFonts w:ascii="Verdana" w:eastAsia="TimesNewRoman" w:hAnsi="Verdana"/>
          <w:lang w:eastAsia="en-GB"/>
        </w:rPr>
        <w:noBreakHyphen/>
        <w:t xml:space="preserve">related pneumonitis including fatal outcome has been reported in patients receiving </w:t>
      </w:r>
      <w:r w:rsidRPr="00623248">
        <w:rPr>
          <w:rFonts w:ascii="Verdana" w:hAnsi="Verdana"/>
          <w:noProof/>
        </w:rPr>
        <w:t>avelumab</w:t>
      </w:r>
      <w:r w:rsidR="004D0C55">
        <w:rPr>
          <w:rFonts w:ascii="Verdana" w:hAnsi="Verdana"/>
          <w:noProof/>
        </w:rPr>
        <w:t>,</w:t>
      </w:r>
      <w:r w:rsidRPr="00623248">
        <w:rPr>
          <w:rFonts w:ascii="Verdana" w:hAnsi="Verdana"/>
          <w:noProof/>
        </w:rPr>
        <w:t xml:space="preserve"> </w:t>
      </w:r>
      <w:r w:rsidR="00F34B68" w:rsidRPr="00623248">
        <w:rPr>
          <w:rFonts w:ascii="Verdana" w:eastAsia="TimesNewRoman" w:hAnsi="Verdana"/>
          <w:lang w:eastAsia="en-GB"/>
        </w:rPr>
        <w:t>see section 4.8.</w:t>
      </w:r>
    </w:p>
    <w:p w14:paraId="5FE0720C" w14:textId="7BA1C90F" w:rsidR="00422D8C" w:rsidRPr="00623248" w:rsidRDefault="00422D8C" w:rsidP="00623248">
      <w:pPr>
        <w:spacing w:after="120" w:line="240" w:lineRule="auto"/>
        <w:rPr>
          <w:rFonts w:ascii="Verdana" w:hAnsi="Verdana"/>
          <w:noProof/>
        </w:rPr>
      </w:pPr>
      <w:r w:rsidRPr="00623248">
        <w:rPr>
          <w:rFonts w:ascii="Verdana" w:hAnsi="Verdana"/>
          <w:noProof/>
        </w:rPr>
        <w:t>Patients should be monitored for signs and symptoms of pneumonitis and causes other than immune</w:t>
      </w:r>
      <w:r w:rsidRPr="00623248">
        <w:rPr>
          <w:rFonts w:ascii="Verdana" w:hAnsi="Verdana"/>
          <w:noProof/>
        </w:rPr>
        <w:noBreakHyphen/>
        <w:t>related pneumonitis should be ruled out. Suspected pneumonitis should be confirmed with radiographic imaging.</w:t>
      </w:r>
    </w:p>
    <w:p w14:paraId="2992F67B" w14:textId="5B38B9DA" w:rsidR="00422D8C" w:rsidRPr="00623248" w:rsidRDefault="00422D8C" w:rsidP="00623248">
      <w:pPr>
        <w:spacing w:after="120" w:line="240" w:lineRule="auto"/>
        <w:rPr>
          <w:rFonts w:ascii="Verdana" w:hAnsi="Verdana"/>
          <w:noProof/>
        </w:rPr>
      </w:pPr>
      <w:r w:rsidRPr="00623248">
        <w:rPr>
          <w:rFonts w:ascii="Verdana" w:hAnsi="Verdana"/>
          <w:noProof/>
        </w:rPr>
        <w:t xml:space="preserve">Corticosteroids should be administered for Grade ≥ 2 events (initial dose of </w:t>
      </w:r>
      <w:r w:rsidRPr="00623248">
        <w:rPr>
          <w:rFonts w:ascii="Verdana" w:hAnsi="Verdana"/>
        </w:rPr>
        <w:t>1 </w:t>
      </w:r>
      <w:r w:rsidRPr="00623248">
        <w:rPr>
          <w:rFonts w:ascii="Verdana" w:hAnsi="Verdana"/>
        </w:rPr>
        <w:noBreakHyphen/>
        <w:t xml:space="preserve"> 2 mg/kg/day prednisone or equivalent, followed by a </w:t>
      </w:r>
      <w:r w:rsidRPr="00623248">
        <w:rPr>
          <w:rFonts w:ascii="Verdana" w:hAnsi="Verdana"/>
          <w:lang w:eastAsia="en-GB"/>
        </w:rPr>
        <w:t xml:space="preserve">corticosteroid </w:t>
      </w:r>
      <w:r w:rsidRPr="00623248">
        <w:rPr>
          <w:rFonts w:ascii="Verdana" w:hAnsi="Verdana"/>
        </w:rPr>
        <w:t>taper</w:t>
      </w:r>
      <w:r w:rsidRPr="00623248">
        <w:rPr>
          <w:rFonts w:ascii="Verdana" w:hAnsi="Verdana"/>
          <w:noProof/>
        </w:rPr>
        <w:t>).</w:t>
      </w:r>
    </w:p>
    <w:p w14:paraId="4471FF6B" w14:textId="1CE4E961" w:rsidR="00422D8C" w:rsidRPr="00623248" w:rsidRDefault="00422D8C" w:rsidP="00623248">
      <w:pPr>
        <w:spacing w:after="120" w:line="240" w:lineRule="auto"/>
        <w:rPr>
          <w:rFonts w:ascii="Verdana" w:eastAsia="TimesNewRoman" w:hAnsi="Verdana"/>
          <w:lang w:eastAsia="en-GB"/>
        </w:rPr>
      </w:pPr>
      <w:r w:rsidRPr="00623248">
        <w:rPr>
          <w:rFonts w:ascii="Verdana" w:hAnsi="Verdana"/>
          <w:noProof/>
        </w:rPr>
        <w:t xml:space="preserve">Avelumab should be withheld for Grade 2 immune-related </w:t>
      </w:r>
      <w:r w:rsidRPr="00623248">
        <w:rPr>
          <w:rFonts w:ascii="Verdana" w:hAnsi="Verdana"/>
        </w:rPr>
        <w:t>pneumonitis</w:t>
      </w:r>
      <w:r w:rsidRPr="00623248">
        <w:rPr>
          <w:rFonts w:ascii="Verdana" w:hAnsi="Verdana"/>
          <w:noProof/>
        </w:rPr>
        <w:t xml:space="preserve"> until resolution, and permanently discontinued for Grade 3 or Grade 4 or recurrent Grade 2 immune-related pneumonitis</w:t>
      </w:r>
      <w:r w:rsidR="004D0C55">
        <w:rPr>
          <w:rFonts w:ascii="Verdana" w:hAnsi="Verdana"/>
          <w:noProof/>
        </w:rPr>
        <w:t>,</w:t>
      </w:r>
      <w:r w:rsidRPr="00623248">
        <w:rPr>
          <w:rFonts w:ascii="Verdana" w:hAnsi="Verdana"/>
          <w:noProof/>
        </w:rPr>
        <w:t xml:space="preserve"> </w:t>
      </w:r>
      <w:r w:rsidR="00F34B68" w:rsidRPr="00623248">
        <w:rPr>
          <w:rFonts w:ascii="Verdana" w:eastAsia="TimesNewRoman" w:hAnsi="Verdana"/>
          <w:lang w:eastAsia="en-GB"/>
        </w:rPr>
        <w:t>see section 4.2.</w:t>
      </w:r>
    </w:p>
    <w:p w14:paraId="64607C7E" w14:textId="77777777" w:rsidR="00422D8C" w:rsidRPr="00623248" w:rsidRDefault="00422D8C" w:rsidP="00623248">
      <w:pPr>
        <w:spacing w:after="120" w:line="240" w:lineRule="auto"/>
        <w:rPr>
          <w:rFonts w:ascii="Verdana" w:hAnsi="Verdana"/>
          <w:i/>
          <w:noProof/>
          <w:u w:val="single"/>
        </w:rPr>
      </w:pPr>
      <w:r w:rsidRPr="00623248">
        <w:rPr>
          <w:rFonts w:ascii="Verdana" w:hAnsi="Verdana"/>
          <w:i/>
          <w:noProof/>
          <w:u w:val="single"/>
        </w:rPr>
        <w:t>Immune</w:t>
      </w:r>
      <w:r w:rsidRPr="00623248">
        <w:rPr>
          <w:rFonts w:ascii="Verdana" w:hAnsi="Verdana"/>
          <w:i/>
          <w:noProof/>
          <w:u w:val="single"/>
        </w:rPr>
        <w:noBreakHyphen/>
        <w:t>related hepatitis</w:t>
      </w:r>
    </w:p>
    <w:p w14:paraId="3D4A0639" w14:textId="2C69C6F6" w:rsidR="00422D8C" w:rsidRPr="00623248" w:rsidRDefault="00422D8C" w:rsidP="00623248">
      <w:pPr>
        <w:spacing w:after="120" w:line="240" w:lineRule="auto"/>
        <w:rPr>
          <w:rFonts w:ascii="Verdana" w:eastAsia="TimesNewRoman" w:hAnsi="Verdana"/>
          <w:lang w:eastAsia="en-GB"/>
        </w:rPr>
      </w:pPr>
      <w:r w:rsidRPr="00623248">
        <w:rPr>
          <w:rFonts w:ascii="Verdana" w:eastAsia="TimesNewRoman" w:hAnsi="Verdana"/>
          <w:lang w:eastAsia="en-GB"/>
        </w:rPr>
        <w:t>Immune</w:t>
      </w:r>
      <w:r w:rsidRPr="00623248">
        <w:rPr>
          <w:rFonts w:ascii="Verdana" w:eastAsia="TimesNewRoman" w:hAnsi="Verdana"/>
          <w:lang w:eastAsia="en-GB"/>
        </w:rPr>
        <w:noBreakHyphen/>
        <w:t xml:space="preserve">related hepatitis including fatal outcome has been reported in patients receiving </w:t>
      </w:r>
      <w:r w:rsidRPr="00623248">
        <w:rPr>
          <w:rFonts w:ascii="Verdana" w:hAnsi="Verdana"/>
          <w:noProof/>
        </w:rPr>
        <w:t>avelumab</w:t>
      </w:r>
      <w:r w:rsidR="004D0C55">
        <w:rPr>
          <w:rFonts w:ascii="Verdana" w:hAnsi="Verdana"/>
          <w:noProof/>
        </w:rPr>
        <w:t>,</w:t>
      </w:r>
      <w:r w:rsidRPr="00623248">
        <w:rPr>
          <w:rFonts w:ascii="Verdana" w:hAnsi="Verdana"/>
          <w:noProof/>
        </w:rPr>
        <w:t xml:space="preserve"> </w:t>
      </w:r>
      <w:r w:rsidR="00F34B68" w:rsidRPr="00623248">
        <w:rPr>
          <w:rFonts w:ascii="Verdana" w:eastAsia="TimesNewRoman" w:hAnsi="Verdana"/>
          <w:lang w:eastAsia="en-GB"/>
        </w:rPr>
        <w:t>see section 4.8.</w:t>
      </w:r>
    </w:p>
    <w:p w14:paraId="5B6637E5" w14:textId="28D428F0" w:rsidR="00422D8C" w:rsidRPr="00623248" w:rsidRDefault="00422D8C" w:rsidP="00623248">
      <w:pPr>
        <w:spacing w:after="120" w:line="240" w:lineRule="auto"/>
        <w:rPr>
          <w:rFonts w:ascii="Verdana" w:hAnsi="Verdana"/>
          <w:noProof/>
        </w:rPr>
      </w:pPr>
      <w:r w:rsidRPr="00623248">
        <w:rPr>
          <w:rFonts w:ascii="Verdana" w:hAnsi="Verdana"/>
          <w:noProof/>
        </w:rPr>
        <w:t xml:space="preserve">Patients should be monitored for changes in liver function and symptoms of </w:t>
      </w:r>
      <w:r w:rsidRPr="00623248">
        <w:rPr>
          <w:rFonts w:ascii="Verdana" w:hAnsi="Verdana"/>
          <w:lang w:eastAsia="en-GB"/>
        </w:rPr>
        <w:t>immune</w:t>
      </w:r>
      <w:r w:rsidRPr="00623248">
        <w:rPr>
          <w:rFonts w:ascii="Verdana" w:hAnsi="Verdana"/>
          <w:lang w:eastAsia="en-GB"/>
        </w:rPr>
        <w:noBreakHyphen/>
        <w:t xml:space="preserve">related </w:t>
      </w:r>
      <w:r w:rsidRPr="00623248">
        <w:rPr>
          <w:rFonts w:ascii="Verdana" w:hAnsi="Verdana"/>
          <w:noProof/>
        </w:rPr>
        <w:t>hepatitis. Causes other than immune</w:t>
      </w:r>
      <w:r w:rsidRPr="00623248">
        <w:rPr>
          <w:rFonts w:ascii="Verdana" w:hAnsi="Verdana"/>
          <w:noProof/>
        </w:rPr>
        <w:noBreakHyphen/>
        <w:t xml:space="preserve">related hepatitis should be ruled out. Corticosteroids should be administered for Grade ≥2 events (initial dose </w:t>
      </w:r>
      <w:r w:rsidRPr="00623248">
        <w:rPr>
          <w:rFonts w:ascii="Verdana" w:hAnsi="Verdana"/>
        </w:rPr>
        <w:t>1 </w:t>
      </w:r>
      <w:r w:rsidRPr="00623248">
        <w:rPr>
          <w:rFonts w:ascii="Verdana" w:hAnsi="Verdana"/>
        </w:rPr>
        <w:noBreakHyphen/>
        <w:t> 2 mg/kg/day prednisone or equivalent, followed by a corticosteroid taper</w:t>
      </w:r>
      <w:r w:rsidRPr="00623248">
        <w:rPr>
          <w:rFonts w:ascii="Verdana" w:hAnsi="Verdana"/>
          <w:noProof/>
        </w:rPr>
        <w:t>).</w:t>
      </w:r>
    </w:p>
    <w:p w14:paraId="4279A405" w14:textId="78EB06DF" w:rsidR="00422D8C" w:rsidRDefault="00422D8C" w:rsidP="00623248">
      <w:pPr>
        <w:spacing w:after="120" w:line="240" w:lineRule="auto"/>
        <w:rPr>
          <w:rFonts w:ascii="Verdana" w:eastAsia="TimesNewRoman" w:hAnsi="Verdana"/>
          <w:lang w:eastAsia="en-GB"/>
        </w:rPr>
      </w:pPr>
      <w:r w:rsidRPr="00623248">
        <w:rPr>
          <w:rFonts w:ascii="Verdana" w:hAnsi="Verdana"/>
          <w:noProof/>
        </w:rPr>
        <w:t xml:space="preserve">Avelumab should be withheld for Grade 2 </w:t>
      </w:r>
      <w:r w:rsidRPr="00623248">
        <w:rPr>
          <w:rFonts w:ascii="Verdana" w:hAnsi="Verdana"/>
          <w:lang w:eastAsia="en-GB"/>
        </w:rPr>
        <w:t>immune</w:t>
      </w:r>
      <w:r w:rsidRPr="00623248">
        <w:rPr>
          <w:rFonts w:ascii="Verdana" w:hAnsi="Verdana"/>
          <w:lang w:eastAsia="en-GB"/>
        </w:rPr>
        <w:noBreakHyphen/>
        <w:t xml:space="preserve">related </w:t>
      </w:r>
      <w:r w:rsidRPr="00623248">
        <w:rPr>
          <w:rFonts w:ascii="Verdana" w:hAnsi="Verdana"/>
          <w:noProof/>
        </w:rPr>
        <w:t xml:space="preserve">hepatitis until resolution and permanently discontinued for Grade 3 or Grade 4 </w:t>
      </w:r>
      <w:r w:rsidRPr="00623248">
        <w:rPr>
          <w:rFonts w:ascii="Verdana" w:hAnsi="Verdana"/>
          <w:lang w:eastAsia="en-GB"/>
        </w:rPr>
        <w:t>immune</w:t>
      </w:r>
      <w:r w:rsidRPr="00623248">
        <w:rPr>
          <w:rFonts w:ascii="Verdana" w:hAnsi="Verdana"/>
          <w:lang w:eastAsia="en-GB"/>
        </w:rPr>
        <w:noBreakHyphen/>
        <w:t xml:space="preserve">related </w:t>
      </w:r>
      <w:r w:rsidRPr="00623248">
        <w:rPr>
          <w:rFonts w:ascii="Verdana" w:hAnsi="Verdana"/>
          <w:noProof/>
        </w:rPr>
        <w:t>hepatitis</w:t>
      </w:r>
      <w:r w:rsidR="004D0C55">
        <w:rPr>
          <w:rFonts w:ascii="Verdana" w:hAnsi="Verdana"/>
          <w:noProof/>
        </w:rPr>
        <w:t>,</w:t>
      </w:r>
      <w:r w:rsidRPr="00623248">
        <w:rPr>
          <w:rFonts w:ascii="Verdana" w:hAnsi="Verdana"/>
          <w:noProof/>
        </w:rPr>
        <w:t xml:space="preserve"> </w:t>
      </w:r>
      <w:r w:rsidR="00F34B68" w:rsidRPr="00623248">
        <w:rPr>
          <w:rFonts w:ascii="Verdana" w:eastAsia="TimesNewRoman" w:hAnsi="Verdana"/>
          <w:lang w:eastAsia="en-GB"/>
        </w:rPr>
        <w:t>see section 4.2.</w:t>
      </w:r>
    </w:p>
    <w:p w14:paraId="4F9639F1" w14:textId="77777777" w:rsidR="00422D8C" w:rsidRPr="00623248" w:rsidRDefault="00422D8C" w:rsidP="006D355D">
      <w:pPr>
        <w:keepNext/>
        <w:spacing w:after="120" w:line="240" w:lineRule="auto"/>
        <w:rPr>
          <w:rFonts w:ascii="Verdana" w:hAnsi="Verdana"/>
          <w:i/>
          <w:noProof/>
          <w:u w:val="single"/>
        </w:rPr>
      </w:pPr>
      <w:r w:rsidRPr="00623248">
        <w:rPr>
          <w:rFonts w:ascii="Verdana" w:hAnsi="Verdana"/>
          <w:i/>
          <w:noProof/>
          <w:u w:val="single"/>
        </w:rPr>
        <w:t>Immune</w:t>
      </w:r>
      <w:r w:rsidRPr="00623248">
        <w:rPr>
          <w:rFonts w:ascii="Verdana" w:hAnsi="Verdana"/>
          <w:i/>
          <w:noProof/>
          <w:u w:val="single"/>
        </w:rPr>
        <w:noBreakHyphen/>
        <w:t>related colitis</w:t>
      </w:r>
    </w:p>
    <w:p w14:paraId="2FE743DA" w14:textId="29649C3E" w:rsidR="00422D8C" w:rsidRPr="00623248" w:rsidRDefault="00422D8C" w:rsidP="00623248">
      <w:pPr>
        <w:spacing w:after="120" w:line="240" w:lineRule="auto"/>
        <w:rPr>
          <w:rFonts w:ascii="Verdana" w:eastAsia="TimesNewRoman" w:hAnsi="Verdana"/>
          <w:lang w:eastAsia="en-GB"/>
        </w:rPr>
      </w:pPr>
      <w:r w:rsidRPr="00623248">
        <w:rPr>
          <w:rFonts w:ascii="Verdana" w:eastAsia="TimesNewRoman" w:hAnsi="Verdana"/>
          <w:lang w:eastAsia="en-GB"/>
        </w:rPr>
        <w:t>Immune</w:t>
      </w:r>
      <w:r w:rsidRPr="00623248">
        <w:rPr>
          <w:rFonts w:ascii="Verdana" w:eastAsia="TimesNewRoman" w:hAnsi="Verdana"/>
          <w:lang w:eastAsia="en-GB"/>
        </w:rPr>
        <w:noBreakHyphen/>
        <w:t xml:space="preserve">related colitis has been reported in patients receiving </w:t>
      </w:r>
      <w:r w:rsidRPr="00623248">
        <w:rPr>
          <w:rFonts w:ascii="Verdana" w:hAnsi="Verdana"/>
          <w:noProof/>
        </w:rPr>
        <w:t>avelumab</w:t>
      </w:r>
      <w:r w:rsidR="004D0C55">
        <w:rPr>
          <w:rFonts w:ascii="Verdana" w:hAnsi="Verdana"/>
          <w:noProof/>
        </w:rPr>
        <w:t>,</w:t>
      </w:r>
      <w:r w:rsidRPr="00623248">
        <w:rPr>
          <w:rFonts w:ascii="Verdana" w:hAnsi="Verdana"/>
          <w:noProof/>
        </w:rPr>
        <w:t xml:space="preserve"> </w:t>
      </w:r>
      <w:r w:rsidR="00F34B68" w:rsidRPr="00623248">
        <w:rPr>
          <w:rFonts w:ascii="Verdana" w:eastAsia="TimesNewRoman" w:hAnsi="Verdana"/>
          <w:lang w:eastAsia="en-GB"/>
        </w:rPr>
        <w:t>see section 4.8.</w:t>
      </w:r>
    </w:p>
    <w:p w14:paraId="0E58255F" w14:textId="7E27711E" w:rsidR="00422D8C" w:rsidRPr="00623248" w:rsidRDefault="00422D8C" w:rsidP="00623248">
      <w:pPr>
        <w:spacing w:after="120" w:line="240" w:lineRule="auto"/>
        <w:rPr>
          <w:rFonts w:ascii="Verdana" w:hAnsi="Verdana"/>
          <w:noProof/>
        </w:rPr>
      </w:pPr>
      <w:r w:rsidRPr="00623248">
        <w:rPr>
          <w:rFonts w:ascii="Verdana" w:hAnsi="Verdana"/>
          <w:noProof/>
        </w:rPr>
        <w:t>Patients should be monitored for signs and symptoms of immuno-related colitis and causes other than immune</w:t>
      </w:r>
      <w:r w:rsidRPr="00623248">
        <w:rPr>
          <w:rFonts w:ascii="Verdana" w:hAnsi="Verdana"/>
          <w:noProof/>
        </w:rPr>
        <w:noBreakHyphen/>
        <w:t xml:space="preserve">related colitis should be ruled out. Corticosteroids should be administered for </w:t>
      </w:r>
      <w:r w:rsidRPr="00623248">
        <w:rPr>
          <w:rFonts w:ascii="Verdana" w:hAnsi="Verdana"/>
        </w:rPr>
        <w:t>Grade</w:t>
      </w:r>
      <w:r w:rsidRPr="00623248">
        <w:rPr>
          <w:rFonts w:ascii="Verdana" w:hAnsi="Verdana"/>
          <w:noProof/>
        </w:rPr>
        <w:t> </w:t>
      </w:r>
      <w:r w:rsidRPr="00623248">
        <w:rPr>
          <w:rFonts w:ascii="Verdana" w:hAnsi="Verdana"/>
        </w:rPr>
        <w:t>≥ </w:t>
      </w:r>
      <w:r w:rsidRPr="00623248">
        <w:rPr>
          <w:rFonts w:ascii="Verdana" w:hAnsi="Verdana"/>
          <w:noProof/>
        </w:rPr>
        <w:t>2 events (initial dose of 1 </w:t>
      </w:r>
      <w:r w:rsidRPr="00623248">
        <w:rPr>
          <w:rFonts w:ascii="Verdana" w:hAnsi="Verdana"/>
          <w:noProof/>
        </w:rPr>
        <w:noBreakHyphen/>
        <w:t xml:space="preserve"> 2 mg/kg/day prednisone or equivalent followed by a </w:t>
      </w:r>
      <w:r w:rsidRPr="00623248">
        <w:rPr>
          <w:rFonts w:ascii="Verdana" w:hAnsi="Verdana"/>
          <w:lang w:eastAsia="en-GB"/>
        </w:rPr>
        <w:t xml:space="preserve">corticosteroid </w:t>
      </w:r>
      <w:r w:rsidRPr="00623248">
        <w:rPr>
          <w:rFonts w:ascii="Verdana" w:hAnsi="Verdana"/>
          <w:noProof/>
        </w:rPr>
        <w:t>taper).</w:t>
      </w:r>
    </w:p>
    <w:p w14:paraId="19D369D5" w14:textId="3F2C7EE3" w:rsidR="00D878A1" w:rsidRPr="00623248" w:rsidRDefault="00422D8C" w:rsidP="00623248">
      <w:pPr>
        <w:spacing w:after="120" w:line="240" w:lineRule="auto"/>
        <w:rPr>
          <w:rFonts w:ascii="Verdana" w:eastAsia="TimesNewRoman" w:hAnsi="Verdana"/>
          <w:b/>
          <w:lang w:eastAsia="en-GB"/>
        </w:rPr>
      </w:pPr>
      <w:r w:rsidRPr="00623248">
        <w:rPr>
          <w:rFonts w:ascii="Verdana" w:hAnsi="Verdana"/>
          <w:noProof/>
        </w:rPr>
        <w:lastRenderedPageBreak/>
        <w:t xml:space="preserve">Avelumab should be withheld for Grade 2 or Grade 3 </w:t>
      </w:r>
      <w:r w:rsidRPr="00623248">
        <w:rPr>
          <w:rFonts w:ascii="Verdana" w:hAnsi="Verdana"/>
          <w:lang w:eastAsia="en-GB"/>
        </w:rPr>
        <w:t>immune</w:t>
      </w:r>
      <w:r w:rsidRPr="00623248">
        <w:rPr>
          <w:rFonts w:ascii="Verdana" w:hAnsi="Verdana"/>
          <w:lang w:eastAsia="en-GB"/>
        </w:rPr>
        <w:noBreakHyphen/>
        <w:t xml:space="preserve">related </w:t>
      </w:r>
      <w:r w:rsidRPr="00623248">
        <w:rPr>
          <w:rFonts w:ascii="Verdana" w:hAnsi="Verdana"/>
          <w:noProof/>
        </w:rPr>
        <w:t xml:space="preserve">colitis until resolution, and permanently discontinued for Grade 4 or recurrent Grade 3 </w:t>
      </w:r>
      <w:r w:rsidRPr="00623248">
        <w:rPr>
          <w:rFonts w:ascii="Verdana" w:hAnsi="Verdana"/>
          <w:lang w:eastAsia="en-GB"/>
        </w:rPr>
        <w:t>immune</w:t>
      </w:r>
      <w:r w:rsidRPr="00623248">
        <w:rPr>
          <w:rFonts w:ascii="Verdana" w:hAnsi="Verdana"/>
          <w:lang w:eastAsia="en-GB"/>
        </w:rPr>
        <w:noBreakHyphen/>
        <w:t xml:space="preserve">related </w:t>
      </w:r>
      <w:r w:rsidRPr="00623248">
        <w:rPr>
          <w:rFonts w:ascii="Verdana" w:hAnsi="Verdana"/>
          <w:noProof/>
        </w:rPr>
        <w:t>colitis</w:t>
      </w:r>
      <w:r w:rsidR="004D0C55">
        <w:rPr>
          <w:rFonts w:ascii="Verdana" w:hAnsi="Verdana"/>
          <w:noProof/>
        </w:rPr>
        <w:t>,</w:t>
      </w:r>
      <w:r w:rsidRPr="00623248">
        <w:rPr>
          <w:rFonts w:ascii="Verdana" w:hAnsi="Verdana"/>
          <w:noProof/>
        </w:rPr>
        <w:t xml:space="preserve"> </w:t>
      </w:r>
      <w:r w:rsidR="00F34B68" w:rsidRPr="00623248">
        <w:rPr>
          <w:rFonts w:ascii="Verdana" w:eastAsia="TimesNewRoman" w:hAnsi="Verdana"/>
          <w:lang w:eastAsia="en-GB"/>
        </w:rPr>
        <w:t>see section 4.2.</w:t>
      </w:r>
    </w:p>
    <w:p w14:paraId="0B638B94" w14:textId="77777777" w:rsidR="00422D8C" w:rsidRPr="00623248" w:rsidRDefault="00422D8C" w:rsidP="00623248">
      <w:pPr>
        <w:spacing w:after="120" w:line="240" w:lineRule="auto"/>
        <w:rPr>
          <w:rFonts w:ascii="Verdana" w:hAnsi="Verdana"/>
          <w:i/>
          <w:noProof/>
          <w:u w:val="single"/>
        </w:rPr>
      </w:pPr>
      <w:r w:rsidRPr="00623248">
        <w:rPr>
          <w:rFonts w:ascii="Verdana" w:hAnsi="Verdana"/>
          <w:i/>
          <w:noProof/>
          <w:u w:val="single"/>
        </w:rPr>
        <w:t>Immune</w:t>
      </w:r>
      <w:r w:rsidRPr="00623248">
        <w:rPr>
          <w:rFonts w:ascii="Verdana" w:hAnsi="Verdana"/>
          <w:i/>
          <w:noProof/>
          <w:u w:val="single"/>
        </w:rPr>
        <w:noBreakHyphen/>
        <w:t>related endocrinopathies</w:t>
      </w:r>
    </w:p>
    <w:p w14:paraId="24A2D7F1" w14:textId="7ABBD6AC" w:rsidR="00D878A1" w:rsidRPr="00623248" w:rsidRDefault="00422D8C" w:rsidP="00623248">
      <w:pPr>
        <w:spacing w:after="120" w:line="240" w:lineRule="auto"/>
        <w:rPr>
          <w:rFonts w:ascii="Verdana" w:hAnsi="Verdana"/>
        </w:rPr>
      </w:pPr>
      <w:r w:rsidRPr="00623248">
        <w:rPr>
          <w:rFonts w:ascii="Verdana" w:hAnsi="Verdana"/>
        </w:rPr>
        <w:t>Immune</w:t>
      </w:r>
      <w:r w:rsidRPr="00623248">
        <w:rPr>
          <w:rFonts w:ascii="Verdana" w:hAnsi="Verdana"/>
        </w:rPr>
        <w:noBreakHyphen/>
        <w:t>related thyroid disorders and immune</w:t>
      </w:r>
      <w:r w:rsidRPr="00623248">
        <w:rPr>
          <w:rFonts w:ascii="Verdana" w:hAnsi="Verdana"/>
        </w:rPr>
        <w:noBreakHyphen/>
        <w:t xml:space="preserve">related adrenal insufficiency, and Type 1 diabetes mellitus </w:t>
      </w:r>
      <w:r w:rsidRPr="00623248">
        <w:rPr>
          <w:rFonts w:ascii="Verdana" w:hAnsi="Verdana"/>
          <w:lang w:eastAsia="en-GB"/>
        </w:rPr>
        <w:t xml:space="preserve">have been reported in patients receiving </w:t>
      </w:r>
      <w:r w:rsidRPr="00623248">
        <w:rPr>
          <w:rFonts w:ascii="Verdana" w:hAnsi="Verdana"/>
          <w:noProof/>
        </w:rPr>
        <w:t>avelumab</w:t>
      </w:r>
      <w:r w:rsidR="004D0C55">
        <w:rPr>
          <w:rFonts w:ascii="Verdana" w:hAnsi="Verdana"/>
          <w:noProof/>
        </w:rPr>
        <w:t>,</w:t>
      </w:r>
      <w:r w:rsidRPr="00623248">
        <w:rPr>
          <w:rFonts w:ascii="Verdana" w:hAnsi="Verdana"/>
          <w:noProof/>
        </w:rPr>
        <w:t xml:space="preserve"> </w:t>
      </w:r>
      <w:r w:rsidR="00F34B68" w:rsidRPr="00623248">
        <w:rPr>
          <w:rFonts w:ascii="Verdana" w:eastAsia="TimesNewRoman" w:hAnsi="Verdana"/>
          <w:lang w:eastAsia="en-GB"/>
        </w:rPr>
        <w:t xml:space="preserve">see section 4.8. </w:t>
      </w:r>
      <w:r w:rsidRPr="00623248">
        <w:rPr>
          <w:rFonts w:ascii="Verdana" w:eastAsia="TimesNewRoman" w:hAnsi="Verdana"/>
          <w:lang w:eastAsia="en-GB"/>
        </w:rPr>
        <w:t xml:space="preserve">Patients should be monitored for clinical signs and symptoms of </w:t>
      </w:r>
      <w:proofErr w:type="spellStart"/>
      <w:r w:rsidRPr="00623248">
        <w:rPr>
          <w:rFonts w:ascii="Verdana" w:eastAsia="TimesNewRoman" w:hAnsi="Verdana"/>
          <w:lang w:eastAsia="en-GB"/>
        </w:rPr>
        <w:t>endocrinophathies</w:t>
      </w:r>
      <w:proofErr w:type="spellEnd"/>
      <w:r w:rsidRPr="00623248">
        <w:rPr>
          <w:rFonts w:ascii="Verdana" w:eastAsia="TimesNewRoman" w:hAnsi="Verdana"/>
          <w:lang w:eastAsia="en-GB"/>
        </w:rPr>
        <w:t>. Avelumab should be withheld for Grade 3 or Grade 4 endocrinopathies until resolution.</w:t>
      </w:r>
    </w:p>
    <w:p w14:paraId="5F3781C0" w14:textId="732D1C47" w:rsidR="00422D8C" w:rsidRPr="00623248" w:rsidRDefault="00422D8C" w:rsidP="00623248">
      <w:pPr>
        <w:spacing w:after="120" w:line="240" w:lineRule="auto"/>
        <w:rPr>
          <w:rFonts w:ascii="Verdana" w:hAnsi="Verdana"/>
          <w:i/>
          <w:noProof/>
        </w:rPr>
      </w:pPr>
      <w:r w:rsidRPr="00623248">
        <w:rPr>
          <w:rFonts w:ascii="Verdana" w:hAnsi="Verdana"/>
          <w:i/>
          <w:noProof/>
        </w:rPr>
        <w:t xml:space="preserve">Thyroid disorders </w:t>
      </w:r>
      <w:r w:rsidR="00070AB0" w:rsidRPr="00623248">
        <w:rPr>
          <w:rFonts w:ascii="Verdana" w:hAnsi="Verdana"/>
          <w:i/>
        </w:rPr>
        <w:t>(hypothyroidism/h</w:t>
      </w:r>
      <w:r w:rsidRPr="00623248">
        <w:rPr>
          <w:rFonts w:ascii="Verdana" w:hAnsi="Verdana"/>
          <w:i/>
        </w:rPr>
        <w:t>yperthyroidism</w:t>
      </w:r>
      <w:r w:rsidRPr="00623248">
        <w:rPr>
          <w:rFonts w:ascii="Verdana" w:hAnsi="Verdana"/>
          <w:i/>
          <w:iCs/>
          <w:lang w:eastAsia="en-GB"/>
        </w:rPr>
        <w:t>)</w:t>
      </w:r>
    </w:p>
    <w:p w14:paraId="22B05E66" w14:textId="7EBE97FA" w:rsidR="00422D8C" w:rsidRPr="00623248" w:rsidRDefault="00422D8C" w:rsidP="00623248">
      <w:pPr>
        <w:spacing w:after="120" w:line="240" w:lineRule="auto"/>
        <w:rPr>
          <w:rFonts w:ascii="Verdana" w:hAnsi="Verdana"/>
          <w:noProof/>
        </w:rPr>
      </w:pPr>
      <w:r w:rsidRPr="00623248">
        <w:rPr>
          <w:rFonts w:ascii="Verdana" w:hAnsi="Verdana"/>
        </w:rPr>
        <w:t>Thyroid disorders can occur at any time during treatment. Patients should be monitored for changes in thyroid function (at the start of treatment, periodically during treatment, and as indicated based on clinical evaluation) and for clinical signs and symptoms of thyroid disorders. Hypothyroidism should be managed with replacement therapy and hyperthyroidism with anti</w:t>
      </w:r>
      <w:r w:rsidRPr="00623248">
        <w:rPr>
          <w:rFonts w:ascii="Verdana" w:hAnsi="Verdana"/>
        </w:rPr>
        <w:noBreakHyphen/>
        <w:t>thyroid drug as needed.</w:t>
      </w:r>
    </w:p>
    <w:p w14:paraId="34A6D2A0" w14:textId="72557EDA" w:rsidR="00422D8C" w:rsidRPr="00623248" w:rsidRDefault="00422D8C" w:rsidP="00623248">
      <w:pPr>
        <w:spacing w:after="120" w:line="240" w:lineRule="auto"/>
        <w:rPr>
          <w:rFonts w:ascii="Verdana" w:hAnsi="Verdana"/>
          <w:lang w:eastAsia="en-GB"/>
        </w:rPr>
      </w:pPr>
      <w:r w:rsidRPr="00623248">
        <w:rPr>
          <w:rFonts w:ascii="Verdana" w:hAnsi="Verdana"/>
          <w:lang w:eastAsia="en-GB"/>
        </w:rPr>
        <w:t>For suspected immune</w:t>
      </w:r>
      <w:r w:rsidRPr="00623248">
        <w:rPr>
          <w:rFonts w:ascii="Verdana" w:hAnsi="Verdana"/>
          <w:lang w:eastAsia="en-GB"/>
        </w:rPr>
        <w:noBreakHyphen/>
        <w:t>related adverse reactions, ensure adequate evaluation to confirm aetiology or to rule out other causes. Based on the severity of the adverse reaction, avelumab should be withheld and corticosteroids to be administered. Avelumab should be resumed when the immune</w:t>
      </w:r>
      <w:r w:rsidRPr="00623248">
        <w:rPr>
          <w:rFonts w:ascii="Verdana" w:hAnsi="Verdana"/>
          <w:lang w:eastAsia="en-GB"/>
        </w:rPr>
        <w:noBreakHyphen/>
        <w:t xml:space="preserve">related adverse reaction remains at Grade 1 or less following corticosteroid </w:t>
      </w:r>
      <w:proofErr w:type="gramStart"/>
      <w:r w:rsidRPr="00623248">
        <w:rPr>
          <w:rFonts w:ascii="Verdana" w:hAnsi="Verdana"/>
          <w:lang w:eastAsia="en-GB"/>
        </w:rPr>
        <w:t>taper</w:t>
      </w:r>
      <w:proofErr w:type="gramEnd"/>
      <w:r w:rsidRPr="00623248">
        <w:rPr>
          <w:rFonts w:ascii="Verdana" w:hAnsi="Verdana"/>
          <w:lang w:eastAsia="en-GB"/>
        </w:rPr>
        <w:t>. Avelumab should be permanently discontinued for any Grade 3 immune</w:t>
      </w:r>
      <w:r w:rsidRPr="00623248">
        <w:rPr>
          <w:rFonts w:ascii="Verdana" w:hAnsi="Verdana"/>
          <w:lang w:eastAsia="en-GB"/>
        </w:rPr>
        <w:noBreakHyphen/>
        <w:t>related adverse reaction that recurs and for Grade 4 immune</w:t>
      </w:r>
      <w:r w:rsidRPr="00623248">
        <w:rPr>
          <w:rFonts w:ascii="Verdana" w:hAnsi="Verdana"/>
          <w:lang w:eastAsia="en-GB"/>
        </w:rPr>
        <w:noBreakHyphen/>
        <w:t>related adverse reaction</w:t>
      </w:r>
      <w:r w:rsidR="004D0C55">
        <w:rPr>
          <w:rFonts w:ascii="Verdana" w:hAnsi="Verdana"/>
          <w:lang w:eastAsia="en-GB"/>
        </w:rPr>
        <w:t>,</w:t>
      </w:r>
      <w:r w:rsidRPr="00623248">
        <w:rPr>
          <w:rFonts w:ascii="Verdana" w:hAnsi="Verdana"/>
          <w:lang w:eastAsia="en-GB"/>
        </w:rPr>
        <w:t xml:space="preserve"> </w:t>
      </w:r>
      <w:r w:rsidR="00F34B68" w:rsidRPr="00623248">
        <w:rPr>
          <w:rFonts w:ascii="Verdana" w:eastAsia="TimesNewRoman" w:hAnsi="Verdana"/>
          <w:lang w:eastAsia="en-GB"/>
        </w:rPr>
        <w:t>see section 4.2.</w:t>
      </w:r>
    </w:p>
    <w:p w14:paraId="7EEB083B" w14:textId="77777777" w:rsidR="00422D8C" w:rsidRPr="00623248" w:rsidRDefault="00422D8C" w:rsidP="00623248">
      <w:pPr>
        <w:spacing w:after="120" w:line="240" w:lineRule="auto"/>
        <w:rPr>
          <w:rFonts w:ascii="Verdana" w:hAnsi="Verdana"/>
          <w:i/>
          <w:noProof/>
        </w:rPr>
      </w:pPr>
      <w:r w:rsidRPr="00623248">
        <w:rPr>
          <w:rFonts w:ascii="Verdana" w:hAnsi="Verdana"/>
          <w:i/>
          <w:noProof/>
        </w:rPr>
        <w:t>Adrenal insufficiency</w:t>
      </w:r>
    </w:p>
    <w:p w14:paraId="54137A84" w14:textId="2691850C" w:rsidR="00422D8C" w:rsidRPr="00623248" w:rsidRDefault="00422D8C" w:rsidP="00623248">
      <w:pPr>
        <w:spacing w:after="120" w:line="240" w:lineRule="auto"/>
        <w:rPr>
          <w:rFonts w:ascii="Verdana" w:hAnsi="Verdana"/>
          <w:iCs/>
          <w:lang w:eastAsia="en-GB"/>
        </w:rPr>
      </w:pPr>
      <w:r w:rsidRPr="00623248">
        <w:rPr>
          <w:rFonts w:ascii="Verdana" w:hAnsi="Verdana"/>
          <w:iCs/>
          <w:lang w:eastAsia="en-GB"/>
        </w:rPr>
        <w:t xml:space="preserve">Patients should be monitored for signs and symptoms of adrenal insufficiency during and after treatment. </w:t>
      </w:r>
      <w:r w:rsidRPr="00623248">
        <w:rPr>
          <w:rFonts w:ascii="Verdana" w:hAnsi="Verdana"/>
          <w:noProof/>
        </w:rPr>
        <w:t>Corticosteroids should be administered (</w:t>
      </w:r>
      <w:r w:rsidRPr="00623248">
        <w:rPr>
          <w:rFonts w:ascii="Verdana" w:hAnsi="Verdana"/>
        </w:rPr>
        <w:t>1 </w:t>
      </w:r>
      <w:r w:rsidRPr="00623248">
        <w:rPr>
          <w:rFonts w:ascii="Verdana" w:hAnsi="Verdana"/>
        </w:rPr>
        <w:noBreakHyphen/>
        <w:t xml:space="preserve"> 2 mg/kg/day prednisone </w:t>
      </w:r>
      <w:proofErr w:type="spellStart"/>
      <w:r w:rsidRPr="00623248">
        <w:rPr>
          <w:rFonts w:ascii="Verdana" w:hAnsi="Verdana"/>
        </w:rPr>
        <w:t>i.v.</w:t>
      </w:r>
      <w:proofErr w:type="spellEnd"/>
      <w:r w:rsidRPr="00623248">
        <w:rPr>
          <w:rFonts w:ascii="Verdana" w:hAnsi="Verdana"/>
        </w:rPr>
        <w:t xml:space="preserve"> </w:t>
      </w:r>
      <w:r w:rsidRPr="00623248">
        <w:rPr>
          <w:rFonts w:ascii="Verdana" w:hAnsi="Verdana"/>
          <w:color w:val="000000"/>
        </w:rPr>
        <w:t>or oral equivalent</w:t>
      </w:r>
      <w:r w:rsidRPr="00623248">
        <w:rPr>
          <w:rFonts w:ascii="Verdana" w:hAnsi="Verdana"/>
        </w:rPr>
        <w:t>)</w:t>
      </w:r>
      <w:r w:rsidRPr="00623248">
        <w:rPr>
          <w:rFonts w:ascii="Verdana" w:hAnsi="Verdana"/>
          <w:iCs/>
          <w:lang w:eastAsia="en-GB"/>
        </w:rPr>
        <w:t xml:space="preserve"> for Grade ≥ 3 adrenal insufficiency followed by a taper until a dose of less than or equal to 10 mg/day has been reached.</w:t>
      </w:r>
    </w:p>
    <w:p w14:paraId="37822D58" w14:textId="713B95F7" w:rsidR="00422D8C" w:rsidRPr="00623248" w:rsidRDefault="00422D8C" w:rsidP="00623248">
      <w:pPr>
        <w:spacing w:after="120" w:line="240" w:lineRule="auto"/>
        <w:rPr>
          <w:rFonts w:ascii="Verdana" w:hAnsi="Verdana"/>
          <w:iCs/>
          <w:lang w:eastAsia="en-GB"/>
        </w:rPr>
      </w:pPr>
      <w:r w:rsidRPr="00623248">
        <w:rPr>
          <w:rFonts w:ascii="Verdana" w:hAnsi="Verdana"/>
          <w:noProof/>
        </w:rPr>
        <w:t xml:space="preserve">Avelumab </w:t>
      </w:r>
      <w:r w:rsidRPr="00623248">
        <w:rPr>
          <w:rFonts w:ascii="Verdana" w:hAnsi="Verdana"/>
          <w:iCs/>
          <w:lang w:eastAsia="en-GB"/>
        </w:rPr>
        <w:t>should be withheld for Grade 3 or Grade 4 symptomatic adrenal insufficiency</w:t>
      </w:r>
      <w:r w:rsidR="004D0C55">
        <w:rPr>
          <w:rFonts w:ascii="Verdana" w:hAnsi="Verdana"/>
          <w:iCs/>
          <w:lang w:eastAsia="en-GB"/>
        </w:rPr>
        <w:t>,</w:t>
      </w:r>
      <w:r w:rsidRPr="00623248">
        <w:rPr>
          <w:rFonts w:ascii="Verdana" w:hAnsi="Verdana"/>
          <w:iCs/>
          <w:lang w:eastAsia="en-GB"/>
        </w:rPr>
        <w:t xml:space="preserve"> </w:t>
      </w:r>
      <w:r w:rsidR="00F34B68" w:rsidRPr="00623248">
        <w:rPr>
          <w:rFonts w:ascii="Verdana" w:eastAsia="TimesNewRoman" w:hAnsi="Verdana"/>
          <w:lang w:eastAsia="en-GB"/>
        </w:rPr>
        <w:t>see section 4.2.</w:t>
      </w:r>
    </w:p>
    <w:p w14:paraId="18124BCF" w14:textId="77777777" w:rsidR="00422D8C" w:rsidRPr="00623248" w:rsidRDefault="00422D8C" w:rsidP="00623248">
      <w:pPr>
        <w:keepNext/>
        <w:keepLines/>
        <w:spacing w:after="120" w:line="240" w:lineRule="auto"/>
        <w:rPr>
          <w:rFonts w:ascii="Verdana" w:hAnsi="Verdana"/>
          <w:i/>
          <w:iCs/>
          <w:lang w:eastAsia="en-GB"/>
        </w:rPr>
      </w:pPr>
      <w:r w:rsidRPr="00623248">
        <w:rPr>
          <w:rFonts w:ascii="Verdana" w:hAnsi="Verdana"/>
          <w:i/>
          <w:iCs/>
          <w:lang w:eastAsia="en-GB"/>
        </w:rPr>
        <w:t>Type 1 diabetes mellitus</w:t>
      </w:r>
    </w:p>
    <w:p w14:paraId="5436F7F7" w14:textId="1FE8A199" w:rsidR="00422D8C" w:rsidRPr="00623248" w:rsidRDefault="00422D8C" w:rsidP="00623248">
      <w:pPr>
        <w:keepNext/>
        <w:keepLines/>
        <w:spacing w:after="120" w:line="240" w:lineRule="auto"/>
        <w:rPr>
          <w:rFonts w:ascii="Verdana" w:hAnsi="Verdana"/>
          <w:iCs/>
          <w:lang w:eastAsia="en-GB"/>
        </w:rPr>
      </w:pPr>
      <w:r w:rsidRPr="00623248">
        <w:rPr>
          <w:rFonts w:ascii="Verdana" w:hAnsi="Verdana"/>
          <w:iCs/>
          <w:lang w:eastAsia="en-GB"/>
        </w:rPr>
        <w:t>Avelumab can cause Type 1 diabetes mellitus, including diabetic ketoacidosis</w:t>
      </w:r>
      <w:r w:rsidR="004D0C55">
        <w:rPr>
          <w:rFonts w:ascii="Verdana" w:hAnsi="Verdana"/>
          <w:iCs/>
          <w:lang w:eastAsia="en-GB"/>
        </w:rPr>
        <w:t>,</w:t>
      </w:r>
      <w:r w:rsidRPr="00623248">
        <w:rPr>
          <w:rFonts w:ascii="Verdana" w:hAnsi="Verdana"/>
          <w:iCs/>
          <w:lang w:eastAsia="en-GB"/>
        </w:rPr>
        <w:t xml:space="preserve"> </w:t>
      </w:r>
      <w:bookmarkStart w:id="0" w:name="_Hlk500270303"/>
      <w:r w:rsidR="007845AE" w:rsidRPr="00623248">
        <w:rPr>
          <w:rFonts w:ascii="Verdana" w:hAnsi="Verdana"/>
          <w:iCs/>
          <w:lang w:eastAsia="en-GB"/>
        </w:rPr>
        <w:t xml:space="preserve">see </w:t>
      </w:r>
      <w:r w:rsidR="007845AE" w:rsidRPr="00623248">
        <w:rPr>
          <w:rFonts w:ascii="Verdana" w:eastAsia="TimesNewRoman" w:hAnsi="Verdana"/>
          <w:lang w:eastAsia="en-GB"/>
        </w:rPr>
        <w:t>section 4.8.</w:t>
      </w:r>
      <w:bookmarkEnd w:id="0"/>
    </w:p>
    <w:p w14:paraId="6395FC69" w14:textId="0D17A247" w:rsidR="00422D8C" w:rsidRPr="00623248" w:rsidRDefault="00422D8C" w:rsidP="00623248">
      <w:pPr>
        <w:spacing w:after="120" w:line="240" w:lineRule="auto"/>
        <w:rPr>
          <w:rFonts w:ascii="Verdana" w:hAnsi="Verdana"/>
          <w:iCs/>
          <w:lang w:eastAsia="en-GB"/>
        </w:rPr>
      </w:pPr>
      <w:r w:rsidRPr="00623248">
        <w:rPr>
          <w:rFonts w:ascii="Verdana" w:hAnsi="Verdana"/>
          <w:iCs/>
          <w:lang w:eastAsia="en-GB"/>
        </w:rPr>
        <w:t>Patients should be monitored for hyperglycaemia or other signs and symptoms of diabetes. Initiate treatment with insulin for Type 1 diabetes mellitus. Avelumab should be withheld and anti-</w:t>
      </w:r>
      <w:proofErr w:type="spellStart"/>
      <w:r w:rsidRPr="00623248">
        <w:rPr>
          <w:rFonts w:ascii="Verdana" w:hAnsi="Verdana"/>
          <w:iCs/>
          <w:lang w:eastAsia="en-GB"/>
        </w:rPr>
        <w:t>hyperglycaemics</w:t>
      </w:r>
      <w:proofErr w:type="spellEnd"/>
      <w:r w:rsidRPr="00623248">
        <w:rPr>
          <w:rFonts w:ascii="Verdana" w:hAnsi="Verdana"/>
          <w:iCs/>
          <w:lang w:eastAsia="en-GB"/>
        </w:rPr>
        <w:t xml:space="preserve"> in patients with Grade ≥ </w:t>
      </w:r>
      <w:proofErr w:type="gramStart"/>
      <w:r w:rsidRPr="00623248">
        <w:rPr>
          <w:rFonts w:ascii="Verdana" w:hAnsi="Verdana"/>
          <w:iCs/>
          <w:lang w:eastAsia="en-GB"/>
        </w:rPr>
        <w:t>3 hyperglycaemia</w:t>
      </w:r>
      <w:proofErr w:type="gramEnd"/>
      <w:r w:rsidRPr="00623248">
        <w:rPr>
          <w:rFonts w:ascii="Verdana" w:hAnsi="Verdana"/>
          <w:iCs/>
          <w:lang w:eastAsia="en-GB"/>
        </w:rPr>
        <w:t xml:space="preserve"> should be administered. Treatment with avelumab should be resumed when metabolic control is achieved on insulin replacement therapy.</w:t>
      </w:r>
    </w:p>
    <w:p w14:paraId="0C01365E" w14:textId="77777777" w:rsidR="00422D8C" w:rsidRPr="00623248" w:rsidRDefault="00422D8C" w:rsidP="00623248">
      <w:pPr>
        <w:keepNext/>
        <w:keepLines/>
        <w:spacing w:after="120" w:line="240" w:lineRule="auto"/>
        <w:rPr>
          <w:rFonts w:ascii="Verdana" w:hAnsi="Verdana"/>
          <w:i/>
          <w:iCs/>
          <w:u w:val="single"/>
          <w:lang w:eastAsia="en-GB"/>
        </w:rPr>
      </w:pPr>
      <w:r w:rsidRPr="00623248">
        <w:rPr>
          <w:rFonts w:ascii="Verdana" w:hAnsi="Verdana"/>
          <w:i/>
          <w:iCs/>
          <w:u w:val="single"/>
          <w:lang w:eastAsia="en-GB"/>
        </w:rPr>
        <w:t>Immune-related nephritis and renal dysfunction</w:t>
      </w:r>
    </w:p>
    <w:p w14:paraId="0AA3C9FF" w14:textId="1B2D1E4C" w:rsidR="00422D8C" w:rsidRPr="00623248" w:rsidRDefault="00422D8C" w:rsidP="00623248">
      <w:pPr>
        <w:keepNext/>
        <w:keepLines/>
        <w:spacing w:after="120" w:line="240" w:lineRule="auto"/>
        <w:rPr>
          <w:rFonts w:ascii="Verdana" w:hAnsi="Verdana"/>
          <w:iCs/>
          <w:lang w:eastAsia="en-GB"/>
        </w:rPr>
      </w:pPr>
      <w:r w:rsidRPr="00623248">
        <w:rPr>
          <w:rFonts w:ascii="Verdana" w:hAnsi="Verdana"/>
          <w:iCs/>
          <w:lang w:eastAsia="en-GB"/>
        </w:rPr>
        <w:t>Avelumab can cause immune-related nephritis</w:t>
      </w:r>
      <w:r w:rsidR="004D0C55">
        <w:rPr>
          <w:rFonts w:ascii="Verdana" w:hAnsi="Verdana"/>
          <w:iCs/>
          <w:lang w:eastAsia="en-GB"/>
        </w:rPr>
        <w:t>,</w:t>
      </w:r>
      <w:r w:rsidRPr="00623248">
        <w:rPr>
          <w:rFonts w:ascii="Verdana" w:hAnsi="Verdana"/>
          <w:iCs/>
          <w:lang w:eastAsia="en-GB"/>
        </w:rPr>
        <w:t xml:space="preserve"> </w:t>
      </w:r>
      <w:r w:rsidR="007845AE" w:rsidRPr="00623248">
        <w:rPr>
          <w:rFonts w:ascii="Verdana" w:hAnsi="Verdana"/>
          <w:iCs/>
          <w:lang w:eastAsia="en-GB"/>
        </w:rPr>
        <w:t xml:space="preserve">see </w:t>
      </w:r>
      <w:r w:rsidR="007845AE" w:rsidRPr="00623248">
        <w:rPr>
          <w:rFonts w:ascii="Verdana" w:eastAsia="TimesNewRoman" w:hAnsi="Verdana"/>
          <w:lang w:eastAsia="en-GB"/>
        </w:rPr>
        <w:t>section 4.8.</w:t>
      </w:r>
    </w:p>
    <w:p w14:paraId="4D977D08" w14:textId="6AE6A798" w:rsidR="00070AB0" w:rsidRPr="00623248" w:rsidRDefault="00422D8C" w:rsidP="00623248">
      <w:pPr>
        <w:spacing w:after="120" w:line="240" w:lineRule="auto"/>
        <w:rPr>
          <w:rFonts w:ascii="Verdana" w:hAnsi="Verdana"/>
          <w:iCs/>
          <w:lang w:eastAsia="en-GB"/>
        </w:rPr>
      </w:pPr>
      <w:r w:rsidRPr="00623248">
        <w:rPr>
          <w:rFonts w:ascii="Verdana" w:hAnsi="Verdana"/>
          <w:iCs/>
          <w:lang w:eastAsia="en-GB"/>
        </w:rPr>
        <w:t xml:space="preserve">Patients should be monitored for elevated serum creatinine prior to and periodically during treatment. Corticosteroids (initial dose of 1 to 2 mg/kg/day prednisone or equivalent followed by a corticosteroid taper) should be </w:t>
      </w:r>
      <w:r w:rsidRPr="00623248">
        <w:rPr>
          <w:rFonts w:ascii="Verdana" w:hAnsi="Verdana"/>
          <w:iCs/>
          <w:lang w:eastAsia="en-GB"/>
        </w:rPr>
        <w:lastRenderedPageBreak/>
        <w:t>administered for Grade ≥ </w:t>
      </w:r>
      <w:proofErr w:type="gramStart"/>
      <w:r w:rsidRPr="00623248">
        <w:rPr>
          <w:rFonts w:ascii="Verdana" w:hAnsi="Verdana"/>
          <w:iCs/>
          <w:lang w:eastAsia="en-GB"/>
        </w:rPr>
        <w:t>2 nephritis</w:t>
      </w:r>
      <w:proofErr w:type="gramEnd"/>
      <w:r w:rsidRPr="00623248">
        <w:rPr>
          <w:rFonts w:ascii="Verdana" w:hAnsi="Verdana"/>
          <w:iCs/>
          <w:lang w:eastAsia="en-GB"/>
        </w:rPr>
        <w:t>. Avelumab should be withheld for Grade 2 or Grade 3 nephritis until resolution to ≤ Grade 1 and permanently discontinued for Grade 4 nephritis.</w:t>
      </w:r>
    </w:p>
    <w:p w14:paraId="514C91DA" w14:textId="55C3A4D6" w:rsidR="00422D8C" w:rsidRPr="00623248" w:rsidRDefault="00422D8C" w:rsidP="00623248">
      <w:pPr>
        <w:spacing w:after="120" w:line="240" w:lineRule="auto"/>
        <w:rPr>
          <w:rFonts w:ascii="Verdana" w:hAnsi="Verdana"/>
          <w:i/>
          <w:noProof/>
          <w:u w:val="single"/>
        </w:rPr>
      </w:pPr>
      <w:r w:rsidRPr="00623248">
        <w:rPr>
          <w:rFonts w:ascii="Verdana" w:hAnsi="Verdana"/>
          <w:i/>
          <w:noProof/>
          <w:u w:val="single"/>
        </w:rPr>
        <w:t>Other adverse reactions</w:t>
      </w:r>
    </w:p>
    <w:p w14:paraId="4A2C7629" w14:textId="40FD9620" w:rsidR="00422D8C" w:rsidRPr="00623248" w:rsidRDefault="00422D8C" w:rsidP="00623248">
      <w:pPr>
        <w:spacing w:after="120" w:line="240" w:lineRule="auto"/>
        <w:rPr>
          <w:rFonts w:ascii="Verdana" w:eastAsia="TimesNewRoman" w:hAnsi="Verdana"/>
          <w:lang w:eastAsia="en-GB"/>
        </w:rPr>
      </w:pPr>
      <w:r w:rsidRPr="00623248">
        <w:rPr>
          <w:rFonts w:ascii="Verdana" w:hAnsi="Verdana"/>
          <w:lang w:eastAsia="en-GB"/>
        </w:rPr>
        <w:t>Other clinically important immune</w:t>
      </w:r>
      <w:r w:rsidRPr="00623248">
        <w:rPr>
          <w:rFonts w:ascii="Verdana" w:hAnsi="Verdana"/>
          <w:lang w:eastAsia="en-GB"/>
        </w:rPr>
        <w:noBreakHyphen/>
        <w:t xml:space="preserve">related adverse reactions were reported in less than 1% of patients: myocarditis including fatal cases, myositis, hypopituitarism, uveitis, and </w:t>
      </w:r>
      <w:proofErr w:type="spellStart"/>
      <w:r w:rsidRPr="00623248">
        <w:rPr>
          <w:rFonts w:ascii="Verdana" w:hAnsi="Verdana"/>
          <w:lang w:eastAsia="en-GB"/>
        </w:rPr>
        <w:t>Guillain-Barré</w:t>
      </w:r>
      <w:proofErr w:type="spellEnd"/>
      <w:r w:rsidRPr="00623248">
        <w:rPr>
          <w:rFonts w:ascii="Verdana" w:hAnsi="Verdana"/>
          <w:lang w:eastAsia="en-GB"/>
        </w:rPr>
        <w:t xml:space="preserve"> syndrome</w:t>
      </w:r>
      <w:r w:rsidR="00751AA2">
        <w:rPr>
          <w:rFonts w:ascii="Verdana" w:hAnsi="Verdana"/>
          <w:lang w:eastAsia="en-GB"/>
        </w:rPr>
        <w:t>,</w:t>
      </w:r>
      <w:r w:rsidRPr="00623248">
        <w:rPr>
          <w:rFonts w:ascii="Verdana" w:eastAsia="Calibri" w:hAnsi="Verdana"/>
        </w:rPr>
        <w:t xml:space="preserve"> </w:t>
      </w:r>
      <w:r w:rsidR="007845AE" w:rsidRPr="00623248">
        <w:rPr>
          <w:rFonts w:ascii="Verdana" w:hAnsi="Verdana"/>
          <w:iCs/>
          <w:lang w:eastAsia="en-GB"/>
        </w:rPr>
        <w:t xml:space="preserve">see </w:t>
      </w:r>
      <w:r w:rsidR="007845AE" w:rsidRPr="00623248">
        <w:rPr>
          <w:rFonts w:ascii="Verdana" w:eastAsia="TimesNewRoman" w:hAnsi="Verdana"/>
          <w:lang w:eastAsia="en-GB"/>
        </w:rPr>
        <w:t>section 4.8.</w:t>
      </w:r>
    </w:p>
    <w:p w14:paraId="5F36D97F" w14:textId="39EF6B1E" w:rsidR="00422D8C" w:rsidRPr="00623248" w:rsidRDefault="00422D8C" w:rsidP="00623248">
      <w:pPr>
        <w:spacing w:after="120" w:line="240" w:lineRule="auto"/>
        <w:rPr>
          <w:rFonts w:ascii="Verdana" w:hAnsi="Verdana"/>
          <w:lang w:eastAsia="en-GB"/>
        </w:rPr>
      </w:pPr>
      <w:r w:rsidRPr="00623248">
        <w:rPr>
          <w:rFonts w:ascii="Verdana" w:hAnsi="Verdana"/>
          <w:lang w:eastAsia="en-GB"/>
        </w:rPr>
        <w:t>For suspected immune</w:t>
      </w:r>
      <w:r w:rsidRPr="00623248">
        <w:rPr>
          <w:rFonts w:ascii="Verdana" w:hAnsi="Verdana"/>
          <w:lang w:eastAsia="en-GB"/>
        </w:rPr>
        <w:noBreakHyphen/>
        <w:t xml:space="preserve">related adverse reactions, ensure adequate evaluation to confirm aetiology or to rule out </w:t>
      </w:r>
      <w:r w:rsidRPr="00623248">
        <w:rPr>
          <w:rFonts w:ascii="Verdana" w:hAnsi="Verdana"/>
        </w:rPr>
        <w:t>other causes</w:t>
      </w:r>
      <w:r w:rsidRPr="00623248">
        <w:rPr>
          <w:rFonts w:ascii="Verdana" w:hAnsi="Verdana"/>
          <w:lang w:eastAsia="en-GB"/>
        </w:rPr>
        <w:t xml:space="preserve">. Based on the severity of the adverse reaction, </w:t>
      </w:r>
      <w:r w:rsidRPr="00623248">
        <w:rPr>
          <w:rFonts w:ascii="Verdana" w:hAnsi="Verdana"/>
          <w:noProof/>
        </w:rPr>
        <w:t xml:space="preserve">avelumab </w:t>
      </w:r>
      <w:r w:rsidRPr="00623248">
        <w:rPr>
          <w:rFonts w:ascii="Verdana" w:hAnsi="Verdana"/>
          <w:lang w:eastAsia="en-GB"/>
        </w:rPr>
        <w:t xml:space="preserve">should be withheld and corticosteroids to be administered. </w:t>
      </w:r>
      <w:r w:rsidRPr="00623248">
        <w:rPr>
          <w:rFonts w:ascii="Verdana" w:hAnsi="Verdana"/>
          <w:noProof/>
        </w:rPr>
        <w:t xml:space="preserve">Avelumab </w:t>
      </w:r>
      <w:r w:rsidRPr="00623248">
        <w:rPr>
          <w:rFonts w:ascii="Verdana" w:hAnsi="Verdana"/>
          <w:lang w:eastAsia="en-GB"/>
        </w:rPr>
        <w:t>should be resumed when the immune</w:t>
      </w:r>
      <w:r w:rsidRPr="00623248">
        <w:rPr>
          <w:rFonts w:ascii="Verdana" w:hAnsi="Verdana"/>
          <w:lang w:eastAsia="en-GB"/>
        </w:rPr>
        <w:noBreakHyphen/>
        <w:t xml:space="preserve">related adverse reaction remains at Grade 1 or less following corticosteroid </w:t>
      </w:r>
      <w:proofErr w:type="gramStart"/>
      <w:r w:rsidRPr="00623248">
        <w:rPr>
          <w:rFonts w:ascii="Verdana" w:hAnsi="Verdana"/>
          <w:lang w:eastAsia="en-GB"/>
        </w:rPr>
        <w:t>taper</w:t>
      </w:r>
      <w:proofErr w:type="gramEnd"/>
      <w:r w:rsidRPr="00623248">
        <w:rPr>
          <w:rFonts w:ascii="Verdana" w:hAnsi="Verdana"/>
          <w:lang w:eastAsia="en-GB"/>
        </w:rPr>
        <w:t xml:space="preserve">. </w:t>
      </w:r>
    </w:p>
    <w:p w14:paraId="5BC26057" w14:textId="63E97F24" w:rsidR="00422D8C" w:rsidRPr="00623248" w:rsidRDefault="00422D8C" w:rsidP="00623248">
      <w:pPr>
        <w:spacing w:after="120" w:line="240" w:lineRule="auto"/>
        <w:rPr>
          <w:rFonts w:ascii="Verdana" w:eastAsia="TimesNewRoman" w:hAnsi="Verdana"/>
          <w:lang w:eastAsia="en-GB"/>
        </w:rPr>
      </w:pPr>
      <w:r w:rsidRPr="00623248">
        <w:rPr>
          <w:rFonts w:ascii="Verdana" w:hAnsi="Verdana"/>
          <w:noProof/>
        </w:rPr>
        <w:t xml:space="preserve">Avelumab </w:t>
      </w:r>
      <w:r w:rsidRPr="00623248">
        <w:rPr>
          <w:rFonts w:ascii="Verdana" w:hAnsi="Verdana"/>
          <w:lang w:eastAsia="en-GB"/>
        </w:rPr>
        <w:t>should be permanently discontinued for any other Grade 3 immune</w:t>
      </w:r>
      <w:r w:rsidRPr="00623248">
        <w:rPr>
          <w:rFonts w:ascii="Verdana" w:hAnsi="Verdana"/>
          <w:lang w:eastAsia="en-GB"/>
        </w:rPr>
        <w:noBreakHyphen/>
        <w:t>related adverse reactions that recur and for any Grade 4 treatment</w:t>
      </w:r>
      <w:r w:rsidRPr="00623248">
        <w:rPr>
          <w:rFonts w:ascii="Verdana" w:hAnsi="Verdana"/>
          <w:lang w:eastAsia="en-GB"/>
        </w:rPr>
        <w:noBreakHyphen/>
        <w:t xml:space="preserve">related adverse reactions </w:t>
      </w:r>
      <w:r w:rsidRPr="00623248">
        <w:rPr>
          <w:rFonts w:ascii="Verdana" w:eastAsia="TimesNewRoman" w:hAnsi="Verdana"/>
          <w:lang w:eastAsia="en-GB"/>
        </w:rPr>
        <w:t>except for endocrinopathies controlled with hormone replacement</w:t>
      </w:r>
      <w:r w:rsidR="00BE5CFE">
        <w:rPr>
          <w:rFonts w:ascii="Verdana" w:eastAsia="TimesNewRoman" w:hAnsi="Verdana"/>
          <w:lang w:eastAsia="en-GB"/>
        </w:rPr>
        <w:t>,</w:t>
      </w:r>
      <w:r w:rsidRPr="00623248">
        <w:rPr>
          <w:rFonts w:ascii="Verdana" w:hAnsi="Verdana"/>
          <w:lang w:eastAsia="en-GB"/>
        </w:rPr>
        <w:t xml:space="preserve"> </w:t>
      </w:r>
      <w:r w:rsidR="007845AE" w:rsidRPr="00623248">
        <w:rPr>
          <w:rFonts w:ascii="Verdana" w:hAnsi="Verdana"/>
          <w:iCs/>
          <w:lang w:eastAsia="en-GB"/>
        </w:rPr>
        <w:t xml:space="preserve">see </w:t>
      </w:r>
      <w:r w:rsidR="007845AE" w:rsidRPr="00623248">
        <w:rPr>
          <w:rFonts w:ascii="Verdana" w:eastAsia="TimesNewRoman" w:hAnsi="Verdana"/>
          <w:lang w:eastAsia="en-GB"/>
        </w:rPr>
        <w:t>section 4.2.</w:t>
      </w:r>
    </w:p>
    <w:p w14:paraId="30B762D0" w14:textId="77777777" w:rsidR="00502B50" w:rsidRPr="00623248" w:rsidRDefault="00502B50" w:rsidP="00502B50">
      <w:pPr>
        <w:spacing w:after="120" w:line="240" w:lineRule="auto"/>
        <w:rPr>
          <w:rFonts w:ascii="Verdana" w:eastAsia="TimesNewRoman" w:hAnsi="Verdana"/>
          <w:u w:val="single"/>
          <w:lang w:eastAsia="en-GB"/>
        </w:rPr>
      </w:pPr>
      <w:r w:rsidRPr="00623248">
        <w:rPr>
          <w:rFonts w:ascii="Verdana" w:eastAsia="TimesNewRoman" w:hAnsi="Verdana"/>
          <w:u w:val="single"/>
          <w:lang w:eastAsia="en-GB"/>
        </w:rPr>
        <w:t>Patients excluded from clinical studies</w:t>
      </w:r>
    </w:p>
    <w:p w14:paraId="06569F7B" w14:textId="1C32A781" w:rsidR="00502B50" w:rsidRPr="00623248" w:rsidRDefault="00502B50" w:rsidP="00502B50">
      <w:pPr>
        <w:spacing w:after="120" w:line="240" w:lineRule="auto"/>
        <w:rPr>
          <w:rFonts w:ascii="Verdana" w:eastAsia="TimesNewRoman" w:hAnsi="Verdana"/>
          <w:lang w:eastAsia="en-GB"/>
        </w:rPr>
      </w:pPr>
      <w:r w:rsidRPr="00623248">
        <w:rPr>
          <w:rFonts w:ascii="Verdana" w:eastAsia="TimesNewRoman" w:hAnsi="Verdana"/>
          <w:lang w:eastAsia="en-GB"/>
        </w:rPr>
        <w:t>Patients with the following conditions were excluded from clinical trials: active central nervous system (CNS) metastasis</w:t>
      </w:r>
      <w:r w:rsidR="00AB09A1">
        <w:rPr>
          <w:rFonts w:ascii="Verdana" w:eastAsia="TimesNewRoman" w:hAnsi="Verdana"/>
          <w:lang w:eastAsia="en-GB"/>
        </w:rPr>
        <w:t xml:space="preserve"> or treated within 2 months</w:t>
      </w:r>
      <w:r w:rsidRPr="00623248">
        <w:rPr>
          <w:rFonts w:ascii="Verdana" w:eastAsia="TimesNewRoman" w:hAnsi="Verdana"/>
          <w:lang w:eastAsia="en-GB"/>
        </w:rPr>
        <w:t>; active or a history of autoimmune disease; a history of other malignancies within the last 5 years</w:t>
      </w:r>
      <w:r w:rsidR="00AB09A1">
        <w:rPr>
          <w:rFonts w:ascii="Verdana" w:eastAsia="TimesNewRoman" w:hAnsi="Verdana"/>
          <w:lang w:eastAsia="en-GB"/>
        </w:rPr>
        <w:t xml:space="preserve"> except basal or squamous cell carcinoma of the skin or cervical carcinoma in situ</w:t>
      </w:r>
      <w:r w:rsidRPr="00623248">
        <w:rPr>
          <w:rFonts w:ascii="Verdana" w:eastAsia="TimesNewRoman" w:hAnsi="Verdana"/>
          <w:lang w:eastAsia="en-GB"/>
        </w:rPr>
        <w:t>; organ transplant; conditions requiring therapeutic immune suppression or active infection with HIV, or hepatitis B or C.</w:t>
      </w:r>
    </w:p>
    <w:p w14:paraId="18E9E27E" w14:textId="74FF6A8E" w:rsidR="00422D8C" w:rsidRPr="00623248" w:rsidRDefault="00422D8C" w:rsidP="00623248">
      <w:pPr>
        <w:spacing w:after="120" w:line="240" w:lineRule="auto"/>
        <w:rPr>
          <w:rFonts w:ascii="Verdana" w:hAnsi="Verdana"/>
          <w:b/>
        </w:rPr>
      </w:pPr>
      <w:r w:rsidRPr="00623248">
        <w:rPr>
          <w:rFonts w:ascii="Verdana" w:hAnsi="Verdana"/>
          <w:b/>
        </w:rPr>
        <w:t>Paediatric Use</w:t>
      </w:r>
    </w:p>
    <w:p w14:paraId="038269E0" w14:textId="5CC82652" w:rsidR="00422D8C" w:rsidRPr="00623248" w:rsidRDefault="00422D8C" w:rsidP="00623248">
      <w:pPr>
        <w:spacing w:after="120" w:line="240" w:lineRule="auto"/>
        <w:rPr>
          <w:rFonts w:ascii="Verdana" w:hAnsi="Verdana"/>
          <w:color w:val="000000"/>
        </w:rPr>
      </w:pPr>
      <w:r w:rsidRPr="00623248">
        <w:rPr>
          <w:rFonts w:ascii="Verdana" w:hAnsi="Verdana"/>
          <w:color w:val="000000"/>
        </w:rPr>
        <w:t xml:space="preserve">The safety and efficacy of BAVENCIO have been established in paediatric </w:t>
      </w:r>
      <w:proofErr w:type="gramStart"/>
      <w:r w:rsidRPr="00623248">
        <w:rPr>
          <w:rFonts w:ascii="Verdana" w:hAnsi="Verdana"/>
          <w:color w:val="000000"/>
        </w:rPr>
        <w:t>patients</w:t>
      </w:r>
      <w:proofErr w:type="gramEnd"/>
      <w:r w:rsidRPr="00623248">
        <w:rPr>
          <w:rFonts w:ascii="Verdana" w:hAnsi="Verdana"/>
          <w:color w:val="000000"/>
        </w:rPr>
        <w:t xml:space="preserve"> age 12 years and older. Use of BAVENCIO in this age group is supported by evidence from adequate and well-controlled studies of BAVENCIO in adults with additional population pharmacokinetic data demonstrating that age and body weight had no clinically meaningful effect on the steady state exposure of avelumab, that drug exposure is generally similar between adults and paediatric patients age 12 years and older for monoclonal antibodies, and that the course of MCC is sufficiently similar in adults and paediatric patients to allow extrapolation of data in adults to paediatric patients. The recommended dose in paediatric patients 12 years of age or greater is the same as that in adults. </w:t>
      </w:r>
    </w:p>
    <w:p w14:paraId="3B61E652" w14:textId="3350E110" w:rsidR="00422D8C" w:rsidRPr="00623248" w:rsidRDefault="00422D8C" w:rsidP="00623248">
      <w:pPr>
        <w:spacing w:after="120" w:line="240" w:lineRule="auto"/>
        <w:rPr>
          <w:rFonts w:ascii="Verdana" w:hAnsi="Verdana"/>
          <w:i/>
        </w:rPr>
      </w:pPr>
      <w:r w:rsidRPr="00623248">
        <w:rPr>
          <w:rFonts w:ascii="Verdana" w:eastAsia="TimesNewRoman" w:hAnsi="Verdana"/>
          <w:lang w:eastAsia="en-GB"/>
        </w:rPr>
        <w:t>T</w:t>
      </w:r>
      <w:r w:rsidRPr="00623248">
        <w:rPr>
          <w:rFonts w:ascii="Verdana" w:hAnsi="Verdana"/>
          <w:iCs/>
          <w:lang w:eastAsia="en-GB"/>
        </w:rPr>
        <w:t>he safety and efficacy of BAVENCIO in children less than 12 years of age have not been established.</w:t>
      </w:r>
    </w:p>
    <w:p w14:paraId="2FC2580C" w14:textId="056244A1" w:rsidR="00422D8C" w:rsidRPr="00623248" w:rsidRDefault="00422D8C" w:rsidP="00623248">
      <w:pPr>
        <w:spacing w:after="120" w:line="240" w:lineRule="auto"/>
        <w:rPr>
          <w:rFonts w:ascii="Verdana" w:hAnsi="Verdana"/>
          <w:b/>
          <w:lang w:eastAsia="zh-TW"/>
        </w:rPr>
      </w:pPr>
      <w:r w:rsidRPr="00623248">
        <w:rPr>
          <w:rFonts w:ascii="Verdana" w:hAnsi="Verdana"/>
          <w:b/>
          <w:lang w:eastAsia="zh-TW"/>
        </w:rPr>
        <w:t xml:space="preserve">Use in the Elderly </w:t>
      </w:r>
    </w:p>
    <w:p w14:paraId="0E1CB3EF" w14:textId="77777777" w:rsidR="00502B50" w:rsidRPr="00623248" w:rsidRDefault="00502B50" w:rsidP="00502B50">
      <w:pPr>
        <w:spacing w:after="120" w:line="240" w:lineRule="auto"/>
        <w:rPr>
          <w:rFonts w:ascii="Verdana" w:hAnsi="Verdana"/>
          <w:lang w:eastAsia="zh-TW"/>
        </w:rPr>
      </w:pPr>
      <w:r w:rsidRPr="00623248">
        <w:rPr>
          <w:rFonts w:ascii="Verdana" w:hAnsi="Verdana"/>
          <w:lang w:eastAsia="zh-TW"/>
        </w:rPr>
        <w:t>Clinical studies of BAVENCIO in MCC did not include sufficient numbers of patients aged 65 and over to determine whether they respond differently from younger patients.</w:t>
      </w:r>
    </w:p>
    <w:p w14:paraId="03AC626C" w14:textId="7F7253A4" w:rsidR="00422D8C" w:rsidRPr="00623248" w:rsidRDefault="00422D8C" w:rsidP="00623248">
      <w:pPr>
        <w:spacing w:after="120" w:line="240" w:lineRule="auto"/>
        <w:rPr>
          <w:rFonts w:ascii="Verdana" w:hAnsi="Verdana"/>
          <w:b/>
        </w:rPr>
      </w:pPr>
      <w:r w:rsidRPr="00623248">
        <w:rPr>
          <w:rFonts w:ascii="Verdana" w:hAnsi="Verdana"/>
          <w:b/>
        </w:rPr>
        <w:t>Immunosuppressed/Organ Transplant Patients</w:t>
      </w:r>
    </w:p>
    <w:p w14:paraId="00F27EAD" w14:textId="4D3073BD" w:rsidR="00DC683C" w:rsidRPr="00623248" w:rsidRDefault="00422D8C" w:rsidP="00623248">
      <w:pPr>
        <w:spacing w:after="120" w:line="240" w:lineRule="auto"/>
        <w:rPr>
          <w:rFonts w:ascii="Verdana" w:hAnsi="Verdana"/>
        </w:rPr>
      </w:pPr>
      <w:r w:rsidRPr="00623248">
        <w:rPr>
          <w:rFonts w:ascii="Verdana" w:hAnsi="Verdana"/>
        </w:rPr>
        <w:t>Efficacy and safety have not been studied in immunosuppressed patients or in patients with a history of organ transplantation.</w:t>
      </w:r>
    </w:p>
    <w:p w14:paraId="54297D4C" w14:textId="51CB7E55" w:rsidR="001A3992" w:rsidRPr="00F34B68" w:rsidRDefault="001A3992" w:rsidP="001A3992">
      <w:pPr>
        <w:pStyle w:val="Heading2"/>
        <w:keepNext/>
        <w:keepLines/>
        <w:spacing w:before="0" w:after="120"/>
        <w:rPr>
          <w:rFonts w:ascii="Verdana" w:hAnsi="Verdana"/>
          <w:sz w:val="22"/>
        </w:rPr>
      </w:pPr>
      <w:r w:rsidRPr="00F34B68">
        <w:rPr>
          <w:rFonts w:ascii="Verdana" w:hAnsi="Verdana"/>
          <w:sz w:val="22"/>
        </w:rPr>
        <w:t>Interactions with other medicines and other forms of interactions</w:t>
      </w:r>
    </w:p>
    <w:p w14:paraId="5C9C1593" w14:textId="77777777" w:rsidR="00CE04BB" w:rsidRPr="00F34B68" w:rsidDel="00E0188B" w:rsidRDefault="00CE04BB" w:rsidP="00623248">
      <w:pPr>
        <w:spacing w:after="120" w:line="240" w:lineRule="auto"/>
        <w:rPr>
          <w:rFonts w:ascii="Verdana" w:hAnsi="Verdana"/>
        </w:rPr>
      </w:pPr>
      <w:r w:rsidRPr="00F34B68">
        <w:rPr>
          <w:rFonts w:ascii="Verdana" w:hAnsi="Verdana"/>
        </w:rPr>
        <w:t>No interaction studies have been conducted with avelumab in humans.</w:t>
      </w:r>
    </w:p>
    <w:p w14:paraId="06BA5C1F" w14:textId="18122117" w:rsidR="00CE04BB" w:rsidRPr="00F34B68" w:rsidRDefault="00CE04BB" w:rsidP="00623248">
      <w:pPr>
        <w:spacing w:after="120" w:line="240" w:lineRule="auto"/>
        <w:rPr>
          <w:rFonts w:ascii="Verdana" w:hAnsi="Verdana"/>
        </w:rPr>
      </w:pPr>
      <w:r w:rsidRPr="00F34B68">
        <w:rPr>
          <w:rFonts w:ascii="Verdana" w:hAnsi="Verdana"/>
        </w:rPr>
        <w:lastRenderedPageBreak/>
        <w:t>Avelumab is primarily metabolised through catabolic pathways. Therefore, it is not expected that avelumab will have drug</w:t>
      </w:r>
      <w:r w:rsidRPr="00F34B68">
        <w:rPr>
          <w:rFonts w:ascii="Verdana" w:hAnsi="Verdana"/>
        </w:rPr>
        <w:noBreakHyphen/>
        <w:t>drug interactions with other medicinal products.</w:t>
      </w:r>
      <w:r w:rsidRPr="00F34B68">
        <w:rPr>
          <w:rStyle w:val="CommentReference"/>
          <w:rFonts w:ascii="Verdana" w:hAnsi="Verdana"/>
          <w:sz w:val="22"/>
          <w:szCs w:val="22"/>
        </w:rPr>
        <w:t xml:space="preserve"> </w:t>
      </w:r>
    </w:p>
    <w:p w14:paraId="56B8AE77" w14:textId="0131B4A4" w:rsidR="001A3992" w:rsidRPr="00F34B68" w:rsidRDefault="001A3992" w:rsidP="001A3992">
      <w:pPr>
        <w:pStyle w:val="Heading2"/>
        <w:spacing w:before="0" w:after="120"/>
        <w:rPr>
          <w:rFonts w:ascii="Verdana" w:hAnsi="Verdana"/>
          <w:sz w:val="22"/>
        </w:rPr>
      </w:pPr>
      <w:r w:rsidRPr="00F34B68">
        <w:rPr>
          <w:rFonts w:ascii="Verdana" w:hAnsi="Verdana"/>
          <w:sz w:val="22"/>
        </w:rPr>
        <w:t xml:space="preserve">Fertility, pregnancy and lactation </w:t>
      </w:r>
    </w:p>
    <w:p w14:paraId="546694D1" w14:textId="77777777" w:rsidR="00070AB0" w:rsidRPr="00F34B68" w:rsidRDefault="00070AB0" w:rsidP="00571719">
      <w:pPr>
        <w:pStyle w:val="Heading3"/>
        <w:rPr>
          <w:lang w:val="en-US"/>
        </w:rPr>
      </w:pPr>
      <w:r w:rsidRPr="00F34B68">
        <w:rPr>
          <w:lang w:val="en-US"/>
        </w:rPr>
        <w:t>Effects on Fertility</w:t>
      </w:r>
    </w:p>
    <w:p w14:paraId="7E67F156" w14:textId="77777777" w:rsidR="00070AB0" w:rsidRPr="00F34B68" w:rsidRDefault="00070AB0" w:rsidP="00623248">
      <w:pPr>
        <w:spacing w:after="120" w:line="240" w:lineRule="auto"/>
        <w:rPr>
          <w:rFonts w:ascii="Verdana" w:hAnsi="Verdana"/>
          <w:b/>
        </w:rPr>
      </w:pPr>
      <w:r w:rsidRPr="00F34B68">
        <w:rPr>
          <w:rFonts w:ascii="Verdana" w:hAnsi="Verdana"/>
        </w:rPr>
        <w:t>The effect of avelumab on male and female fertility is unknown.</w:t>
      </w:r>
    </w:p>
    <w:p w14:paraId="74A26128" w14:textId="77777777" w:rsidR="00070AB0" w:rsidRPr="00F34B68" w:rsidRDefault="00070AB0" w:rsidP="00623248">
      <w:pPr>
        <w:spacing w:after="120" w:line="240" w:lineRule="auto"/>
        <w:rPr>
          <w:rFonts w:ascii="Verdana" w:hAnsi="Verdana"/>
          <w:noProof/>
        </w:rPr>
      </w:pPr>
      <w:r w:rsidRPr="00F34B68">
        <w:rPr>
          <w:rFonts w:ascii="Verdana" w:hAnsi="Verdana"/>
          <w:noProof/>
        </w:rPr>
        <w:t xml:space="preserve">Although </w:t>
      </w:r>
      <w:r w:rsidRPr="00F34B68">
        <w:rPr>
          <w:rFonts w:ascii="Verdana" w:hAnsi="Verdana"/>
        </w:rPr>
        <w:t>studies to evaluate the effect of avelumab on fertility have not been conducted</w:t>
      </w:r>
      <w:r w:rsidRPr="00F34B68">
        <w:rPr>
          <w:rFonts w:ascii="Verdana" w:hAnsi="Verdana"/>
          <w:noProof/>
        </w:rPr>
        <w:t>, there were no notable effects in the male and female reproductive organs in monkeys following IV administration at up to 140 mg/kg weekly for 3 months (yielding 25 times the serum AUC in patients at the recommended clinical dose of 10 mg/kg every two weeks).</w:t>
      </w:r>
    </w:p>
    <w:p w14:paraId="218C69B5" w14:textId="1BC60353" w:rsidR="00070AB0" w:rsidRPr="00F34B68" w:rsidRDefault="00070AB0" w:rsidP="00571719">
      <w:pPr>
        <w:pStyle w:val="Heading3"/>
        <w:rPr>
          <w:lang w:val="en-US"/>
        </w:rPr>
      </w:pPr>
      <w:r w:rsidRPr="00F34B68">
        <w:rPr>
          <w:lang w:val="en-US"/>
        </w:rPr>
        <w:t>Use in Preg</w:t>
      </w:r>
      <w:r w:rsidR="00B44E39">
        <w:rPr>
          <w:lang w:val="en-US"/>
        </w:rPr>
        <w:t>n</w:t>
      </w:r>
      <w:r w:rsidRPr="00F34B68">
        <w:rPr>
          <w:lang w:val="en-US"/>
        </w:rPr>
        <w:t>ancy (Category D)</w:t>
      </w:r>
    </w:p>
    <w:p w14:paraId="138B4E30" w14:textId="77777777" w:rsidR="00502B50" w:rsidRPr="00F34B68" w:rsidRDefault="00502B50" w:rsidP="00502B50">
      <w:pPr>
        <w:spacing w:after="120" w:line="240" w:lineRule="auto"/>
        <w:rPr>
          <w:rFonts w:ascii="Verdana" w:hAnsi="Verdana"/>
          <w:noProof/>
        </w:rPr>
      </w:pPr>
      <w:r w:rsidRPr="00F34B68">
        <w:rPr>
          <w:rFonts w:ascii="Verdana" w:hAnsi="Verdana"/>
          <w:noProof/>
        </w:rPr>
        <w:t>There are no or limited data from the use of avelumab in pregnant women.</w:t>
      </w:r>
    </w:p>
    <w:p w14:paraId="62434733" w14:textId="77777777" w:rsidR="00502B50" w:rsidRPr="00F34B68" w:rsidRDefault="00502B50" w:rsidP="00502B50">
      <w:pPr>
        <w:spacing w:after="120" w:line="240" w:lineRule="auto"/>
        <w:rPr>
          <w:rFonts w:ascii="Verdana" w:hAnsi="Verdana"/>
          <w:noProof/>
        </w:rPr>
      </w:pPr>
      <w:r w:rsidRPr="00F34B68">
        <w:rPr>
          <w:rFonts w:ascii="Verdana" w:hAnsi="Verdana"/>
          <w:noProof/>
        </w:rPr>
        <w:t>Animal reproduction studies have not been conducted with avelumab. However, in murine models of pregnancy, blockade of PD-L1 signalling has been shown to disrupt tolerance to the foetus and to result in an increased foetal loss. These results indicate a potential risk, based on its mechanism of action, that administration of avelumab during pregnancy could cause foetal harm, including increased rates of abortion or stillbirth.</w:t>
      </w:r>
    </w:p>
    <w:p w14:paraId="4A0F5F78" w14:textId="03DC1D77" w:rsidR="00502B50" w:rsidRDefault="00502B50" w:rsidP="00502B50">
      <w:pPr>
        <w:spacing w:after="120" w:line="240" w:lineRule="auto"/>
        <w:rPr>
          <w:rFonts w:ascii="Verdana" w:hAnsi="Verdana"/>
          <w:noProof/>
        </w:rPr>
      </w:pPr>
      <w:r w:rsidRPr="00F34B68">
        <w:rPr>
          <w:rFonts w:ascii="Verdana" w:hAnsi="Verdana"/>
          <w:noProof/>
        </w:rPr>
        <w:t>Human IgG1 immunoglobulins are known to cross the placental barrier. Therefore, avelumab has the potential to be transmitted from the mother to the developing foetus. It is not recommended to use avelumab during pregnancy unless the clinical condition of the woman requires treatment with avelumab.</w:t>
      </w:r>
    </w:p>
    <w:p w14:paraId="646384E2" w14:textId="6E66E0F4" w:rsidR="00070AB0" w:rsidRPr="00F34B68" w:rsidRDefault="00070AB0" w:rsidP="00623248">
      <w:pPr>
        <w:spacing w:after="120" w:line="240" w:lineRule="auto"/>
        <w:rPr>
          <w:rFonts w:ascii="Verdana" w:hAnsi="Verdana"/>
          <w:noProof/>
        </w:rPr>
      </w:pPr>
      <w:r w:rsidRPr="00F34B68">
        <w:rPr>
          <w:rFonts w:ascii="Verdana" w:hAnsi="Verdana"/>
          <w:noProof/>
        </w:rPr>
        <w:t xml:space="preserve">Blockade of PD-L1 signalling has been shown in mouse models of pregnancy to disrupt tolerance to the fetus and to result in an increase in fetal loss. Therefore, potential risks of administering avelumab during pregnancy include increased rates of abortion or stillbirth. </w:t>
      </w:r>
    </w:p>
    <w:p w14:paraId="58EDC963" w14:textId="7BD0F556" w:rsidR="00070AB0" w:rsidRPr="00F34B68" w:rsidRDefault="00070AB0" w:rsidP="00623248">
      <w:pPr>
        <w:spacing w:after="120" w:line="240" w:lineRule="auto"/>
        <w:rPr>
          <w:rFonts w:ascii="Verdana" w:hAnsi="Verdana"/>
          <w:noProof/>
        </w:rPr>
      </w:pPr>
      <w:r w:rsidRPr="00F34B68">
        <w:rPr>
          <w:rFonts w:ascii="Verdana" w:hAnsi="Verdana"/>
          <w:noProof/>
        </w:rPr>
        <w:t>Women of childbearing potential should be advised to avoid becoming pregnan</w:t>
      </w:r>
      <w:r w:rsidR="00F7758E">
        <w:rPr>
          <w:rFonts w:ascii="Verdana" w:hAnsi="Verdana"/>
          <w:noProof/>
        </w:rPr>
        <w:t>t</w:t>
      </w:r>
      <w:r w:rsidRPr="00F34B68">
        <w:rPr>
          <w:rFonts w:ascii="Verdana" w:hAnsi="Verdana"/>
          <w:noProof/>
        </w:rPr>
        <w:t xml:space="preserve"> while receiving avelumab and should use effective contraception during treatment with avelumab and for at least 1 month after the last dose of avelumab. </w:t>
      </w:r>
    </w:p>
    <w:p w14:paraId="3553BB66" w14:textId="77777777" w:rsidR="00070AB0" w:rsidRPr="00F34B68" w:rsidRDefault="00070AB0" w:rsidP="00571719">
      <w:pPr>
        <w:pStyle w:val="Heading3"/>
        <w:rPr>
          <w:lang w:val="en-US"/>
        </w:rPr>
      </w:pPr>
      <w:r w:rsidRPr="00F34B68">
        <w:rPr>
          <w:lang w:val="en-US"/>
        </w:rPr>
        <w:t>Use in Lactation</w:t>
      </w:r>
    </w:p>
    <w:p w14:paraId="68490920" w14:textId="77777777" w:rsidR="00070AB0" w:rsidRPr="00F34B68" w:rsidRDefault="00070AB0" w:rsidP="00623248">
      <w:pPr>
        <w:spacing w:after="120" w:line="240" w:lineRule="auto"/>
        <w:rPr>
          <w:rFonts w:ascii="Verdana" w:hAnsi="Verdana"/>
          <w:noProof/>
        </w:rPr>
      </w:pPr>
      <w:r w:rsidRPr="00F34B68">
        <w:rPr>
          <w:rFonts w:ascii="Verdana" w:hAnsi="Verdana"/>
          <w:noProof/>
        </w:rPr>
        <w:t>It is unknown whether avelumab is excreted in human milk. Since it is known that antibodies can be secreted in human milk, a risk to the newborns/infants cannot be excluded.</w:t>
      </w:r>
    </w:p>
    <w:p w14:paraId="54EFFEFE" w14:textId="77777777" w:rsidR="00070AB0" w:rsidRPr="00F34B68" w:rsidRDefault="00070AB0" w:rsidP="00623248">
      <w:pPr>
        <w:spacing w:after="120" w:line="240" w:lineRule="auto"/>
        <w:rPr>
          <w:rFonts w:ascii="Verdana" w:eastAsia="TimesNewRoman" w:hAnsi="Verdana"/>
          <w:lang w:eastAsia="en-GB"/>
        </w:rPr>
      </w:pPr>
      <w:r w:rsidRPr="00F34B68">
        <w:rPr>
          <w:rFonts w:ascii="Verdana" w:eastAsia="TimesNewRoman" w:hAnsi="Verdana"/>
          <w:lang w:eastAsia="en-GB"/>
        </w:rPr>
        <w:t xml:space="preserve">Breast-feeding women should be advised not to breastfed during treatment and for 1 month after the last dose due to the potential for serious adverse reactions in breastfed infants. </w:t>
      </w:r>
    </w:p>
    <w:p w14:paraId="4D267C11" w14:textId="48E19CD8" w:rsidR="001A3992" w:rsidRPr="00F34B68" w:rsidRDefault="001A3992" w:rsidP="001A3992">
      <w:pPr>
        <w:pStyle w:val="Heading2"/>
        <w:spacing w:before="0" w:after="120"/>
        <w:rPr>
          <w:rFonts w:ascii="Verdana" w:hAnsi="Verdana"/>
          <w:sz w:val="22"/>
        </w:rPr>
      </w:pPr>
      <w:r w:rsidRPr="00F34B68">
        <w:rPr>
          <w:rFonts w:ascii="Verdana" w:hAnsi="Verdana"/>
          <w:sz w:val="22"/>
        </w:rPr>
        <w:t xml:space="preserve">Effects on ability to drive and use machines </w:t>
      </w:r>
    </w:p>
    <w:p w14:paraId="124ADC85" w14:textId="11BB14A2" w:rsidR="00CE04BB" w:rsidRPr="00F34B68" w:rsidRDefault="00CE04BB" w:rsidP="00CE04BB">
      <w:pPr>
        <w:spacing w:before="100" w:beforeAutospacing="1" w:after="120" w:line="240" w:lineRule="auto"/>
        <w:rPr>
          <w:rFonts w:ascii="Verdana" w:hAnsi="Verdana"/>
        </w:rPr>
      </w:pPr>
      <w:r w:rsidRPr="00F34B68">
        <w:rPr>
          <w:rFonts w:ascii="Verdana" w:hAnsi="Verdana"/>
        </w:rPr>
        <w:t>Avelumab has no or negligible influence on the ability to drive and use machines. Fatigue has been reported following administration of avelumab</w:t>
      </w:r>
      <w:r w:rsidR="00C2033A">
        <w:rPr>
          <w:rFonts w:ascii="Verdana" w:hAnsi="Verdana"/>
        </w:rPr>
        <w:t>,</w:t>
      </w:r>
      <w:r w:rsidRPr="00F34B68">
        <w:rPr>
          <w:rFonts w:ascii="Verdana" w:hAnsi="Verdana"/>
        </w:rPr>
        <w:t xml:space="preserve"> </w:t>
      </w:r>
      <w:r w:rsidR="007845AE">
        <w:rPr>
          <w:rFonts w:ascii="Verdana" w:hAnsi="Verdana"/>
          <w:iCs/>
          <w:lang w:eastAsia="en-GB"/>
        </w:rPr>
        <w:t xml:space="preserve">see </w:t>
      </w:r>
      <w:r w:rsidR="007845AE">
        <w:rPr>
          <w:rFonts w:ascii="Verdana" w:eastAsia="TimesNewRoman" w:hAnsi="Verdana"/>
          <w:lang w:eastAsia="en-GB"/>
        </w:rPr>
        <w:t>section 4.8.</w:t>
      </w:r>
    </w:p>
    <w:p w14:paraId="58727875" w14:textId="0ED5D138" w:rsidR="001A3992" w:rsidRPr="00F34B68" w:rsidRDefault="001A3992" w:rsidP="001A3992">
      <w:pPr>
        <w:pStyle w:val="Heading2"/>
        <w:keepNext/>
        <w:keepLines/>
        <w:spacing w:before="0" w:after="120"/>
        <w:rPr>
          <w:rFonts w:ascii="Verdana" w:hAnsi="Verdana"/>
          <w:sz w:val="22"/>
        </w:rPr>
      </w:pPr>
      <w:r w:rsidRPr="00F34B68">
        <w:rPr>
          <w:rFonts w:ascii="Verdana" w:hAnsi="Verdana"/>
          <w:sz w:val="22"/>
        </w:rPr>
        <w:t>Adverse effects (Undesirable effects)</w:t>
      </w:r>
    </w:p>
    <w:p w14:paraId="3CFE4EE0" w14:textId="77777777" w:rsidR="003D2089" w:rsidRPr="00F34B68" w:rsidRDefault="003D2089" w:rsidP="003D2089">
      <w:pPr>
        <w:spacing w:after="120" w:line="240" w:lineRule="auto"/>
        <w:rPr>
          <w:rFonts w:ascii="Verdana" w:hAnsi="Verdana"/>
          <w:u w:val="single"/>
        </w:rPr>
      </w:pPr>
      <w:r w:rsidRPr="00F34B68">
        <w:rPr>
          <w:rFonts w:ascii="Verdana" w:hAnsi="Verdana"/>
          <w:u w:val="single"/>
        </w:rPr>
        <w:t>Summary of the safety profile</w:t>
      </w:r>
    </w:p>
    <w:p w14:paraId="3462C929" w14:textId="105CCFDB" w:rsidR="003D2089" w:rsidRPr="00F34B68" w:rsidRDefault="003D2089" w:rsidP="003D2089">
      <w:pPr>
        <w:spacing w:after="120" w:line="240" w:lineRule="auto"/>
        <w:rPr>
          <w:rFonts w:ascii="Verdana" w:hAnsi="Verdana"/>
          <w:lang w:eastAsia="en-GB"/>
        </w:rPr>
      </w:pPr>
      <w:r w:rsidRPr="00F34B68">
        <w:rPr>
          <w:rFonts w:ascii="Verdana" w:eastAsia="HelveticaNeueLTStd-Cn" w:hAnsi="Verdana"/>
          <w:color w:val="000000"/>
        </w:rPr>
        <w:lastRenderedPageBreak/>
        <w:t>Avelumab</w:t>
      </w:r>
      <w:r w:rsidRPr="00F34B68">
        <w:rPr>
          <w:rFonts w:ascii="Verdana" w:hAnsi="Verdana"/>
          <w:lang w:eastAsia="en-GB"/>
        </w:rPr>
        <w:t xml:space="preserve"> is associated with immune</w:t>
      </w:r>
      <w:r w:rsidRPr="00F34B68">
        <w:rPr>
          <w:rFonts w:ascii="Verdana" w:hAnsi="Verdana"/>
          <w:lang w:eastAsia="en-GB"/>
        </w:rPr>
        <w:noBreakHyphen/>
        <w:t xml:space="preserve">related adverse reactions. Most of these, including severe reactions, resolved following initiation of appropriate medical therapy or </w:t>
      </w:r>
      <w:r w:rsidRPr="00F34B68" w:rsidDel="00F623AF">
        <w:rPr>
          <w:rFonts w:ascii="Verdana" w:hAnsi="Verdana"/>
          <w:lang w:eastAsia="en-GB"/>
        </w:rPr>
        <w:t xml:space="preserve">withdrawal </w:t>
      </w:r>
      <w:r w:rsidRPr="00F34B68">
        <w:rPr>
          <w:rFonts w:ascii="Verdana" w:hAnsi="Verdana"/>
          <w:lang w:eastAsia="en-GB"/>
        </w:rPr>
        <w:t xml:space="preserve">of </w:t>
      </w:r>
      <w:r w:rsidRPr="00F34B68">
        <w:rPr>
          <w:rFonts w:ascii="Verdana" w:eastAsia="HelveticaNeueLTStd-Cn" w:hAnsi="Verdana"/>
          <w:color w:val="000000"/>
        </w:rPr>
        <w:t>avelumab</w:t>
      </w:r>
      <w:r w:rsidR="004D0C55">
        <w:rPr>
          <w:rFonts w:ascii="Verdana" w:eastAsia="HelveticaNeueLTStd-Cn" w:hAnsi="Verdana"/>
          <w:color w:val="000000"/>
        </w:rPr>
        <w:t>,</w:t>
      </w:r>
      <w:r w:rsidRPr="00F34B68">
        <w:rPr>
          <w:rFonts w:ascii="Verdana" w:hAnsi="Verdana"/>
          <w:lang w:eastAsia="en-GB"/>
        </w:rPr>
        <w:t xml:space="preserve"> see Description of selected adverse reactions.</w:t>
      </w:r>
    </w:p>
    <w:p w14:paraId="7A129113" w14:textId="76ADA528" w:rsidR="00CB76CD" w:rsidRPr="00F34B68" w:rsidRDefault="003D2089">
      <w:pPr>
        <w:spacing w:after="120" w:line="240" w:lineRule="auto"/>
        <w:rPr>
          <w:rFonts w:ascii="Verdana" w:hAnsi="Verdana"/>
          <w:lang w:eastAsia="en-GB"/>
        </w:rPr>
      </w:pPr>
      <w:r w:rsidRPr="00F34B68">
        <w:rPr>
          <w:rFonts w:ascii="Verdana" w:eastAsia="HelveticaNeueLTStd-Cn" w:hAnsi="Verdana"/>
          <w:color w:val="000000"/>
        </w:rPr>
        <w:t>The safety of avelumab has been evaluated in</w:t>
      </w:r>
      <w:r w:rsidRPr="00F34B68">
        <w:rPr>
          <w:rFonts w:ascii="Verdana" w:eastAsia="HelveticaNeueLTStd-Cn" w:hAnsi="Verdana"/>
          <w:lang w:eastAsia="en-GB"/>
        </w:rPr>
        <w:t xml:space="preserve"> </w:t>
      </w:r>
      <w:r w:rsidRPr="00F34B68">
        <w:rPr>
          <w:rFonts w:ascii="Verdana" w:hAnsi="Verdana"/>
          <w:lang w:eastAsia="en-GB"/>
        </w:rPr>
        <w:t>a total of 1</w:t>
      </w:r>
      <w:r w:rsidR="00571719">
        <w:rPr>
          <w:rFonts w:ascii="Verdana" w:hAnsi="Verdana"/>
          <w:lang w:eastAsia="en-GB"/>
        </w:rPr>
        <w:t>738 patients</w:t>
      </w:r>
      <w:r w:rsidRPr="00F34B68">
        <w:rPr>
          <w:rFonts w:ascii="Verdana" w:hAnsi="Verdana"/>
          <w:lang w:eastAsia="en-GB"/>
        </w:rPr>
        <w:t xml:space="preserve"> </w:t>
      </w:r>
      <w:r w:rsidR="00571719">
        <w:rPr>
          <w:rFonts w:ascii="Verdana" w:hAnsi="Verdana"/>
          <w:lang w:eastAsia="en-GB"/>
        </w:rPr>
        <w:t xml:space="preserve">with solid </w:t>
      </w:r>
      <w:r w:rsidR="00CB76CD" w:rsidRPr="00F34B68">
        <w:rPr>
          <w:rFonts w:ascii="Verdana" w:hAnsi="Verdana"/>
          <w:lang w:eastAsia="en-GB"/>
        </w:rPr>
        <w:t>tumours including metastatic MCC receiving 10 mg/kg every 2 weeks of avelumab in clinical studies. In patient population, the most common adverse reactions with avelumab were fatigue (32.4%), nausea (25.1%), diarrhoea (18.9%), decreased appetite (18.4%), constipation (18.4%), infusion-related reactions (17.1%), weight decrease (16.6%), and vomiting (16.2%).</w:t>
      </w:r>
    </w:p>
    <w:p w14:paraId="4A398627" w14:textId="40076451" w:rsidR="00CB76CD" w:rsidRPr="00F34B68" w:rsidRDefault="00CB76CD" w:rsidP="00CB76CD">
      <w:pPr>
        <w:spacing w:after="120" w:line="240" w:lineRule="auto"/>
        <w:rPr>
          <w:rFonts w:ascii="Verdana" w:eastAsia="HelveticaNeueLTStd-Cn" w:hAnsi="Verdana"/>
          <w:color w:val="000000"/>
        </w:rPr>
      </w:pPr>
      <w:r w:rsidRPr="00F34B68">
        <w:rPr>
          <w:rFonts w:ascii="Verdana" w:eastAsia="HelveticaNeueLTStd-Cn" w:hAnsi="Verdana"/>
          <w:color w:val="000000"/>
        </w:rPr>
        <w:t>T</w:t>
      </w:r>
      <w:r w:rsidRPr="00F34B68">
        <w:rPr>
          <w:rFonts w:ascii="Verdana" w:hAnsi="Verdana"/>
          <w:color w:val="000000"/>
        </w:rPr>
        <w:t xml:space="preserve">he most common Grade ≥ 3 adverse reactions were anaemia (6.0%), dyspnoea (3.9%), and abdominal pain (3.0%). Serious adverse reactions were immune-related adverse reactions and infusion-related </w:t>
      </w:r>
      <w:proofErr w:type="spellStart"/>
      <w:r w:rsidRPr="00F34B68">
        <w:rPr>
          <w:rFonts w:ascii="Verdana" w:hAnsi="Verdana"/>
          <w:color w:val="000000"/>
        </w:rPr>
        <w:t>reactions</w:t>
      </w:r>
      <w:proofErr w:type="gramStart"/>
      <w:r w:rsidR="004D0C55">
        <w:rPr>
          <w:rFonts w:ascii="Verdana" w:hAnsi="Verdana"/>
          <w:color w:val="000000"/>
        </w:rPr>
        <w:t>,</w:t>
      </w:r>
      <w:r w:rsidRPr="00F34B68">
        <w:rPr>
          <w:rFonts w:ascii="Verdana" w:hAnsi="Verdana"/>
          <w:color w:val="000000"/>
        </w:rPr>
        <w:t>see</w:t>
      </w:r>
      <w:proofErr w:type="spellEnd"/>
      <w:proofErr w:type="gramEnd"/>
      <w:r w:rsidRPr="00F34B68">
        <w:rPr>
          <w:rFonts w:ascii="Verdana" w:hAnsi="Verdana"/>
          <w:color w:val="000000"/>
        </w:rPr>
        <w:t xml:space="preserve"> section 4.4.</w:t>
      </w:r>
    </w:p>
    <w:p w14:paraId="7CAE0908" w14:textId="77777777" w:rsidR="003D2089" w:rsidRPr="00F34B68" w:rsidRDefault="003D2089" w:rsidP="00E23B73">
      <w:pPr>
        <w:spacing w:before="240" w:after="120" w:line="240" w:lineRule="auto"/>
        <w:rPr>
          <w:rFonts w:ascii="Verdana" w:hAnsi="Verdana"/>
          <w:u w:val="single"/>
        </w:rPr>
      </w:pPr>
      <w:r w:rsidRPr="00F34B68">
        <w:rPr>
          <w:rFonts w:ascii="Verdana" w:hAnsi="Verdana"/>
          <w:u w:val="single"/>
        </w:rPr>
        <w:t>Tabulated summary of adverse reactions</w:t>
      </w:r>
    </w:p>
    <w:p w14:paraId="3B9D8333" w14:textId="76A04679" w:rsidR="003D2089" w:rsidRPr="00F34B68" w:rsidRDefault="003D2089" w:rsidP="003D2089">
      <w:pPr>
        <w:spacing w:after="120" w:line="240" w:lineRule="auto"/>
        <w:rPr>
          <w:rFonts w:ascii="Verdana" w:hAnsi="Verdana"/>
        </w:rPr>
      </w:pPr>
      <w:r w:rsidRPr="00F34B68">
        <w:rPr>
          <w:rFonts w:ascii="Verdana" w:hAnsi="Verdana"/>
        </w:rPr>
        <w:t xml:space="preserve">Adverse reactions reported for 88 patients with </w:t>
      </w:r>
      <w:proofErr w:type="spellStart"/>
      <w:r w:rsidRPr="00F34B68">
        <w:rPr>
          <w:rFonts w:ascii="Verdana" w:hAnsi="Verdana"/>
        </w:rPr>
        <w:t>mMCC</w:t>
      </w:r>
      <w:proofErr w:type="spellEnd"/>
      <w:r w:rsidRPr="00F34B68">
        <w:rPr>
          <w:rFonts w:ascii="Verdana" w:hAnsi="Verdana"/>
        </w:rPr>
        <w:t xml:space="preserve"> treated with </w:t>
      </w:r>
      <w:proofErr w:type="spellStart"/>
      <w:r w:rsidRPr="00F34B68">
        <w:rPr>
          <w:rFonts w:ascii="Verdana" w:eastAsia="HelveticaNeueLTStd-Cn" w:hAnsi="Verdana"/>
          <w:color w:val="000000"/>
        </w:rPr>
        <w:t>avelumab</w:t>
      </w:r>
      <w:proofErr w:type="spellEnd"/>
      <w:r w:rsidRPr="00F34B68">
        <w:rPr>
          <w:rFonts w:ascii="Verdana" w:hAnsi="Verdana"/>
        </w:rPr>
        <w:t xml:space="preserve"> 10 mg/kg in study 003 and adverse reactions reported for 1,650 patients in a phase I study in other solid tumours are presented in Table </w:t>
      </w:r>
      <w:r w:rsidR="00827860" w:rsidRPr="00DD2A89">
        <w:rPr>
          <w:rFonts w:ascii="Verdana" w:hAnsi="Verdana"/>
        </w:rPr>
        <w:t>2</w:t>
      </w:r>
      <w:r w:rsidRPr="00883A13">
        <w:rPr>
          <w:rFonts w:ascii="Verdana" w:hAnsi="Verdana"/>
        </w:rPr>
        <w:t>.</w:t>
      </w:r>
    </w:p>
    <w:p w14:paraId="78FE4983" w14:textId="270688BA" w:rsidR="003D2089" w:rsidRPr="00F34B68" w:rsidRDefault="003D2089" w:rsidP="00B90F64">
      <w:pPr>
        <w:spacing w:after="120" w:line="240" w:lineRule="auto"/>
        <w:rPr>
          <w:rFonts w:ascii="Verdana" w:hAnsi="Verdana"/>
        </w:rPr>
      </w:pPr>
      <w:r w:rsidRPr="00F34B68">
        <w:rPr>
          <w:rFonts w:ascii="Verdana" w:hAnsi="Verdana"/>
        </w:rPr>
        <w:t xml:space="preserve">These reactions are presented by </w:t>
      </w:r>
      <w:proofErr w:type="spellStart"/>
      <w:r w:rsidRPr="00F34B68">
        <w:rPr>
          <w:rFonts w:ascii="Verdana" w:hAnsi="Verdana"/>
        </w:rPr>
        <w:t>MedDRA</w:t>
      </w:r>
      <w:proofErr w:type="spellEnd"/>
      <w:r w:rsidRPr="00F34B68">
        <w:rPr>
          <w:rFonts w:ascii="Verdana" w:hAnsi="Verdana"/>
        </w:rPr>
        <w:t xml:space="preserve"> system organ class, preferred term, frequency, and grade of severity. Frequencies are defined as: very common (≥ 1/10); common (≥ 1/100 to &lt; 1/10); uncommon (≥ 1/1,000 to &lt; 1/100); rare (≥ 1/10,000 to &lt; 1/</w:t>
      </w:r>
      <w:r w:rsidR="00B90F64" w:rsidRPr="00F34B68">
        <w:rPr>
          <w:rFonts w:ascii="Verdana" w:hAnsi="Verdana"/>
        </w:rPr>
        <w:t>1,000); very rare (&lt; 1/10,000).</w:t>
      </w:r>
    </w:p>
    <w:p w14:paraId="4E571196" w14:textId="40B82096" w:rsidR="003D2089" w:rsidRPr="00F34B68" w:rsidRDefault="003D2089" w:rsidP="003D2089">
      <w:pPr>
        <w:keepNext/>
        <w:keepLines/>
        <w:autoSpaceDE w:val="0"/>
        <w:autoSpaceDN w:val="0"/>
        <w:adjustRightInd w:val="0"/>
        <w:rPr>
          <w:rFonts w:ascii="Verdana" w:hAnsi="Verdana"/>
        </w:rPr>
      </w:pPr>
      <w:r w:rsidRPr="00883A13">
        <w:rPr>
          <w:rFonts w:ascii="Verdana" w:hAnsi="Verdana" w:cs="Times New Roman"/>
          <w:b/>
        </w:rPr>
        <w:t xml:space="preserve">Table </w:t>
      </w:r>
      <w:r w:rsidR="00827860" w:rsidRPr="00DD2A89">
        <w:rPr>
          <w:rFonts w:ascii="Verdana" w:hAnsi="Verdana" w:cs="Times New Roman"/>
          <w:b/>
        </w:rPr>
        <w:t>2</w:t>
      </w:r>
      <w:r w:rsidRPr="00883A13">
        <w:rPr>
          <w:rFonts w:ascii="Verdana" w:hAnsi="Verdana" w:cs="Times New Roman"/>
          <w:b/>
        </w:rPr>
        <w:t>: Expected</w:t>
      </w:r>
      <w:r w:rsidRPr="00F34B68">
        <w:rPr>
          <w:rFonts w:ascii="Verdana" w:hAnsi="Verdana" w:cs="Times New Roman"/>
          <w:b/>
        </w:rPr>
        <w:t xml:space="preserve"> </w:t>
      </w:r>
      <w:r w:rsidRPr="00F34B68">
        <w:rPr>
          <w:rFonts w:ascii="Verdana" w:hAnsi="Verdana"/>
          <w:b/>
        </w:rPr>
        <w:t xml:space="preserve">adverse reactions in patients treated with </w:t>
      </w:r>
      <w:r w:rsidRPr="00F34B68">
        <w:rPr>
          <w:rFonts w:ascii="Verdana" w:hAnsi="Verdana"/>
          <w:b/>
          <w:lang w:eastAsia="en-GB"/>
        </w:rPr>
        <w:t>avelumab</w:t>
      </w:r>
      <w:r w:rsidRPr="00F34B68" w:rsidDel="00C173DD">
        <w:rPr>
          <w:rFonts w:ascii="Verdana" w:hAnsi="Verdana"/>
          <w:b/>
        </w:rPr>
        <w:t xml:space="preserve"> </w:t>
      </w:r>
      <w:r w:rsidRPr="00F34B68">
        <w:rPr>
          <w:rFonts w:ascii="Verdana" w:hAnsi="Verdana"/>
          <w:b/>
        </w:rPr>
        <w:t>in clinical studies</w:t>
      </w:r>
    </w:p>
    <w:tbl>
      <w:tblPr>
        <w:tblStyle w:val="TableGrid"/>
        <w:tblW w:w="8666" w:type="dxa"/>
        <w:tblLook w:val="04A0" w:firstRow="1" w:lastRow="0" w:firstColumn="1" w:lastColumn="0" w:noHBand="0" w:noVBand="1"/>
      </w:tblPr>
      <w:tblGrid>
        <w:gridCol w:w="1696"/>
        <w:gridCol w:w="3969"/>
        <w:gridCol w:w="1482"/>
        <w:gridCol w:w="1519"/>
      </w:tblGrid>
      <w:tr w:rsidR="003D2089" w:rsidRPr="00E23B73" w14:paraId="2102D033" w14:textId="77777777" w:rsidTr="003D2089">
        <w:trPr>
          <w:tblHeader/>
        </w:trPr>
        <w:tc>
          <w:tcPr>
            <w:tcW w:w="1696" w:type="dxa"/>
            <w:shd w:val="clear" w:color="auto" w:fill="BFBFBF" w:themeFill="background1" w:themeFillShade="BF"/>
          </w:tcPr>
          <w:p w14:paraId="7D4A9004" w14:textId="77777777" w:rsidR="003D2089" w:rsidRPr="00E23B73" w:rsidRDefault="003D2089" w:rsidP="003D2089">
            <w:pPr>
              <w:keepNext/>
              <w:keepLines/>
              <w:rPr>
                <w:rFonts w:ascii="Verdana" w:hAnsi="Verdana"/>
                <w:sz w:val="19"/>
                <w:szCs w:val="19"/>
              </w:rPr>
            </w:pPr>
          </w:p>
        </w:tc>
        <w:tc>
          <w:tcPr>
            <w:tcW w:w="3969" w:type="dxa"/>
            <w:vMerge w:val="restart"/>
            <w:shd w:val="clear" w:color="auto" w:fill="BFBFBF" w:themeFill="background1" w:themeFillShade="BF"/>
          </w:tcPr>
          <w:p w14:paraId="3083D234" w14:textId="77777777" w:rsidR="003D2089" w:rsidRPr="00E23B73" w:rsidRDefault="003D2089" w:rsidP="003D2089">
            <w:pPr>
              <w:keepNext/>
              <w:keepLines/>
              <w:rPr>
                <w:rFonts w:ascii="Verdana" w:hAnsi="Verdana"/>
                <w:sz w:val="19"/>
                <w:szCs w:val="19"/>
              </w:rPr>
            </w:pPr>
            <w:r w:rsidRPr="00E23B73">
              <w:rPr>
                <w:rFonts w:ascii="Verdana" w:hAnsi="Verdana"/>
                <w:sz w:val="19"/>
                <w:szCs w:val="19"/>
              </w:rPr>
              <w:t>Adverse Drug Reactions</w:t>
            </w:r>
          </w:p>
        </w:tc>
        <w:tc>
          <w:tcPr>
            <w:tcW w:w="3001" w:type="dxa"/>
            <w:gridSpan w:val="2"/>
            <w:shd w:val="clear" w:color="auto" w:fill="BFBFBF" w:themeFill="background1" w:themeFillShade="BF"/>
          </w:tcPr>
          <w:p w14:paraId="4C23EC55" w14:textId="77777777" w:rsidR="003D2089" w:rsidRPr="00E23B73" w:rsidRDefault="003D2089" w:rsidP="003D2089">
            <w:pPr>
              <w:pStyle w:val="Tableheading"/>
              <w:spacing w:before="0" w:after="0"/>
              <w:rPr>
                <w:rFonts w:ascii="Verdana" w:hAnsi="Verdana"/>
                <w:b w:val="0"/>
                <w:sz w:val="19"/>
                <w:szCs w:val="19"/>
              </w:rPr>
            </w:pPr>
            <w:r w:rsidRPr="00E23B73">
              <w:rPr>
                <w:rFonts w:ascii="Verdana" w:hAnsi="Verdana"/>
                <w:b w:val="0"/>
                <w:sz w:val="19"/>
                <w:szCs w:val="19"/>
              </w:rPr>
              <w:t>Avelumab</w:t>
            </w:r>
          </w:p>
          <w:p w14:paraId="192E51BF" w14:textId="77777777" w:rsidR="003D2089" w:rsidRPr="00E23B73" w:rsidRDefault="003D2089" w:rsidP="003D2089">
            <w:pPr>
              <w:keepNext/>
              <w:keepLines/>
              <w:jc w:val="center"/>
              <w:rPr>
                <w:rFonts w:ascii="Verdana" w:hAnsi="Verdana"/>
                <w:sz w:val="19"/>
                <w:szCs w:val="19"/>
              </w:rPr>
            </w:pPr>
            <w:r w:rsidRPr="00E23B73">
              <w:rPr>
                <w:rFonts w:ascii="Verdana" w:hAnsi="Verdana"/>
                <w:sz w:val="19"/>
                <w:szCs w:val="19"/>
              </w:rPr>
              <w:t>(N = 1738)</w:t>
            </w:r>
          </w:p>
        </w:tc>
      </w:tr>
      <w:tr w:rsidR="003D2089" w:rsidRPr="00E23B73" w14:paraId="3A7AD672" w14:textId="77777777" w:rsidTr="003D2089">
        <w:trPr>
          <w:tblHeader/>
        </w:trPr>
        <w:tc>
          <w:tcPr>
            <w:tcW w:w="1696" w:type="dxa"/>
            <w:shd w:val="clear" w:color="auto" w:fill="BFBFBF" w:themeFill="background1" w:themeFillShade="BF"/>
          </w:tcPr>
          <w:p w14:paraId="03F9F6C5" w14:textId="77777777" w:rsidR="003D2089" w:rsidRPr="00E23B73" w:rsidRDefault="003D2089" w:rsidP="003D2089">
            <w:pPr>
              <w:rPr>
                <w:rFonts w:ascii="Verdana" w:hAnsi="Verdana"/>
                <w:sz w:val="19"/>
                <w:szCs w:val="19"/>
              </w:rPr>
            </w:pPr>
            <w:r w:rsidRPr="00E23B73">
              <w:rPr>
                <w:rFonts w:ascii="Verdana" w:hAnsi="Verdana"/>
                <w:sz w:val="19"/>
                <w:szCs w:val="19"/>
              </w:rPr>
              <w:t>Frequency category</w:t>
            </w:r>
          </w:p>
        </w:tc>
        <w:tc>
          <w:tcPr>
            <w:tcW w:w="3969" w:type="dxa"/>
            <w:vMerge/>
            <w:shd w:val="clear" w:color="auto" w:fill="BFBFBF" w:themeFill="background1" w:themeFillShade="BF"/>
          </w:tcPr>
          <w:p w14:paraId="277C868F" w14:textId="77777777" w:rsidR="003D2089" w:rsidRPr="00E23B73" w:rsidRDefault="003D2089" w:rsidP="003D2089">
            <w:pPr>
              <w:rPr>
                <w:rFonts w:ascii="Verdana" w:hAnsi="Verdana"/>
                <w:sz w:val="19"/>
                <w:szCs w:val="19"/>
              </w:rPr>
            </w:pPr>
          </w:p>
        </w:tc>
        <w:tc>
          <w:tcPr>
            <w:tcW w:w="1482" w:type="dxa"/>
            <w:shd w:val="clear" w:color="auto" w:fill="BFBFBF" w:themeFill="background1" w:themeFillShade="BF"/>
          </w:tcPr>
          <w:p w14:paraId="6F42EF1E" w14:textId="77777777" w:rsidR="003D2089" w:rsidRPr="00E23B73" w:rsidRDefault="003D2089" w:rsidP="003D2089">
            <w:pPr>
              <w:jc w:val="center"/>
              <w:rPr>
                <w:rFonts w:ascii="Verdana" w:hAnsi="Verdana"/>
                <w:sz w:val="19"/>
                <w:szCs w:val="19"/>
              </w:rPr>
            </w:pPr>
            <w:r w:rsidRPr="00E23B73">
              <w:rPr>
                <w:rFonts w:ascii="Verdana" w:hAnsi="Verdana"/>
                <w:sz w:val="19"/>
                <w:szCs w:val="19"/>
              </w:rPr>
              <w:t>All Grades n (%)</w:t>
            </w:r>
          </w:p>
        </w:tc>
        <w:tc>
          <w:tcPr>
            <w:tcW w:w="1519" w:type="dxa"/>
            <w:shd w:val="clear" w:color="auto" w:fill="BFBFBF" w:themeFill="background1" w:themeFillShade="BF"/>
          </w:tcPr>
          <w:p w14:paraId="75DC4390" w14:textId="77777777" w:rsidR="003D2089" w:rsidRPr="00E23B73" w:rsidRDefault="003D2089" w:rsidP="003D2089">
            <w:pPr>
              <w:jc w:val="center"/>
              <w:rPr>
                <w:rFonts w:ascii="Verdana" w:hAnsi="Verdana"/>
                <w:sz w:val="19"/>
                <w:szCs w:val="19"/>
              </w:rPr>
            </w:pPr>
            <w:r w:rsidRPr="00E23B73">
              <w:rPr>
                <w:rFonts w:ascii="Verdana" w:hAnsi="Verdana"/>
                <w:sz w:val="19"/>
                <w:szCs w:val="19"/>
              </w:rPr>
              <w:t>Grade ≥ 3</w:t>
            </w:r>
          </w:p>
          <w:p w14:paraId="1E18DA49" w14:textId="77777777" w:rsidR="003D2089" w:rsidRPr="00E23B73" w:rsidRDefault="003D2089" w:rsidP="003D2089">
            <w:pPr>
              <w:jc w:val="center"/>
              <w:rPr>
                <w:rFonts w:ascii="Verdana" w:hAnsi="Verdana"/>
                <w:sz w:val="19"/>
                <w:szCs w:val="19"/>
              </w:rPr>
            </w:pPr>
            <w:proofErr w:type="gramStart"/>
            <w:r w:rsidRPr="00E23B73">
              <w:rPr>
                <w:rFonts w:ascii="Verdana" w:hAnsi="Verdana"/>
                <w:sz w:val="19"/>
                <w:szCs w:val="19"/>
              </w:rPr>
              <w:t>n</w:t>
            </w:r>
            <w:proofErr w:type="gramEnd"/>
            <w:r w:rsidRPr="00E23B73">
              <w:rPr>
                <w:rFonts w:ascii="Verdana" w:hAnsi="Verdana"/>
                <w:sz w:val="19"/>
                <w:szCs w:val="19"/>
              </w:rPr>
              <w:t xml:space="preserve"> (%)</w:t>
            </w:r>
          </w:p>
        </w:tc>
      </w:tr>
      <w:tr w:rsidR="003D2089" w:rsidRPr="00E23B73" w14:paraId="5AB982CC" w14:textId="77777777" w:rsidTr="003D2089">
        <w:tc>
          <w:tcPr>
            <w:tcW w:w="1696" w:type="dxa"/>
          </w:tcPr>
          <w:p w14:paraId="1581A889" w14:textId="77777777" w:rsidR="003D2089" w:rsidRPr="00E23B73" w:rsidRDefault="003D2089" w:rsidP="003D2089">
            <w:pPr>
              <w:rPr>
                <w:rFonts w:ascii="Verdana" w:hAnsi="Verdana"/>
                <w:b/>
                <w:sz w:val="19"/>
                <w:szCs w:val="19"/>
              </w:rPr>
            </w:pPr>
          </w:p>
        </w:tc>
        <w:tc>
          <w:tcPr>
            <w:tcW w:w="6970" w:type="dxa"/>
            <w:gridSpan w:val="3"/>
          </w:tcPr>
          <w:p w14:paraId="2A2B506F" w14:textId="77777777" w:rsidR="003D2089" w:rsidRPr="00E23B73" w:rsidRDefault="003D2089" w:rsidP="003D2089">
            <w:pPr>
              <w:rPr>
                <w:rFonts w:ascii="Verdana" w:hAnsi="Verdana"/>
                <w:b/>
                <w:sz w:val="19"/>
                <w:szCs w:val="19"/>
              </w:rPr>
            </w:pPr>
            <w:r w:rsidRPr="00E23B73">
              <w:rPr>
                <w:rFonts w:ascii="Verdana" w:hAnsi="Verdana"/>
                <w:b/>
                <w:sz w:val="19"/>
                <w:szCs w:val="19"/>
              </w:rPr>
              <w:t>Blood and lymphatic system disorder</w:t>
            </w:r>
          </w:p>
        </w:tc>
      </w:tr>
      <w:tr w:rsidR="003D2089" w:rsidRPr="00E23B73" w14:paraId="32AEE4BC" w14:textId="77777777" w:rsidTr="003D2089">
        <w:tc>
          <w:tcPr>
            <w:tcW w:w="1696" w:type="dxa"/>
          </w:tcPr>
          <w:p w14:paraId="19DBA919" w14:textId="77777777" w:rsidR="003D2089" w:rsidRPr="00E23B73" w:rsidRDefault="003D2089" w:rsidP="003D2089">
            <w:pPr>
              <w:rPr>
                <w:rFonts w:ascii="Verdana" w:hAnsi="Verdana"/>
                <w:sz w:val="19"/>
                <w:szCs w:val="19"/>
              </w:rPr>
            </w:pPr>
            <w:r w:rsidRPr="00E23B73">
              <w:rPr>
                <w:rFonts w:ascii="Verdana" w:hAnsi="Verdana"/>
                <w:sz w:val="19"/>
                <w:szCs w:val="19"/>
              </w:rPr>
              <w:t>Very common</w:t>
            </w:r>
          </w:p>
        </w:tc>
        <w:tc>
          <w:tcPr>
            <w:tcW w:w="3969" w:type="dxa"/>
          </w:tcPr>
          <w:p w14:paraId="1AF2E785" w14:textId="77777777" w:rsidR="003D2089" w:rsidRPr="00E23B73" w:rsidRDefault="003D2089" w:rsidP="003D2089">
            <w:pPr>
              <w:rPr>
                <w:rFonts w:ascii="Verdana" w:hAnsi="Verdana"/>
                <w:sz w:val="19"/>
                <w:szCs w:val="19"/>
              </w:rPr>
            </w:pPr>
            <w:r w:rsidRPr="00E23B73">
              <w:rPr>
                <w:rFonts w:ascii="Verdana" w:hAnsi="Verdana"/>
                <w:sz w:val="19"/>
                <w:szCs w:val="19"/>
              </w:rPr>
              <w:t>Anaemia</w:t>
            </w:r>
          </w:p>
        </w:tc>
        <w:tc>
          <w:tcPr>
            <w:tcW w:w="1482" w:type="dxa"/>
          </w:tcPr>
          <w:p w14:paraId="73A89F12"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259 (14.9)</w:t>
            </w:r>
          </w:p>
        </w:tc>
        <w:tc>
          <w:tcPr>
            <w:tcW w:w="1519" w:type="dxa"/>
          </w:tcPr>
          <w:p w14:paraId="26EB79DD"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104 (6.0)</w:t>
            </w:r>
          </w:p>
        </w:tc>
      </w:tr>
      <w:tr w:rsidR="003D2089" w:rsidRPr="00E23B73" w14:paraId="7CD5C696" w14:textId="77777777" w:rsidTr="003D2089">
        <w:tc>
          <w:tcPr>
            <w:tcW w:w="1696" w:type="dxa"/>
          </w:tcPr>
          <w:p w14:paraId="7A89C4C7" w14:textId="77777777" w:rsidR="003D2089" w:rsidRPr="00E23B73" w:rsidRDefault="003D2089" w:rsidP="003D2089">
            <w:pPr>
              <w:rPr>
                <w:rFonts w:ascii="Verdana" w:hAnsi="Verdana"/>
                <w:b/>
                <w:sz w:val="19"/>
                <w:szCs w:val="19"/>
              </w:rPr>
            </w:pPr>
          </w:p>
        </w:tc>
        <w:tc>
          <w:tcPr>
            <w:tcW w:w="6970" w:type="dxa"/>
            <w:gridSpan w:val="3"/>
          </w:tcPr>
          <w:p w14:paraId="124F073F" w14:textId="77777777" w:rsidR="003D2089" w:rsidRPr="00E23B73" w:rsidRDefault="003D2089" w:rsidP="003D2089">
            <w:pPr>
              <w:rPr>
                <w:rFonts w:ascii="Verdana" w:hAnsi="Verdana"/>
                <w:b/>
                <w:sz w:val="19"/>
                <w:szCs w:val="19"/>
              </w:rPr>
            </w:pPr>
            <w:r w:rsidRPr="00E23B73">
              <w:rPr>
                <w:rFonts w:ascii="Verdana" w:hAnsi="Verdana"/>
                <w:b/>
                <w:sz w:val="19"/>
                <w:szCs w:val="19"/>
              </w:rPr>
              <w:t>Endocrine disorders</w:t>
            </w:r>
          </w:p>
        </w:tc>
      </w:tr>
      <w:tr w:rsidR="003D2089" w:rsidRPr="00E23B73" w14:paraId="56029F19" w14:textId="77777777" w:rsidTr="003D2089">
        <w:tc>
          <w:tcPr>
            <w:tcW w:w="1696" w:type="dxa"/>
          </w:tcPr>
          <w:p w14:paraId="30306C5E" w14:textId="77777777" w:rsidR="003D2089" w:rsidRPr="00E23B73" w:rsidRDefault="003D2089" w:rsidP="003D2089">
            <w:pPr>
              <w:rPr>
                <w:rFonts w:ascii="Verdana" w:hAnsi="Verdana"/>
                <w:sz w:val="19"/>
                <w:szCs w:val="19"/>
              </w:rPr>
            </w:pPr>
            <w:r w:rsidRPr="00E23B73">
              <w:rPr>
                <w:rFonts w:ascii="Verdana" w:hAnsi="Verdana"/>
                <w:sz w:val="19"/>
                <w:szCs w:val="19"/>
              </w:rPr>
              <w:t>Common</w:t>
            </w:r>
          </w:p>
        </w:tc>
        <w:tc>
          <w:tcPr>
            <w:tcW w:w="3969" w:type="dxa"/>
          </w:tcPr>
          <w:p w14:paraId="4CBA2000" w14:textId="77777777" w:rsidR="003D2089" w:rsidRPr="00E23B73" w:rsidRDefault="003D2089" w:rsidP="003D2089">
            <w:pPr>
              <w:rPr>
                <w:rFonts w:ascii="Verdana" w:hAnsi="Verdana"/>
                <w:sz w:val="19"/>
                <w:szCs w:val="19"/>
              </w:rPr>
            </w:pPr>
            <w:r w:rsidRPr="00E23B73">
              <w:rPr>
                <w:rFonts w:ascii="Verdana" w:hAnsi="Verdana"/>
                <w:sz w:val="19"/>
                <w:szCs w:val="19"/>
              </w:rPr>
              <w:t>Hypothyroidism*</w:t>
            </w:r>
          </w:p>
        </w:tc>
        <w:tc>
          <w:tcPr>
            <w:tcW w:w="1482" w:type="dxa"/>
          </w:tcPr>
          <w:p w14:paraId="1B6A6F47" w14:textId="77777777" w:rsidR="003D2089" w:rsidRPr="00E23B73" w:rsidRDefault="003D2089" w:rsidP="003D2089">
            <w:pPr>
              <w:jc w:val="center"/>
              <w:rPr>
                <w:rFonts w:ascii="Verdana" w:hAnsi="Verdana"/>
                <w:sz w:val="19"/>
                <w:szCs w:val="19"/>
              </w:rPr>
            </w:pPr>
            <w:r w:rsidRPr="00E23B73">
              <w:rPr>
                <w:rFonts w:ascii="Verdana" w:hAnsi="Verdana"/>
                <w:sz w:val="19"/>
                <w:szCs w:val="19"/>
              </w:rPr>
              <w:t>88 (5.1)</w:t>
            </w:r>
          </w:p>
        </w:tc>
        <w:tc>
          <w:tcPr>
            <w:tcW w:w="1519" w:type="dxa"/>
          </w:tcPr>
          <w:p w14:paraId="5D3BB103" w14:textId="77777777" w:rsidR="003D2089" w:rsidRPr="00E23B73" w:rsidRDefault="003D2089" w:rsidP="003D2089">
            <w:pPr>
              <w:jc w:val="center"/>
              <w:rPr>
                <w:rFonts w:ascii="Verdana" w:hAnsi="Verdana"/>
                <w:sz w:val="19"/>
                <w:szCs w:val="19"/>
              </w:rPr>
            </w:pPr>
            <w:r w:rsidRPr="00E23B73">
              <w:rPr>
                <w:rFonts w:ascii="Verdana" w:hAnsi="Verdana"/>
                <w:sz w:val="19"/>
                <w:szCs w:val="19"/>
              </w:rPr>
              <w:t>3 (0.2)</w:t>
            </w:r>
          </w:p>
        </w:tc>
      </w:tr>
      <w:tr w:rsidR="003D2089" w:rsidRPr="00E23B73" w14:paraId="7823526C" w14:textId="77777777" w:rsidTr="003D2089">
        <w:tc>
          <w:tcPr>
            <w:tcW w:w="1696" w:type="dxa"/>
          </w:tcPr>
          <w:p w14:paraId="3D9E6836" w14:textId="77777777" w:rsidR="003D2089" w:rsidRPr="00E23B73" w:rsidRDefault="003D2089" w:rsidP="003D2089">
            <w:pPr>
              <w:rPr>
                <w:rFonts w:ascii="Verdana" w:hAnsi="Verdana"/>
                <w:sz w:val="19"/>
                <w:szCs w:val="19"/>
              </w:rPr>
            </w:pPr>
            <w:r w:rsidRPr="00E23B73">
              <w:rPr>
                <w:rFonts w:ascii="Verdana" w:hAnsi="Verdana"/>
                <w:sz w:val="19"/>
                <w:szCs w:val="19"/>
              </w:rPr>
              <w:t>Uncommon</w:t>
            </w:r>
          </w:p>
        </w:tc>
        <w:tc>
          <w:tcPr>
            <w:tcW w:w="3969" w:type="dxa"/>
          </w:tcPr>
          <w:p w14:paraId="0110A933" w14:textId="77777777" w:rsidR="003D2089" w:rsidRPr="00E23B73" w:rsidRDefault="003D2089" w:rsidP="003D2089">
            <w:pPr>
              <w:rPr>
                <w:rFonts w:ascii="Verdana" w:hAnsi="Verdana"/>
                <w:sz w:val="19"/>
                <w:szCs w:val="19"/>
              </w:rPr>
            </w:pPr>
            <w:r w:rsidRPr="00E23B73">
              <w:rPr>
                <w:rFonts w:ascii="Verdana" w:hAnsi="Verdana"/>
                <w:sz w:val="19"/>
                <w:szCs w:val="19"/>
              </w:rPr>
              <w:t>Adrenal insufficiency*</w:t>
            </w:r>
          </w:p>
        </w:tc>
        <w:tc>
          <w:tcPr>
            <w:tcW w:w="1482" w:type="dxa"/>
          </w:tcPr>
          <w:p w14:paraId="7737CB3D" w14:textId="77777777" w:rsidR="003D2089" w:rsidRPr="00E23B73" w:rsidRDefault="003D2089" w:rsidP="003D2089">
            <w:pPr>
              <w:jc w:val="center"/>
              <w:rPr>
                <w:rFonts w:ascii="Verdana" w:hAnsi="Verdana"/>
                <w:sz w:val="19"/>
                <w:szCs w:val="19"/>
              </w:rPr>
            </w:pPr>
            <w:r w:rsidRPr="00E23B73">
              <w:rPr>
                <w:rFonts w:ascii="Verdana" w:hAnsi="Verdana"/>
                <w:sz w:val="19"/>
                <w:szCs w:val="19"/>
              </w:rPr>
              <w:t>8 (0.5)</w:t>
            </w:r>
          </w:p>
        </w:tc>
        <w:tc>
          <w:tcPr>
            <w:tcW w:w="1519" w:type="dxa"/>
          </w:tcPr>
          <w:p w14:paraId="327CC877" w14:textId="77777777" w:rsidR="003D2089" w:rsidRPr="00E23B73" w:rsidRDefault="003D2089" w:rsidP="003D2089">
            <w:pPr>
              <w:jc w:val="center"/>
              <w:rPr>
                <w:rFonts w:ascii="Verdana" w:hAnsi="Verdana"/>
                <w:sz w:val="19"/>
                <w:szCs w:val="19"/>
              </w:rPr>
            </w:pPr>
            <w:r w:rsidRPr="00E23B73">
              <w:rPr>
                <w:rFonts w:ascii="Verdana" w:hAnsi="Verdana"/>
                <w:sz w:val="19"/>
                <w:szCs w:val="19"/>
              </w:rPr>
              <w:t>1 (0.1)</w:t>
            </w:r>
          </w:p>
        </w:tc>
      </w:tr>
      <w:tr w:rsidR="003D2089" w:rsidRPr="00E23B73" w14:paraId="2FC2FE5D" w14:textId="77777777" w:rsidTr="003D2089">
        <w:tc>
          <w:tcPr>
            <w:tcW w:w="1696" w:type="dxa"/>
          </w:tcPr>
          <w:p w14:paraId="7E1DE73A" w14:textId="77777777" w:rsidR="003D2089" w:rsidRPr="00E23B73" w:rsidRDefault="003D2089" w:rsidP="003D2089">
            <w:pPr>
              <w:rPr>
                <w:rFonts w:ascii="Verdana" w:hAnsi="Verdana"/>
                <w:sz w:val="19"/>
                <w:szCs w:val="19"/>
              </w:rPr>
            </w:pPr>
            <w:r w:rsidRPr="00E23B73">
              <w:rPr>
                <w:rFonts w:ascii="Verdana" w:hAnsi="Verdana"/>
                <w:sz w:val="19"/>
                <w:szCs w:val="19"/>
              </w:rPr>
              <w:t>Uncommon</w:t>
            </w:r>
          </w:p>
        </w:tc>
        <w:tc>
          <w:tcPr>
            <w:tcW w:w="3969" w:type="dxa"/>
          </w:tcPr>
          <w:p w14:paraId="5C3C8EC9" w14:textId="77777777" w:rsidR="003D2089" w:rsidRPr="00E23B73" w:rsidRDefault="003D2089" w:rsidP="003D2089">
            <w:pPr>
              <w:rPr>
                <w:rFonts w:ascii="Verdana" w:hAnsi="Verdana"/>
                <w:sz w:val="19"/>
                <w:szCs w:val="19"/>
              </w:rPr>
            </w:pPr>
            <w:r w:rsidRPr="00E23B73">
              <w:rPr>
                <w:rFonts w:ascii="Verdana" w:hAnsi="Verdana"/>
                <w:sz w:val="19"/>
                <w:szCs w:val="19"/>
              </w:rPr>
              <w:t>Hyperthyroidism*</w:t>
            </w:r>
            <w:r w:rsidRPr="00E23B73">
              <w:rPr>
                <w:rFonts w:ascii="Verdana" w:hAnsi="Verdana"/>
                <w:sz w:val="19"/>
                <w:szCs w:val="19"/>
                <w:vertAlign w:val="superscript"/>
              </w:rPr>
              <w:t>,#</w:t>
            </w:r>
          </w:p>
        </w:tc>
        <w:tc>
          <w:tcPr>
            <w:tcW w:w="1482" w:type="dxa"/>
          </w:tcPr>
          <w:p w14:paraId="1A3E9275" w14:textId="77777777" w:rsidR="003D2089" w:rsidRPr="00E23B73" w:rsidRDefault="003D2089" w:rsidP="003D2089">
            <w:pPr>
              <w:jc w:val="center"/>
              <w:rPr>
                <w:rFonts w:ascii="Verdana" w:hAnsi="Verdana"/>
                <w:sz w:val="19"/>
                <w:szCs w:val="19"/>
              </w:rPr>
            </w:pPr>
            <w:r w:rsidRPr="00E23B73">
              <w:rPr>
                <w:rFonts w:ascii="Verdana" w:hAnsi="Verdana"/>
                <w:sz w:val="19"/>
                <w:szCs w:val="19"/>
              </w:rPr>
              <w:t>7 (0.4)</w:t>
            </w:r>
          </w:p>
        </w:tc>
        <w:tc>
          <w:tcPr>
            <w:tcW w:w="1519" w:type="dxa"/>
          </w:tcPr>
          <w:p w14:paraId="6D855962" w14:textId="77777777" w:rsidR="003D2089" w:rsidRPr="00E23B73" w:rsidRDefault="003D2089" w:rsidP="003D2089">
            <w:pPr>
              <w:jc w:val="center"/>
              <w:rPr>
                <w:rFonts w:ascii="Verdana" w:hAnsi="Verdana"/>
                <w:sz w:val="19"/>
                <w:szCs w:val="19"/>
              </w:rPr>
            </w:pPr>
            <w:r w:rsidRPr="00E23B73">
              <w:rPr>
                <w:rFonts w:ascii="Verdana" w:hAnsi="Verdana"/>
                <w:sz w:val="19"/>
                <w:szCs w:val="19"/>
              </w:rPr>
              <w:t>0</w:t>
            </w:r>
          </w:p>
        </w:tc>
      </w:tr>
      <w:tr w:rsidR="003D2089" w:rsidRPr="00E23B73" w14:paraId="12B90D22" w14:textId="77777777" w:rsidTr="003D2089">
        <w:tc>
          <w:tcPr>
            <w:tcW w:w="1696" w:type="dxa"/>
          </w:tcPr>
          <w:p w14:paraId="66A4EFB4" w14:textId="77777777" w:rsidR="003D2089" w:rsidRPr="00E23B73" w:rsidRDefault="003D2089" w:rsidP="003D2089">
            <w:pPr>
              <w:rPr>
                <w:rFonts w:ascii="Verdana" w:hAnsi="Verdana"/>
                <w:sz w:val="19"/>
                <w:szCs w:val="19"/>
              </w:rPr>
            </w:pPr>
            <w:r w:rsidRPr="00E23B73">
              <w:rPr>
                <w:rFonts w:ascii="Verdana" w:hAnsi="Verdana"/>
                <w:sz w:val="19"/>
                <w:szCs w:val="19"/>
              </w:rPr>
              <w:t>Uncommon</w:t>
            </w:r>
          </w:p>
        </w:tc>
        <w:tc>
          <w:tcPr>
            <w:tcW w:w="3969" w:type="dxa"/>
          </w:tcPr>
          <w:p w14:paraId="608CB5E3" w14:textId="77777777" w:rsidR="003D2089" w:rsidRPr="00E23B73" w:rsidRDefault="003D2089" w:rsidP="003D2089">
            <w:pPr>
              <w:rPr>
                <w:rFonts w:ascii="Verdana" w:hAnsi="Verdana"/>
                <w:sz w:val="19"/>
                <w:szCs w:val="19"/>
              </w:rPr>
            </w:pPr>
            <w:r w:rsidRPr="00E23B73">
              <w:rPr>
                <w:rFonts w:ascii="Verdana" w:hAnsi="Verdana"/>
                <w:sz w:val="19"/>
                <w:szCs w:val="19"/>
              </w:rPr>
              <w:t>Thyroiditis*</w:t>
            </w:r>
            <w:r w:rsidRPr="00E23B73">
              <w:rPr>
                <w:rFonts w:ascii="Verdana" w:hAnsi="Verdana"/>
                <w:sz w:val="19"/>
                <w:szCs w:val="19"/>
                <w:vertAlign w:val="superscript"/>
              </w:rPr>
              <w:t>,#</w:t>
            </w:r>
          </w:p>
        </w:tc>
        <w:tc>
          <w:tcPr>
            <w:tcW w:w="1482" w:type="dxa"/>
          </w:tcPr>
          <w:p w14:paraId="112ABC14" w14:textId="77777777" w:rsidR="003D2089" w:rsidRPr="00E23B73" w:rsidRDefault="003D2089" w:rsidP="003D2089">
            <w:pPr>
              <w:jc w:val="center"/>
              <w:rPr>
                <w:rFonts w:ascii="Verdana" w:hAnsi="Verdana"/>
                <w:sz w:val="19"/>
                <w:szCs w:val="19"/>
              </w:rPr>
            </w:pPr>
            <w:r w:rsidRPr="00E23B73">
              <w:rPr>
                <w:rFonts w:ascii="Verdana" w:hAnsi="Verdana"/>
                <w:sz w:val="19"/>
                <w:szCs w:val="19"/>
              </w:rPr>
              <w:t>2 (0.1)</w:t>
            </w:r>
          </w:p>
        </w:tc>
        <w:tc>
          <w:tcPr>
            <w:tcW w:w="1519" w:type="dxa"/>
          </w:tcPr>
          <w:p w14:paraId="2F7E1359" w14:textId="77777777" w:rsidR="003D2089" w:rsidRPr="00E23B73" w:rsidRDefault="003D2089" w:rsidP="003D2089">
            <w:pPr>
              <w:jc w:val="center"/>
              <w:rPr>
                <w:rFonts w:ascii="Verdana" w:hAnsi="Verdana"/>
                <w:sz w:val="19"/>
                <w:szCs w:val="19"/>
              </w:rPr>
            </w:pPr>
            <w:r w:rsidRPr="00E23B73">
              <w:rPr>
                <w:rFonts w:ascii="Verdana" w:hAnsi="Verdana"/>
                <w:sz w:val="19"/>
                <w:szCs w:val="19"/>
              </w:rPr>
              <w:t>0</w:t>
            </w:r>
          </w:p>
        </w:tc>
      </w:tr>
      <w:tr w:rsidR="003D2089" w:rsidRPr="00E23B73" w14:paraId="261BB347" w14:textId="77777777" w:rsidTr="003D2089">
        <w:tc>
          <w:tcPr>
            <w:tcW w:w="1696" w:type="dxa"/>
          </w:tcPr>
          <w:p w14:paraId="603995FC" w14:textId="77777777" w:rsidR="003D2089" w:rsidRPr="00E23B73" w:rsidRDefault="003D2089" w:rsidP="003D2089">
            <w:pPr>
              <w:rPr>
                <w:rFonts w:ascii="Verdana" w:hAnsi="Verdana"/>
                <w:sz w:val="19"/>
                <w:szCs w:val="19"/>
              </w:rPr>
            </w:pPr>
            <w:r w:rsidRPr="00E23B73">
              <w:rPr>
                <w:rFonts w:ascii="Verdana" w:hAnsi="Verdana"/>
                <w:sz w:val="19"/>
                <w:szCs w:val="19"/>
              </w:rPr>
              <w:t>Uncommon</w:t>
            </w:r>
          </w:p>
        </w:tc>
        <w:tc>
          <w:tcPr>
            <w:tcW w:w="3969" w:type="dxa"/>
          </w:tcPr>
          <w:p w14:paraId="1C3BCD13" w14:textId="77777777" w:rsidR="003D2089" w:rsidRPr="00E23B73" w:rsidRDefault="003D2089" w:rsidP="003D2089">
            <w:pPr>
              <w:rPr>
                <w:rFonts w:ascii="Verdana" w:hAnsi="Verdana"/>
                <w:sz w:val="19"/>
                <w:szCs w:val="19"/>
              </w:rPr>
            </w:pPr>
            <w:r w:rsidRPr="00E23B73">
              <w:rPr>
                <w:rFonts w:ascii="Verdana" w:hAnsi="Verdana"/>
                <w:sz w:val="19"/>
                <w:szCs w:val="19"/>
              </w:rPr>
              <w:t>Autoimmune thyroiditis*</w:t>
            </w:r>
            <w:r w:rsidRPr="00E23B73">
              <w:rPr>
                <w:rFonts w:ascii="Verdana" w:hAnsi="Verdana"/>
                <w:sz w:val="19"/>
                <w:szCs w:val="19"/>
                <w:vertAlign w:val="superscript"/>
              </w:rPr>
              <w:t>,#</w:t>
            </w:r>
          </w:p>
        </w:tc>
        <w:tc>
          <w:tcPr>
            <w:tcW w:w="1482" w:type="dxa"/>
          </w:tcPr>
          <w:p w14:paraId="3D37144A" w14:textId="77777777" w:rsidR="003D2089" w:rsidRPr="00E23B73" w:rsidRDefault="003D2089" w:rsidP="003D2089">
            <w:pPr>
              <w:jc w:val="center"/>
              <w:rPr>
                <w:rFonts w:ascii="Verdana" w:hAnsi="Verdana"/>
                <w:sz w:val="19"/>
                <w:szCs w:val="19"/>
              </w:rPr>
            </w:pPr>
            <w:r w:rsidRPr="00E23B73">
              <w:rPr>
                <w:rFonts w:ascii="Verdana" w:hAnsi="Verdana"/>
                <w:sz w:val="19"/>
                <w:szCs w:val="19"/>
              </w:rPr>
              <w:t>2 (0.1)</w:t>
            </w:r>
          </w:p>
        </w:tc>
        <w:tc>
          <w:tcPr>
            <w:tcW w:w="1519" w:type="dxa"/>
          </w:tcPr>
          <w:p w14:paraId="0512322E" w14:textId="77777777" w:rsidR="003D2089" w:rsidRPr="00E23B73" w:rsidRDefault="003D2089" w:rsidP="003D2089">
            <w:pPr>
              <w:jc w:val="center"/>
              <w:rPr>
                <w:rFonts w:ascii="Verdana" w:hAnsi="Verdana"/>
                <w:sz w:val="19"/>
                <w:szCs w:val="19"/>
              </w:rPr>
            </w:pPr>
            <w:r w:rsidRPr="00E23B73">
              <w:rPr>
                <w:rFonts w:ascii="Verdana" w:hAnsi="Verdana"/>
                <w:sz w:val="19"/>
                <w:szCs w:val="19"/>
              </w:rPr>
              <w:t>0</w:t>
            </w:r>
          </w:p>
        </w:tc>
      </w:tr>
      <w:tr w:rsidR="003D2089" w:rsidRPr="00E23B73" w14:paraId="6CCBF90F" w14:textId="77777777" w:rsidTr="003D2089">
        <w:tc>
          <w:tcPr>
            <w:tcW w:w="1696" w:type="dxa"/>
          </w:tcPr>
          <w:p w14:paraId="0FB976D9" w14:textId="77777777" w:rsidR="003D2089" w:rsidRPr="00E23B73" w:rsidRDefault="003D2089" w:rsidP="003D2089">
            <w:pPr>
              <w:rPr>
                <w:rFonts w:ascii="Verdana" w:hAnsi="Verdana"/>
                <w:sz w:val="19"/>
                <w:szCs w:val="19"/>
              </w:rPr>
            </w:pPr>
            <w:r w:rsidRPr="00E23B73">
              <w:rPr>
                <w:rFonts w:ascii="Verdana" w:hAnsi="Verdana"/>
                <w:sz w:val="19"/>
                <w:szCs w:val="19"/>
              </w:rPr>
              <w:t>Uncommon</w:t>
            </w:r>
          </w:p>
        </w:tc>
        <w:tc>
          <w:tcPr>
            <w:tcW w:w="3969" w:type="dxa"/>
          </w:tcPr>
          <w:p w14:paraId="59112451" w14:textId="77777777" w:rsidR="003D2089" w:rsidRPr="00E23B73" w:rsidRDefault="003D2089" w:rsidP="003D2089">
            <w:pPr>
              <w:rPr>
                <w:rFonts w:ascii="Verdana" w:hAnsi="Verdana"/>
                <w:sz w:val="19"/>
                <w:szCs w:val="19"/>
              </w:rPr>
            </w:pPr>
            <w:r w:rsidRPr="00E23B73">
              <w:rPr>
                <w:rFonts w:ascii="Verdana" w:hAnsi="Verdana"/>
                <w:sz w:val="19"/>
                <w:szCs w:val="19"/>
              </w:rPr>
              <w:t>Adrenocortical insufficiency acute*</w:t>
            </w:r>
            <w:r w:rsidRPr="00E23B73">
              <w:rPr>
                <w:rFonts w:ascii="Verdana" w:hAnsi="Verdana"/>
                <w:sz w:val="19"/>
                <w:szCs w:val="19"/>
                <w:vertAlign w:val="superscript"/>
              </w:rPr>
              <w:t>,#</w:t>
            </w:r>
          </w:p>
        </w:tc>
        <w:tc>
          <w:tcPr>
            <w:tcW w:w="1482" w:type="dxa"/>
          </w:tcPr>
          <w:p w14:paraId="01AB2E31" w14:textId="77777777" w:rsidR="003D2089" w:rsidRPr="00E23B73" w:rsidRDefault="003D2089" w:rsidP="003D2089">
            <w:pPr>
              <w:jc w:val="center"/>
              <w:rPr>
                <w:rFonts w:ascii="Verdana" w:hAnsi="Verdana"/>
                <w:sz w:val="19"/>
                <w:szCs w:val="19"/>
              </w:rPr>
            </w:pPr>
            <w:r w:rsidRPr="00E23B73">
              <w:rPr>
                <w:rFonts w:ascii="Verdana" w:hAnsi="Verdana"/>
                <w:sz w:val="19"/>
                <w:szCs w:val="19"/>
              </w:rPr>
              <w:t>1 (0.1)</w:t>
            </w:r>
          </w:p>
        </w:tc>
        <w:tc>
          <w:tcPr>
            <w:tcW w:w="1519" w:type="dxa"/>
          </w:tcPr>
          <w:p w14:paraId="1F17BD75" w14:textId="77777777" w:rsidR="003D2089" w:rsidRPr="00E23B73" w:rsidRDefault="003D2089" w:rsidP="003D2089">
            <w:pPr>
              <w:jc w:val="center"/>
              <w:rPr>
                <w:rFonts w:ascii="Verdana" w:hAnsi="Verdana"/>
                <w:sz w:val="19"/>
                <w:szCs w:val="19"/>
              </w:rPr>
            </w:pPr>
            <w:r w:rsidRPr="00E23B73">
              <w:rPr>
                <w:rFonts w:ascii="Verdana" w:hAnsi="Verdana"/>
                <w:sz w:val="19"/>
                <w:szCs w:val="19"/>
              </w:rPr>
              <w:t>0</w:t>
            </w:r>
          </w:p>
        </w:tc>
      </w:tr>
      <w:tr w:rsidR="003D2089" w:rsidRPr="00E23B73" w14:paraId="711DE6DC" w14:textId="77777777" w:rsidTr="003D2089">
        <w:tc>
          <w:tcPr>
            <w:tcW w:w="1696" w:type="dxa"/>
          </w:tcPr>
          <w:p w14:paraId="681EB732" w14:textId="77777777" w:rsidR="003D2089" w:rsidRPr="00E23B73" w:rsidRDefault="003D2089" w:rsidP="003D2089">
            <w:pPr>
              <w:rPr>
                <w:rFonts w:ascii="Verdana" w:hAnsi="Verdana"/>
                <w:sz w:val="19"/>
                <w:szCs w:val="19"/>
              </w:rPr>
            </w:pPr>
            <w:r w:rsidRPr="00E23B73">
              <w:rPr>
                <w:rFonts w:ascii="Verdana" w:hAnsi="Verdana"/>
                <w:sz w:val="19"/>
                <w:szCs w:val="19"/>
              </w:rPr>
              <w:t>Uncommon</w:t>
            </w:r>
          </w:p>
        </w:tc>
        <w:tc>
          <w:tcPr>
            <w:tcW w:w="3969" w:type="dxa"/>
          </w:tcPr>
          <w:p w14:paraId="7D66F804" w14:textId="77777777" w:rsidR="003D2089" w:rsidRPr="00E23B73" w:rsidRDefault="003D2089" w:rsidP="003D2089">
            <w:pPr>
              <w:rPr>
                <w:rFonts w:ascii="Verdana" w:hAnsi="Verdana"/>
                <w:sz w:val="19"/>
                <w:szCs w:val="19"/>
              </w:rPr>
            </w:pPr>
            <w:r w:rsidRPr="00E23B73">
              <w:rPr>
                <w:rFonts w:ascii="Verdana" w:hAnsi="Verdana"/>
                <w:sz w:val="19"/>
                <w:szCs w:val="19"/>
              </w:rPr>
              <w:t>Autoimmune hypothyroidism*</w:t>
            </w:r>
            <w:r w:rsidRPr="00E23B73">
              <w:rPr>
                <w:rFonts w:ascii="Verdana" w:hAnsi="Verdana"/>
                <w:sz w:val="19"/>
                <w:szCs w:val="19"/>
                <w:vertAlign w:val="superscript"/>
              </w:rPr>
              <w:t>,#</w:t>
            </w:r>
          </w:p>
        </w:tc>
        <w:tc>
          <w:tcPr>
            <w:tcW w:w="1482" w:type="dxa"/>
          </w:tcPr>
          <w:p w14:paraId="72459F25" w14:textId="77777777" w:rsidR="003D2089" w:rsidRPr="00E23B73" w:rsidRDefault="003D2089" w:rsidP="003D2089">
            <w:pPr>
              <w:jc w:val="center"/>
              <w:rPr>
                <w:rFonts w:ascii="Verdana" w:hAnsi="Verdana"/>
                <w:sz w:val="19"/>
                <w:szCs w:val="19"/>
              </w:rPr>
            </w:pPr>
            <w:r w:rsidRPr="00E23B73">
              <w:rPr>
                <w:rFonts w:ascii="Verdana" w:hAnsi="Verdana"/>
                <w:sz w:val="19"/>
                <w:szCs w:val="19"/>
              </w:rPr>
              <w:t>2 (0.1)</w:t>
            </w:r>
          </w:p>
        </w:tc>
        <w:tc>
          <w:tcPr>
            <w:tcW w:w="1519" w:type="dxa"/>
          </w:tcPr>
          <w:p w14:paraId="73F74BA5" w14:textId="77777777" w:rsidR="003D2089" w:rsidRPr="00E23B73" w:rsidRDefault="003D2089" w:rsidP="003D2089">
            <w:pPr>
              <w:jc w:val="center"/>
              <w:rPr>
                <w:rFonts w:ascii="Verdana" w:hAnsi="Verdana"/>
                <w:sz w:val="19"/>
                <w:szCs w:val="19"/>
              </w:rPr>
            </w:pPr>
            <w:r w:rsidRPr="00E23B73">
              <w:rPr>
                <w:rFonts w:ascii="Verdana" w:hAnsi="Verdana"/>
                <w:sz w:val="19"/>
                <w:szCs w:val="19"/>
              </w:rPr>
              <w:t>0</w:t>
            </w:r>
          </w:p>
        </w:tc>
      </w:tr>
      <w:tr w:rsidR="003D2089" w:rsidRPr="00E23B73" w14:paraId="5DAE2AA8" w14:textId="77777777" w:rsidTr="003D2089">
        <w:tc>
          <w:tcPr>
            <w:tcW w:w="1696" w:type="dxa"/>
          </w:tcPr>
          <w:p w14:paraId="232E71BF" w14:textId="77777777" w:rsidR="003D2089" w:rsidRPr="00E23B73" w:rsidRDefault="003D2089" w:rsidP="003D2089">
            <w:pPr>
              <w:rPr>
                <w:rFonts w:ascii="Verdana" w:hAnsi="Verdana"/>
                <w:sz w:val="19"/>
                <w:szCs w:val="19"/>
              </w:rPr>
            </w:pPr>
            <w:r w:rsidRPr="00E23B73">
              <w:rPr>
                <w:rFonts w:ascii="Verdana" w:hAnsi="Verdana"/>
                <w:sz w:val="19"/>
                <w:szCs w:val="19"/>
              </w:rPr>
              <w:t>Uncommon</w:t>
            </w:r>
          </w:p>
        </w:tc>
        <w:tc>
          <w:tcPr>
            <w:tcW w:w="3969" w:type="dxa"/>
          </w:tcPr>
          <w:p w14:paraId="47CE6E8C" w14:textId="77777777" w:rsidR="003D2089" w:rsidRPr="00E23B73" w:rsidRDefault="003D2089" w:rsidP="003D2089">
            <w:pPr>
              <w:rPr>
                <w:rFonts w:ascii="Verdana" w:hAnsi="Verdana"/>
                <w:sz w:val="19"/>
                <w:szCs w:val="19"/>
              </w:rPr>
            </w:pPr>
            <w:r w:rsidRPr="00E23B73">
              <w:rPr>
                <w:rFonts w:ascii="Verdana" w:hAnsi="Verdana"/>
                <w:sz w:val="19"/>
                <w:szCs w:val="19"/>
              </w:rPr>
              <w:t>Hypopituitarism*</w:t>
            </w:r>
            <w:r w:rsidRPr="00E23B73">
              <w:rPr>
                <w:rFonts w:ascii="Verdana" w:hAnsi="Verdana"/>
                <w:sz w:val="19"/>
                <w:szCs w:val="19"/>
                <w:vertAlign w:val="superscript"/>
              </w:rPr>
              <w:t>,#</w:t>
            </w:r>
          </w:p>
        </w:tc>
        <w:tc>
          <w:tcPr>
            <w:tcW w:w="1482" w:type="dxa"/>
          </w:tcPr>
          <w:p w14:paraId="5573D99C" w14:textId="77777777" w:rsidR="003D2089" w:rsidRPr="00E23B73" w:rsidRDefault="003D2089" w:rsidP="003D2089">
            <w:pPr>
              <w:jc w:val="center"/>
              <w:rPr>
                <w:rFonts w:ascii="Verdana" w:hAnsi="Verdana"/>
                <w:sz w:val="19"/>
                <w:szCs w:val="19"/>
              </w:rPr>
            </w:pPr>
            <w:r w:rsidRPr="00E23B73">
              <w:rPr>
                <w:rFonts w:ascii="Verdana" w:eastAsia="Times New Roman" w:hAnsi="Verdana"/>
                <w:sz w:val="19"/>
                <w:szCs w:val="19"/>
                <w:lang w:eastAsia="ja-JP"/>
              </w:rPr>
              <w:t>1 (0.1)</w:t>
            </w:r>
          </w:p>
        </w:tc>
        <w:tc>
          <w:tcPr>
            <w:tcW w:w="1519" w:type="dxa"/>
          </w:tcPr>
          <w:p w14:paraId="58700CF6" w14:textId="77777777" w:rsidR="003D2089" w:rsidRPr="00E23B73" w:rsidRDefault="003D2089" w:rsidP="003D2089">
            <w:pPr>
              <w:jc w:val="center"/>
              <w:rPr>
                <w:rFonts w:ascii="Verdana" w:hAnsi="Verdana"/>
                <w:sz w:val="19"/>
                <w:szCs w:val="19"/>
              </w:rPr>
            </w:pPr>
            <w:r w:rsidRPr="00E23B73">
              <w:rPr>
                <w:rFonts w:ascii="Verdana" w:hAnsi="Verdana"/>
                <w:sz w:val="19"/>
                <w:szCs w:val="19"/>
              </w:rPr>
              <w:t>0</w:t>
            </w:r>
          </w:p>
        </w:tc>
      </w:tr>
      <w:tr w:rsidR="003D2089" w:rsidRPr="00E23B73" w14:paraId="02921341" w14:textId="77777777" w:rsidTr="003D2089">
        <w:tc>
          <w:tcPr>
            <w:tcW w:w="1696" w:type="dxa"/>
          </w:tcPr>
          <w:p w14:paraId="7DA76171" w14:textId="77777777" w:rsidR="003D2089" w:rsidRPr="00E23B73" w:rsidRDefault="003D2089" w:rsidP="003D2089">
            <w:pPr>
              <w:rPr>
                <w:rFonts w:ascii="Verdana" w:hAnsi="Verdana"/>
                <w:b/>
                <w:sz w:val="19"/>
                <w:szCs w:val="19"/>
              </w:rPr>
            </w:pPr>
          </w:p>
        </w:tc>
        <w:tc>
          <w:tcPr>
            <w:tcW w:w="6970" w:type="dxa"/>
            <w:gridSpan w:val="3"/>
          </w:tcPr>
          <w:p w14:paraId="19523A44" w14:textId="77777777" w:rsidR="003D2089" w:rsidRPr="00E23B73" w:rsidRDefault="003D2089" w:rsidP="003D2089">
            <w:pPr>
              <w:rPr>
                <w:rFonts w:ascii="Verdana" w:hAnsi="Verdana"/>
                <w:b/>
                <w:sz w:val="19"/>
                <w:szCs w:val="19"/>
              </w:rPr>
            </w:pPr>
            <w:r w:rsidRPr="00E23B73">
              <w:rPr>
                <w:rFonts w:ascii="Verdana" w:hAnsi="Verdana"/>
                <w:b/>
                <w:sz w:val="19"/>
                <w:szCs w:val="19"/>
              </w:rPr>
              <w:t>Eye disorders</w:t>
            </w:r>
          </w:p>
        </w:tc>
      </w:tr>
      <w:tr w:rsidR="003D2089" w:rsidRPr="00E23B73" w14:paraId="69F909DF" w14:textId="77777777" w:rsidTr="003D2089">
        <w:tc>
          <w:tcPr>
            <w:tcW w:w="1696" w:type="dxa"/>
          </w:tcPr>
          <w:p w14:paraId="38F96235" w14:textId="77777777" w:rsidR="003D2089" w:rsidRPr="00E23B73" w:rsidRDefault="003D2089" w:rsidP="003D2089">
            <w:pPr>
              <w:rPr>
                <w:rFonts w:ascii="Verdana" w:hAnsi="Verdana"/>
                <w:sz w:val="19"/>
                <w:szCs w:val="19"/>
              </w:rPr>
            </w:pPr>
            <w:r w:rsidRPr="00E23B73">
              <w:rPr>
                <w:rFonts w:ascii="Verdana" w:hAnsi="Verdana"/>
                <w:sz w:val="19"/>
                <w:szCs w:val="19"/>
              </w:rPr>
              <w:t>Uncommon</w:t>
            </w:r>
          </w:p>
        </w:tc>
        <w:tc>
          <w:tcPr>
            <w:tcW w:w="3969" w:type="dxa"/>
          </w:tcPr>
          <w:p w14:paraId="52394A92" w14:textId="77777777" w:rsidR="003D2089" w:rsidRPr="00E23B73" w:rsidRDefault="003D2089" w:rsidP="003D2089">
            <w:pPr>
              <w:rPr>
                <w:rFonts w:ascii="Verdana" w:hAnsi="Verdana"/>
                <w:sz w:val="19"/>
                <w:szCs w:val="19"/>
              </w:rPr>
            </w:pPr>
            <w:r w:rsidRPr="00E23B73">
              <w:rPr>
                <w:rFonts w:ascii="Verdana" w:hAnsi="Verdana"/>
                <w:sz w:val="19"/>
                <w:szCs w:val="19"/>
              </w:rPr>
              <w:t>Uveitis*</w:t>
            </w:r>
            <w:r w:rsidRPr="00E23B73">
              <w:rPr>
                <w:rFonts w:ascii="Verdana" w:hAnsi="Verdana"/>
                <w:sz w:val="19"/>
                <w:szCs w:val="19"/>
                <w:vertAlign w:val="superscript"/>
              </w:rPr>
              <w:t>,#</w:t>
            </w:r>
          </w:p>
        </w:tc>
        <w:tc>
          <w:tcPr>
            <w:tcW w:w="1482" w:type="dxa"/>
          </w:tcPr>
          <w:p w14:paraId="7AEEA02C" w14:textId="77777777" w:rsidR="003D2089" w:rsidRPr="00E23B73" w:rsidRDefault="003D2089" w:rsidP="003D2089">
            <w:pPr>
              <w:jc w:val="center"/>
              <w:rPr>
                <w:rFonts w:ascii="Verdana" w:eastAsia="Times New Roman" w:hAnsi="Verdana"/>
                <w:sz w:val="19"/>
                <w:szCs w:val="19"/>
                <w:lang w:eastAsia="ja-JP"/>
              </w:rPr>
            </w:pPr>
            <w:r w:rsidRPr="00E23B73">
              <w:rPr>
                <w:rFonts w:ascii="Verdana" w:eastAsia="Times New Roman" w:hAnsi="Verdana"/>
                <w:sz w:val="19"/>
                <w:szCs w:val="19"/>
                <w:lang w:eastAsia="ja-JP"/>
              </w:rPr>
              <w:t>1 ( 0.1)</w:t>
            </w:r>
          </w:p>
        </w:tc>
        <w:tc>
          <w:tcPr>
            <w:tcW w:w="1519" w:type="dxa"/>
          </w:tcPr>
          <w:p w14:paraId="2F83AFB9" w14:textId="77777777" w:rsidR="003D2089" w:rsidRPr="00E23B73" w:rsidRDefault="003D2089" w:rsidP="003D2089">
            <w:pPr>
              <w:jc w:val="center"/>
              <w:rPr>
                <w:rFonts w:ascii="Verdana" w:hAnsi="Verdana"/>
                <w:sz w:val="19"/>
                <w:szCs w:val="19"/>
              </w:rPr>
            </w:pPr>
            <w:r w:rsidRPr="00E23B73">
              <w:rPr>
                <w:rFonts w:ascii="Verdana" w:hAnsi="Verdana"/>
                <w:sz w:val="19"/>
                <w:szCs w:val="19"/>
              </w:rPr>
              <w:t>0</w:t>
            </w:r>
          </w:p>
        </w:tc>
      </w:tr>
      <w:tr w:rsidR="003D2089" w:rsidRPr="00E23B73" w14:paraId="21928D99" w14:textId="77777777" w:rsidTr="003D2089">
        <w:tc>
          <w:tcPr>
            <w:tcW w:w="1696" w:type="dxa"/>
          </w:tcPr>
          <w:p w14:paraId="11FC9CA9" w14:textId="77777777" w:rsidR="003D2089" w:rsidRPr="00E23B73" w:rsidRDefault="003D2089" w:rsidP="003D2089">
            <w:pPr>
              <w:rPr>
                <w:rFonts w:ascii="Verdana" w:hAnsi="Verdana"/>
                <w:b/>
                <w:sz w:val="19"/>
                <w:szCs w:val="19"/>
              </w:rPr>
            </w:pPr>
          </w:p>
        </w:tc>
        <w:tc>
          <w:tcPr>
            <w:tcW w:w="6970" w:type="dxa"/>
            <w:gridSpan w:val="3"/>
          </w:tcPr>
          <w:p w14:paraId="2312C169" w14:textId="77777777" w:rsidR="003D2089" w:rsidRPr="00E23B73" w:rsidRDefault="003D2089" w:rsidP="003D2089">
            <w:pPr>
              <w:rPr>
                <w:rFonts w:ascii="Verdana" w:hAnsi="Verdana"/>
                <w:b/>
                <w:sz w:val="19"/>
                <w:szCs w:val="19"/>
              </w:rPr>
            </w:pPr>
            <w:r w:rsidRPr="00E23B73">
              <w:rPr>
                <w:rFonts w:ascii="Verdana" w:hAnsi="Verdana"/>
                <w:b/>
                <w:sz w:val="19"/>
                <w:szCs w:val="19"/>
              </w:rPr>
              <w:t>Gastrointestinal disorders</w:t>
            </w:r>
          </w:p>
        </w:tc>
      </w:tr>
      <w:tr w:rsidR="003D2089" w:rsidRPr="00E23B73" w14:paraId="319064FD" w14:textId="77777777" w:rsidTr="003D2089">
        <w:tc>
          <w:tcPr>
            <w:tcW w:w="1696" w:type="dxa"/>
          </w:tcPr>
          <w:p w14:paraId="0E4EDFC1"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02EAB94C"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Nausea</w:t>
            </w:r>
          </w:p>
        </w:tc>
        <w:tc>
          <w:tcPr>
            <w:tcW w:w="1482" w:type="dxa"/>
          </w:tcPr>
          <w:p w14:paraId="01D34558"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437 (25.1)</w:t>
            </w:r>
          </w:p>
        </w:tc>
        <w:tc>
          <w:tcPr>
            <w:tcW w:w="1519" w:type="dxa"/>
          </w:tcPr>
          <w:p w14:paraId="2118054F"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27 (1.6)</w:t>
            </w:r>
          </w:p>
        </w:tc>
      </w:tr>
      <w:tr w:rsidR="003D2089" w:rsidRPr="00E23B73" w14:paraId="4F1B19D8" w14:textId="77777777" w:rsidTr="003D2089">
        <w:tc>
          <w:tcPr>
            <w:tcW w:w="1696" w:type="dxa"/>
          </w:tcPr>
          <w:p w14:paraId="0B7F0013"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22329B4A" w14:textId="77777777" w:rsidR="003D2089" w:rsidRPr="00E23B73" w:rsidRDefault="003D2089" w:rsidP="003D2089">
            <w:pPr>
              <w:pStyle w:val="Tabletext"/>
              <w:spacing w:before="0" w:after="0"/>
              <w:jc w:val="left"/>
              <w:rPr>
                <w:rFonts w:ascii="Verdana" w:hAnsi="Verdana"/>
                <w:sz w:val="19"/>
                <w:szCs w:val="19"/>
              </w:rPr>
            </w:pPr>
            <w:proofErr w:type="spellStart"/>
            <w:r w:rsidRPr="00E23B73">
              <w:rPr>
                <w:rFonts w:ascii="Verdana" w:hAnsi="Verdana"/>
                <w:sz w:val="19"/>
                <w:szCs w:val="19"/>
              </w:rPr>
              <w:t>Diarrhoea</w:t>
            </w:r>
            <w:r w:rsidRPr="00E23B73">
              <w:rPr>
                <w:rFonts w:ascii="Verdana" w:hAnsi="Verdana"/>
                <w:sz w:val="19"/>
                <w:szCs w:val="19"/>
                <w:vertAlign w:val="superscript"/>
              </w:rPr>
              <w:t>a</w:t>
            </w:r>
            <w:proofErr w:type="spellEnd"/>
          </w:p>
        </w:tc>
        <w:tc>
          <w:tcPr>
            <w:tcW w:w="1482" w:type="dxa"/>
          </w:tcPr>
          <w:p w14:paraId="0A7C3D2E" w14:textId="77777777" w:rsidR="003D2089" w:rsidRPr="00E23B73" w:rsidRDefault="003D2089" w:rsidP="003D2089">
            <w:pPr>
              <w:pStyle w:val="Tabletext"/>
              <w:spacing w:before="0" w:after="0"/>
              <w:jc w:val="center"/>
              <w:rPr>
                <w:rFonts w:ascii="Verdana" w:eastAsia="Times New Roman" w:hAnsi="Verdana"/>
                <w:sz w:val="19"/>
                <w:szCs w:val="19"/>
                <w:lang w:eastAsia="ja-JP"/>
              </w:rPr>
            </w:pPr>
            <w:r w:rsidRPr="00E23B73">
              <w:rPr>
                <w:rFonts w:ascii="Verdana" w:eastAsia="Times New Roman" w:hAnsi="Verdana"/>
                <w:sz w:val="19"/>
                <w:szCs w:val="19"/>
                <w:lang w:eastAsia="ja-JP"/>
              </w:rPr>
              <w:t>329 (18.9)</w:t>
            </w:r>
          </w:p>
        </w:tc>
        <w:tc>
          <w:tcPr>
            <w:tcW w:w="1519" w:type="dxa"/>
          </w:tcPr>
          <w:p w14:paraId="5B43B246" w14:textId="77777777" w:rsidR="003D2089" w:rsidRPr="00E23B73" w:rsidRDefault="003D2089" w:rsidP="003D2089">
            <w:pPr>
              <w:pStyle w:val="Tabletext"/>
              <w:spacing w:before="0" w:after="0"/>
              <w:jc w:val="center"/>
              <w:rPr>
                <w:rFonts w:ascii="Verdana" w:eastAsia="Times New Roman" w:hAnsi="Verdana"/>
                <w:sz w:val="19"/>
                <w:szCs w:val="19"/>
                <w:lang w:eastAsia="ja-JP"/>
              </w:rPr>
            </w:pPr>
            <w:r w:rsidRPr="00E23B73">
              <w:rPr>
                <w:rFonts w:ascii="Verdana" w:eastAsia="Times New Roman" w:hAnsi="Verdana"/>
                <w:sz w:val="19"/>
                <w:szCs w:val="19"/>
                <w:lang w:eastAsia="ja-JP"/>
              </w:rPr>
              <w:t>22 (1.3)</w:t>
            </w:r>
          </w:p>
        </w:tc>
      </w:tr>
      <w:tr w:rsidR="003D2089" w:rsidRPr="00E23B73" w14:paraId="13368746" w14:textId="77777777" w:rsidTr="003D2089">
        <w:tc>
          <w:tcPr>
            <w:tcW w:w="1696" w:type="dxa"/>
          </w:tcPr>
          <w:p w14:paraId="5DBB5B51"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77AB292F"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Constipation</w:t>
            </w:r>
          </w:p>
        </w:tc>
        <w:tc>
          <w:tcPr>
            <w:tcW w:w="1482" w:type="dxa"/>
          </w:tcPr>
          <w:p w14:paraId="7C57EC74"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320 (18.4)</w:t>
            </w:r>
          </w:p>
        </w:tc>
        <w:tc>
          <w:tcPr>
            <w:tcW w:w="1519" w:type="dxa"/>
          </w:tcPr>
          <w:p w14:paraId="54170C0F"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17 (1.0)</w:t>
            </w:r>
          </w:p>
        </w:tc>
      </w:tr>
      <w:tr w:rsidR="003D2089" w:rsidRPr="00E23B73" w14:paraId="07139C23" w14:textId="77777777" w:rsidTr="003D2089">
        <w:tc>
          <w:tcPr>
            <w:tcW w:w="1696" w:type="dxa"/>
          </w:tcPr>
          <w:p w14:paraId="2DF04A85"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76678BBB"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Vomiting</w:t>
            </w:r>
          </w:p>
        </w:tc>
        <w:tc>
          <w:tcPr>
            <w:tcW w:w="1482" w:type="dxa"/>
          </w:tcPr>
          <w:p w14:paraId="7D6886B5"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281 (16.2)</w:t>
            </w:r>
          </w:p>
        </w:tc>
        <w:tc>
          <w:tcPr>
            <w:tcW w:w="1519" w:type="dxa"/>
          </w:tcPr>
          <w:p w14:paraId="2E04BEAC"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31 (1.8)</w:t>
            </w:r>
          </w:p>
        </w:tc>
      </w:tr>
      <w:tr w:rsidR="003D2089" w:rsidRPr="00E23B73" w14:paraId="01C85893" w14:textId="77777777" w:rsidTr="003D2089">
        <w:tc>
          <w:tcPr>
            <w:tcW w:w="1696" w:type="dxa"/>
          </w:tcPr>
          <w:p w14:paraId="1659A16A"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079229EA"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Abdominal pain</w:t>
            </w:r>
          </w:p>
        </w:tc>
        <w:tc>
          <w:tcPr>
            <w:tcW w:w="1482" w:type="dxa"/>
          </w:tcPr>
          <w:p w14:paraId="0D5EB7A6"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250 (14.4)</w:t>
            </w:r>
          </w:p>
        </w:tc>
        <w:tc>
          <w:tcPr>
            <w:tcW w:w="1519" w:type="dxa"/>
          </w:tcPr>
          <w:p w14:paraId="05B81348"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52 (3.0)</w:t>
            </w:r>
          </w:p>
        </w:tc>
      </w:tr>
      <w:tr w:rsidR="003D2089" w:rsidRPr="00E23B73" w14:paraId="5A4B695E" w14:textId="77777777" w:rsidTr="003D2089">
        <w:tc>
          <w:tcPr>
            <w:tcW w:w="1696" w:type="dxa"/>
          </w:tcPr>
          <w:p w14:paraId="7DFAA157"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130C91AE"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Colitis*</w:t>
            </w:r>
          </w:p>
        </w:tc>
        <w:tc>
          <w:tcPr>
            <w:tcW w:w="1482" w:type="dxa"/>
          </w:tcPr>
          <w:p w14:paraId="643D6932"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5 (0.3)</w:t>
            </w:r>
          </w:p>
        </w:tc>
        <w:tc>
          <w:tcPr>
            <w:tcW w:w="1519" w:type="dxa"/>
          </w:tcPr>
          <w:p w14:paraId="22F98AB8"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4 (0.2)</w:t>
            </w:r>
          </w:p>
        </w:tc>
      </w:tr>
      <w:tr w:rsidR="003D2089" w:rsidRPr="00E23B73" w14:paraId="051B699D" w14:textId="77777777" w:rsidTr="003D2089">
        <w:tc>
          <w:tcPr>
            <w:tcW w:w="1696" w:type="dxa"/>
          </w:tcPr>
          <w:p w14:paraId="1A1621A7"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5E15C9B9"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Autoimmune colitis*</w:t>
            </w:r>
            <w:r w:rsidRPr="00E23B73">
              <w:rPr>
                <w:rFonts w:ascii="Verdana" w:hAnsi="Verdana"/>
                <w:sz w:val="19"/>
                <w:szCs w:val="19"/>
                <w:vertAlign w:val="superscript"/>
              </w:rPr>
              <w:t>,#</w:t>
            </w:r>
          </w:p>
        </w:tc>
        <w:tc>
          <w:tcPr>
            <w:tcW w:w="1482" w:type="dxa"/>
          </w:tcPr>
          <w:p w14:paraId="04E8B80B" w14:textId="77777777" w:rsidR="003D2089" w:rsidRPr="00E23B73" w:rsidRDefault="003D2089" w:rsidP="003D2089">
            <w:pPr>
              <w:pStyle w:val="Tabletext"/>
              <w:spacing w:before="0" w:after="0"/>
              <w:jc w:val="center"/>
              <w:rPr>
                <w:rFonts w:ascii="Verdana" w:eastAsia="Times New Roman" w:hAnsi="Verdana"/>
                <w:sz w:val="19"/>
                <w:szCs w:val="19"/>
                <w:lang w:eastAsia="ja-JP"/>
              </w:rPr>
            </w:pPr>
            <w:r w:rsidRPr="00E23B73">
              <w:rPr>
                <w:rFonts w:ascii="Verdana" w:hAnsi="Verdana"/>
                <w:sz w:val="19"/>
                <w:szCs w:val="19"/>
              </w:rPr>
              <w:t>1 (0.1)</w:t>
            </w:r>
          </w:p>
        </w:tc>
        <w:tc>
          <w:tcPr>
            <w:tcW w:w="1519" w:type="dxa"/>
          </w:tcPr>
          <w:p w14:paraId="6EE93ECE" w14:textId="77777777" w:rsidR="003D2089" w:rsidRPr="00E23B73" w:rsidRDefault="003D2089" w:rsidP="003D2089">
            <w:pPr>
              <w:pStyle w:val="Tabletext"/>
              <w:spacing w:before="0" w:after="0"/>
              <w:jc w:val="center"/>
              <w:rPr>
                <w:rFonts w:ascii="Verdana" w:eastAsia="Times New Roman" w:hAnsi="Verdana"/>
                <w:sz w:val="19"/>
                <w:szCs w:val="19"/>
                <w:lang w:eastAsia="ja-JP"/>
              </w:rPr>
            </w:pPr>
            <w:r w:rsidRPr="00E23B73">
              <w:rPr>
                <w:rFonts w:ascii="Verdana" w:hAnsi="Verdana"/>
                <w:sz w:val="19"/>
                <w:szCs w:val="19"/>
              </w:rPr>
              <w:t>0</w:t>
            </w:r>
          </w:p>
        </w:tc>
      </w:tr>
      <w:tr w:rsidR="003D2089" w:rsidRPr="00E23B73" w14:paraId="2D18A86D" w14:textId="77777777" w:rsidTr="003D2089">
        <w:tc>
          <w:tcPr>
            <w:tcW w:w="1696" w:type="dxa"/>
          </w:tcPr>
          <w:p w14:paraId="07AF5A6B"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lastRenderedPageBreak/>
              <w:t>Uncommon</w:t>
            </w:r>
          </w:p>
        </w:tc>
        <w:tc>
          <w:tcPr>
            <w:tcW w:w="3969" w:type="dxa"/>
          </w:tcPr>
          <w:p w14:paraId="6D2C7F0E"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Enterocolitis*</w:t>
            </w:r>
            <w:r w:rsidRPr="00E23B73">
              <w:rPr>
                <w:rFonts w:ascii="Verdana" w:hAnsi="Verdana"/>
                <w:sz w:val="19"/>
                <w:szCs w:val="19"/>
                <w:vertAlign w:val="superscript"/>
              </w:rPr>
              <w:t>,#</w:t>
            </w:r>
          </w:p>
        </w:tc>
        <w:tc>
          <w:tcPr>
            <w:tcW w:w="1482" w:type="dxa"/>
          </w:tcPr>
          <w:p w14:paraId="5F13212A" w14:textId="77777777" w:rsidR="003D2089" w:rsidRPr="00E23B73" w:rsidRDefault="003D2089" w:rsidP="003D2089">
            <w:pPr>
              <w:pStyle w:val="Tabletext"/>
              <w:spacing w:before="0" w:after="0"/>
              <w:jc w:val="center"/>
              <w:rPr>
                <w:rFonts w:ascii="Verdana" w:eastAsia="Times New Roman" w:hAnsi="Verdana"/>
                <w:sz w:val="19"/>
                <w:szCs w:val="19"/>
                <w:lang w:eastAsia="ja-JP"/>
              </w:rPr>
            </w:pPr>
            <w:r w:rsidRPr="00E23B73">
              <w:rPr>
                <w:rFonts w:ascii="Verdana" w:hAnsi="Verdana"/>
                <w:sz w:val="19"/>
                <w:szCs w:val="19"/>
              </w:rPr>
              <w:t>1 (0.1)</w:t>
            </w:r>
          </w:p>
        </w:tc>
        <w:tc>
          <w:tcPr>
            <w:tcW w:w="1519" w:type="dxa"/>
          </w:tcPr>
          <w:p w14:paraId="7BEC2371" w14:textId="77777777" w:rsidR="003D2089" w:rsidRPr="00E23B73" w:rsidRDefault="003D2089" w:rsidP="003D2089">
            <w:pPr>
              <w:pStyle w:val="Tabletext"/>
              <w:spacing w:before="0" w:after="0"/>
              <w:jc w:val="center"/>
              <w:rPr>
                <w:rFonts w:ascii="Verdana" w:eastAsia="Times New Roman" w:hAnsi="Verdana"/>
                <w:sz w:val="19"/>
                <w:szCs w:val="19"/>
                <w:lang w:eastAsia="ja-JP"/>
              </w:rPr>
            </w:pPr>
            <w:r w:rsidRPr="00E23B73">
              <w:rPr>
                <w:rFonts w:ascii="Verdana" w:hAnsi="Verdana"/>
                <w:sz w:val="19"/>
                <w:szCs w:val="19"/>
              </w:rPr>
              <w:t>0</w:t>
            </w:r>
          </w:p>
        </w:tc>
      </w:tr>
      <w:tr w:rsidR="003D2089" w:rsidRPr="00E23B73" w14:paraId="6CC358BF" w14:textId="77777777" w:rsidTr="003D2089">
        <w:tc>
          <w:tcPr>
            <w:tcW w:w="1696" w:type="dxa"/>
          </w:tcPr>
          <w:p w14:paraId="26023989" w14:textId="77777777" w:rsidR="003D2089" w:rsidRPr="00E23B73" w:rsidRDefault="003D2089" w:rsidP="003D2089">
            <w:pPr>
              <w:pStyle w:val="Tabletext"/>
              <w:spacing w:before="0" w:after="0"/>
              <w:jc w:val="left"/>
              <w:rPr>
                <w:rFonts w:ascii="Verdana" w:hAnsi="Verdana"/>
                <w:b/>
                <w:sz w:val="19"/>
                <w:szCs w:val="19"/>
              </w:rPr>
            </w:pPr>
          </w:p>
        </w:tc>
        <w:tc>
          <w:tcPr>
            <w:tcW w:w="6970" w:type="dxa"/>
            <w:gridSpan w:val="3"/>
          </w:tcPr>
          <w:p w14:paraId="3E6611BD" w14:textId="77777777" w:rsidR="003D2089" w:rsidRPr="00E23B73" w:rsidRDefault="003D2089" w:rsidP="003D2089">
            <w:pPr>
              <w:pStyle w:val="Tabletext"/>
              <w:spacing w:before="0" w:after="0"/>
              <w:jc w:val="left"/>
              <w:rPr>
                <w:rFonts w:ascii="Verdana" w:eastAsia="Times New Roman" w:hAnsi="Verdana"/>
                <w:b/>
                <w:sz w:val="19"/>
                <w:szCs w:val="19"/>
                <w:lang w:eastAsia="ja-JP"/>
              </w:rPr>
            </w:pPr>
            <w:r w:rsidRPr="00E23B73">
              <w:rPr>
                <w:rFonts w:ascii="Verdana" w:hAnsi="Verdana"/>
                <w:b/>
                <w:sz w:val="19"/>
                <w:szCs w:val="19"/>
              </w:rPr>
              <w:t>General disorders and administration site conditions</w:t>
            </w:r>
          </w:p>
        </w:tc>
      </w:tr>
      <w:tr w:rsidR="003D2089" w:rsidRPr="00E23B73" w14:paraId="04F6F32F" w14:textId="77777777" w:rsidTr="003D2089">
        <w:tc>
          <w:tcPr>
            <w:tcW w:w="1696" w:type="dxa"/>
          </w:tcPr>
          <w:p w14:paraId="1D309678"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6C092F77"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Fatigue</w:t>
            </w:r>
          </w:p>
        </w:tc>
        <w:tc>
          <w:tcPr>
            <w:tcW w:w="1482" w:type="dxa"/>
          </w:tcPr>
          <w:p w14:paraId="376ED913"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563 (32.4)</w:t>
            </w:r>
          </w:p>
        </w:tc>
        <w:tc>
          <w:tcPr>
            <w:tcW w:w="1519" w:type="dxa"/>
          </w:tcPr>
          <w:p w14:paraId="328A76A9"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51 (2.9)</w:t>
            </w:r>
          </w:p>
        </w:tc>
      </w:tr>
      <w:tr w:rsidR="003D2089" w:rsidRPr="00E23B73" w14:paraId="78DF8695" w14:textId="77777777" w:rsidTr="003D2089">
        <w:tc>
          <w:tcPr>
            <w:tcW w:w="1696" w:type="dxa"/>
          </w:tcPr>
          <w:p w14:paraId="10DC17FC"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6690E414" w14:textId="77777777" w:rsidR="003D2089" w:rsidRPr="00E23B73" w:rsidRDefault="003D2089" w:rsidP="003D2089">
            <w:pPr>
              <w:pStyle w:val="Tabletext"/>
              <w:spacing w:before="0" w:after="0"/>
              <w:jc w:val="left"/>
              <w:rPr>
                <w:rFonts w:ascii="Verdana" w:hAnsi="Verdana"/>
                <w:sz w:val="19"/>
                <w:szCs w:val="19"/>
              </w:rPr>
            </w:pPr>
            <w:proofErr w:type="spellStart"/>
            <w:r w:rsidRPr="00E23B73">
              <w:rPr>
                <w:rFonts w:ascii="Verdana" w:hAnsi="Verdana"/>
                <w:sz w:val="19"/>
                <w:szCs w:val="19"/>
              </w:rPr>
              <w:t>Pyrexia</w:t>
            </w:r>
            <w:r w:rsidRPr="00E23B73">
              <w:rPr>
                <w:rFonts w:ascii="Verdana" w:hAnsi="Verdana"/>
                <w:sz w:val="19"/>
                <w:szCs w:val="19"/>
                <w:vertAlign w:val="superscript"/>
              </w:rPr>
              <w:t>b</w:t>
            </w:r>
            <w:proofErr w:type="spellEnd"/>
          </w:p>
        </w:tc>
        <w:tc>
          <w:tcPr>
            <w:tcW w:w="1482" w:type="dxa"/>
          </w:tcPr>
          <w:p w14:paraId="5F8AC2AF"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237 (13.6)</w:t>
            </w:r>
          </w:p>
        </w:tc>
        <w:tc>
          <w:tcPr>
            <w:tcW w:w="1519" w:type="dxa"/>
          </w:tcPr>
          <w:p w14:paraId="695B913B" w14:textId="77777777" w:rsidR="003D2089" w:rsidRPr="00E23B73" w:rsidRDefault="003D2089" w:rsidP="003D2089">
            <w:pPr>
              <w:pStyle w:val="Tabletext"/>
              <w:spacing w:before="0" w:after="0"/>
              <w:jc w:val="center"/>
              <w:rPr>
                <w:rFonts w:ascii="Verdana" w:eastAsia="Times New Roman" w:hAnsi="Verdana"/>
                <w:sz w:val="19"/>
                <w:szCs w:val="19"/>
                <w:lang w:eastAsia="ja-JP"/>
              </w:rPr>
            </w:pPr>
            <w:r w:rsidRPr="00E23B73">
              <w:rPr>
                <w:rFonts w:ascii="Verdana" w:hAnsi="Verdana"/>
                <w:sz w:val="19"/>
                <w:szCs w:val="19"/>
              </w:rPr>
              <w:t>5 (0.3)</w:t>
            </w:r>
          </w:p>
        </w:tc>
      </w:tr>
      <w:tr w:rsidR="003D2089" w:rsidRPr="00E23B73" w14:paraId="4DDE3F79" w14:textId="77777777" w:rsidTr="003D2089">
        <w:tc>
          <w:tcPr>
            <w:tcW w:w="1696" w:type="dxa"/>
          </w:tcPr>
          <w:p w14:paraId="323AEF86"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1A03C904"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Oedema peripheral</w:t>
            </w:r>
          </w:p>
        </w:tc>
        <w:tc>
          <w:tcPr>
            <w:tcW w:w="1482" w:type="dxa"/>
          </w:tcPr>
          <w:p w14:paraId="1E43500F"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206 (11.9)</w:t>
            </w:r>
          </w:p>
        </w:tc>
        <w:tc>
          <w:tcPr>
            <w:tcW w:w="1519" w:type="dxa"/>
          </w:tcPr>
          <w:p w14:paraId="17630C5E"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8 (0.5)</w:t>
            </w:r>
          </w:p>
        </w:tc>
      </w:tr>
      <w:tr w:rsidR="003D2089" w:rsidRPr="00E23B73" w14:paraId="5C3674DA" w14:textId="77777777" w:rsidTr="003D2089">
        <w:tc>
          <w:tcPr>
            <w:tcW w:w="1696" w:type="dxa"/>
          </w:tcPr>
          <w:p w14:paraId="6235F02D"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Common</w:t>
            </w:r>
          </w:p>
        </w:tc>
        <w:tc>
          <w:tcPr>
            <w:tcW w:w="3969" w:type="dxa"/>
          </w:tcPr>
          <w:p w14:paraId="4A4BEBC7" w14:textId="77777777" w:rsidR="003D2089" w:rsidRPr="00E23B73" w:rsidRDefault="003D2089" w:rsidP="003D2089">
            <w:pPr>
              <w:pStyle w:val="Tabletext"/>
              <w:spacing w:before="0" w:after="0"/>
              <w:jc w:val="left"/>
              <w:rPr>
                <w:rFonts w:ascii="Verdana" w:hAnsi="Verdana"/>
                <w:sz w:val="19"/>
                <w:szCs w:val="19"/>
                <w:highlight w:val="yellow"/>
              </w:rPr>
            </w:pPr>
            <w:proofErr w:type="spellStart"/>
            <w:r w:rsidRPr="00E23B73">
              <w:rPr>
                <w:rFonts w:ascii="Verdana" w:hAnsi="Verdana"/>
                <w:sz w:val="19"/>
                <w:szCs w:val="19"/>
              </w:rPr>
              <w:t>Chills</w:t>
            </w:r>
            <w:r w:rsidRPr="00E23B73">
              <w:rPr>
                <w:rFonts w:ascii="Verdana" w:hAnsi="Verdana"/>
                <w:sz w:val="19"/>
                <w:szCs w:val="19"/>
                <w:vertAlign w:val="superscript"/>
              </w:rPr>
              <w:t>#,b</w:t>
            </w:r>
            <w:proofErr w:type="spellEnd"/>
          </w:p>
        </w:tc>
        <w:tc>
          <w:tcPr>
            <w:tcW w:w="1482" w:type="dxa"/>
          </w:tcPr>
          <w:p w14:paraId="5DA10DAE"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169 (9.7)</w:t>
            </w:r>
          </w:p>
        </w:tc>
        <w:tc>
          <w:tcPr>
            <w:tcW w:w="1519" w:type="dxa"/>
          </w:tcPr>
          <w:p w14:paraId="0696A4A1"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1 (0.1)</w:t>
            </w:r>
          </w:p>
        </w:tc>
      </w:tr>
      <w:tr w:rsidR="003D2089" w:rsidRPr="00E23B73" w14:paraId="20511E4D" w14:textId="77777777" w:rsidTr="003D2089">
        <w:tc>
          <w:tcPr>
            <w:tcW w:w="1696" w:type="dxa"/>
          </w:tcPr>
          <w:p w14:paraId="302DAA29" w14:textId="77777777" w:rsidR="003D2089" w:rsidRPr="00E23B73" w:rsidRDefault="003D2089" w:rsidP="003D2089">
            <w:pPr>
              <w:pStyle w:val="Tabletext"/>
              <w:spacing w:before="0" w:after="0"/>
              <w:jc w:val="left"/>
              <w:rPr>
                <w:rFonts w:ascii="Verdana" w:hAnsi="Verdana"/>
                <w:b/>
                <w:sz w:val="19"/>
                <w:szCs w:val="19"/>
              </w:rPr>
            </w:pPr>
          </w:p>
        </w:tc>
        <w:tc>
          <w:tcPr>
            <w:tcW w:w="6970" w:type="dxa"/>
            <w:gridSpan w:val="3"/>
          </w:tcPr>
          <w:p w14:paraId="62E5AE00" w14:textId="77777777" w:rsidR="003D2089" w:rsidRPr="00E23B73" w:rsidRDefault="003D2089" w:rsidP="003D2089">
            <w:pPr>
              <w:pStyle w:val="Tabletext"/>
              <w:spacing w:before="0" w:after="0"/>
              <w:jc w:val="left"/>
              <w:rPr>
                <w:rStyle w:val="CommentReference"/>
                <w:rFonts w:ascii="Verdana" w:hAnsi="Verdana"/>
                <w:sz w:val="19"/>
                <w:szCs w:val="19"/>
              </w:rPr>
            </w:pPr>
            <w:r w:rsidRPr="00E23B73">
              <w:rPr>
                <w:rFonts w:ascii="Verdana" w:hAnsi="Verdana"/>
                <w:b/>
                <w:sz w:val="19"/>
                <w:szCs w:val="19"/>
              </w:rPr>
              <w:t>Hepatobiliary disorders</w:t>
            </w:r>
          </w:p>
        </w:tc>
      </w:tr>
      <w:tr w:rsidR="003D2089" w:rsidRPr="00E23B73" w14:paraId="4043F3FE" w14:textId="77777777" w:rsidTr="003D2089">
        <w:tc>
          <w:tcPr>
            <w:tcW w:w="1696" w:type="dxa"/>
          </w:tcPr>
          <w:p w14:paraId="630443D1"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35AA8C95"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Autoimmune hepatitis*</w:t>
            </w:r>
          </w:p>
        </w:tc>
        <w:tc>
          <w:tcPr>
            <w:tcW w:w="1482" w:type="dxa"/>
          </w:tcPr>
          <w:p w14:paraId="6ADFF9EE"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5 (0.3)</w:t>
            </w:r>
          </w:p>
        </w:tc>
        <w:tc>
          <w:tcPr>
            <w:tcW w:w="1519" w:type="dxa"/>
          </w:tcPr>
          <w:p w14:paraId="2D841C71"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4 (0.2)</w:t>
            </w:r>
          </w:p>
        </w:tc>
      </w:tr>
      <w:tr w:rsidR="003D2089" w:rsidRPr="00E23B73" w14:paraId="3649F935" w14:textId="77777777" w:rsidTr="003D2089">
        <w:tc>
          <w:tcPr>
            <w:tcW w:w="1696" w:type="dxa"/>
          </w:tcPr>
          <w:p w14:paraId="09F4220E"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75CB3133"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Acute hepatic failure*</w:t>
            </w:r>
            <w:r w:rsidRPr="00E23B73">
              <w:rPr>
                <w:rFonts w:ascii="Verdana" w:hAnsi="Verdana"/>
                <w:sz w:val="19"/>
                <w:szCs w:val="19"/>
                <w:vertAlign w:val="superscript"/>
              </w:rPr>
              <w:t>,#</w:t>
            </w:r>
          </w:p>
        </w:tc>
        <w:tc>
          <w:tcPr>
            <w:tcW w:w="1482" w:type="dxa"/>
          </w:tcPr>
          <w:p w14:paraId="0F2B61A0"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 (0.1)</w:t>
            </w:r>
          </w:p>
        </w:tc>
        <w:tc>
          <w:tcPr>
            <w:tcW w:w="1519" w:type="dxa"/>
          </w:tcPr>
          <w:p w14:paraId="0E4CE06A"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1 (0.1)</w:t>
            </w:r>
          </w:p>
        </w:tc>
      </w:tr>
      <w:tr w:rsidR="003D2089" w:rsidRPr="00E23B73" w14:paraId="46EEFC47" w14:textId="77777777" w:rsidTr="003D2089">
        <w:tc>
          <w:tcPr>
            <w:tcW w:w="1696" w:type="dxa"/>
          </w:tcPr>
          <w:p w14:paraId="4EEA30A8"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09598509"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Hepatic failure*</w:t>
            </w:r>
            <w:r w:rsidRPr="00E23B73">
              <w:rPr>
                <w:rFonts w:ascii="Verdana" w:hAnsi="Verdana"/>
                <w:sz w:val="19"/>
                <w:szCs w:val="19"/>
                <w:vertAlign w:val="superscript"/>
              </w:rPr>
              <w:t>,#</w:t>
            </w:r>
          </w:p>
        </w:tc>
        <w:tc>
          <w:tcPr>
            <w:tcW w:w="1482" w:type="dxa"/>
          </w:tcPr>
          <w:p w14:paraId="4A51623E"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 (0.1)</w:t>
            </w:r>
          </w:p>
        </w:tc>
        <w:tc>
          <w:tcPr>
            <w:tcW w:w="1519" w:type="dxa"/>
          </w:tcPr>
          <w:p w14:paraId="2F32B24D"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1 (0.1)</w:t>
            </w:r>
          </w:p>
        </w:tc>
      </w:tr>
      <w:tr w:rsidR="003D2089" w:rsidRPr="00E23B73" w14:paraId="1CB75676" w14:textId="77777777" w:rsidTr="003D2089">
        <w:tc>
          <w:tcPr>
            <w:tcW w:w="1696" w:type="dxa"/>
          </w:tcPr>
          <w:p w14:paraId="5951147F"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168C2AC6"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Hepatitis*</w:t>
            </w:r>
            <w:r w:rsidRPr="00E23B73">
              <w:rPr>
                <w:rFonts w:ascii="Verdana" w:hAnsi="Verdana"/>
                <w:sz w:val="19"/>
                <w:szCs w:val="19"/>
                <w:vertAlign w:val="superscript"/>
              </w:rPr>
              <w:t>,#</w:t>
            </w:r>
          </w:p>
        </w:tc>
        <w:tc>
          <w:tcPr>
            <w:tcW w:w="1482" w:type="dxa"/>
          </w:tcPr>
          <w:p w14:paraId="1A51B138"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 (0.1)</w:t>
            </w:r>
          </w:p>
        </w:tc>
        <w:tc>
          <w:tcPr>
            <w:tcW w:w="1519" w:type="dxa"/>
          </w:tcPr>
          <w:p w14:paraId="4B08692A"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1 (0.1</w:t>
            </w:r>
            <w:r w:rsidRPr="00E23B73">
              <w:rPr>
                <w:rStyle w:val="CommentReference"/>
                <w:rFonts w:ascii="Verdana" w:hAnsi="Verdana"/>
                <w:sz w:val="19"/>
                <w:szCs w:val="19"/>
              </w:rPr>
              <w:t>)</w:t>
            </w:r>
          </w:p>
        </w:tc>
      </w:tr>
      <w:tr w:rsidR="003D2089" w:rsidRPr="00E23B73" w14:paraId="766FE78B" w14:textId="77777777" w:rsidTr="003D2089">
        <w:tc>
          <w:tcPr>
            <w:tcW w:w="1696" w:type="dxa"/>
          </w:tcPr>
          <w:p w14:paraId="407CBD6A" w14:textId="77777777" w:rsidR="003D2089" w:rsidRPr="00E23B73" w:rsidRDefault="003D2089" w:rsidP="003D2089">
            <w:pPr>
              <w:pStyle w:val="Tabletext"/>
              <w:spacing w:before="0" w:after="0"/>
              <w:jc w:val="left"/>
              <w:rPr>
                <w:rFonts w:ascii="Verdana" w:hAnsi="Verdana"/>
                <w:b/>
                <w:sz w:val="19"/>
                <w:szCs w:val="19"/>
              </w:rPr>
            </w:pPr>
          </w:p>
        </w:tc>
        <w:tc>
          <w:tcPr>
            <w:tcW w:w="6970" w:type="dxa"/>
            <w:gridSpan w:val="3"/>
          </w:tcPr>
          <w:p w14:paraId="0C7B6F77" w14:textId="77777777" w:rsidR="003D2089" w:rsidRPr="00E23B73" w:rsidRDefault="003D2089" w:rsidP="003D2089">
            <w:pPr>
              <w:pStyle w:val="Tabletext"/>
              <w:spacing w:before="0" w:after="0"/>
              <w:jc w:val="left"/>
              <w:rPr>
                <w:rStyle w:val="CommentReference"/>
                <w:rFonts w:ascii="Verdana" w:hAnsi="Verdana"/>
                <w:b/>
                <w:sz w:val="19"/>
                <w:szCs w:val="19"/>
              </w:rPr>
            </w:pPr>
            <w:r w:rsidRPr="00E23B73">
              <w:rPr>
                <w:rFonts w:ascii="Verdana" w:hAnsi="Verdana"/>
                <w:b/>
                <w:sz w:val="19"/>
                <w:szCs w:val="19"/>
              </w:rPr>
              <w:t>Immune system disorders</w:t>
            </w:r>
          </w:p>
        </w:tc>
      </w:tr>
      <w:tr w:rsidR="003D2089" w:rsidRPr="00E23B73" w14:paraId="216C5288" w14:textId="77777777" w:rsidTr="003D2089">
        <w:tc>
          <w:tcPr>
            <w:tcW w:w="1696" w:type="dxa"/>
          </w:tcPr>
          <w:p w14:paraId="3E12ABFE"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6D5D09B6"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 xml:space="preserve">Drug </w:t>
            </w:r>
            <w:proofErr w:type="spellStart"/>
            <w:r w:rsidRPr="00E23B73">
              <w:rPr>
                <w:rFonts w:ascii="Verdana" w:hAnsi="Verdana"/>
                <w:sz w:val="19"/>
                <w:szCs w:val="19"/>
              </w:rPr>
              <w:t>hypersensitivity</w:t>
            </w:r>
            <w:r w:rsidRPr="00E23B73">
              <w:rPr>
                <w:rFonts w:ascii="Verdana" w:hAnsi="Verdana"/>
                <w:sz w:val="19"/>
                <w:szCs w:val="19"/>
                <w:vertAlign w:val="superscript"/>
              </w:rPr>
              <w:t>#,b</w:t>
            </w:r>
            <w:proofErr w:type="spellEnd"/>
          </w:p>
        </w:tc>
        <w:tc>
          <w:tcPr>
            <w:tcW w:w="1482" w:type="dxa"/>
          </w:tcPr>
          <w:p w14:paraId="254A6E2D"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8 (0.5)</w:t>
            </w:r>
          </w:p>
        </w:tc>
        <w:tc>
          <w:tcPr>
            <w:tcW w:w="1519" w:type="dxa"/>
          </w:tcPr>
          <w:p w14:paraId="33716CEB"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1C63A65B" w14:textId="77777777" w:rsidTr="003D2089">
        <w:tc>
          <w:tcPr>
            <w:tcW w:w="1696" w:type="dxa"/>
          </w:tcPr>
          <w:p w14:paraId="53A6F91B"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47AF6882" w14:textId="77777777" w:rsidR="003D2089" w:rsidRPr="00E23B73" w:rsidRDefault="003D2089" w:rsidP="003D2089">
            <w:pPr>
              <w:pStyle w:val="Tabletext"/>
              <w:spacing w:before="0" w:after="0"/>
              <w:jc w:val="left"/>
              <w:rPr>
                <w:rFonts w:ascii="Verdana" w:hAnsi="Verdana"/>
                <w:sz w:val="19"/>
                <w:szCs w:val="19"/>
              </w:rPr>
            </w:pPr>
            <w:proofErr w:type="spellStart"/>
            <w:r w:rsidRPr="00E23B73">
              <w:rPr>
                <w:rFonts w:ascii="Verdana" w:hAnsi="Verdana"/>
                <w:sz w:val="19"/>
                <w:szCs w:val="19"/>
              </w:rPr>
              <w:t>Hypersensitivity</w:t>
            </w:r>
            <w:r w:rsidRPr="00E23B73">
              <w:rPr>
                <w:rFonts w:ascii="Verdana" w:hAnsi="Verdana"/>
                <w:sz w:val="19"/>
                <w:szCs w:val="19"/>
                <w:vertAlign w:val="superscript"/>
              </w:rPr>
              <w:t>#,b</w:t>
            </w:r>
            <w:proofErr w:type="spellEnd"/>
          </w:p>
        </w:tc>
        <w:tc>
          <w:tcPr>
            <w:tcW w:w="1482" w:type="dxa"/>
          </w:tcPr>
          <w:p w14:paraId="2F492C0D"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6 (0.3)</w:t>
            </w:r>
          </w:p>
        </w:tc>
        <w:tc>
          <w:tcPr>
            <w:tcW w:w="1519" w:type="dxa"/>
          </w:tcPr>
          <w:p w14:paraId="252BCCFC"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30A6E77F" w14:textId="77777777" w:rsidTr="003D2089">
        <w:tc>
          <w:tcPr>
            <w:tcW w:w="1696" w:type="dxa"/>
          </w:tcPr>
          <w:p w14:paraId="35F1BD7D"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15FF2261"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 xml:space="preserve">Anaphylactic </w:t>
            </w:r>
            <w:proofErr w:type="spellStart"/>
            <w:r w:rsidRPr="00E23B73">
              <w:rPr>
                <w:rFonts w:ascii="Verdana" w:hAnsi="Verdana"/>
                <w:sz w:val="19"/>
                <w:szCs w:val="19"/>
              </w:rPr>
              <w:t>reaction</w:t>
            </w:r>
            <w:r w:rsidRPr="00E23B73">
              <w:rPr>
                <w:rFonts w:ascii="Verdana" w:hAnsi="Verdana"/>
                <w:sz w:val="19"/>
                <w:szCs w:val="19"/>
                <w:vertAlign w:val="superscript"/>
              </w:rPr>
              <w:t>b</w:t>
            </w:r>
            <w:proofErr w:type="spellEnd"/>
          </w:p>
        </w:tc>
        <w:tc>
          <w:tcPr>
            <w:tcW w:w="1482" w:type="dxa"/>
          </w:tcPr>
          <w:p w14:paraId="77D69F07"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2 (0.1)</w:t>
            </w:r>
          </w:p>
        </w:tc>
        <w:tc>
          <w:tcPr>
            <w:tcW w:w="1519" w:type="dxa"/>
          </w:tcPr>
          <w:p w14:paraId="7F9FCDCB"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2 (0.1)</w:t>
            </w:r>
          </w:p>
        </w:tc>
      </w:tr>
      <w:tr w:rsidR="003D2089" w:rsidRPr="00E23B73" w14:paraId="6C62F807" w14:textId="77777777" w:rsidTr="003D2089">
        <w:tc>
          <w:tcPr>
            <w:tcW w:w="1696" w:type="dxa"/>
          </w:tcPr>
          <w:p w14:paraId="0E0BCBA1"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758FA6D1"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 xml:space="preserve">Type I </w:t>
            </w:r>
            <w:proofErr w:type="spellStart"/>
            <w:r w:rsidRPr="00E23B73">
              <w:rPr>
                <w:rFonts w:ascii="Verdana" w:hAnsi="Verdana"/>
                <w:sz w:val="19"/>
                <w:szCs w:val="19"/>
              </w:rPr>
              <w:t>hypersensitivity</w:t>
            </w:r>
            <w:r w:rsidRPr="00E23B73">
              <w:rPr>
                <w:rFonts w:ascii="Verdana" w:hAnsi="Verdana"/>
                <w:sz w:val="19"/>
                <w:szCs w:val="19"/>
                <w:vertAlign w:val="superscript"/>
              </w:rPr>
              <w:t>#,b</w:t>
            </w:r>
            <w:proofErr w:type="spellEnd"/>
          </w:p>
        </w:tc>
        <w:tc>
          <w:tcPr>
            <w:tcW w:w="1482" w:type="dxa"/>
          </w:tcPr>
          <w:p w14:paraId="22FF9D22"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 (0.1)</w:t>
            </w:r>
          </w:p>
        </w:tc>
        <w:tc>
          <w:tcPr>
            <w:tcW w:w="1519" w:type="dxa"/>
          </w:tcPr>
          <w:p w14:paraId="433BE8E9"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0</w:t>
            </w:r>
          </w:p>
        </w:tc>
      </w:tr>
      <w:tr w:rsidR="003D2089" w:rsidRPr="00E23B73" w14:paraId="6BB2B289" w14:textId="77777777" w:rsidTr="003D2089">
        <w:tc>
          <w:tcPr>
            <w:tcW w:w="1696" w:type="dxa"/>
          </w:tcPr>
          <w:p w14:paraId="2BD20607" w14:textId="77777777" w:rsidR="003D2089" w:rsidRPr="00E23B73" w:rsidRDefault="003D2089" w:rsidP="003D2089">
            <w:pPr>
              <w:pStyle w:val="Tabletext"/>
              <w:spacing w:before="0" w:after="0"/>
              <w:jc w:val="left"/>
              <w:rPr>
                <w:rFonts w:ascii="Verdana" w:hAnsi="Verdana"/>
                <w:b/>
                <w:sz w:val="19"/>
                <w:szCs w:val="19"/>
              </w:rPr>
            </w:pPr>
          </w:p>
        </w:tc>
        <w:tc>
          <w:tcPr>
            <w:tcW w:w="6970" w:type="dxa"/>
            <w:gridSpan w:val="3"/>
          </w:tcPr>
          <w:p w14:paraId="333DFA28" w14:textId="77777777" w:rsidR="003D2089" w:rsidRPr="00E23B73" w:rsidRDefault="003D2089" w:rsidP="003D2089">
            <w:pPr>
              <w:pStyle w:val="Tabletext"/>
              <w:spacing w:before="0" w:after="0"/>
              <w:jc w:val="left"/>
              <w:rPr>
                <w:rStyle w:val="CommentReference"/>
                <w:rFonts w:ascii="Verdana" w:hAnsi="Verdana"/>
                <w:b/>
                <w:sz w:val="19"/>
                <w:szCs w:val="19"/>
              </w:rPr>
            </w:pPr>
            <w:r w:rsidRPr="00E23B73">
              <w:rPr>
                <w:rFonts w:ascii="Verdana" w:hAnsi="Verdana"/>
                <w:b/>
                <w:sz w:val="19"/>
                <w:szCs w:val="19"/>
              </w:rPr>
              <w:t>Injury, Poisoning and Procedural Complications</w:t>
            </w:r>
          </w:p>
        </w:tc>
      </w:tr>
      <w:tr w:rsidR="003D2089" w:rsidRPr="00E23B73" w14:paraId="094A3FF6" w14:textId="77777777" w:rsidTr="003D2089">
        <w:tc>
          <w:tcPr>
            <w:tcW w:w="1696" w:type="dxa"/>
          </w:tcPr>
          <w:p w14:paraId="41782216"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38C08A9F"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 xml:space="preserve">Infusion related </w:t>
            </w:r>
            <w:proofErr w:type="spellStart"/>
            <w:r w:rsidRPr="00E23B73">
              <w:rPr>
                <w:rFonts w:ascii="Verdana" w:hAnsi="Verdana"/>
                <w:sz w:val="19"/>
                <w:szCs w:val="19"/>
              </w:rPr>
              <w:t>reaction</w:t>
            </w:r>
            <w:r w:rsidRPr="00E23B73">
              <w:rPr>
                <w:rFonts w:ascii="Verdana" w:hAnsi="Verdana"/>
                <w:sz w:val="19"/>
                <w:szCs w:val="19"/>
                <w:vertAlign w:val="superscript"/>
              </w:rPr>
              <w:t>b</w:t>
            </w:r>
            <w:proofErr w:type="spellEnd"/>
          </w:p>
        </w:tc>
        <w:tc>
          <w:tcPr>
            <w:tcW w:w="1482" w:type="dxa"/>
          </w:tcPr>
          <w:p w14:paraId="4D92CD6D"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297 (17.1)</w:t>
            </w:r>
          </w:p>
        </w:tc>
        <w:tc>
          <w:tcPr>
            <w:tcW w:w="1519" w:type="dxa"/>
          </w:tcPr>
          <w:p w14:paraId="13DFBC5F"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10 (0.6)</w:t>
            </w:r>
          </w:p>
        </w:tc>
      </w:tr>
      <w:tr w:rsidR="003D2089" w:rsidRPr="00E23B73" w14:paraId="7FD1AA49" w14:textId="77777777" w:rsidTr="003D2089">
        <w:tc>
          <w:tcPr>
            <w:tcW w:w="1696" w:type="dxa"/>
          </w:tcPr>
          <w:p w14:paraId="008483BB" w14:textId="77777777" w:rsidR="003D2089" w:rsidRPr="00E23B73" w:rsidRDefault="003D2089" w:rsidP="003D2089">
            <w:pPr>
              <w:pStyle w:val="Tabletext"/>
              <w:spacing w:before="0" w:after="0"/>
              <w:jc w:val="left"/>
              <w:rPr>
                <w:rFonts w:ascii="Verdana" w:hAnsi="Verdana"/>
                <w:b/>
                <w:sz w:val="19"/>
                <w:szCs w:val="19"/>
              </w:rPr>
            </w:pPr>
          </w:p>
        </w:tc>
        <w:tc>
          <w:tcPr>
            <w:tcW w:w="6970" w:type="dxa"/>
            <w:gridSpan w:val="3"/>
          </w:tcPr>
          <w:p w14:paraId="76BE5BB8" w14:textId="77777777" w:rsidR="003D2089" w:rsidRPr="00E23B73" w:rsidRDefault="003D2089" w:rsidP="003D2089">
            <w:pPr>
              <w:pStyle w:val="Tabletext"/>
              <w:spacing w:before="0" w:after="0"/>
              <w:jc w:val="left"/>
              <w:rPr>
                <w:rStyle w:val="CommentReference"/>
                <w:rFonts w:ascii="Verdana" w:hAnsi="Verdana"/>
                <w:b/>
                <w:sz w:val="19"/>
                <w:szCs w:val="19"/>
              </w:rPr>
            </w:pPr>
            <w:r w:rsidRPr="00E23B73">
              <w:rPr>
                <w:rFonts w:ascii="Verdana" w:hAnsi="Verdana"/>
                <w:b/>
                <w:sz w:val="19"/>
                <w:szCs w:val="19"/>
              </w:rPr>
              <w:t>Investigations</w:t>
            </w:r>
          </w:p>
        </w:tc>
      </w:tr>
      <w:tr w:rsidR="003D2089" w:rsidRPr="00E23B73" w14:paraId="783D0008" w14:textId="77777777" w:rsidTr="003D2089">
        <w:tc>
          <w:tcPr>
            <w:tcW w:w="1696" w:type="dxa"/>
          </w:tcPr>
          <w:p w14:paraId="297EB56C"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7D02B04B"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Weight decreased</w:t>
            </w:r>
          </w:p>
        </w:tc>
        <w:tc>
          <w:tcPr>
            <w:tcW w:w="1482" w:type="dxa"/>
          </w:tcPr>
          <w:p w14:paraId="6B32390F"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288 (16.6)</w:t>
            </w:r>
          </w:p>
        </w:tc>
        <w:tc>
          <w:tcPr>
            <w:tcW w:w="1519" w:type="dxa"/>
          </w:tcPr>
          <w:p w14:paraId="00C3F28F"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12 (0.7)</w:t>
            </w:r>
          </w:p>
        </w:tc>
      </w:tr>
      <w:tr w:rsidR="003D2089" w:rsidRPr="00E23B73" w14:paraId="728FDA2D" w14:textId="77777777" w:rsidTr="003D2089">
        <w:tc>
          <w:tcPr>
            <w:tcW w:w="1696" w:type="dxa"/>
          </w:tcPr>
          <w:p w14:paraId="573739ED"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7CB62A9C"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Aspartate aminotransferase (AST) increased*</w:t>
            </w:r>
            <w:r w:rsidRPr="00E23B73">
              <w:rPr>
                <w:rFonts w:ascii="Verdana" w:hAnsi="Verdana"/>
                <w:sz w:val="19"/>
                <w:szCs w:val="19"/>
                <w:vertAlign w:val="superscript"/>
              </w:rPr>
              <w:t>,#</w:t>
            </w:r>
          </w:p>
        </w:tc>
        <w:tc>
          <w:tcPr>
            <w:tcW w:w="1482" w:type="dxa"/>
          </w:tcPr>
          <w:p w14:paraId="738DA9FD"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10 (0.6)</w:t>
            </w:r>
          </w:p>
        </w:tc>
        <w:tc>
          <w:tcPr>
            <w:tcW w:w="1519" w:type="dxa"/>
          </w:tcPr>
          <w:p w14:paraId="1CBF50EA"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3 (0.2)</w:t>
            </w:r>
          </w:p>
        </w:tc>
      </w:tr>
      <w:tr w:rsidR="003D2089" w:rsidRPr="00E23B73" w14:paraId="79CB3918" w14:textId="77777777" w:rsidTr="003D2089">
        <w:tc>
          <w:tcPr>
            <w:tcW w:w="1696" w:type="dxa"/>
          </w:tcPr>
          <w:p w14:paraId="13B1E0E5"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2A0D5E13"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Alanine aminotransferase (ALT) increased*</w:t>
            </w:r>
            <w:r w:rsidRPr="00E23B73">
              <w:rPr>
                <w:rFonts w:ascii="Verdana" w:hAnsi="Verdana"/>
                <w:sz w:val="19"/>
                <w:szCs w:val="19"/>
                <w:vertAlign w:val="superscript"/>
              </w:rPr>
              <w:t>,#</w:t>
            </w:r>
          </w:p>
        </w:tc>
        <w:tc>
          <w:tcPr>
            <w:tcW w:w="1482" w:type="dxa"/>
          </w:tcPr>
          <w:p w14:paraId="5DDED12C"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9 (0.5)</w:t>
            </w:r>
          </w:p>
        </w:tc>
        <w:tc>
          <w:tcPr>
            <w:tcW w:w="1519" w:type="dxa"/>
          </w:tcPr>
          <w:p w14:paraId="480B6FC2"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4 (0.2)</w:t>
            </w:r>
          </w:p>
        </w:tc>
      </w:tr>
      <w:tr w:rsidR="003D2089" w:rsidRPr="00E23B73" w14:paraId="0537ADF7" w14:textId="77777777" w:rsidTr="003D2089">
        <w:tc>
          <w:tcPr>
            <w:tcW w:w="1696" w:type="dxa"/>
          </w:tcPr>
          <w:p w14:paraId="045A42D6" w14:textId="77777777" w:rsidR="003D2089" w:rsidRPr="00E23B73" w:rsidRDefault="003D2089" w:rsidP="003D2089">
            <w:pPr>
              <w:pStyle w:val="Tabletext"/>
              <w:spacing w:before="0" w:after="0"/>
              <w:jc w:val="left"/>
              <w:rPr>
                <w:rFonts w:ascii="Verdana" w:hAnsi="Verdana"/>
                <w:color w:val="000000" w:themeColor="text1"/>
                <w:sz w:val="19"/>
                <w:szCs w:val="19"/>
                <w:lang w:val="en-US"/>
              </w:rPr>
            </w:pPr>
            <w:r w:rsidRPr="00E23B73">
              <w:rPr>
                <w:rFonts w:ascii="Verdana" w:hAnsi="Verdana"/>
                <w:sz w:val="19"/>
                <w:szCs w:val="19"/>
              </w:rPr>
              <w:t>Uncommon</w:t>
            </w:r>
          </w:p>
        </w:tc>
        <w:tc>
          <w:tcPr>
            <w:tcW w:w="3969" w:type="dxa"/>
          </w:tcPr>
          <w:p w14:paraId="15C2BBA0"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color w:val="000000" w:themeColor="text1"/>
                <w:sz w:val="19"/>
                <w:szCs w:val="19"/>
                <w:lang w:val="en-US"/>
              </w:rPr>
              <w:t>Blood creatine phosphokinase increased*</w:t>
            </w:r>
          </w:p>
        </w:tc>
        <w:tc>
          <w:tcPr>
            <w:tcW w:w="1482" w:type="dxa"/>
          </w:tcPr>
          <w:p w14:paraId="6AA49F39"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5 (0.3)</w:t>
            </w:r>
          </w:p>
        </w:tc>
        <w:tc>
          <w:tcPr>
            <w:tcW w:w="1519" w:type="dxa"/>
          </w:tcPr>
          <w:p w14:paraId="487D2D17"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3 (0.2)</w:t>
            </w:r>
          </w:p>
        </w:tc>
      </w:tr>
      <w:tr w:rsidR="003D2089" w:rsidRPr="00E23B73" w14:paraId="1FE93059" w14:textId="77777777" w:rsidTr="003D2089">
        <w:tc>
          <w:tcPr>
            <w:tcW w:w="1696" w:type="dxa"/>
          </w:tcPr>
          <w:p w14:paraId="441991B4"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23F79057"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Transaminases increased*</w:t>
            </w:r>
          </w:p>
        </w:tc>
        <w:tc>
          <w:tcPr>
            <w:tcW w:w="1482" w:type="dxa"/>
          </w:tcPr>
          <w:p w14:paraId="6B692D4C"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2 (0.1)</w:t>
            </w:r>
          </w:p>
        </w:tc>
        <w:tc>
          <w:tcPr>
            <w:tcW w:w="1519" w:type="dxa"/>
          </w:tcPr>
          <w:p w14:paraId="3CFBB8B1"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2 (0.1)</w:t>
            </w:r>
          </w:p>
        </w:tc>
      </w:tr>
      <w:tr w:rsidR="003D2089" w:rsidRPr="00E23B73" w14:paraId="4842DF37" w14:textId="77777777" w:rsidTr="003D2089">
        <w:tc>
          <w:tcPr>
            <w:tcW w:w="1696" w:type="dxa"/>
          </w:tcPr>
          <w:p w14:paraId="4FF09C33" w14:textId="77777777" w:rsidR="003D2089" w:rsidRPr="00E23B73" w:rsidRDefault="003D2089" w:rsidP="003D2089">
            <w:pPr>
              <w:pStyle w:val="Tabletext"/>
              <w:spacing w:before="0" w:after="0"/>
              <w:jc w:val="left"/>
              <w:rPr>
                <w:rFonts w:ascii="Verdana" w:hAnsi="Verdana"/>
                <w:b/>
                <w:sz w:val="19"/>
                <w:szCs w:val="19"/>
              </w:rPr>
            </w:pPr>
          </w:p>
        </w:tc>
        <w:tc>
          <w:tcPr>
            <w:tcW w:w="6970" w:type="dxa"/>
            <w:gridSpan w:val="3"/>
          </w:tcPr>
          <w:p w14:paraId="5CA53082" w14:textId="77777777" w:rsidR="003D2089" w:rsidRPr="00E23B73" w:rsidRDefault="003D2089" w:rsidP="003D2089">
            <w:pPr>
              <w:pStyle w:val="Tabletext"/>
              <w:spacing w:before="0" w:after="0"/>
              <w:jc w:val="left"/>
              <w:rPr>
                <w:rStyle w:val="CommentReference"/>
                <w:rFonts w:ascii="Verdana" w:hAnsi="Verdana"/>
                <w:b/>
                <w:sz w:val="19"/>
                <w:szCs w:val="19"/>
              </w:rPr>
            </w:pPr>
            <w:r w:rsidRPr="00E23B73">
              <w:rPr>
                <w:rFonts w:ascii="Verdana" w:hAnsi="Verdana"/>
                <w:b/>
                <w:sz w:val="19"/>
                <w:szCs w:val="19"/>
              </w:rPr>
              <w:t>Metabolism and nutrition disorders</w:t>
            </w:r>
          </w:p>
        </w:tc>
      </w:tr>
      <w:tr w:rsidR="003D2089" w:rsidRPr="00E23B73" w14:paraId="41DC1817" w14:textId="77777777" w:rsidTr="003D2089">
        <w:tc>
          <w:tcPr>
            <w:tcW w:w="1696" w:type="dxa"/>
          </w:tcPr>
          <w:p w14:paraId="487A21B6"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106C3011" w14:textId="77777777" w:rsidR="003D2089" w:rsidRPr="00E23B73" w:rsidRDefault="003D2089" w:rsidP="003D2089">
            <w:pPr>
              <w:pStyle w:val="Tabletext"/>
              <w:spacing w:before="0" w:after="0"/>
              <w:jc w:val="left"/>
              <w:rPr>
                <w:rFonts w:ascii="Verdana" w:hAnsi="Verdana"/>
                <w:sz w:val="19"/>
                <w:szCs w:val="19"/>
                <w:vertAlign w:val="superscript"/>
              </w:rPr>
            </w:pPr>
            <w:r w:rsidRPr="00E23B73">
              <w:rPr>
                <w:rFonts w:ascii="Verdana" w:hAnsi="Verdana"/>
                <w:sz w:val="19"/>
                <w:szCs w:val="19"/>
              </w:rPr>
              <w:t>Decreased appetite</w:t>
            </w:r>
          </w:p>
        </w:tc>
        <w:tc>
          <w:tcPr>
            <w:tcW w:w="1482" w:type="dxa"/>
          </w:tcPr>
          <w:p w14:paraId="217CB3B3"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320 (18.4)</w:t>
            </w:r>
          </w:p>
        </w:tc>
        <w:tc>
          <w:tcPr>
            <w:tcW w:w="1519" w:type="dxa"/>
          </w:tcPr>
          <w:p w14:paraId="4806A45B"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19 (1.1)</w:t>
            </w:r>
          </w:p>
        </w:tc>
      </w:tr>
      <w:tr w:rsidR="003D2089" w:rsidRPr="00E23B73" w14:paraId="7B2D9906" w14:textId="77777777" w:rsidTr="003D2089">
        <w:tc>
          <w:tcPr>
            <w:tcW w:w="1696" w:type="dxa"/>
          </w:tcPr>
          <w:p w14:paraId="33950CD0"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781954F6"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Diabetes mellitus*</w:t>
            </w:r>
            <w:r w:rsidRPr="00E23B73">
              <w:rPr>
                <w:rFonts w:ascii="Verdana" w:hAnsi="Verdana"/>
                <w:sz w:val="19"/>
                <w:szCs w:val="19"/>
                <w:vertAlign w:val="superscript"/>
              </w:rPr>
              <w:t>,#</w:t>
            </w:r>
          </w:p>
        </w:tc>
        <w:tc>
          <w:tcPr>
            <w:tcW w:w="1482" w:type="dxa"/>
          </w:tcPr>
          <w:p w14:paraId="7EDD538E"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 (0.1)</w:t>
            </w:r>
          </w:p>
        </w:tc>
        <w:tc>
          <w:tcPr>
            <w:tcW w:w="1519" w:type="dxa"/>
          </w:tcPr>
          <w:p w14:paraId="0BDB67E6"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1 (0.1)</w:t>
            </w:r>
          </w:p>
        </w:tc>
      </w:tr>
      <w:tr w:rsidR="003D2089" w:rsidRPr="00E23B73" w14:paraId="38C0CF13" w14:textId="77777777" w:rsidTr="003D2089">
        <w:tc>
          <w:tcPr>
            <w:tcW w:w="1696" w:type="dxa"/>
          </w:tcPr>
          <w:p w14:paraId="1F547D68"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075BCCEF" w14:textId="3EE70CCC"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Type 1</w:t>
            </w:r>
            <w:r w:rsidR="002C01EF" w:rsidRPr="00E23B73">
              <w:rPr>
                <w:rFonts w:ascii="Verdana" w:hAnsi="Verdana"/>
                <w:sz w:val="19"/>
                <w:szCs w:val="19"/>
              </w:rPr>
              <w:t xml:space="preserve"> </w:t>
            </w:r>
            <w:r w:rsidRPr="00E23B73">
              <w:rPr>
                <w:rFonts w:ascii="Verdana" w:hAnsi="Verdana"/>
                <w:sz w:val="19"/>
                <w:szCs w:val="19"/>
              </w:rPr>
              <w:t>diabetes mellitus*</w:t>
            </w:r>
            <w:r w:rsidRPr="00E23B73">
              <w:rPr>
                <w:rFonts w:ascii="Verdana" w:hAnsi="Verdana"/>
                <w:sz w:val="19"/>
                <w:szCs w:val="19"/>
                <w:vertAlign w:val="superscript"/>
              </w:rPr>
              <w:t>,#</w:t>
            </w:r>
          </w:p>
        </w:tc>
        <w:tc>
          <w:tcPr>
            <w:tcW w:w="1482" w:type="dxa"/>
          </w:tcPr>
          <w:p w14:paraId="67D1B19B" w14:textId="77777777" w:rsidR="003D2089" w:rsidRPr="00E23B73" w:rsidRDefault="003D2089" w:rsidP="003D2089">
            <w:pPr>
              <w:pStyle w:val="Tabletext"/>
              <w:spacing w:before="0" w:after="0"/>
              <w:jc w:val="center"/>
              <w:rPr>
                <w:rFonts w:ascii="Verdana" w:hAnsi="Verdana"/>
                <w:sz w:val="19"/>
                <w:szCs w:val="19"/>
                <w:highlight w:val="yellow"/>
              </w:rPr>
            </w:pPr>
            <w:r w:rsidRPr="00E23B73">
              <w:rPr>
                <w:rFonts w:ascii="Verdana" w:hAnsi="Verdana"/>
                <w:sz w:val="19"/>
                <w:szCs w:val="19"/>
              </w:rPr>
              <w:t>1 (0.1)</w:t>
            </w:r>
          </w:p>
        </w:tc>
        <w:tc>
          <w:tcPr>
            <w:tcW w:w="1519" w:type="dxa"/>
          </w:tcPr>
          <w:p w14:paraId="72977DC4" w14:textId="77777777" w:rsidR="003D2089" w:rsidRPr="00E23B73" w:rsidRDefault="003D2089" w:rsidP="003D2089">
            <w:pPr>
              <w:pStyle w:val="Tabletext"/>
              <w:spacing w:before="0" w:after="0"/>
              <w:jc w:val="center"/>
              <w:rPr>
                <w:rStyle w:val="CommentReference"/>
                <w:rFonts w:ascii="Verdana" w:hAnsi="Verdana"/>
                <w:sz w:val="19"/>
                <w:szCs w:val="19"/>
                <w:highlight w:val="yellow"/>
              </w:rPr>
            </w:pPr>
            <w:r w:rsidRPr="00E23B73">
              <w:rPr>
                <w:rFonts w:ascii="Verdana" w:hAnsi="Verdana"/>
                <w:sz w:val="19"/>
                <w:szCs w:val="19"/>
              </w:rPr>
              <w:t>1 (0.1)</w:t>
            </w:r>
          </w:p>
        </w:tc>
      </w:tr>
      <w:tr w:rsidR="003D2089" w:rsidRPr="00E23B73" w14:paraId="41C247AE" w14:textId="77777777" w:rsidTr="003D2089">
        <w:tc>
          <w:tcPr>
            <w:tcW w:w="1696" w:type="dxa"/>
          </w:tcPr>
          <w:p w14:paraId="57D4E3F1" w14:textId="77777777" w:rsidR="003D2089" w:rsidRPr="00E23B73" w:rsidRDefault="003D2089" w:rsidP="003D2089">
            <w:pPr>
              <w:pStyle w:val="Tabletext"/>
              <w:spacing w:before="0" w:after="0"/>
              <w:jc w:val="left"/>
              <w:rPr>
                <w:rFonts w:ascii="Verdana" w:hAnsi="Verdana"/>
                <w:b/>
                <w:sz w:val="19"/>
                <w:szCs w:val="19"/>
              </w:rPr>
            </w:pPr>
          </w:p>
        </w:tc>
        <w:tc>
          <w:tcPr>
            <w:tcW w:w="6970" w:type="dxa"/>
            <w:gridSpan w:val="3"/>
          </w:tcPr>
          <w:p w14:paraId="1D397ECD" w14:textId="77777777" w:rsidR="003D2089" w:rsidRPr="00E23B73" w:rsidRDefault="003D2089" w:rsidP="003D2089">
            <w:pPr>
              <w:pStyle w:val="Tabletext"/>
              <w:spacing w:before="0" w:after="0"/>
              <w:jc w:val="left"/>
              <w:rPr>
                <w:rStyle w:val="CommentReference"/>
                <w:rFonts w:ascii="Verdana" w:hAnsi="Verdana"/>
                <w:b/>
                <w:sz w:val="19"/>
                <w:szCs w:val="19"/>
              </w:rPr>
            </w:pPr>
            <w:r w:rsidRPr="00E23B73">
              <w:rPr>
                <w:rFonts w:ascii="Verdana" w:hAnsi="Verdana"/>
                <w:b/>
                <w:sz w:val="19"/>
                <w:szCs w:val="19"/>
              </w:rPr>
              <w:t>Musculoskeletal and connective tissue disorders</w:t>
            </w:r>
          </w:p>
        </w:tc>
      </w:tr>
      <w:tr w:rsidR="003D2089" w:rsidRPr="00E23B73" w14:paraId="04D471D7" w14:textId="77777777" w:rsidTr="003D2089">
        <w:tc>
          <w:tcPr>
            <w:tcW w:w="1696" w:type="dxa"/>
          </w:tcPr>
          <w:p w14:paraId="5544A372"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453F1FF6"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Back pain</w:t>
            </w:r>
          </w:p>
        </w:tc>
        <w:tc>
          <w:tcPr>
            <w:tcW w:w="1482" w:type="dxa"/>
          </w:tcPr>
          <w:p w14:paraId="21B9E827"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205 (11.8)</w:t>
            </w:r>
          </w:p>
        </w:tc>
        <w:tc>
          <w:tcPr>
            <w:tcW w:w="1519" w:type="dxa"/>
          </w:tcPr>
          <w:p w14:paraId="740BD417" w14:textId="77777777" w:rsidR="003D2089" w:rsidRPr="00E23B73" w:rsidRDefault="003D2089" w:rsidP="003D2089">
            <w:pPr>
              <w:pStyle w:val="Tabletext"/>
              <w:spacing w:before="0" w:after="0"/>
              <w:jc w:val="center"/>
              <w:rPr>
                <w:rFonts w:ascii="Verdana" w:eastAsia="Times New Roman" w:hAnsi="Verdana"/>
                <w:sz w:val="19"/>
                <w:szCs w:val="19"/>
                <w:lang w:eastAsia="ja-JP"/>
              </w:rPr>
            </w:pPr>
            <w:r w:rsidRPr="00E23B73">
              <w:rPr>
                <w:rFonts w:ascii="Verdana" w:hAnsi="Verdana"/>
                <w:sz w:val="19"/>
                <w:szCs w:val="19"/>
              </w:rPr>
              <w:t>24 (1.4)</w:t>
            </w:r>
          </w:p>
        </w:tc>
      </w:tr>
      <w:tr w:rsidR="003D2089" w:rsidRPr="00E23B73" w14:paraId="70264448" w14:textId="77777777" w:rsidTr="003D2089">
        <w:tc>
          <w:tcPr>
            <w:tcW w:w="1696" w:type="dxa"/>
          </w:tcPr>
          <w:p w14:paraId="652005C4"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188A270B"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Arthralgia</w:t>
            </w:r>
          </w:p>
        </w:tc>
        <w:tc>
          <w:tcPr>
            <w:tcW w:w="1482" w:type="dxa"/>
          </w:tcPr>
          <w:p w14:paraId="0708879F"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180 (10.4)</w:t>
            </w:r>
          </w:p>
        </w:tc>
        <w:tc>
          <w:tcPr>
            <w:tcW w:w="1519" w:type="dxa"/>
          </w:tcPr>
          <w:p w14:paraId="6D47A232"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18 (1.0)</w:t>
            </w:r>
          </w:p>
        </w:tc>
      </w:tr>
      <w:tr w:rsidR="003D2089" w:rsidRPr="00E23B73" w14:paraId="0683E8AD" w14:textId="77777777" w:rsidTr="003D2089">
        <w:tc>
          <w:tcPr>
            <w:tcW w:w="1696" w:type="dxa"/>
          </w:tcPr>
          <w:p w14:paraId="0716828F"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059B59EE"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Myositis*</w:t>
            </w:r>
          </w:p>
        </w:tc>
        <w:tc>
          <w:tcPr>
            <w:tcW w:w="1482" w:type="dxa"/>
          </w:tcPr>
          <w:p w14:paraId="33D5B8DB"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5 (0.3)</w:t>
            </w:r>
          </w:p>
        </w:tc>
        <w:tc>
          <w:tcPr>
            <w:tcW w:w="1519" w:type="dxa"/>
          </w:tcPr>
          <w:p w14:paraId="292188A5"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2 (0.1)</w:t>
            </w:r>
          </w:p>
        </w:tc>
      </w:tr>
      <w:tr w:rsidR="003D2089" w:rsidRPr="00E23B73" w14:paraId="304982CD" w14:textId="77777777" w:rsidTr="003D2089">
        <w:tc>
          <w:tcPr>
            <w:tcW w:w="1696" w:type="dxa"/>
          </w:tcPr>
          <w:p w14:paraId="0D81FA4F" w14:textId="77777777" w:rsidR="003D2089" w:rsidRPr="00E23B73" w:rsidRDefault="003D2089" w:rsidP="003D2089">
            <w:pPr>
              <w:pStyle w:val="Tabletext"/>
              <w:spacing w:before="0" w:after="0"/>
              <w:jc w:val="left"/>
              <w:rPr>
                <w:rFonts w:ascii="Verdana" w:hAnsi="Verdana"/>
                <w:b/>
                <w:sz w:val="19"/>
                <w:szCs w:val="19"/>
              </w:rPr>
            </w:pPr>
          </w:p>
        </w:tc>
        <w:tc>
          <w:tcPr>
            <w:tcW w:w="6970" w:type="dxa"/>
            <w:gridSpan w:val="3"/>
          </w:tcPr>
          <w:p w14:paraId="4E6C6AC9" w14:textId="77777777" w:rsidR="003D2089" w:rsidRPr="00E23B73" w:rsidRDefault="003D2089" w:rsidP="003D2089">
            <w:pPr>
              <w:pStyle w:val="Tabletext"/>
              <w:spacing w:before="0" w:after="0"/>
              <w:jc w:val="left"/>
              <w:rPr>
                <w:rFonts w:ascii="Verdana" w:hAnsi="Verdana"/>
                <w:b/>
                <w:sz w:val="19"/>
                <w:szCs w:val="19"/>
              </w:rPr>
            </w:pPr>
            <w:r w:rsidRPr="00E23B73">
              <w:rPr>
                <w:rFonts w:ascii="Verdana" w:hAnsi="Verdana"/>
                <w:b/>
                <w:sz w:val="19"/>
                <w:szCs w:val="19"/>
              </w:rPr>
              <w:t>Nervous system disorders</w:t>
            </w:r>
          </w:p>
        </w:tc>
      </w:tr>
      <w:tr w:rsidR="003D2089" w:rsidRPr="00E23B73" w14:paraId="5F7BF6C2" w14:textId="77777777" w:rsidTr="003D2089">
        <w:tc>
          <w:tcPr>
            <w:tcW w:w="1696" w:type="dxa"/>
          </w:tcPr>
          <w:p w14:paraId="0F2BCDE3"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1E864805"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Guillain-Barre Syndrome*</w:t>
            </w:r>
            <w:r w:rsidRPr="00E23B73">
              <w:rPr>
                <w:rFonts w:ascii="Verdana" w:hAnsi="Verdana"/>
                <w:sz w:val="19"/>
                <w:szCs w:val="19"/>
                <w:vertAlign w:val="superscript"/>
              </w:rPr>
              <w:t>,#</w:t>
            </w:r>
          </w:p>
        </w:tc>
        <w:tc>
          <w:tcPr>
            <w:tcW w:w="1482" w:type="dxa"/>
          </w:tcPr>
          <w:p w14:paraId="2085B764"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 ( 0.1)</w:t>
            </w:r>
          </w:p>
        </w:tc>
        <w:tc>
          <w:tcPr>
            <w:tcW w:w="1519" w:type="dxa"/>
          </w:tcPr>
          <w:p w14:paraId="44D94D6C"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 ( 0.1)</w:t>
            </w:r>
          </w:p>
        </w:tc>
      </w:tr>
      <w:tr w:rsidR="003D2089" w:rsidRPr="00E23B73" w14:paraId="3CDDCF5B" w14:textId="77777777" w:rsidTr="003D2089">
        <w:tc>
          <w:tcPr>
            <w:tcW w:w="1696" w:type="dxa"/>
          </w:tcPr>
          <w:p w14:paraId="31B6581B" w14:textId="77777777" w:rsidR="003D2089" w:rsidRPr="00E23B73" w:rsidRDefault="003D2089" w:rsidP="003D2089">
            <w:pPr>
              <w:pStyle w:val="Default"/>
              <w:rPr>
                <w:rFonts w:ascii="Verdana" w:hAnsi="Verdana"/>
                <w:b/>
                <w:color w:val="auto"/>
                <w:sz w:val="19"/>
                <w:szCs w:val="19"/>
                <w:lang w:eastAsia="en-US"/>
              </w:rPr>
            </w:pPr>
          </w:p>
        </w:tc>
        <w:tc>
          <w:tcPr>
            <w:tcW w:w="6970" w:type="dxa"/>
            <w:gridSpan w:val="3"/>
          </w:tcPr>
          <w:p w14:paraId="3B5EBF4D" w14:textId="77777777" w:rsidR="003D2089" w:rsidRPr="00E23B73" w:rsidRDefault="003D2089" w:rsidP="003D2089">
            <w:pPr>
              <w:pStyle w:val="Default"/>
              <w:rPr>
                <w:rFonts w:ascii="Verdana" w:hAnsi="Verdana"/>
                <w:b/>
                <w:color w:val="auto"/>
                <w:sz w:val="19"/>
                <w:szCs w:val="19"/>
                <w:lang w:eastAsia="en-US"/>
              </w:rPr>
            </w:pPr>
            <w:r w:rsidRPr="00E23B73">
              <w:rPr>
                <w:rFonts w:ascii="Verdana" w:hAnsi="Verdana"/>
                <w:b/>
                <w:color w:val="auto"/>
                <w:sz w:val="19"/>
                <w:szCs w:val="19"/>
                <w:lang w:eastAsia="en-US"/>
              </w:rPr>
              <w:t>Renal and urinary disorders</w:t>
            </w:r>
          </w:p>
        </w:tc>
      </w:tr>
      <w:tr w:rsidR="003D2089" w:rsidRPr="00E23B73" w14:paraId="43978EE7" w14:textId="77777777" w:rsidTr="003D2089">
        <w:tc>
          <w:tcPr>
            <w:tcW w:w="1696" w:type="dxa"/>
          </w:tcPr>
          <w:p w14:paraId="24689C7E"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5C485DB8" w14:textId="77777777" w:rsidR="003D2089" w:rsidRPr="00E23B73" w:rsidRDefault="003D2089" w:rsidP="003D2089">
            <w:pPr>
              <w:pStyle w:val="Tabletext"/>
              <w:spacing w:before="0" w:after="0"/>
              <w:jc w:val="left"/>
              <w:rPr>
                <w:rFonts w:ascii="Verdana" w:hAnsi="Verdana"/>
                <w:sz w:val="19"/>
                <w:szCs w:val="19"/>
              </w:rPr>
            </w:pPr>
            <w:proofErr w:type="spellStart"/>
            <w:r w:rsidRPr="00E23B73">
              <w:rPr>
                <w:rFonts w:ascii="Verdana" w:hAnsi="Verdana"/>
                <w:sz w:val="19"/>
                <w:szCs w:val="19"/>
              </w:rPr>
              <w:t>Tubulointerstitial</w:t>
            </w:r>
            <w:proofErr w:type="spellEnd"/>
            <w:r w:rsidRPr="00E23B73">
              <w:rPr>
                <w:rFonts w:ascii="Verdana" w:hAnsi="Verdana"/>
                <w:sz w:val="19"/>
                <w:szCs w:val="19"/>
              </w:rPr>
              <w:t xml:space="preserve"> nephritis*</w:t>
            </w:r>
            <w:r w:rsidRPr="00E23B73">
              <w:rPr>
                <w:rFonts w:ascii="Verdana" w:hAnsi="Verdana"/>
                <w:sz w:val="19"/>
                <w:szCs w:val="19"/>
                <w:vertAlign w:val="superscript"/>
              </w:rPr>
              <w:t>,#</w:t>
            </w:r>
          </w:p>
        </w:tc>
        <w:tc>
          <w:tcPr>
            <w:tcW w:w="1482" w:type="dxa"/>
          </w:tcPr>
          <w:p w14:paraId="5F4054C7"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 (0.1)</w:t>
            </w:r>
          </w:p>
        </w:tc>
        <w:tc>
          <w:tcPr>
            <w:tcW w:w="1519" w:type="dxa"/>
          </w:tcPr>
          <w:p w14:paraId="42013693"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0</w:t>
            </w:r>
          </w:p>
        </w:tc>
      </w:tr>
      <w:tr w:rsidR="003D2089" w:rsidRPr="00E23B73" w14:paraId="7CF2A230" w14:textId="77777777" w:rsidTr="003D2089">
        <w:tc>
          <w:tcPr>
            <w:tcW w:w="1696" w:type="dxa"/>
          </w:tcPr>
          <w:p w14:paraId="2852042B" w14:textId="77777777" w:rsidR="003D2089" w:rsidRPr="00E23B73" w:rsidRDefault="003D2089" w:rsidP="003D2089">
            <w:pPr>
              <w:pStyle w:val="Tabletext"/>
              <w:spacing w:before="0" w:after="0"/>
              <w:jc w:val="left"/>
              <w:rPr>
                <w:rFonts w:ascii="Verdana" w:hAnsi="Verdana"/>
                <w:b/>
                <w:sz w:val="19"/>
                <w:szCs w:val="19"/>
              </w:rPr>
            </w:pPr>
          </w:p>
        </w:tc>
        <w:tc>
          <w:tcPr>
            <w:tcW w:w="6970" w:type="dxa"/>
            <w:gridSpan w:val="3"/>
          </w:tcPr>
          <w:p w14:paraId="6D76ADB3" w14:textId="77777777" w:rsidR="003D2089" w:rsidRPr="00E23B73" w:rsidRDefault="003D2089" w:rsidP="003D2089">
            <w:pPr>
              <w:pStyle w:val="Tabletext"/>
              <w:spacing w:before="0" w:after="0"/>
              <w:jc w:val="left"/>
              <w:rPr>
                <w:rStyle w:val="CommentReference"/>
                <w:rFonts w:ascii="Verdana" w:hAnsi="Verdana"/>
                <w:b/>
                <w:sz w:val="19"/>
                <w:szCs w:val="19"/>
              </w:rPr>
            </w:pPr>
            <w:r w:rsidRPr="00E23B73">
              <w:rPr>
                <w:rFonts w:ascii="Verdana" w:hAnsi="Verdana"/>
                <w:b/>
                <w:sz w:val="19"/>
                <w:szCs w:val="19"/>
              </w:rPr>
              <w:t>Respiratory, thoracic and mediastinal disorders</w:t>
            </w:r>
          </w:p>
        </w:tc>
      </w:tr>
      <w:tr w:rsidR="003D2089" w:rsidRPr="00E23B73" w14:paraId="7372FA04" w14:textId="77777777" w:rsidTr="003D2089">
        <w:tc>
          <w:tcPr>
            <w:tcW w:w="1696" w:type="dxa"/>
          </w:tcPr>
          <w:p w14:paraId="0344F684"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Very common</w:t>
            </w:r>
          </w:p>
        </w:tc>
        <w:tc>
          <w:tcPr>
            <w:tcW w:w="3969" w:type="dxa"/>
          </w:tcPr>
          <w:p w14:paraId="07B1C8CC"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Cough</w:t>
            </w:r>
            <w:r w:rsidRPr="00E23B73">
              <w:rPr>
                <w:rFonts w:ascii="Verdana" w:hAnsi="Verdana"/>
                <w:sz w:val="19"/>
                <w:szCs w:val="19"/>
                <w:vertAlign w:val="superscript"/>
              </w:rPr>
              <w:t>#</w:t>
            </w:r>
          </w:p>
        </w:tc>
        <w:tc>
          <w:tcPr>
            <w:tcW w:w="1482" w:type="dxa"/>
          </w:tcPr>
          <w:p w14:paraId="4A70FF58"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240 (13.8)</w:t>
            </w:r>
          </w:p>
        </w:tc>
        <w:tc>
          <w:tcPr>
            <w:tcW w:w="1519" w:type="dxa"/>
          </w:tcPr>
          <w:p w14:paraId="6C00BD81"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2 (0.1)</w:t>
            </w:r>
          </w:p>
        </w:tc>
      </w:tr>
      <w:tr w:rsidR="003D2089" w:rsidRPr="00E23B73" w14:paraId="764EBCD4" w14:textId="77777777" w:rsidTr="003D2089">
        <w:tc>
          <w:tcPr>
            <w:tcW w:w="1696" w:type="dxa"/>
          </w:tcPr>
          <w:p w14:paraId="1CEE6AE9" w14:textId="77777777" w:rsidR="003D2089" w:rsidRPr="00E23B73" w:rsidRDefault="003D2089" w:rsidP="003D2089">
            <w:pPr>
              <w:pStyle w:val="Tabletext"/>
              <w:spacing w:before="0" w:after="0"/>
              <w:jc w:val="left"/>
              <w:rPr>
                <w:rFonts w:ascii="Verdana" w:hAnsi="Verdana"/>
                <w:sz w:val="19"/>
                <w:szCs w:val="19"/>
                <w:lang w:val="en-US"/>
              </w:rPr>
            </w:pPr>
            <w:r w:rsidRPr="00E23B73">
              <w:rPr>
                <w:rFonts w:ascii="Verdana" w:hAnsi="Verdana"/>
                <w:sz w:val="19"/>
                <w:szCs w:val="19"/>
              </w:rPr>
              <w:t>Very common</w:t>
            </w:r>
          </w:p>
        </w:tc>
        <w:tc>
          <w:tcPr>
            <w:tcW w:w="3969" w:type="dxa"/>
          </w:tcPr>
          <w:p w14:paraId="01881F13" w14:textId="3B421F1B" w:rsidR="003D2089" w:rsidRPr="00E23B73" w:rsidRDefault="003D2089" w:rsidP="003D2089">
            <w:pPr>
              <w:pStyle w:val="Tabletext"/>
              <w:spacing w:before="0" w:after="0"/>
              <w:jc w:val="left"/>
              <w:rPr>
                <w:rFonts w:ascii="Verdana" w:hAnsi="Verdana"/>
                <w:sz w:val="19"/>
                <w:szCs w:val="19"/>
              </w:rPr>
            </w:pPr>
            <w:proofErr w:type="spellStart"/>
            <w:r w:rsidRPr="00E23B73">
              <w:rPr>
                <w:rFonts w:ascii="Verdana" w:hAnsi="Verdana"/>
                <w:sz w:val="19"/>
                <w:szCs w:val="19"/>
                <w:lang w:val="en-US"/>
              </w:rPr>
              <w:t>Dyspn</w:t>
            </w:r>
            <w:r w:rsidR="00404428" w:rsidRPr="00E23B73">
              <w:rPr>
                <w:rFonts w:ascii="Verdana" w:hAnsi="Verdana"/>
                <w:sz w:val="19"/>
                <w:szCs w:val="19"/>
                <w:lang w:val="en-US"/>
              </w:rPr>
              <w:t>o</w:t>
            </w:r>
            <w:r w:rsidRPr="00E23B73">
              <w:rPr>
                <w:rFonts w:ascii="Verdana" w:hAnsi="Verdana"/>
                <w:sz w:val="19"/>
                <w:szCs w:val="19"/>
                <w:lang w:val="en-US"/>
              </w:rPr>
              <w:t>ea</w:t>
            </w:r>
            <w:proofErr w:type="spellEnd"/>
          </w:p>
        </w:tc>
        <w:tc>
          <w:tcPr>
            <w:tcW w:w="1482" w:type="dxa"/>
          </w:tcPr>
          <w:p w14:paraId="5E1CD8BE" w14:textId="77777777" w:rsidR="003D2089" w:rsidRPr="00E23B73" w:rsidRDefault="003D2089" w:rsidP="003D2089">
            <w:pPr>
              <w:pStyle w:val="Tabletext"/>
              <w:spacing w:before="0" w:after="0"/>
              <w:jc w:val="center"/>
              <w:rPr>
                <w:rFonts w:ascii="Verdana" w:eastAsia="Times New Roman" w:hAnsi="Verdana"/>
                <w:sz w:val="19"/>
                <w:szCs w:val="19"/>
                <w:lang w:eastAsia="ja-JP"/>
              </w:rPr>
            </w:pPr>
            <w:r w:rsidRPr="00E23B73">
              <w:rPr>
                <w:rFonts w:ascii="Verdana" w:hAnsi="Verdana"/>
                <w:sz w:val="19"/>
                <w:szCs w:val="19"/>
              </w:rPr>
              <w:t>229 (13.2)</w:t>
            </w:r>
          </w:p>
        </w:tc>
        <w:tc>
          <w:tcPr>
            <w:tcW w:w="1519" w:type="dxa"/>
          </w:tcPr>
          <w:p w14:paraId="13B3DDC0"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68 (3.9)</w:t>
            </w:r>
          </w:p>
        </w:tc>
      </w:tr>
      <w:tr w:rsidR="003D2089" w:rsidRPr="00E23B73" w14:paraId="222A2BD8" w14:textId="77777777" w:rsidTr="003D2089">
        <w:tc>
          <w:tcPr>
            <w:tcW w:w="1696" w:type="dxa"/>
          </w:tcPr>
          <w:p w14:paraId="45AF060E"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Common</w:t>
            </w:r>
          </w:p>
        </w:tc>
        <w:tc>
          <w:tcPr>
            <w:tcW w:w="3969" w:type="dxa"/>
          </w:tcPr>
          <w:p w14:paraId="6688166F"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Pneumonitis*</w:t>
            </w:r>
          </w:p>
        </w:tc>
        <w:tc>
          <w:tcPr>
            <w:tcW w:w="1482" w:type="dxa"/>
          </w:tcPr>
          <w:p w14:paraId="0DD187E1" w14:textId="77777777" w:rsidR="003D2089" w:rsidRPr="00E23B73" w:rsidRDefault="003D2089" w:rsidP="003D2089">
            <w:pPr>
              <w:pStyle w:val="Tabletext"/>
              <w:spacing w:before="0" w:after="0"/>
              <w:jc w:val="center"/>
              <w:rPr>
                <w:rFonts w:ascii="Verdana" w:hAnsi="Verdana"/>
                <w:sz w:val="19"/>
                <w:szCs w:val="19"/>
              </w:rPr>
            </w:pPr>
            <w:r w:rsidRPr="00E23B73">
              <w:rPr>
                <w:rFonts w:ascii="Verdana" w:eastAsia="Times New Roman" w:hAnsi="Verdana"/>
                <w:sz w:val="19"/>
                <w:szCs w:val="19"/>
                <w:lang w:eastAsia="ja-JP"/>
              </w:rPr>
              <w:t>21 (1.2)</w:t>
            </w:r>
          </w:p>
        </w:tc>
        <w:tc>
          <w:tcPr>
            <w:tcW w:w="1519" w:type="dxa"/>
          </w:tcPr>
          <w:p w14:paraId="3A567744"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7 (0.4)</w:t>
            </w:r>
          </w:p>
        </w:tc>
      </w:tr>
      <w:tr w:rsidR="003D2089" w:rsidRPr="00E23B73" w14:paraId="71A6B9C3" w14:textId="77777777" w:rsidTr="003D2089">
        <w:tc>
          <w:tcPr>
            <w:tcW w:w="1696" w:type="dxa"/>
          </w:tcPr>
          <w:p w14:paraId="46E0C387" w14:textId="77777777" w:rsidR="003D2089" w:rsidRPr="00E23B73" w:rsidRDefault="003D2089" w:rsidP="003D2089">
            <w:pPr>
              <w:pStyle w:val="Tabletext"/>
              <w:spacing w:before="0" w:after="0"/>
              <w:jc w:val="left"/>
              <w:rPr>
                <w:rFonts w:ascii="Verdana" w:hAnsi="Verdana"/>
                <w:b/>
                <w:sz w:val="19"/>
                <w:szCs w:val="19"/>
              </w:rPr>
            </w:pPr>
          </w:p>
        </w:tc>
        <w:tc>
          <w:tcPr>
            <w:tcW w:w="6970" w:type="dxa"/>
            <w:gridSpan w:val="3"/>
          </w:tcPr>
          <w:p w14:paraId="37B9E584" w14:textId="77777777" w:rsidR="003D2089" w:rsidRPr="00E23B73" w:rsidRDefault="003D2089" w:rsidP="003D2089">
            <w:pPr>
              <w:pStyle w:val="Tabletext"/>
              <w:spacing w:before="0" w:after="0"/>
              <w:jc w:val="left"/>
              <w:rPr>
                <w:rStyle w:val="CommentReference"/>
                <w:rFonts w:ascii="Verdana" w:hAnsi="Verdana"/>
                <w:b/>
                <w:sz w:val="19"/>
                <w:szCs w:val="19"/>
              </w:rPr>
            </w:pPr>
            <w:r w:rsidRPr="00E23B73">
              <w:rPr>
                <w:rFonts w:ascii="Verdana" w:hAnsi="Verdana"/>
                <w:b/>
                <w:sz w:val="19"/>
                <w:szCs w:val="19"/>
              </w:rPr>
              <w:t>Skin and subcutaneous tissue disorders</w:t>
            </w:r>
          </w:p>
        </w:tc>
      </w:tr>
      <w:tr w:rsidR="003D2089" w:rsidRPr="00E23B73" w14:paraId="7328E42F" w14:textId="77777777" w:rsidTr="003D2089">
        <w:tc>
          <w:tcPr>
            <w:tcW w:w="1696" w:type="dxa"/>
          </w:tcPr>
          <w:p w14:paraId="2431729D"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Common</w:t>
            </w:r>
          </w:p>
        </w:tc>
        <w:tc>
          <w:tcPr>
            <w:tcW w:w="3969" w:type="dxa"/>
          </w:tcPr>
          <w:p w14:paraId="1806C5C8"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Rash*</w:t>
            </w:r>
            <w:r w:rsidRPr="00E23B73">
              <w:rPr>
                <w:rFonts w:ascii="Verdana" w:hAnsi="Verdana"/>
                <w:sz w:val="19"/>
                <w:szCs w:val="19"/>
                <w:vertAlign w:val="superscript"/>
              </w:rPr>
              <w:t>,#</w:t>
            </w:r>
          </w:p>
        </w:tc>
        <w:tc>
          <w:tcPr>
            <w:tcW w:w="1482" w:type="dxa"/>
          </w:tcPr>
          <w:p w14:paraId="56DE4DD7"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40 (2.3)</w:t>
            </w:r>
          </w:p>
        </w:tc>
        <w:tc>
          <w:tcPr>
            <w:tcW w:w="1519" w:type="dxa"/>
          </w:tcPr>
          <w:p w14:paraId="295D162F"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1 (0.1)</w:t>
            </w:r>
          </w:p>
        </w:tc>
      </w:tr>
      <w:tr w:rsidR="003D2089" w:rsidRPr="00E23B73" w14:paraId="7B6F198B" w14:textId="77777777" w:rsidTr="003D2089">
        <w:tc>
          <w:tcPr>
            <w:tcW w:w="1696" w:type="dxa"/>
          </w:tcPr>
          <w:p w14:paraId="02C6DA7C"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Common</w:t>
            </w:r>
          </w:p>
        </w:tc>
        <w:tc>
          <w:tcPr>
            <w:tcW w:w="3969" w:type="dxa"/>
          </w:tcPr>
          <w:p w14:paraId="21B880D2"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Pruritus*</w:t>
            </w:r>
            <w:r w:rsidRPr="00E23B73">
              <w:rPr>
                <w:rFonts w:ascii="Verdana" w:hAnsi="Verdana"/>
                <w:sz w:val="19"/>
                <w:szCs w:val="19"/>
                <w:vertAlign w:val="superscript"/>
              </w:rPr>
              <w:t>,#</w:t>
            </w:r>
          </w:p>
        </w:tc>
        <w:tc>
          <w:tcPr>
            <w:tcW w:w="1482" w:type="dxa"/>
          </w:tcPr>
          <w:p w14:paraId="3E32AD7E"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26 (1.5)</w:t>
            </w:r>
          </w:p>
        </w:tc>
        <w:tc>
          <w:tcPr>
            <w:tcW w:w="1519" w:type="dxa"/>
          </w:tcPr>
          <w:p w14:paraId="393683E7"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2A43C36E" w14:textId="77777777" w:rsidTr="003D2089">
        <w:tc>
          <w:tcPr>
            <w:tcW w:w="1696" w:type="dxa"/>
          </w:tcPr>
          <w:p w14:paraId="7033E786"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Common</w:t>
            </w:r>
          </w:p>
        </w:tc>
        <w:tc>
          <w:tcPr>
            <w:tcW w:w="3969" w:type="dxa"/>
          </w:tcPr>
          <w:p w14:paraId="1245ED9A"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 xml:space="preserve">Rash </w:t>
            </w:r>
            <w:proofErr w:type="spellStart"/>
            <w:r w:rsidRPr="00E23B73">
              <w:rPr>
                <w:rFonts w:ascii="Verdana" w:hAnsi="Verdana"/>
                <w:sz w:val="19"/>
                <w:szCs w:val="19"/>
              </w:rPr>
              <w:t>maculo-papular</w:t>
            </w:r>
            <w:proofErr w:type="spellEnd"/>
            <w:r w:rsidRPr="00E23B73">
              <w:rPr>
                <w:rFonts w:ascii="Verdana" w:hAnsi="Verdana"/>
                <w:sz w:val="19"/>
                <w:szCs w:val="19"/>
              </w:rPr>
              <w:t>*</w:t>
            </w:r>
            <w:r w:rsidRPr="00E23B73">
              <w:rPr>
                <w:rFonts w:ascii="Verdana" w:hAnsi="Verdana"/>
                <w:sz w:val="19"/>
                <w:szCs w:val="19"/>
                <w:vertAlign w:val="superscript"/>
              </w:rPr>
              <w:t>,#</w:t>
            </w:r>
          </w:p>
        </w:tc>
        <w:tc>
          <w:tcPr>
            <w:tcW w:w="1482" w:type="dxa"/>
          </w:tcPr>
          <w:p w14:paraId="1FB8F268"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20 (1.2)</w:t>
            </w:r>
          </w:p>
        </w:tc>
        <w:tc>
          <w:tcPr>
            <w:tcW w:w="1519" w:type="dxa"/>
          </w:tcPr>
          <w:p w14:paraId="153841DF"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620E1ED0" w14:textId="77777777" w:rsidTr="003D2089">
        <w:tc>
          <w:tcPr>
            <w:tcW w:w="1696" w:type="dxa"/>
          </w:tcPr>
          <w:p w14:paraId="04AD2E61"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02D8E36F"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Rash pruritic*</w:t>
            </w:r>
            <w:r w:rsidRPr="00E23B73">
              <w:rPr>
                <w:rFonts w:ascii="Verdana" w:hAnsi="Verdana"/>
                <w:sz w:val="19"/>
                <w:szCs w:val="19"/>
                <w:vertAlign w:val="superscript"/>
              </w:rPr>
              <w:t>,#</w:t>
            </w:r>
          </w:p>
        </w:tc>
        <w:tc>
          <w:tcPr>
            <w:tcW w:w="1482" w:type="dxa"/>
          </w:tcPr>
          <w:p w14:paraId="5599C289"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7 (0.4)</w:t>
            </w:r>
          </w:p>
        </w:tc>
        <w:tc>
          <w:tcPr>
            <w:tcW w:w="1519" w:type="dxa"/>
          </w:tcPr>
          <w:p w14:paraId="06C8D7DE"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387FEF09" w14:textId="77777777" w:rsidTr="003D2089">
        <w:tc>
          <w:tcPr>
            <w:tcW w:w="1696" w:type="dxa"/>
          </w:tcPr>
          <w:p w14:paraId="52C0F01F"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4EC8B7F1"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Erythema*</w:t>
            </w:r>
            <w:r w:rsidRPr="00E23B73">
              <w:rPr>
                <w:rFonts w:ascii="Verdana" w:hAnsi="Verdana"/>
                <w:sz w:val="19"/>
                <w:szCs w:val="19"/>
                <w:vertAlign w:val="superscript"/>
              </w:rPr>
              <w:t>,#</w:t>
            </w:r>
          </w:p>
        </w:tc>
        <w:tc>
          <w:tcPr>
            <w:tcW w:w="1482" w:type="dxa"/>
          </w:tcPr>
          <w:p w14:paraId="05457ADC"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5 (0.3)</w:t>
            </w:r>
          </w:p>
        </w:tc>
        <w:tc>
          <w:tcPr>
            <w:tcW w:w="1519" w:type="dxa"/>
          </w:tcPr>
          <w:p w14:paraId="55870963"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0EDABFEC" w14:textId="77777777" w:rsidTr="003D2089">
        <w:tc>
          <w:tcPr>
            <w:tcW w:w="1696" w:type="dxa"/>
          </w:tcPr>
          <w:p w14:paraId="1F01FE78"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2A8BFF09"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Rash generalised*</w:t>
            </w:r>
            <w:r w:rsidRPr="00E23B73">
              <w:rPr>
                <w:rFonts w:ascii="Verdana" w:hAnsi="Verdana"/>
                <w:sz w:val="19"/>
                <w:szCs w:val="19"/>
                <w:vertAlign w:val="superscript"/>
              </w:rPr>
              <w:t>,#</w:t>
            </w:r>
          </w:p>
        </w:tc>
        <w:tc>
          <w:tcPr>
            <w:tcW w:w="1482" w:type="dxa"/>
          </w:tcPr>
          <w:p w14:paraId="57C3D402"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5 (0.3)</w:t>
            </w:r>
          </w:p>
        </w:tc>
        <w:tc>
          <w:tcPr>
            <w:tcW w:w="1519" w:type="dxa"/>
          </w:tcPr>
          <w:p w14:paraId="0EA94578"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3EA2E1BF" w14:textId="77777777" w:rsidTr="003D2089">
        <w:tc>
          <w:tcPr>
            <w:tcW w:w="1696" w:type="dxa"/>
          </w:tcPr>
          <w:p w14:paraId="79018477"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4A43D13A"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Rash erythematous*</w:t>
            </w:r>
            <w:r w:rsidRPr="00E23B73">
              <w:rPr>
                <w:rFonts w:ascii="Verdana" w:hAnsi="Verdana"/>
                <w:sz w:val="19"/>
                <w:szCs w:val="19"/>
                <w:vertAlign w:val="superscript"/>
              </w:rPr>
              <w:t>,#</w:t>
            </w:r>
          </w:p>
        </w:tc>
        <w:tc>
          <w:tcPr>
            <w:tcW w:w="1482" w:type="dxa"/>
          </w:tcPr>
          <w:p w14:paraId="26BE6B9F"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4 (0.2)</w:t>
            </w:r>
          </w:p>
        </w:tc>
        <w:tc>
          <w:tcPr>
            <w:tcW w:w="1519" w:type="dxa"/>
          </w:tcPr>
          <w:p w14:paraId="72338C86"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04A9DA60" w14:textId="77777777" w:rsidTr="003D2089">
        <w:tc>
          <w:tcPr>
            <w:tcW w:w="1696" w:type="dxa"/>
          </w:tcPr>
          <w:p w14:paraId="09BB39FA"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lastRenderedPageBreak/>
              <w:t>Uncommon</w:t>
            </w:r>
          </w:p>
        </w:tc>
        <w:tc>
          <w:tcPr>
            <w:tcW w:w="3969" w:type="dxa"/>
          </w:tcPr>
          <w:p w14:paraId="6EABDA46"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Rash macular*</w:t>
            </w:r>
            <w:r w:rsidRPr="00E23B73">
              <w:rPr>
                <w:rFonts w:ascii="Verdana" w:hAnsi="Verdana"/>
                <w:sz w:val="19"/>
                <w:szCs w:val="19"/>
                <w:vertAlign w:val="superscript"/>
              </w:rPr>
              <w:t>,#</w:t>
            </w:r>
          </w:p>
        </w:tc>
        <w:tc>
          <w:tcPr>
            <w:tcW w:w="1482" w:type="dxa"/>
          </w:tcPr>
          <w:p w14:paraId="51E1A0F2"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3 (0.2)</w:t>
            </w:r>
          </w:p>
        </w:tc>
        <w:tc>
          <w:tcPr>
            <w:tcW w:w="1519" w:type="dxa"/>
          </w:tcPr>
          <w:p w14:paraId="57E844F2"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002D673A" w14:textId="77777777" w:rsidTr="003D2089">
        <w:tc>
          <w:tcPr>
            <w:tcW w:w="1696" w:type="dxa"/>
          </w:tcPr>
          <w:p w14:paraId="032B3BEB"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2CA64BD6"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Rash papular*</w:t>
            </w:r>
            <w:r w:rsidRPr="00E23B73">
              <w:rPr>
                <w:rFonts w:ascii="Verdana" w:hAnsi="Verdana"/>
                <w:sz w:val="19"/>
                <w:szCs w:val="19"/>
                <w:vertAlign w:val="superscript"/>
              </w:rPr>
              <w:t>,#</w:t>
            </w:r>
          </w:p>
        </w:tc>
        <w:tc>
          <w:tcPr>
            <w:tcW w:w="1482" w:type="dxa"/>
          </w:tcPr>
          <w:p w14:paraId="02B823B2"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2 (0.1)</w:t>
            </w:r>
          </w:p>
        </w:tc>
        <w:tc>
          <w:tcPr>
            <w:tcW w:w="1519" w:type="dxa"/>
          </w:tcPr>
          <w:p w14:paraId="6D3E0AB3"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5E4279C8" w14:textId="77777777" w:rsidTr="003D2089">
        <w:tc>
          <w:tcPr>
            <w:tcW w:w="1696" w:type="dxa"/>
          </w:tcPr>
          <w:p w14:paraId="68DDB95D"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1D1D25D1"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Dermatitis exfoliative*</w:t>
            </w:r>
            <w:r w:rsidRPr="00E23B73">
              <w:rPr>
                <w:rFonts w:ascii="Verdana" w:hAnsi="Verdana"/>
                <w:sz w:val="19"/>
                <w:szCs w:val="19"/>
                <w:vertAlign w:val="superscript"/>
              </w:rPr>
              <w:t>,#</w:t>
            </w:r>
          </w:p>
        </w:tc>
        <w:tc>
          <w:tcPr>
            <w:tcW w:w="1482" w:type="dxa"/>
          </w:tcPr>
          <w:p w14:paraId="02407C8D"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 (0.1)</w:t>
            </w:r>
          </w:p>
        </w:tc>
        <w:tc>
          <w:tcPr>
            <w:tcW w:w="1519" w:type="dxa"/>
          </w:tcPr>
          <w:p w14:paraId="7EF6D47B"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1E2B56D5" w14:textId="77777777" w:rsidTr="003D2089">
        <w:tc>
          <w:tcPr>
            <w:tcW w:w="1696" w:type="dxa"/>
          </w:tcPr>
          <w:p w14:paraId="3746CB3E"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31EFDE58"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 xml:space="preserve">Erythema </w:t>
            </w:r>
            <w:proofErr w:type="spellStart"/>
            <w:r w:rsidRPr="00E23B73">
              <w:rPr>
                <w:rFonts w:ascii="Verdana" w:hAnsi="Verdana"/>
                <w:sz w:val="19"/>
                <w:szCs w:val="19"/>
              </w:rPr>
              <w:t>multiforme</w:t>
            </w:r>
            <w:proofErr w:type="spellEnd"/>
            <w:r w:rsidRPr="00E23B73">
              <w:rPr>
                <w:rFonts w:ascii="Verdana" w:hAnsi="Verdana"/>
                <w:sz w:val="19"/>
                <w:szCs w:val="19"/>
              </w:rPr>
              <w:t>*</w:t>
            </w:r>
            <w:r w:rsidRPr="00E23B73">
              <w:rPr>
                <w:rFonts w:ascii="Verdana" w:hAnsi="Verdana"/>
                <w:sz w:val="19"/>
                <w:szCs w:val="19"/>
                <w:vertAlign w:val="superscript"/>
              </w:rPr>
              <w:t>,#</w:t>
            </w:r>
          </w:p>
        </w:tc>
        <w:tc>
          <w:tcPr>
            <w:tcW w:w="1482" w:type="dxa"/>
          </w:tcPr>
          <w:p w14:paraId="5A31A11F"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 (0.1)</w:t>
            </w:r>
          </w:p>
        </w:tc>
        <w:tc>
          <w:tcPr>
            <w:tcW w:w="1519" w:type="dxa"/>
          </w:tcPr>
          <w:p w14:paraId="3CFF0338"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1A0D5F4C" w14:textId="77777777" w:rsidTr="003D2089">
        <w:tc>
          <w:tcPr>
            <w:tcW w:w="1696" w:type="dxa"/>
          </w:tcPr>
          <w:p w14:paraId="7FAEFAE6"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76DC3B5E"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Pemphigoid*</w:t>
            </w:r>
            <w:r w:rsidRPr="00E23B73">
              <w:rPr>
                <w:rFonts w:ascii="Verdana" w:hAnsi="Verdana"/>
                <w:sz w:val="19"/>
                <w:szCs w:val="19"/>
                <w:vertAlign w:val="superscript"/>
              </w:rPr>
              <w:t>,#</w:t>
            </w:r>
          </w:p>
        </w:tc>
        <w:tc>
          <w:tcPr>
            <w:tcW w:w="1482" w:type="dxa"/>
          </w:tcPr>
          <w:p w14:paraId="79DE820D"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 (0.1)</w:t>
            </w:r>
          </w:p>
        </w:tc>
        <w:tc>
          <w:tcPr>
            <w:tcW w:w="1519" w:type="dxa"/>
          </w:tcPr>
          <w:p w14:paraId="68302521"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r w:rsidR="003D2089" w:rsidRPr="00E23B73" w14:paraId="78212E3B" w14:textId="77777777" w:rsidTr="003D2089">
        <w:tc>
          <w:tcPr>
            <w:tcW w:w="1696" w:type="dxa"/>
          </w:tcPr>
          <w:p w14:paraId="0E0DA733"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Uncommon</w:t>
            </w:r>
          </w:p>
        </w:tc>
        <w:tc>
          <w:tcPr>
            <w:tcW w:w="3969" w:type="dxa"/>
          </w:tcPr>
          <w:p w14:paraId="3CD41908" w14:textId="77777777" w:rsidR="003D2089" w:rsidRPr="00E23B73" w:rsidRDefault="003D2089" w:rsidP="003D2089">
            <w:pPr>
              <w:pStyle w:val="Tabletext"/>
              <w:spacing w:before="0" w:after="0"/>
              <w:jc w:val="left"/>
              <w:rPr>
                <w:rFonts w:ascii="Verdana" w:hAnsi="Verdana"/>
                <w:sz w:val="19"/>
                <w:szCs w:val="19"/>
              </w:rPr>
            </w:pPr>
            <w:r w:rsidRPr="00E23B73">
              <w:rPr>
                <w:rFonts w:ascii="Verdana" w:hAnsi="Verdana"/>
                <w:sz w:val="19"/>
                <w:szCs w:val="19"/>
              </w:rPr>
              <w:t>Pruritus generalised*</w:t>
            </w:r>
            <w:r w:rsidRPr="00E23B73">
              <w:rPr>
                <w:rFonts w:ascii="Verdana" w:hAnsi="Verdana"/>
                <w:sz w:val="19"/>
                <w:szCs w:val="19"/>
                <w:vertAlign w:val="superscript"/>
              </w:rPr>
              <w:t>,#</w:t>
            </w:r>
          </w:p>
        </w:tc>
        <w:tc>
          <w:tcPr>
            <w:tcW w:w="1482" w:type="dxa"/>
          </w:tcPr>
          <w:p w14:paraId="2FD12904" w14:textId="77777777" w:rsidR="003D2089" w:rsidRPr="00E23B73" w:rsidRDefault="003D2089" w:rsidP="003D2089">
            <w:pPr>
              <w:pStyle w:val="Tabletext"/>
              <w:spacing w:before="0" w:after="0"/>
              <w:jc w:val="center"/>
              <w:rPr>
                <w:rFonts w:ascii="Verdana" w:hAnsi="Verdana"/>
                <w:sz w:val="19"/>
                <w:szCs w:val="19"/>
              </w:rPr>
            </w:pPr>
            <w:r w:rsidRPr="00E23B73">
              <w:rPr>
                <w:rFonts w:ascii="Verdana" w:hAnsi="Verdana"/>
                <w:sz w:val="19"/>
                <w:szCs w:val="19"/>
              </w:rPr>
              <w:t>1 (0.1)</w:t>
            </w:r>
          </w:p>
        </w:tc>
        <w:tc>
          <w:tcPr>
            <w:tcW w:w="1519" w:type="dxa"/>
          </w:tcPr>
          <w:p w14:paraId="061F4185" w14:textId="77777777" w:rsidR="003D2089" w:rsidRPr="00E23B73" w:rsidRDefault="003D2089" w:rsidP="003D2089">
            <w:pPr>
              <w:pStyle w:val="Tabletext"/>
              <w:spacing w:before="0" w:after="0"/>
              <w:jc w:val="center"/>
              <w:rPr>
                <w:rStyle w:val="CommentReference"/>
                <w:rFonts w:ascii="Verdana" w:hAnsi="Verdana"/>
                <w:sz w:val="19"/>
                <w:szCs w:val="19"/>
              </w:rPr>
            </w:pPr>
            <w:r w:rsidRPr="00E23B73">
              <w:rPr>
                <w:rFonts w:ascii="Verdana" w:hAnsi="Verdana"/>
                <w:sz w:val="19"/>
                <w:szCs w:val="19"/>
              </w:rPr>
              <w:t>0</w:t>
            </w:r>
          </w:p>
        </w:tc>
      </w:tr>
    </w:tbl>
    <w:p w14:paraId="2BF78000" w14:textId="77777777" w:rsidR="003D2089" w:rsidRPr="00F34B68" w:rsidRDefault="003D2089" w:rsidP="003D2089">
      <w:pPr>
        <w:keepNext/>
        <w:keepLines/>
        <w:spacing w:after="0" w:line="240" w:lineRule="auto"/>
        <w:rPr>
          <w:rFonts w:ascii="Verdana" w:hAnsi="Verdana" w:cs="Times New Roman"/>
          <w:sz w:val="18"/>
        </w:rPr>
      </w:pPr>
      <w:r w:rsidRPr="00F34B68">
        <w:rPr>
          <w:rFonts w:ascii="Verdana" w:hAnsi="Verdana" w:cs="Times New Roman"/>
          <w:sz w:val="18"/>
          <w:vertAlign w:val="superscript"/>
        </w:rPr>
        <w:t>*</w:t>
      </w:r>
      <w:r w:rsidRPr="00F34B68">
        <w:rPr>
          <w:rFonts w:ascii="Verdana" w:hAnsi="Verdana" w:cs="Times New Roman"/>
          <w:sz w:val="18"/>
        </w:rPr>
        <w:t xml:space="preserve"> Immune-related adverse reaction based on medical review </w:t>
      </w:r>
    </w:p>
    <w:p w14:paraId="50F64F80" w14:textId="77777777" w:rsidR="003D2089" w:rsidRPr="00F34B68" w:rsidRDefault="003D2089" w:rsidP="003D2089">
      <w:pPr>
        <w:keepNext/>
        <w:keepLines/>
        <w:spacing w:after="0" w:line="240" w:lineRule="auto"/>
        <w:rPr>
          <w:rFonts w:ascii="Verdana" w:hAnsi="Verdana" w:cs="Times New Roman"/>
          <w:sz w:val="18"/>
        </w:rPr>
      </w:pPr>
      <w:r w:rsidRPr="00F34B68">
        <w:rPr>
          <w:rFonts w:ascii="Verdana" w:hAnsi="Verdana" w:cs="Times New Roman"/>
          <w:sz w:val="18"/>
          <w:vertAlign w:val="superscript"/>
        </w:rPr>
        <w:t xml:space="preserve"># </w:t>
      </w:r>
      <w:r w:rsidRPr="00F34B68">
        <w:rPr>
          <w:rFonts w:ascii="Verdana" w:hAnsi="Verdana" w:cs="Times New Roman"/>
          <w:sz w:val="18"/>
        </w:rPr>
        <w:t>Single or no SAEs</w:t>
      </w:r>
    </w:p>
    <w:p w14:paraId="1454B0A1" w14:textId="77777777" w:rsidR="003D2089" w:rsidRPr="00F34B68" w:rsidRDefault="003D2089" w:rsidP="003D2089">
      <w:pPr>
        <w:keepNext/>
        <w:keepLines/>
        <w:spacing w:after="0" w:line="240" w:lineRule="auto"/>
        <w:rPr>
          <w:rFonts w:ascii="Verdana" w:hAnsi="Verdana" w:cs="Times New Roman"/>
          <w:sz w:val="18"/>
        </w:rPr>
      </w:pPr>
      <w:proofErr w:type="gramStart"/>
      <w:r w:rsidRPr="00F34B68">
        <w:rPr>
          <w:rFonts w:ascii="Verdana" w:hAnsi="Verdana" w:cs="Times New Roman"/>
          <w:sz w:val="18"/>
          <w:vertAlign w:val="superscript"/>
        </w:rPr>
        <w:t>a</w:t>
      </w:r>
      <w:proofErr w:type="gramEnd"/>
      <w:r w:rsidRPr="00F34B68">
        <w:rPr>
          <w:rFonts w:ascii="Verdana" w:hAnsi="Verdana" w:cs="Times New Roman"/>
          <w:sz w:val="18"/>
        </w:rPr>
        <w:t xml:space="preserve"> </w:t>
      </w:r>
      <w:r w:rsidRPr="00F34B68">
        <w:rPr>
          <w:rFonts w:ascii="Verdana" w:hAnsi="Verdana"/>
          <w:sz w:val="18"/>
        </w:rPr>
        <w:t xml:space="preserve">Frequencies presented in the table represents all events of diarrhoea (all causalities) </w:t>
      </w:r>
      <w:r w:rsidRPr="00F34B68">
        <w:rPr>
          <w:rFonts w:ascii="Verdana" w:hAnsi="Verdana" w:cs="Times New Roman"/>
          <w:sz w:val="18"/>
        </w:rPr>
        <w:t>including immune-related diarrhoea: 21 (1.2%); Grade ≥ 3 4 (0.2%); serious 4 (0.2%)</w:t>
      </w:r>
    </w:p>
    <w:p w14:paraId="1008BCC6" w14:textId="77777777" w:rsidR="003D2089" w:rsidRPr="00F34B68" w:rsidRDefault="003D2089" w:rsidP="003D2089">
      <w:pPr>
        <w:keepNext/>
        <w:keepLines/>
        <w:spacing w:after="0" w:line="240" w:lineRule="auto"/>
        <w:rPr>
          <w:rFonts w:ascii="Verdana" w:hAnsi="Verdana" w:cs="Times New Roman"/>
          <w:sz w:val="18"/>
        </w:rPr>
      </w:pPr>
      <w:proofErr w:type="gramStart"/>
      <w:r w:rsidRPr="00F34B68">
        <w:rPr>
          <w:rFonts w:ascii="Verdana" w:hAnsi="Verdana" w:cs="Times New Roman"/>
          <w:sz w:val="18"/>
          <w:vertAlign w:val="superscript"/>
        </w:rPr>
        <w:t>b</w:t>
      </w:r>
      <w:proofErr w:type="gramEnd"/>
      <w:r w:rsidRPr="00F34B68">
        <w:rPr>
          <w:rFonts w:ascii="Verdana" w:hAnsi="Verdana" w:cs="Times New Roman"/>
          <w:sz w:val="18"/>
        </w:rPr>
        <w:t xml:space="preserve"> </w:t>
      </w:r>
      <w:r w:rsidRPr="00F34B68">
        <w:rPr>
          <w:rFonts w:ascii="Verdana" w:hAnsi="Verdana"/>
          <w:sz w:val="18"/>
        </w:rPr>
        <w:t>Frequencies presented in the table represents all events (all causalities) including</w:t>
      </w:r>
      <w:r w:rsidRPr="00F34B68">
        <w:rPr>
          <w:rFonts w:ascii="Verdana" w:hAnsi="Verdana" w:cs="Times New Roman"/>
          <w:sz w:val="18"/>
        </w:rPr>
        <w:t xml:space="preserve"> infusion-related adverse reaction based on predefined definition </w:t>
      </w:r>
    </w:p>
    <w:p w14:paraId="3A3EB8D1" w14:textId="77777777" w:rsidR="003D2089" w:rsidRPr="00F34B68" w:rsidRDefault="003D2089" w:rsidP="003D2089">
      <w:pPr>
        <w:keepNext/>
        <w:keepLines/>
        <w:spacing w:after="0" w:line="240" w:lineRule="auto"/>
        <w:rPr>
          <w:rFonts w:ascii="Verdana" w:hAnsi="Verdana" w:cs="Times New Roman"/>
          <w:sz w:val="18"/>
        </w:rPr>
      </w:pPr>
      <w:r w:rsidRPr="00F34B68">
        <w:rPr>
          <w:rFonts w:ascii="Verdana" w:hAnsi="Verdana" w:cs="Times New Roman"/>
          <w:sz w:val="18"/>
        </w:rPr>
        <w:t>Pyrexia: 62 (3.6%); Grade ≥ 3 0 (0%), serious: 3 (0.2%)</w:t>
      </w:r>
    </w:p>
    <w:p w14:paraId="13450F4F" w14:textId="77777777" w:rsidR="003D2089" w:rsidRPr="00F34B68" w:rsidRDefault="003D2089" w:rsidP="003D2089">
      <w:pPr>
        <w:keepNext/>
        <w:keepLines/>
        <w:spacing w:after="0" w:line="240" w:lineRule="auto"/>
        <w:rPr>
          <w:rFonts w:ascii="Verdana" w:hAnsi="Verdana" w:cs="Times New Roman"/>
          <w:sz w:val="18"/>
        </w:rPr>
      </w:pPr>
      <w:r w:rsidRPr="00F34B68">
        <w:rPr>
          <w:rFonts w:ascii="Verdana" w:hAnsi="Verdana" w:cs="Times New Roman"/>
          <w:sz w:val="18"/>
        </w:rPr>
        <w:t>Chills: 94 (5.4%); Grade ≥ 3 0 (0%), serious 1 (0.1%)</w:t>
      </w:r>
    </w:p>
    <w:p w14:paraId="5B68F3F5" w14:textId="77777777" w:rsidR="003D2089" w:rsidRPr="00F34B68" w:rsidRDefault="003D2089" w:rsidP="003D2089">
      <w:pPr>
        <w:keepNext/>
        <w:keepLines/>
        <w:autoSpaceDE w:val="0"/>
        <w:autoSpaceDN w:val="0"/>
        <w:adjustRightInd w:val="0"/>
        <w:spacing w:after="0" w:line="240" w:lineRule="auto"/>
        <w:rPr>
          <w:rFonts w:ascii="Verdana" w:hAnsi="Verdana" w:cs="Times New Roman"/>
          <w:sz w:val="18"/>
        </w:rPr>
      </w:pPr>
      <w:r w:rsidRPr="00F34B68">
        <w:rPr>
          <w:rFonts w:ascii="Verdana" w:hAnsi="Verdana" w:cs="Times New Roman"/>
          <w:sz w:val="18"/>
        </w:rPr>
        <w:t>Infusion related reaction:</w:t>
      </w:r>
      <w:r w:rsidRPr="00F34B68">
        <w:rPr>
          <w:rFonts w:ascii="Verdana" w:hAnsi="Verdana"/>
          <w:sz w:val="18"/>
          <w:lang w:val="en-US"/>
        </w:rPr>
        <w:t xml:space="preserve"> 296 (17.0%), Grade</w:t>
      </w:r>
      <w:r w:rsidRPr="00F34B68">
        <w:rPr>
          <w:rFonts w:ascii="Verdana" w:hAnsi="Verdana" w:cs="Times New Roman"/>
          <w:sz w:val="18"/>
        </w:rPr>
        <w:t xml:space="preserve"> ≥ 3 </w:t>
      </w:r>
      <w:r w:rsidRPr="00F34B68">
        <w:rPr>
          <w:rFonts w:ascii="Verdana" w:hAnsi="Verdana"/>
          <w:sz w:val="18"/>
          <w:lang w:val="en-US"/>
        </w:rPr>
        <w:t>10 (0.6%), serious: 15 (0.9%)</w:t>
      </w:r>
    </w:p>
    <w:p w14:paraId="6463E8ED" w14:textId="77777777" w:rsidR="003D2089" w:rsidRPr="00F34B68" w:rsidRDefault="003D2089" w:rsidP="003D2089">
      <w:pPr>
        <w:keepNext/>
        <w:keepLines/>
        <w:autoSpaceDE w:val="0"/>
        <w:autoSpaceDN w:val="0"/>
        <w:adjustRightInd w:val="0"/>
        <w:spacing w:after="0" w:line="240" w:lineRule="auto"/>
        <w:rPr>
          <w:rFonts w:ascii="Verdana" w:hAnsi="Verdana" w:cs="Times New Roman"/>
          <w:sz w:val="18"/>
        </w:rPr>
      </w:pPr>
      <w:r w:rsidRPr="00F34B68">
        <w:rPr>
          <w:rFonts w:ascii="Verdana" w:hAnsi="Verdana" w:cs="Times New Roman"/>
          <w:sz w:val="18"/>
        </w:rPr>
        <w:t>Drug hypersensitivity:</w:t>
      </w:r>
      <w:r w:rsidRPr="00F34B68">
        <w:rPr>
          <w:rFonts w:ascii="Verdana" w:hAnsi="Verdana"/>
          <w:sz w:val="18"/>
          <w:lang w:val="en-US"/>
        </w:rPr>
        <w:t xml:space="preserve"> 5 (0.3%), Grade</w:t>
      </w:r>
      <w:r w:rsidRPr="00F34B68">
        <w:rPr>
          <w:rFonts w:ascii="Verdana" w:hAnsi="Verdana" w:cs="Times New Roman"/>
          <w:sz w:val="18"/>
        </w:rPr>
        <w:t> ≥ 3</w:t>
      </w:r>
      <w:r w:rsidRPr="00F34B68">
        <w:rPr>
          <w:rFonts w:ascii="Verdana" w:hAnsi="Verdana"/>
          <w:sz w:val="18"/>
          <w:lang w:val="en-US"/>
        </w:rPr>
        <w:t xml:space="preserve"> 0 (0%), serious: 0 (0%)</w:t>
      </w:r>
    </w:p>
    <w:p w14:paraId="67EBADA7" w14:textId="77777777" w:rsidR="003D2089" w:rsidRPr="00F34B68" w:rsidRDefault="003D2089" w:rsidP="003D2089">
      <w:pPr>
        <w:keepNext/>
        <w:keepLines/>
        <w:spacing w:after="0" w:line="240" w:lineRule="auto"/>
        <w:rPr>
          <w:rFonts w:ascii="Verdana" w:hAnsi="Verdana" w:cs="Calibri"/>
          <w:sz w:val="18"/>
          <w:lang w:val="en-US"/>
        </w:rPr>
      </w:pPr>
      <w:r w:rsidRPr="00F34B68">
        <w:rPr>
          <w:rFonts w:ascii="Verdana" w:hAnsi="Verdana" w:cs="Times New Roman"/>
          <w:sz w:val="18"/>
        </w:rPr>
        <w:t>Hypersensitivity</w:t>
      </w:r>
      <w:r w:rsidRPr="00F34B68">
        <w:rPr>
          <w:rFonts w:ascii="Verdana" w:hAnsi="Verdana"/>
          <w:sz w:val="18"/>
          <w:lang w:val="en-US"/>
        </w:rPr>
        <w:t>: 3 (0.2%), Grade</w:t>
      </w:r>
      <w:r w:rsidRPr="00F34B68">
        <w:rPr>
          <w:rFonts w:ascii="Verdana" w:hAnsi="Verdana" w:cs="Times New Roman"/>
          <w:sz w:val="18"/>
        </w:rPr>
        <w:t xml:space="preserve"> ≥ 3 </w:t>
      </w:r>
      <w:r w:rsidRPr="00F34B68">
        <w:rPr>
          <w:rFonts w:ascii="Verdana" w:hAnsi="Verdana"/>
          <w:sz w:val="18"/>
          <w:lang w:val="en-US"/>
        </w:rPr>
        <w:t>0 (0%), serious 0 (0%)</w:t>
      </w:r>
    </w:p>
    <w:p w14:paraId="5771CC8A" w14:textId="77777777" w:rsidR="003D2089" w:rsidRPr="00F34B68" w:rsidRDefault="003D2089" w:rsidP="003D2089">
      <w:pPr>
        <w:keepNext/>
        <w:keepLines/>
        <w:autoSpaceDE w:val="0"/>
        <w:autoSpaceDN w:val="0"/>
        <w:adjustRightInd w:val="0"/>
        <w:spacing w:after="0" w:line="240" w:lineRule="auto"/>
        <w:rPr>
          <w:rFonts w:ascii="Verdana" w:hAnsi="Verdana" w:cs="Times New Roman"/>
          <w:sz w:val="18"/>
        </w:rPr>
      </w:pPr>
      <w:r w:rsidRPr="00F34B68">
        <w:rPr>
          <w:rFonts w:ascii="Verdana" w:hAnsi="Verdana" w:cs="Times New Roman"/>
          <w:sz w:val="18"/>
        </w:rPr>
        <w:t>Anaphylactic reaction</w:t>
      </w:r>
      <w:r w:rsidRPr="00F34B68">
        <w:rPr>
          <w:rFonts w:ascii="Verdana" w:hAnsi="Verdana"/>
          <w:sz w:val="18"/>
          <w:lang w:val="en-US"/>
        </w:rPr>
        <w:t>: 1 (0.1%), Grade</w:t>
      </w:r>
      <w:r w:rsidRPr="00F34B68">
        <w:rPr>
          <w:rFonts w:ascii="Verdana" w:hAnsi="Verdana" w:cs="Times New Roman"/>
          <w:sz w:val="18"/>
        </w:rPr>
        <w:t> ≥ 3</w:t>
      </w:r>
      <w:r w:rsidRPr="00F34B68">
        <w:rPr>
          <w:rFonts w:ascii="Verdana" w:hAnsi="Verdana"/>
          <w:sz w:val="18"/>
          <w:lang w:val="en-US"/>
        </w:rPr>
        <w:t xml:space="preserve"> 1 (0.1%), serious: 1 (0.1%)</w:t>
      </w:r>
    </w:p>
    <w:p w14:paraId="43C0A10D" w14:textId="77777777" w:rsidR="003D2089" w:rsidRPr="00F34B68" w:rsidRDefault="003D2089" w:rsidP="003D2089">
      <w:pPr>
        <w:keepNext/>
        <w:keepLines/>
        <w:autoSpaceDE w:val="0"/>
        <w:autoSpaceDN w:val="0"/>
        <w:adjustRightInd w:val="0"/>
        <w:spacing w:after="0" w:line="240" w:lineRule="auto"/>
        <w:rPr>
          <w:rFonts w:ascii="Verdana" w:hAnsi="Verdana" w:cs="Times New Roman"/>
          <w:sz w:val="18"/>
        </w:rPr>
      </w:pPr>
      <w:r w:rsidRPr="00F34B68">
        <w:rPr>
          <w:rFonts w:ascii="Verdana" w:hAnsi="Verdana" w:cs="Times New Roman"/>
          <w:sz w:val="18"/>
        </w:rPr>
        <w:t>Type I hypersensitivity:</w:t>
      </w:r>
      <w:r w:rsidRPr="00F34B68">
        <w:rPr>
          <w:rFonts w:ascii="Verdana" w:hAnsi="Verdana"/>
          <w:sz w:val="18"/>
          <w:lang w:val="en-US"/>
        </w:rPr>
        <w:t xml:space="preserve"> (0.1%), Grade</w:t>
      </w:r>
      <w:r w:rsidRPr="00F34B68">
        <w:rPr>
          <w:rFonts w:ascii="Verdana" w:hAnsi="Verdana" w:cs="Times New Roman"/>
          <w:sz w:val="18"/>
        </w:rPr>
        <w:t> ≥ 3</w:t>
      </w:r>
      <w:r w:rsidRPr="00F34B68">
        <w:rPr>
          <w:rFonts w:ascii="Verdana" w:hAnsi="Verdana"/>
          <w:sz w:val="18"/>
          <w:lang w:val="en-US"/>
        </w:rPr>
        <w:t xml:space="preserve"> 0 (0%), serious: 1 (0.1%)</w:t>
      </w:r>
    </w:p>
    <w:p w14:paraId="4FEF3E2C" w14:textId="77777777" w:rsidR="003D2089" w:rsidRPr="00F34B68" w:rsidRDefault="003D2089" w:rsidP="00623248">
      <w:pPr>
        <w:spacing w:after="120" w:line="240" w:lineRule="auto"/>
        <w:rPr>
          <w:rFonts w:ascii="Verdana" w:hAnsi="Verdana"/>
        </w:rPr>
      </w:pPr>
    </w:p>
    <w:p w14:paraId="2830FEA5" w14:textId="77777777" w:rsidR="003D2089" w:rsidRPr="00F34B68" w:rsidRDefault="003D2089" w:rsidP="00E23B73">
      <w:pPr>
        <w:keepNext/>
        <w:spacing w:after="120" w:line="240" w:lineRule="auto"/>
        <w:rPr>
          <w:rFonts w:ascii="Verdana" w:hAnsi="Verdana"/>
          <w:u w:val="single"/>
        </w:rPr>
      </w:pPr>
      <w:r w:rsidRPr="00F34B68">
        <w:rPr>
          <w:rFonts w:ascii="Verdana" w:hAnsi="Verdana"/>
          <w:u w:val="single"/>
        </w:rPr>
        <w:t>Description of selected adverse reactions</w:t>
      </w:r>
    </w:p>
    <w:p w14:paraId="43B28C98" w14:textId="0DE96B93" w:rsidR="003D2089" w:rsidRPr="00F34B68" w:rsidRDefault="003D2089" w:rsidP="00623248">
      <w:pPr>
        <w:spacing w:after="120" w:line="240" w:lineRule="auto"/>
        <w:rPr>
          <w:rFonts w:ascii="Verdana" w:hAnsi="Verdana"/>
        </w:rPr>
      </w:pPr>
      <w:r w:rsidRPr="00F34B68">
        <w:rPr>
          <w:rFonts w:ascii="Verdana" w:hAnsi="Verdana"/>
        </w:rPr>
        <w:t>Data for the following immune</w:t>
      </w:r>
      <w:r w:rsidRPr="00F34B68">
        <w:rPr>
          <w:rFonts w:ascii="Verdana" w:hAnsi="Verdana"/>
        </w:rPr>
        <w:noBreakHyphen/>
        <w:t xml:space="preserve">related adverse reactions are based on 1650 patients in study 001 in other solid tumours and 88 patients in study 003, who received </w:t>
      </w:r>
      <w:r w:rsidRPr="00F34B68">
        <w:rPr>
          <w:rFonts w:ascii="Verdana" w:eastAsia="HelveticaNeueLTStd-Cn" w:hAnsi="Verdana"/>
          <w:color w:val="000000"/>
        </w:rPr>
        <w:t>avelumab</w:t>
      </w:r>
      <w:r w:rsidR="002C01EF">
        <w:rPr>
          <w:rFonts w:ascii="Verdana" w:eastAsia="HelveticaNeueLTStd-Cn" w:hAnsi="Verdana"/>
          <w:color w:val="000000"/>
        </w:rPr>
        <w:t>,</w:t>
      </w:r>
      <w:r w:rsidRPr="00F34B68">
        <w:rPr>
          <w:rFonts w:ascii="Verdana" w:hAnsi="Verdana"/>
        </w:rPr>
        <w:t xml:space="preserve"> </w:t>
      </w:r>
      <w:r w:rsidR="007845AE">
        <w:rPr>
          <w:rFonts w:ascii="Verdana" w:hAnsi="Verdana"/>
          <w:iCs/>
          <w:lang w:eastAsia="en-GB"/>
        </w:rPr>
        <w:t xml:space="preserve">see </w:t>
      </w:r>
      <w:r w:rsidR="007845AE">
        <w:rPr>
          <w:rFonts w:ascii="Verdana" w:eastAsia="TimesNewRoman" w:hAnsi="Verdana"/>
          <w:lang w:eastAsia="en-GB"/>
        </w:rPr>
        <w:t>section 5.1.</w:t>
      </w:r>
    </w:p>
    <w:p w14:paraId="2B11158A" w14:textId="72C6EC3C" w:rsidR="003D2089" w:rsidRPr="00F34B68" w:rsidRDefault="003D2089" w:rsidP="00623248">
      <w:pPr>
        <w:spacing w:after="120" w:line="240" w:lineRule="auto"/>
        <w:rPr>
          <w:rFonts w:ascii="Verdana" w:hAnsi="Verdana"/>
        </w:rPr>
      </w:pPr>
      <w:r w:rsidRPr="00F34B68">
        <w:rPr>
          <w:rFonts w:ascii="Verdana" w:hAnsi="Verdana"/>
        </w:rPr>
        <w:t xml:space="preserve">The management guidelines for these adverse reactions are described in </w:t>
      </w:r>
      <w:r w:rsidR="007845AE">
        <w:rPr>
          <w:rFonts w:ascii="Verdana" w:eastAsia="TimesNewRoman" w:hAnsi="Verdana"/>
          <w:lang w:eastAsia="en-GB"/>
        </w:rPr>
        <w:t>section 4.4.</w:t>
      </w:r>
    </w:p>
    <w:p w14:paraId="06F5F9E9" w14:textId="42576B48" w:rsidR="003D2089" w:rsidRPr="00F34B68" w:rsidRDefault="003D2089" w:rsidP="006D355D">
      <w:pPr>
        <w:keepNext/>
        <w:spacing w:after="120" w:line="240" w:lineRule="auto"/>
        <w:rPr>
          <w:rFonts w:ascii="Verdana" w:eastAsia="TimesNewRoman" w:hAnsi="Verdana"/>
          <w:i/>
          <w:u w:val="single"/>
          <w:lang w:eastAsia="en-GB"/>
        </w:rPr>
      </w:pPr>
      <w:r w:rsidRPr="00F34B68">
        <w:rPr>
          <w:rFonts w:ascii="Verdana" w:hAnsi="Verdana"/>
          <w:i/>
          <w:iCs/>
          <w:u w:val="single"/>
          <w:lang w:eastAsia="en-GB"/>
        </w:rPr>
        <w:t>Immune</w:t>
      </w:r>
      <w:r w:rsidRPr="00F34B68">
        <w:rPr>
          <w:rFonts w:ascii="Verdana" w:hAnsi="Verdana"/>
          <w:i/>
          <w:iCs/>
          <w:u w:val="single"/>
          <w:lang w:eastAsia="en-GB"/>
        </w:rPr>
        <w:noBreakHyphen/>
        <w:t>related pneumonitis</w:t>
      </w:r>
    </w:p>
    <w:p w14:paraId="645157B9" w14:textId="6AFA0AF1" w:rsidR="003D2089" w:rsidRPr="00F34B68" w:rsidRDefault="003D2089" w:rsidP="00623248">
      <w:pPr>
        <w:spacing w:after="120" w:line="240" w:lineRule="auto"/>
        <w:rPr>
          <w:rFonts w:ascii="Verdana" w:hAnsi="Verdana"/>
          <w:noProof/>
        </w:rPr>
      </w:pPr>
      <w:r w:rsidRPr="00F34B68">
        <w:rPr>
          <w:rFonts w:ascii="Verdana" w:hAnsi="Verdana"/>
          <w:lang w:eastAsia="en-GB"/>
        </w:rPr>
        <w:t>Across clinical studies, 1.2% (21/1738) of patients developed immune</w:t>
      </w:r>
      <w:r w:rsidRPr="00F34B68">
        <w:rPr>
          <w:rFonts w:ascii="Verdana" w:hAnsi="Verdana"/>
          <w:lang w:eastAsia="en-GB"/>
        </w:rPr>
        <w:noBreakHyphen/>
        <w:t>related pneumonitis. Of these patients there was 1 (0.1%) patient with a fatal outcome, 1 (0.1%) patient with Grade 4, 5 (0.3%) patients with Grade 3, immune</w:t>
      </w:r>
      <w:r w:rsidRPr="00F34B68">
        <w:rPr>
          <w:rFonts w:ascii="Verdana" w:hAnsi="Verdana"/>
          <w:lang w:eastAsia="en-GB"/>
        </w:rPr>
        <w:noBreakHyphen/>
        <w:t>related pneumonitis</w:t>
      </w:r>
      <w:r w:rsidR="00B90F64" w:rsidRPr="00F34B68">
        <w:rPr>
          <w:rFonts w:ascii="Verdana" w:hAnsi="Verdana"/>
          <w:noProof/>
        </w:rPr>
        <w:t>.</w:t>
      </w:r>
    </w:p>
    <w:p w14:paraId="3D7EDCF0" w14:textId="0CFD03FC" w:rsidR="003D2089" w:rsidRPr="00F34B68" w:rsidRDefault="003D2089" w:rsidP="00623248">
      <w:pPr>
        <w:spacing w:after="120" w:line="240" w:lineRule="auto"/>
        <w:rPr>
          <w:rFonts w:ascii="Verdana" w:hAnsi="Verdana"/>
          <w:lang w:eastAsia="en-GB"/>
        </w:rPr>
      </w:pPr>
      <w:r w:rsidRPr="00F34B68">
        <w:rPr>
          <w:rFonts w:ascii="Verdana" w:hAnsi="Verdana"/>
          <w:lang w:eastAsia="en-GB"/>
        </w:rPr>
        <w:t>The median time to onset of immune</w:t>
      </w:r>
      <w:r w:rsidRPr="00F34B68">
        <w:rPr>
          <w:rFonts w:ascii="Verdana" w:hAnsi="Verdana"/>
          <w:lang w:eastAsia="en-GB"/>
        </w:rPr>
        <w:noBreakHyphen/>
        <w:t xml:space="preserve">related pneumonitis was 2.5 months (range: 3 days to 11 months). </w:t>
      </w:r>
      <w:r w:rsidRPr="00F34B68" w:rsidDel="004458F0">
        <w:rPr>
          <w:rFonts w:ascii="Verdana" w:hAnsi="Verdana"/>
          <w:lang w:eastAsia="en-GB"/>
        </w:rPr>
        <w:t xml:space="preserve">The median duration was </w:t>
      </w:r>
      <w:r w:rsidRPr="00F34B68">
        <w:rPr>
          <w:rFonts w:ascii="Verdana" w:hAnsi="Verdana"/>
          <w:lang w:eastAsia="en-GB"/>
        </w:rPr>
        <w:t xml:space="preserve">7 weeks </w:t>
      </w:r>
      <w:r w:rsidRPr="00F34B68" w:rsidDel="004458F0">
        <w:rPr>
          <w:rFonts w:ascii="Verdana" w:hAnsi="Verdana"/>
          <w:lang w:eastAsia="en-GB"/>
        </w:rPr>
        <w:t xml:space="preserve">(range: </w:t>
      </w:r>
      <w:r w:rsidRPr="00F34B68">
        <w:rPr>
          <w:rFonts w:ascii="Verdana" w:hAnsi="Verdana"/>
          <w:lang w:eastAsia="en-GB"/>
        </w:rPr>
        <w:t>4 </w:t>
      </w:r>
      <w:r w:rsidRPr="00F34B68" w:rsidDel="004458F0">
        <w:rPr>
          <w:rFonts w:ascii="Verdana" w:hAnsi="Verdana"/>
          <w:lang w:eastAsia="en-GB"/>
        </w:rPr>
        <w:t xml:space="preserve">days to </w:t>
      </w:r>
      <w:r w:rsidRPr="00F34B68">
        <w:rPr>
          <w:rFonts w:ascii="Verdana" w:hAnsi="Verdana"/>
          <w:lang w:eastAsia="en-GB"/>
        </w:rPr>
        <w:t>more than 4 </w:t>
      </w:r>
      <w:r w:rsidRPr="00F34B68" w:rsidDel="004458F0">
        <w:rPr>
          <w:rFonts w:ascii="Verdana" w:hAnsi="Verdana"/>
          <w:lang w:eastAsia="en-GB"/>
        </w:rPr>
        <w:t>months).</w:t>
      </w:r>
    </w:p>
    <w:p w14:paraId="5123F836" w14:textId="5461C084" w:rsidR="003D2089" w:rsidRPr="00F34B68" w:rsidRDefault="003D2089" w:rsidP="00623248">
      <w:pPr>
        <w:spacing w:after="120" w:line="240" w:lineRule="auto"/>
        <w:rPr>
          <w:rFonts w:ascii="Verdana" w:eastAsia="TimesNewRoman" w:hAnsi="Verdana"/>
          <w:iCs/>
          <w:u w:val="single"/>
          <w:lang w:eastAsia="en-GB"/>
        </w:rPr>
      </w:pPr>
      <w:r w:rsidRPr="00F34B68">
        <w:rPr>
          <w:rFonts w:ascii="Verdana" w:eastAsia="HelveticaNeueLTStd-Cn" w:hAnsi="Verdana"/>
          <w:color w:val="000000"/>
        </w:rPr>
        <w:t>Avelumab</w:t>
      </w:r>
      <w:r w:rsidRPr="00F34B68">
        <w:rPr>
          <w:rFonts w:ascii="Verdana" w:hAnsi="Verdana"/>
          <w:lang w:eastAsia="en-GB"/>
        </w:rPr>
        <w:t xml:space="preserve"> was discontinued in 0.3% (6/1,738) </w:t>
      </w:r>
      <w:r w:rsidR="00502B50">
        <w:rPr>
          <w:rFonts w:ascii="Verdana" w:hAnsi="Verdana"/>
          <w:lang w:eastAsia="en-GB"/>
        </w:rPr>
        <w:t xml:space="preserve">of </w:t>
      </w:r>
      <w:r w:rsidRPr="00F34B68">
        <w:rPr>
          <w:rFonts w:ascii="Verdana" w:hAnsi="Verdana"/>
          <w:lang w:eastAsia="en-GB"/>
        </w:rPr>
        <w:t xml:space="preserve">patients </w:t>
      </w:r>
      <w:r w:rsidR="00502B50">
        <w:rPr>
          <w:rFonts w:ascii="Verdana" w:hAnsi="Verdana"/>
          <w:lang w:eastAsia="en-GB"/>
        </w:rPr>
        <w:t>due to immune-related pneumonitis. A</w:t>
      </w:r>
      <w:r w:rsidRPr="00F34B68">
        <w:rPr>
          <w:rFonts w:ascii="Verdana" w:hAnsi="Verdana"/>
          <w:lang w:eastAsia="en-GB"/>
        </w:rPr>
        <w:t xml:space="preserve">ll 21 patients </w:t>
      </w:r>
      <w:r w:rsidR="00CB76CD" w:rsidRPr="00F34B68">
        <w:rPr>
          <w:rFonts w:ascii="Verdana" w:hAnsi="Verdana"/>
          <w:lang w:eastAsia="en-GB"/>
        </w:rPr>
        <w:t>with immune-related pneumonitis</w:t>
      </w:r>
      <w:r w:rsidR="001A22D6">
        <w:rPr>
          <w:rFonts w:ascii="Verdana" w:hAnsi="Verdana"/>
          <w:lang w:eastAsia="en-GB"/>
        </w:rPr>
        <w:t xml:space="preserve"> </w:t>
      </w:r>
      <w:r w:rsidRPr="00F34B68">
        <w:rPr>
          <w:rFonts w:ascii="Verdana" w:hAnsi="Verdana"/>
          <w:lang w:eastAsia="en-GB"/>
        </w:rPr>
        <w:t>were treated with corticosteroids and 17 (81%) of the 21 patients were treated with high-dose corticosteroids for a median of 8 days (range: 1 day to 2.3 months). Immune</w:t>
      </w:r>
      <w:r w:rsidRPr="00F34B68">
        <w:rPr>
          <w:rFonts w:ascii="Verdana" w:hAnsi="Verdana"/>
          <w:lang w:eastAsia="en-GB"/>
        </w:rPr>
        <w:noBreakHyphen/>
        <w:t>related pneumonitis resolved in 12 (57%) of the 21 patients at the time of data cut</w:t>
      </w:r>
      <w:r w:rsidRPr="00F34B68">
        <w:rPr>
          <w:rFonts w:ascii="Verdana" w:hAnsi="Verdana"/>
          <w:lang w:eastAsia="en-GB"/>
        </w:rPr>
        <w:noBreakHyphen/>
        <w:t>off.</w:t>
      </w:r>
    </w:p>
    <w:p w14:paraId="5BDDBC42" w14:textId="6CFD0915" w:rsidR="003D2089" w:rsidRPr="00F34B68" w:rsidRDefault="00B90F64" w:rsidP="00623248">
      <w:pPr>
        <w:spacing w:after="120" w:line="240" w:lineRule="auto"/>
        <w:rPr>
          <w:rFonts w:ascii="Verdana" w:eastAsia="TimesNewRoman" w:hAnsi="Verdana"/>
          <w:i/>
          <w:iCs/>
          <w:u w:val="single"/>
          <w:lang w:eastAsia="en-GB"/>
        </w:rPr>
      </w:pPr>
      <w:r w:rsidRPr="00F34B68">
        <w:rPr>
          <w:rFonts w:ascii="Verdana" w:eastAsia="TimesNewRoman" w:hAnsi="Verdana"/>
          <w:i/>
          <w:iCs/>
          <w:u w:val="single"/>
          <w:lang w:eastAsia="en-GB"/>
        </w:rPr>
        <w:t>Immune</w:t>
      </w:r>
      <w:r w:rsidRPr="00F34B68">
        <w:rPr>
          <w:rFonts w:ascii="Verdana" w:eastAsia="TimesNewRoman" w:hAnsi="Verdana"/>
          <w:i/>
          <w:iCs/>
          <w:u w:val="single"/>
          <w:lang w:eastAsia="en-GB"/>
        </w:rPr>
        <w:noBreakHyphen/>
        <w:t>related hepatitis</w:t>
      </w:r>
    </w:p>
    <w:p w14:paraId="20C33FD9" w14:textId="39897370" w:rsidR="003D2089" w:rsidRPr="00F34B68" w:rsidRDefault="003D2089" w:rsidP="00623248">
      <w:pPr>
        <w:spacing w:after="120" w:line="240" w:lineRule="auto"/>
        <w:rPr>
          <w:rFonts w:ascii="Verdana" w:hAnsi="Verdana"/>
          <w:noProof/>
        </w:rPr>
      </w:pPr>
      <w:r w:rsidRPr="00F34B68">
        <w:rPr>
          <w:rFonts w:ascii="Verdana" w:hAnsi="Verdana"/>
          <w:lang w:eastAsia="en-GB"/>
        </w:rPr>
        <w:t>Across clinical studies, 0.9% (16/1738) of patients developed immune</w:t>
      </w:r>
      <w:r w:rsidRPr="00F34B68">
        <w:rPr>
          <w:rFonts w:ascii="Verdana" w:hAnsi="Verdana"/>
          <w:lang w:eastAsia="en-GB"/>
        </w:rPr>
        <w:noBreakHyphen/>
        <w:t>related hepatitis. Of these patients there were 2 (0.1%) patients with a fatal outcome, 11 (0.6%) patients with Grade 3 immune</w:t>
      </w:r>
      <w:r w:rsidRPr="00F34B68">
        <w:rPr>
          <w:rFonts w:ascii="Verdana" w:hAnsi="Verdana"/>
          <w:lang w:eastAsia="en-GB"/>
        </w:rPr>
        <w:noBreakHyphen/>
        <w:t>related hepatitis</w:t>
      </w:r>
      <w:r w:rsidR="00B90F64" w:rsidRPr="00F34B68">
        <w:rPr>
          <w:rFonts w:ascii="Verdana" w:hAnsi="Verdana"/>
          <w:noProof/>
        </w:rPr>
        <w:t>.</w:t>
      </w:r>
    </w:p>
    <w:p w14:paraId="7D753322" w14:textId="77777777" w:rsidR="003D2089" w:rsidRPr="00F34B68" w:rsidRDefault="003D2089" w:rsidP="00623248">
      <w:pPr>
        <w:spacing w:after="120" w:line="240" w:lineRule="auto"/>
        <w:rPr>
          <w:rFonts w:ascii="Verdana" w:hAnsi="Verdana"/>
          <w:lang w:eastAsia="en-GB"/>
        </w:rPr>
      </w:pPr>
      <w:r w:rsidRPr="00F34B68">
        <w:rPr>
          <w:rFonts w:ascii="Verdana" w:hAnsi="Verdana"/>
          <w:lang w:eastAsia="en-GB"/>
        </w:rPr>
        <w:lastRenderedPageBreak/>
        <w:t xml:space="preserve">The median time to onset of </w:t>
      </w:r>
      <w:r w:rsidRPr="00F34B68">
        <w:rPr>
          <w:rFonts w:ascii="Verdana" w:hAnsi="Verdana"/>
          <w:noProof/>
        </w:rPr>
        <w:t>immune</w:t>
      </w:r>
      <w:r w:rsidRPr="00F34B68">
        <w:rPr>
          <w:rFonts w:ascii="Verdana" w:hAnsi="Verdana"/>
          <w:noProof/>
        </w:rPr>
        <w:noBreakHyphen/>
        <w:t>related</w:t>
      </w:r>
      <w:r w:rsidRPr="00F34B68">
        <w:rPr>
          <w:rFonts w:ascii="Verdana" w:hAnsi="Verdana"/>
          <w:lang w:eastAsia="en-GB"/>
        </w:rPr>
        <w:t xml:space="preserve"> hepatitis was 3.2 months (range: 1 week to 15 months).</w:t>
      </w:r>
      <w:r w:rsidRPr="00F34B68" w:rsidDel="004458F0">
        <w:rPr>
          <w:rFonts w:ascii="Verdana" w:hAnsi="Verdana"/>
          <w:lang w:eastAsia="en-GB"/>
        </w:rPr>
        <w:t xml:space="preserve"> The median duration was </w:t>
      </w:r>
      <w:r w:rsidRPr="00F34B68">
        <w:rPr>
          <w:rFonts w:ascii="Verdana" w:hAnsi="Verdana"/>
          <w:lang w:eastAsia="en-GB"/>
        </w:rPr>
        <w:t>2.5 months</w:t>
      </w:r>
      <w:r w:rsidRPr="00F34B68" w:rsidDel="004458F0">
        <w:rPr>
          <w:rFonts w:ascii="Verdana" w:hAnsi="Verdana"/>
          <w:lang w:eastAsia="en-GB"/>
        </w:rPr>
        <w:t xml:space="preserve"> (range: </w:t>
      </w:r>
      <w:r w:rsidRPr="00F34B68">
        <w:rPr>
          <w:rFonts w:ascii="Verdana" w:hAnsi="Verdana"/>
          <w:lang w:eastAsia="en-GB"/>
        </w:rPr>
        <w:t>1</w:t>
      </w:r>
      <w:r w:rsidRPr="00F34B68" w:rsidDel="004458F0">
        <w:rPr>
          <w:rFonts w:ascii="Verdana" w:hAnsi="Verdana"/>
          <w:lang w:eastAsia="en-GB"/>
        </w:rPr>
        <w:t xml:space="preserve"> day to </w:t>
      </w:r>
      <w:r w:rsidRPr="00F34B68">
        <w:rPr>
          <w:rFonts w:ascii="Verdana" w:hAnsi="Verdana"/>
          <w:lang w:eastAsia="en-GB"/>
        </w:rPr>
        <w:t>more than 7.4 months</w:t>
      </w:r>
      <w:r w:rsidRPr="00F34B68" w:rsidDel="004458F0">
        <w:rPr>
          <w:rFonts w:ascii="Verdana" w:hAnsi="Verdana"/>
          <w:lang w:eastAsia="en-GB"/>
        </w:rPr>
        <w:t>).</w:t>
      </w:r>
    </w:p>
    <w:p w14:paraId="15B51CA0" w14:textId="49646D54" w:rsidR="003D2089" w:rsidRPr="00F34B68" w:rsidRDefault="003D2089" w:rsidP="00623248">
      <w:pPr>
        <w:spacing w:after="120" w:line="240" w:lineRule="auto"/>
        <w:rPr>
          <w:rFonts w:ascii="Verdana" w:hAnsi="Verdana"/>
          <w:lang w:eastAsia="en-GB"/>
        </w:rPr>
      </w:pPr>
      <w:r w:rsidRPr="00F34B68">
        <w:rPr>
          <w:rFonts w:ascii="Verdana" w:eastAsia="HelveticaNeueLTStd-Cn" w:hAnsi="Verdana"/>
          <w:color w:val="000000"/>
        </w:rPr>
        <w:t>Avelumab</w:t>
      </w:r>
      <w:r w:rsidRPr="00F34B68">
        <w:rPr>
          <w:rFonts w:ascii="Verdana" w:hAnsi="Verdana"/>
          <w:lang w:eastAsia="en-GB"/>
        </w:rPr>
        <w:t xml:space="preserve"> was discontinued in 0.5% (9/1,738) of patients due to immune-related hepatitis.  All 16 patients with immune-related hepatitis treated with corticosteroids and 15 (94%) of the 16 patients received high dose corticosteroids for a median of 14 days (range: 1 day to 2.5 months).  I</w:t>
      </w:r>
      <w:r w:rsidRPr="00F34B68">
        <w:rPr>
          <w:rFonts w:ascii="Verdana" w:hAnsi="Verdana"/>
          <w:noProof/>
        </w:rPr>
        <w:t>mmune</w:t>
      </w:r>
      <w:r w:rsidRPr="00F34B68">
        <w:rPr>
          <w:rFonts w:ascii="Verdana" w:hAnsi="Verdana"/>
          <w:noProof/>
        </w:rPr>
        <w:noBreakHyphen/>
        <w:t>related</w:t>
      </w:r>
      <w:r w:rsidRPr="00F34B68">
        <w:rPr>
          <w:rFonts w:ascii="Verdana" w:hAnsi="Verdana"/>
          <w:lang w:eastAsia="en-GB"/>
        </w:rPr>
        <w:t xml:space="preserve"> hepatitis resolved in 9 (56%) of 16 patien</w:t>
      </w:r>
      <w:r w:rsidR="00B90F64" w:rsidRPr="00F34B68">
        <w:rPr>
          <w:rFonts w:ascii="Verdana" w:hAnsi="Verdana"/>
          <w:lang w:eastAsia="en-GB"/>
        </w:rPr>
        <w:t>ts at the time of data cut</w:t>
      </w:r>
      <w:r w:rsidR="00B90F64" w:rsidRPr="00F34B68">
        <w:rPr>
          <w:rFonts w:ascii="Verdana" w:hAnsi="Verdana"/>
          <w:lang w:eastAsia="en-GB"/>
        </w:rPr>
        <w:noBreakHyphen/>
        <w:t>off.</w:t>
      </w:r>
    </w:p>
    <w:p w14:paraId="108D5D65" w14:textId="1B0A9DE3" w:rsidR="003D2089" w:rsidRPr="00F34B68" w:rsidRDefault="00B90F64" w:rsidP="00E23B73">
      <w:pPr>
        <w:keepNext/>
        <w:spacing w:after="120" w:line="240" w:lineRule="auto"/>
        <w:rPr>
          <w:rFonts w:ascii="Verdana" w:eastAsia="TimesNewRoman" w:hAnsi="Verdana"/>
          <w:i/>
          <w:iCs/>
          <w:u w:val="single"/>
          <w:lang w:eastAsia="en-GB"/>
        </w:rPr>
      </w:pPr>
      <w:r w:rsidRPr="00F34B68">
        <w:rPr>
          <w:rFonts w:ascii="Verdana" w:eastAsia="TimesNewRoman" w:hAnsi="Verdana"/>
          <w:i/>
          <w:iCs/>
          <w:u w:val="single"/>
          <w:lang w:eastAsia="en-GB"/>
        </w:rPr>
        <w:t>Immune</w:t>
      </w:r>
      <w:r w:rsidRPr="00F34B68">
        <w:rPr>
          <w:rFonts w:ascii="Verdana" w:eastAsia="TimesNewRoman" w:hAnsi="Verdana"/>
          <w:i/>
          <w:iCs/>
          <w:u w:val="single"/>
          <w:lang w:eastAsia="en-GB"/>
        </w:rPr>
        <w:noBreakHyphen/>
        <w:t>related colitis</w:t>
      </w:r>
    </w:p>
    <w:p w14:paraId="76980CD0" w14:textId="6A24043A" w:rsidR="003D2089" w:rsidRPr="00F34B68" w:rsidRDefault="003D2089" w:rsidP="00623248">
      <w:pPr>
        <w:spacing w:after="120" w:line="240" w:lineRule="auto"/>
        <w:rPr>
          <w:rFonts w:ascii="Verdana" w:hAnsi="Verdana"/>
          <w:noProof/>
        </w:rPr>
      </w:pPr>
      <w:r w:rsidRPr="00F34B68">
        <w:rPr>
          <w:rFonts w:ascii="Verdana" w:hAnsi="Verdana"/>
          <w:lang w:eastAsia="en-GB"/>
        </w:rPr>
        <w:t>Across clinical studies, 1.5% (26/1738) of patients developed immune</w:t>
      </w:r>
      <w:r w:rsidRPr="00F34B68">
        <w:rPr>
          <w:rFonts w:ascii="Verdana" w:hAnsi="Verdana"/>
          <w:lang w:eastAsia="en-GB"/>
        </w:rPr>
        <w:noBreakHyphen/>
        <w:t>related colitis. Of these patients there were 7 (0.4%) patients with Grade 3immune</w:t>
      </w:r>
      <w:r w:rsidRPr="00F34B68">
        <w:rPr>
          <w:rFonts w:ascii="Verdana" w:hAnsi="Verdana"/>
          <w:lang w:eastAsia="en-GB"/>
        </w:rPr>
        <w:noBreakHyphen/>
        <w:t>related colitis</w:t>
      </w:r>
      <w:r w:rsidR="00B90F64" w:rsidRPr="00F34B68">
        <w:rPr>
          <w:rFonts w:ascii="Verdana" w:hAnsi="Verdana"/>
          <w:noProof/>
        </w:rPr>
        <w:t>.</w:t>
      </w:r>
    </w:p>
    <w:p w14:paraId="5C480B31" w14:textId="7E1F103F" w:rsidR="003D2089" w:rsidRPr="00F34B68" w:rsidRDefault="003D2089" w:rsidP="00623248">
      <w:pPr>
        <w:spacing w:after="120" w:line="240" w:lineRule="auto"/>
        <w:rPr>
          <w:rFonts w:ascii="Verdana" w:hAnsi="Verdana"/>
          <w:lang w:eastAsia="en-GB"/>
        </w:rPr>
      </w:pPr>
      <w:r w:rsidRPr="00F34B68">
        <w:rPr>
          <w:rFonts w:ascii="Verdana" w:hAnsi="Verdana"/>
          <w:lang w:eastAsia="en-GB"/>
        </w:rPr>
        <w:t>The median time to onset of immune</w:t>
      </w:r>
      <w:r w:rsidRPr="00F34B68">
        <w:rPr>
          <w:rFonts w:ascii="Verdana" w:hAnsi="Verdana"/>
          <w:lang w:eastAsia="en-GB"/>
        </w:rPr>
        <w:noBreakHyphen/>
        <w:t>related colitis was 2.1 months (range: 2 days to 11 months). The median duration was 6 weeks (range: 1 </w:t>
      </w:r>
      <w:r w:rsidRPr="00F34B68" w:rsidDel="004458F0">
        <w:rPr>
          <w:rFonts w:ascii="Verdana" w:hAnsi="Verdana"/>
          <w:lang w:eastAsia="en-GB"/>
        </w:rPr>
        <w:t>d</w:t>
      </w:r>
      <w:r w:rsidRPr="00F34B68">
        <w:rPr>
          <w:rFonts w:ascii="Verdana" w:hAnsi="Verdana"/>
          <w:lang w:eastAsia="en-GB"/>
        </w:rPr>
        <w:t>ay to more than 14 </w:t>
      </w:r>
      <w:r w:rsidRPr="00F34B68" w:rsidDel="004458F0">
        <w:rPr>
          <w:rFonts w:ascii="Verdana" w:hAnsi="Verdana"/>
          <w:lang w:eastAsia="en-GB"/>
        </w:rPr>
        <w:t>months).</w:t>
      </w:r>
    </w:p>
    <w:p w14:paraId="4B316C96" w14:textId="01E0D1B1" w:rsidR="003D2089" w:rsidRPr="00F34B68" w:rsidRDefault="003D2089" w:rsidP="00623248">
      <w:pPr>
        <w:spacing w:after="120" w:line="240" w:lineRule="auto"/>
        <w:rPr>
          <w:rFonts w:ascii="Verdana" w:hAnsi="Verdana"/>
          <w:lang w:eastAsia="en-GB"/>
        </w:rPr>
      </w:pPr>
      <w:r w:rsidRPr="00F34B68">
        <w:rPr>
          <w:rFonts w:ascii="Verdana" w:eastAsia="HelveticaNeueLTStd-Cn" w:hAnsi="Verdana"/>
          <w:color w:val="000000"/>
        </w:rPr>
        <w:t>Avelumab</w:t>
      </w:r>
      <w:r w:rsidRPr="00F34B68">
        <w:rPr>
          <w:rFonts w:ascii="Verdana" w:hAnsi="Verdana"/>
          <w:lang w:eastAsia="en-GB"/>
        </w:rPr>
        <w:t xml:space="preserve"> was discontinued in 0.5% (9/1,738) patients due to immune-related colitis. All 26 patients with immune-related colitis were treated with corticosteroids and 15 (58%) of the 26 patients received high-dose corticosteroids for a median of 19 days (range: 1 day to 2.3 months). Immune</w:t>
      </w:r>
      <w:r w:rsidRPr="00F34B68">
        <w:rPr>
          <w:rFonts w:ascii="Verdana" w:hAnsi="Verdana"/>
          <w:lang w:eastAsia="en-GB"/>
        </w:rPr>
        <w:noBreakHyphen/>
        <w:t>related colitis resolved in 18 (70%) of 26 patien</w:t>
      </w:r>
      <w:r w:rsidR="00B90F64" w:rsidRPr="00F34B68">
        <w:rPr>
          <w:rFonts w:ascii="Verdana" w:hAnsi="Verdana"/>
          <w:lang w:eastAsia="en-GB"/>
        </w:rPr>
        <w:t>ts at the time of data cut</w:t>
      </w:r>
      <w:r w:rsidR="00B90F64" w:rsidRPr="00F34B68">
        <w:rPr>
          <w:rFonts w:ascii="Verdana" w:hAnsi="Verdana"/>
          <w:lang w:eastAsia="en-GB"/>
        </w:rPr>
        <w:noBreakHyphen/>
        <w:t>off.</w:t>
      </w:r>
    </w:p>
    <w:p w14:paraId="4EBD4C63" w14:textId="480130CE" w:rsidR="003D2089" w:rsidRPr="00F34B68" w:rsidRDefault="00B90F64" w:rsidP="00E23B73">
      <w:pPr>
        <w:keepNext/>
        <w:spacing w:after="120" w:line="240" w:lineRule="auto"/>
        <w:rPr>
          <w:rFonts w:ascii="Verdana" w:hAnsi="Verdana"/>
          <w:i/>
          <w:iCs/>
          <w:u w:val="single"/>
          <w:lang w:eastAsia="en-GB"/>
        </w:rPr>
      </w:pPr>
      <w:r w:rsidRPr="00F34B68">
        <w:rPr>
          <w:rFonts w:ascii="Verdana" w:hAnsi="Verdana"/>
          <w:i/>
          <w:iCs/>
          <w:u w:val="single"/>
          <w:lang w:eastAsia="en-GB"/>
        </w:rPr>
        <w:t>Immune</w:t>
      </w:r>
      <w:r w:rsidRPr="00F34B68">
        <w:rPr>
          <w:rFonts w:ascii="Verdana" w:hAnsi="Verdana"/>
          <w:i/>
          <w:iCs/>
          <w:u w:val="single"/>
          <w:lang w:eastAsia="en-GB"/>
        </w:rPr>
        <w:noBreakHyphen/>
        <w:t>related endocrinopathies</w:t>
      </w:r>
    </w:p>
    <w:p w14:paraId="4F285E50" w14:textId="77777777" w:rsidR="003D2089" w:rsidRPr="00F34B68" w:rsidRDefault="003D2089" w:rsidP="00623248">
      <w:pPr>
        <w:spacing w:after="120" w:line="240" w:lineRule="auto"/>
        <w:rPr>
          <w:rFonts w:ascii="Verdana" w:hAnsi="Verdana"/>
          <w:i/>
        </w:rPr>
      </w:pPr>
      <w:r w:rsidRPr="00F34B68">
        <w:rPr>
          <w:rFonts w:ascii="Verdana" w:hAnsi="Verdana"/>
          <w:i/>
        </w:rPr>
        <w:t>Thyroid disorders</w:t>
      </w:r>
    </w:p>
    <w:p w14:paraId="3711529C" w14:textId="41862D7B" w:rsidR="003D2089" w:rsidRPr="00F34B68" w:rsidRDefault="003D2089" w:rsidP="00623248">
      <w:pPr>
        <w:spacing w:after="120" w:line="240" w:lineRule="auto"/>
        <w:rPr>
          <w:rFonts w:ascii="Verdana" w:hAnsi="Verdana"/>
          <w:noProof/>
        </w:rPr>
      </w:pPr>
      <w:r w:rsidRPr="00F34B68">
        <w:rPr>
          <w:rFonts w:ascii="Verdana" w:hAnsi="Verdana"/>
          <w:noProof/>
        </w:rPr>
        <w:t>Across clinical studies, 5.6% (98/1738) of patients developed immune</w:t>
      </w:r>
      <w:r w:rsidRPr="00F34B68">
        <w:rPr>
          <w:rFonts w:ascii="Verdana" w:hAnsi="Verdana"/>
          <w:noProof/>
        </w:rPr>
        <w:noBreakHyphen/>
        <w:t>related thyroid disorders, of which 90 (5%) patients with hypothyroidism, 7 (0.4%) with hyperthyroidism, and 4 (0.2%) with thyroiditis. Of these patients there were 3 (0.2%) patient with Grade 3im</w:t>
      </w:r>
      <w:r w:rsidR="00B90F64" w:rsidRPr="00F34B68">
        <w:rPr>
          <w:rFonts w:ascii="Verdana" w:hAnsi="Verdana"/>
          <w:noProof/>
        </w:rPr>
        <w:t>mune</w:t>
      </w:r>
      <w:r w:rsidR="00B90F64" w:rsidRPr="00F34B68">
        <w:rPr>
          <w:rFonts w:ascii="Verdana" w:hAnsi="Verdana"/>
          <w:noProof/>
        </w:rPr>
        <w:noBreakHyphen/>
        <w:t>related thyroid disorders.</w:t>
      </w:r>
    </w:p>
    <w:p w14:paraId="0CA9E006" w14:textId="35ACC1B4" w:rsidR="003D2089" w:rsidRPr="00F34B68" w:rsidRDefault="003D2089" w:rsidP="00623248">
      <w:pPr>
        <w:spacing w:after="120" w:line="240" w:lineRule="auto"/>
        <w:rPr>
          <w:rFonts w:ascii="Verdana" w:hAnsi="Verdana"/>
          <w:lang w:eastAsia="en-GB"/>
        </w:rPr>
      </w:pPr>
      <w:r w:rsidRPr="00F34B68">
        <w:rPr>
          <w:rFonts w:ascii="Verdana" w:hAnsi="Verdana"/>
          <w:lang w:eastAsia="en-GB"/>
        </w:rPr>
        <w:t xml:space="preserve">The median time to onset of thyroid disorders was 2.8 months (range: 2 weeks to 13 months). </w:t>
      </w:r>
      <w:r w:rsidRPr="00F34B68" w:rsidDel="004458F0">
        <w:rPr>
          <w:rFonts w:ascii="Verdana" w:hAnsi="Verdana"/>
          <w:lang w:eastAsia="en-GB"/>
        </w:rPr>
        <w:t xml:space="preserve">The median duration was </w:t>
      </w:r>
      <w:r w:rsidRPr="00F34B68">
        <w:rPr>
          <w:rFonts w:ascii="Verdana" w:hAnsi="Verdana"/>
          <w:lang w:eastAsia="en-GB"/>
        </w:rPr>
        <w:t>not estimable</w:t>
      </w:r>
      <w:r w:rsidRPr="00F34B68" w:rsidDel="004458F0">
        <w:rPr>
          <w:rFonts w:ascii="Verdana" w:hAnsi="Verdana"/>
          <w:lang w:eastAsia="en-GB"/>
        </w:rPr>
        <w:t xml:space="preserve"> (range: </w:t>
      </w:r>
      <w:r w:rsidRPr="00F34B68">
        <w:rPr>
          <w:rFonts w:ascii="Verdana" w:hAnsi="Verdana"/>
          <w:lang w:eastAsia="en-GB"/>
        </w:rPr>
        <w:t>1 day to more than 26 </w:t>
      </w:r>
      <w:r w:rsidRPr="00F34B68" w:rsidDel="004458F0">
        <w:rPr>
          <w:rFonts w:ascii="Verdana" w:hAnsi="Verdana"/>
          <w:lang w:eastAsia="en-GB"/>
        </w:rPr>
        <w:t>months</w:t>
      </w:r>
      <w:r w:rsidR="00B90F64" w:rsidRPr="00F34B68">
        <w:rPr>
          <w:rFonts w:ascii="Verdana" w:hAnsi="Verdana"/>
          <w:lang w:eastAsia="en-GB"/>
        </w:rPr>
        <w:t>).</w:t>
      </w:r>
    </w:p>
    <w:p w14:paraId="6F653583" w14:textId="49E17956" w:rsidR="003D2089" w:rsidRPr="00F34B68" w:rsidRDefault="003D2089" w:rsidP="00623248">
      <w:pPr>
        <w:spacing w:after="120" w:line="240" w:lineRule="auto"/>
        <w:rPr>
          <w:rFonts w:ascii="Verdana" w:hAnsi="Verdana"/>
          <w:lang w:eastAsia="en-GB"/>
        </w:rPr>
      </w:pPr>
      <w:r w:rsidRPr="00F34B68">
        <w:rPr>
          <w:rFonts w:ascii="Verdana" w:eastAsia="HelveticaNeueLTStd-Cn" w:hAnsi="Verdana"/>
          <w:color w:val="000000"/>
        </w:rPr>
        <w:t>Avelumab</w:t>
      </w:r>
      <w:r w:rsidRPr="00F34B68">
        <w:rPr>
          <w:rFonts w:ascii="Verdana" w:hAnsi="Verdana"/>
          <w:lang w:eastAsia="en-GB"/>
        </w:rPr>
        <w:t xml:space="preserve"> was discontinued in 0.1% (2/1,738) of patients due to immune-related thyroid disorders. Thyroid disorders resolved in 7 (7%) of the 98 patien</w:t>
      </w:r>
      <w:r w:rsidR="00B90F64" w:rsidRPr="00F34B68">
        <w:rPr>
          <w:rFonts w:ascii="Verdana" w:hAnsi="Verdana"/>
          <w:lang w:eastAsia="en-GB"/>
        </w:rPr>
        <w:t>ts at the time of data cut</w:t>
      </w:r>
      <w:r w:rsidR="00B90F64" w:rsidRPr="00F34B68">
        <w:rPr>
          <w:rFonts w:ascii="Verdana" w:hAnsi="Verdana"/>
          <w:lang w:eastAsia="en-GB"/>
        </w:rPr>
        <w:noBreakHyphen/>
        <w:t>off.</w:t>
      </w:r>
    </w:p>
    <w:p w14:paraId="18C2CF50" w14:textId="77777777" w:rsidR="003D2089" w:rsidRPr="00F34B68" w:rsidRDefault="003D2089" w:rsidP="00623248">
      <w:pPr>
        <w:spacing w:after="120" w:line="240" w:lineRule="auto"/>
        <w:rPr>
          <w:rFonts w:ascii="Verdana" w:hAnsi="Verdana"/>
          <w:i/>
          <w:iCs/>
          <w:lang w:eastAsia="en-GB"/>
        </w:rPr>
      </w:pPr>
      <w:r w:rsidRPr="00F34B68">
        <w:rPr>
          <w:rFonts w:ascii="Verdana" w:hAnsi="Verdana"/>
          <w:i/>
          <w:lang w:eastAsia="en-GB"/>
        </w:rPr>
        <w:t>Adrenal insufficiency</w:t>
      </w:r>
    </w:p>
    <w:p w14:paraId="553CD18F" w14:textId="538B8DE4" w:rsidR="003D2089" w:rsidRPr="00F34B68" w:rsidRDefault="003D2089" w:rsidP="00623248">
      <w:pPr>
        <w:spacing w:after="120" w:line="240" w:lineRule="auto"/>
        <w:rPr>
          <w:rFonts w:ascii="Verdana" w:hAnsi="Verdana"/>
          <w:lang w:eastAsia="en-GB"/>
        </w:rPr>
      </w:pPr>
      <w:r w:rsidRPr="00F34B68">
        <w:rPr>
          <w:rFonts w:ascii="Verdana" w:hAnsi="Verdana"/>
          <w:lang w:eastAsia="en-GB"/>
        </w:rPr>
        <w:t>Across clinical studies, 0.5% (8/1738) of patients developed immune</w:t>
      </w:r>
      <w:r w:rsidRPr="00F34B68">
        <w:rPr>
          <w:rFonts w:ascii="Verdana" w:hAnsi="Verdana"/>
          <w:lang w:eastAsia="en-GB"/>
        </w:rPr>
        <w:noBreakHyphen/>
        <w:t>related adrenal insufficiency. Of these patients, there was 1 (0.1%) patient with Grade 3</w:t>
      </w:r>
      <w:r w:rsidR="00B43808">
        <w:rPr>
          <w:rFonts w:ascii="Verdana" w:hAnsi="Verdana"/>
          <w:lang w:eastAsia="en-GB"/>
        </w:rPr>
        <w:t xml:space="preserve"> </w:t>
      </w:r>
      <w:r w:rsidRPr="00F34B68">
        <w:rPr>
          <w:rFonts w:ascii="Verdana" w:hAnsi="Verdana"/>
          <w:lang w:eastAsia="en-GB"/>
        </w:rPr>
        <w:t xml:space="preserve">  immune</w:t>
      </w:r>
      <w:r w:rsidR="00B90F64" w:rsidRPr="00F34B68">
        <w:rPr>
          <w:rFonts w:ascii="Verdana" w:hAnsi="Verdana"/>
          <w:lang w:eastAsia="en-GB"/>
        </w:rPr>
        <w:t>-related adrenal insufficiency.</w:t>
      </w:r>
    </w:p>
    <w:p w14:paraId="4F80B7B1" w14:textId="7FADE741" w:rsidR="003D2089" w:rsidRPr="00F34B68" w:rsidRDefault="003D2089" w:rsidP="00623248">
      <w:pPr>
        <w:spacing w:after="120" w:line="240" w:lineRule="auto"/>
        <w:rPr>
          <w:rFonts w:ascii="Verdana" w:hAnsi="Verdana"/>
          <w:lang w:eastAsia="en-GB"/>
        </w:rPr>
      </w:pPr>
      <w:r w:rsidRPr="00F34B68">
        <w:rPr>
          <w:rFonts w:ascii="Verdana" w:hAnsi="Verdana"/>
          <w:lang w:eastAsia="en-GB"/>
        </w:rPr>
        <w:t>The median time to onset of immune</w:t>
      </w:r>
      <w:r w:rsidRPr="00F34B68">
        <w:rPr>
          <w:rFonts w:ascii="Verdana" w:hAnsi="Verdana"/>
          <w:lang w:eastAsia="en-GB"/>
        </w:rPr>
        <w:noBreakHyphen/>
        <w:t>related adrenal insufficiency was 2.5 months (range: 1 day to 8 months). The median duration was not estimable (range: 2 day</w:t>
      </w:r>
      <w:r w:rsidR="00B90F64" w:rsidRPr="00F34B68">
        <w:rPr>
          <w:rFonts w:ascii="Verdana" w:hAnsi="Verdana"/>
          <w:lang w:eastAsia="en-GB"/>
        </w:rPr>
        <w:t>s to more than 6 months).</w:t>
      </w:r>
    </w:p>
    <w:p w14:paraId="4DEA38D1" w14:textId="12456318" w:rsidR="003D2089" w:rsidRPr="00F34B68" w:rsidRDefault="003D2089" w:rsidP="00623248">
      <w:pPr>
        <w:spacing w:after="120" w:line="240" w:lineRule="auto"/>
        <w:rPr>
          <w:rFonts w:ascii="Verdana" w:hAnsi="Verdana"/>
          <w:lang w:eastAsia="en-GB"/>
        </w:rPr>
      </w:pPr>
      <w:r w:rsidRPr="00F34B68">
        <w:rPr>
          <w:rFonts w:ascii="Verdana" w:eastAsia="HelveticaNeueLTStd-Cn" w:hAnsi="Verdana"/>
          <w:color w:val="000000"/>
        </w:rPr>
        <w:t>Avelumab</w:t>
      </w:r>
      <w:r w:rsidRPr="00F34B68">
        <w:rPr>
          <w:rFonts w:ascii="Verdana" w:hAnsi="Verdana"/>
          <w:lang w:eastAsia="en-GB"/>
        </w:rPr>
        <w:t xml:space="preserve"> was discontinued in 0.1% (2/1738) patients due to immune-related adrenal insufficiency. All 8 patients with immune-related adrenal insufficiency were treated with</w:t>
      </w:r>
      <w:r w:rsidRPr="00F34B68" w:rsidDel="00DA3DED">
        <w:rPr>
          <w:rFonts w:ascii="Verdana" w:hAnsi="Verdana"/>
          <w:lang w:eastAsia="en-GB"/>
        </w:rPr>
        <w:t xml:space="preserve"> </w:t>
      </w:r>
      <w:r w:rsidRPr="00F34B68">
        <w:rPr>
          <w:rFonts w:ascii="Verdana" w:hAnsi="Verdana"/>
          <w:lang w:eastAsia="en-GB"/>
        </w:rPr>
        <w:t xml:space="preserve">corticosteroids, 4 (50%) of the 8 patients received high-dose systemic corticosteroids (≥ 40 mg prednisone or equivalent) followed by a taper </w:t>
      </w:r>
      <w:r w:rsidRPr="00F34B68">
        <w:rPr>
          <w:rFonts w:ascii="Verdana" w:hAnsi="Verdana"/>
          <w:lang w:eastAsia="en-GB"/>
        </w:rPr>
        <w:lastRenderedPageBreak/>
        <w:t>for a median of 1 day (range: 1 day to 24 days). Adrenal insufficiency resolved in 1 patient with corticoid treatme</w:t>
      </w:r>
      <w:r w:rsidR="00B90F64" w:rsidRPr="00F34B68">
        <w:rPr>
          <w:rFonts w:ascii="Verdana" w:hAnsi="Verdana"/>
          <w:lang w:eastAsia="en-GB"/>
        </w:rPr>
        <w:t>nt at the time of data cut-off.</w:t>
      </w:r>
    </w:p>
    <w:p w14:paraId="2D928D35" w14:textId="77777777" w:rsidR="003D2089" w:rsidRPr="00F34B68" w:rsidRDefault="003D2089" w:rsidP="00623248">
      <w:pPr>
        <w:spacing w:after="120" w:line="240" w:lineRule="auto"/>
        <w:rPr>
          <w:rFonts w:ascii="Verdana" w:hAnsi="Verdana"/>
          <w:i/>
          <w:lang w:eastAsia="en-GB"/>
        </w:rPr>
      </w:pPr>
      <w:r w:rsidRPr="00F34B68">
        <w:rPr>
          <w:rFonts w:ascii="Verdana" w:hAnsi="Verdana"/>
          <w:i/>
          <w:lang w:eastAsia="en-GB"/>
        </w:rPr>
        <w:t>Type 1 diabetes mellitus</w:t>
      </w:r>
    </w:p>
    <w:p w14:paraId="3309D3FD" w14:textId="12267ECA" w:rsidR="003D2089" w:rsidRPr="00F34B68" w:rsidRDefault="003D2089" w:rsidP="00623248">
      <w:pPr>
        <w:spacing w:after="120" w:line="240" w:lineRule="auto"/>
        <w:rPr>
          <w:rFonts w:ascii="Verdana" w:hAnsi="Verdana"/>
          <w:lang w:eastAsia="en-GB"/>
        </w:rPr>
      </w:pPr>
      <w:r w:rsidRPr="00F34B68">
        <w:rPr>
          <w:rFonts w:ascii="Verdana" w:hAnsi="Verdana"/>
          <w:lang w:eastAsia="en-GB"/>
        </w:rPr>
        <w:t>Type 1 diabetes mellitus without an alternative aetiology occurred in 0.1% (2/1,738) of patients including two Grade 3 reactions that led to permane</w:t>
      </w:r>
      <w:r w:rsidR="007845AE">
        <w:rPr>
          <w:rFonts w:ascii="Verdana" w:hAnsi="Verdana"/>
          <w:lang w:eastAsia="en-GB"/>
        </w:rPr>
        <w:t>nt discontinuation of avelumab.</w:t>
      </w:r>
    </w:p>
    <w:p w14:paraId="1B1667FB" w14:textId="77777777" w:rsidR="003D2089" w:rsidRPr="00F34B68" w:rsidRDefault="003D2089" w:rsidP="00623248">
      <w:pPr>
        <w:spacing w:after="120" w:line="240" w:lineRule="auto"/>
        <w:rPr>
          <w:rFonts w:ascii="Verdana" w:hAnsi="Verdana"/>
          <w:u w:val="single"/>
          <w:lang w:eastAsia="en-GB"/>
        </w:rPr>
      </w:pPr>
      <w:r w:rsidRPr="00F34B68">
        <w:rPr>
          <w:rFonts w:ascii="Verdana" w:hAnsi="Verdana"/>
          <w:u w:val="single"/>
          <w:lang w:eastAsia="en-GB"/>
        </w:rPr>
        <w:t>Immune-related nephritis and renal dysfunction</w:t>
      </w:r>
    </w:p>
    <w:p w14:paraId="633BB9D9" w14:textId="383DD38D" w:rsidR="003D2089" w:rsidRPr="00F34B68" w:rsidRDefault="003D2089" w:rsidP="00623248">
      <w:pPr>
        <w:spacing w:after="120" w:line="240" w:lineRule="auto"/>
        <w:rPr>
          <w:rFonts w:ascii="Verdana" w:hAnsi="Verdana"/>
        </w:rPr>
      </w:pPr>
      <w:r w:rsidRPr="00F34B68">
        <w:rPr>
          <w:rFonts w:ascii="Verdana" w:hAnsi="Verdana"/>
          <w:lang w:eastAsia="en-GB"/>
        </w:rPr>
        <w:t>Immune-related nephritis occurred in 0.1% (1/1,738) of patients receiving avelumab leading to permanent discontinuation of avelumab.</w:t>
      </w:r>
    </w:p>
    <w:p w14:paraId="055594CD" w14:textId="5785BAC3" w:rsidR="003D2089" w:rsidRPr="00F34B68" w:rsidRDefault="003D2089" w:rsidP="00E23B73">
      <w:pPr>
        <w:keepNext/>
        <w:spacing w:after="120" w:line="240" w:lineRule="auto"/>
        <w:rPr>
          <w:rFonts w:ascii="Verdana" w:hAnsi="Verdana"/>
          <w:i/>
        </w:rPr>
      </w:pPr>
      <w:r w:rsidRPr="00F34B68">
        <w:rPr>
          <w:rFonts w:ascii="Verdana" w:hAnsi="Verdana"/>
          <w:i/>
          <w:iCs/>
          <w:u w:val="single"/>
        </w:rPr>
        <w:t>Immunogenicity</w:t>
      </w:r>
    </w:p>
    <w:p w14:paraId="3BC80139" w14:textId="4E8F8927" w:rsidR="003D2089" w:rsidRPr="00F34B68" w:rsidRDefault="003D2089" w:rsidP="00623248">
      <w:pPr>
        <w:spacing w:after="120" w:line="240" w:lineRule="auto"/>
        <w:rPr>
          <w:rFonts w:ascii="Verdana" w:hAnsi="Verdana"/>
        </w:rPr>
      </w:pPr>
      <w:r w:rsidRPr="00F34B68">
        <w:rPr>
          <w:rFonts w:ascii="Verdana" w:hAnsi="Verdana"/>
          <w:lang w:eastAsia="en-GB"/>
        </w:rPr>
        <w:t>Of 1,738 patients treated with avelumab 10 mg/kg as an intravenous infusion every 2 weeks, 1,627 were evaluable for treatment-emergent anti-drug antibodies (ADA) and 96 (5.9%) tested positive.</w:t>
      </w:r>
      <w:r w:rsidR="007845AE">
        <w:rPr>
          <w:rFonts w:ascii="Verdana" w:hAnsi="Verdana"/>
          <w:lang w:eastAsia="en-GB"/>
        </w:rPr>
        <w:t xml:space="preserve"> </w:t>
      </w:r>
      <w:r w:rsidR="00B43808" w:rsidRPr="00F34B68">
        <w:rPr>
          <w:rFonts w:ascii="Verdana" w:hAnsi="Verdana"/>
          <w:lang w:eastAsia="en-GB"/>
        </w:rPr>
        <w:t xml:space="preserve">In ADA positive patients, there may be an increased risk for infusion-related reactions (about 40% and 25% in ADA ever-positive and ADA never-positive patients, respectively). </w:t>
      </w:r>
      <w:r w:rsidRPr="00F34B68">
        <w:rPr>
          <w:rFonts w:ascii="Verdana" w:hAnsi="Verdana"/>
          <w:lang w:eastAsia="en-GB"/>
        </w:rPr>
        <w:t xml:space="preserve">Based on data available, including the low incidence of immunogenicity, the impact of ADA on pharmacokinetics, safety, and efficacy </w:t>
      </w:r>
      <w:r w:rsidR="00B43808" w:rsidRPr="00F34B68">
        <w:rPr>
          <w:rFonts w:ascii="Verdana" w:hAnsi="Verdana"/>
          <w:lang w:eastAsia="en-GB"/>
        </w:rPr>
        <w:t>is uncertain, while the impact of neutralising antibodies (</w:t>
      </w:r>
      <w:proofErr w:type="spellStart"/>
      <w:r w:rsidR="00B43808" w:rsidRPr="00F34B68">
        <w:rPr>
          <w:rFonts w:ascii="Verdana" w:hAnsi="Verdana"/>
          <w:lang w:eastAsia="en-GB"/>
        </w:rPr>
        <w:t>nAb</w:t>
      </w:r>
      <w:proofErr w:type="spellEnd"/>
      <w:r w:rsidR="00B43808" w:rsidRPr="00F34B68">
        <w:rPr>
          <w:rFonts w:ascii="Verdana" w:hAnsi="Verdana"/>
          <w:lang w:eastAsia="en-GB"/>
        </w:rPr>
        <w:t>) is unknown.</w:t>
      </w:r>
    </w:p>
    <w:p w14:paraId="3A840A01" w14:textId="77777777" w:rsidR="001A3992" w:rsidRPr="00F34B68" w:rsidRDefault="001A3992" w:rsidP="001A3992">
      <w:pPr>
        <w:pStyle w:val="Heading2"/>
        <w:keepNext/>
        <w:keepLines/>
        <w:spacing w:before="0" w:after="120"/>
        <w:rPr>
          <w:rFonts w:ascii="Verdana" w:hAnsi="Verdana"/>
          <w:sz w:val="22"/>
        </w:rPr>
      </w:pPr>
      <w:r w:rsidRPr="00F34B68">
        <w:rPr>
          <w:rFonts w:ascii="Verdana" w:hAnsi="Verdana"/>
          <w:sz w:val="22"/>
        </w:rPr>
        <w:t>Overdose</w:t>
      </w:r>
    </w:p>
    <w:p w14:paraId="7680989C" w14:textId="77777777" w:rsidR="00816131" w:rsidRPr="00F34B68" w:rsidRDefault="00816131" w:rsidP="00623248">
      <w:pPr>
        <w:spacing w:after="120" w:line="240" w:lineRule="auto"/>
        <w:rPr>
          <w:rFonts w:ascii="Verdana" w:hAnsi="Verdana"/>
        </w:rPr>
      </w:pPr>
      <w:r w:rsidRPr="00F34B68">
        <w:rPr>
          <w:rFonts w:ascii="Verdana" w:hAnsi="Verdana"/>
        </w:rPr>
        <w:t>There are limited experiences with overdose with avelumab in clinical studies.</w:t>
      </w:r>
    </w:p>
    <w:p w14:paraId="3E6B871E" w14:textId="77777777" w:rsidR="00816131" w:rsidRPr="00F34B68" w:rsidRDefault="00816131" w:rsidP="00623248">
      <w:pPr>
        <w:spacing w:after="120" w:line="240" w:lineRule="auto"/>
        <w:rPr>
          <w:rFonts w:ascii="Verdana" w:hAnsi="Verdana"/>
        </w:rPr>
      </w:pPr>
      <w:r w:rsidRPr="00F34B68">
        <w:rPr>
          <w:rFonts w:ascii="Verdana" w:hAnsi="Verdana"/>
        </w:rPr>
        <w:t>In case of overdose, patients should be closely monitored for signs or symptoms of adverse reactions. The treatment is directed to the management of symptoms.</w:t>
      </w:r>
    </w:p>
    <w:p w14:paraId="2022AC68" w14:textId="075DD64A" w:rsidR="00816131" w:rsidRPr="00F34B68" w:rsidRDefault="00816131" w:rsidP="00623248">
      <w:pPr>
        <w:spacing w:after="120" w:line="240" w:lineRule="auto"/>
        <w:rPr>
          <w:rFonts w:ascii="Verdana" w:hAnsi="Verdana"/>
        </w:rPr>
      </w:pPr>
      <w:r w:rsidRPr="00F34B68">
        <w:rPr>
          <w:rFonts w:ascii="Verdana" w:hAnsi="Verdana"/>
        </w:rPr>
        <w:t>Contact the Poisons Information Centre (telephone 131 126) for advice on t</w:t>
      </w:r>
      <w:r w:rsidR="007845AE">
        <w:rPr>
          <w:rFonts w:ascii="Verdana" w:hAnsi="Verdana"/>
        </w:rPr>
        <w:t>he management of overdose.</w:t>
      </w:r>
    </w:p>
    <w:p w14:paraId="6D3CCBB3" w14:textId="77777777" w:rsidR="001A3992" w:rsidRPr="00F34B68" w:rsidRDefault="001A3992" w:rsidP="001A3992">
      <w:pPr>
        <w:pStyle w:val="Heading1"/>
        <w:spacing w:before="0" w:after="120"/>
        <w:rPr>
          <w:rFonts w:ascii="Verdana" w:hAnsi="Verdana"/>
          <w:sz w:val="22"/>
          <w:szCs w:val="22"/>
          <w:lang w:val="en-US"/>
        </w:rPr>
      </w:pPr>
      <w:r w:rsidRPr="00F34B68">
        <w:rPr>
          <w:rFonts w:ascii="Verdana" w:hAnsi="Verdana"/>
          <w:sz w:val="22"/>
          <w:szCs w:val="22"/>
          <w:lang w:val="en-US"/>
        </w:rPr>
        <w:t>Pharmacological properties</w:t>
      </w:r>
    </w:p>
    <w:p w14:paraId="505F7B87" w14:textId="0DBE0F93" w:rsidR="001A3992" w:rsidRPr="00F34B68" w:rsidRDefault="001A3992" w:rsidP="001A3992">
      <w:pPr>
        <w:pStyle w:val="Heading2"/>
        <w:spacing w:before="0" w:after="120"/>
        <w:rPr>
          <w:rFonts w:ascii="Verdana" w:hAnsi="Verdana"/>
          <w:sz w:val="22"/>
          <w:lang w:val="en-US"/>
        </w:rPr>
      </w:pPr>
      <w:r w:rsidRPr="00F34B68">
        <w:rPr>
          <w:rFonts w:ascii="Verdana" w:hAnsi="Verdana"/>
          <w:sz w:val="22"/>
          <w:lang w:val="en-US"/>
        </w:rPr>
        <w:t xml:space="preserve">Pharmacodynamic properties </w:t>
      </w:r>
    </w:p>
    <w:p w14:paraId="4D5589F5" w14:textId="139312C0" w:rsidR="00827860" w:rsidRPr="00F34B68" w:rsidRDefault="00827860" w:rsidP="00827860">
      <w:pPr>
        <w:rPr>
          <w:rFonts w:ascii="Verdana" w:hAnsi="Verdana"/>
          <w:lang w:val="en-US"/>
        </w:rPr>
      </w:pPr>
      <w:proofErr w:type="spellStart"/>
      <w:r w:rsidRPr="00F34B68">
        <w:rPr>
          <w:rFonts w:ascii="Verdana" w:eastAsia="18gfa" w:hAnsi="Verdana" w:cs="18gfa"/>
        </w:rPr>
        <w:t>Pharmacotherapeutic</w:t>
      </w:r>
      <w:proofErr w:type="spellEnd"/>
      <w:r w:rsidRPr="00F34B68">
        <w:rPr>
          <w:rFonts w:ascii="Verdana" w:eastAsia="18gfa" w:hAnsi="Verdana" w:cs="18gfa"/>
        </w:rPr>
        <w:t xml:space="preserve"> group: Other antineoplastic agents, monoclonal antibodies, ATC code: </w:t>
      </w:r>
      <w:r w:rsidR="00502B50">
        <w:rPr>
          <w:rFonts w:ascii="Verdana" w:eastAsia="18gfa" w:hAnsi="Verdana" w:cs="18gfa"/>
        </w:rPr>
        <w:t>L01XC31</w:t>
      </w:r>
    </w:p>
    <w:p w14:paraId="7A12BA4A" w14:textId="076F42C3" w:rsidR="001A3992" w:rsidRPr="00F34B68" w:rsidRDefault="001A3992" w:rsidP="00571719">
      <w:pPr>
        <w:pStyle w:val="Heading3"/>
      </w:pPr>
      <w:r w:rsidRPr="00571719">
        <w:t>Mechanism</w:t>
      </w:r>
      <w:r w:rsidRPr="00F34B68">
        <w:t xml:space="preserve"> of action</w:t>
      </w:r>
    </w:p>
    <w:p w14:paraId="4F8A198C" w14:textId="59774E25" w:rsidR="00065444" w:rsidRPr="00F34B68" w:rsidRDefault="00065444" w:rsidP="00065444">
      <w:pPr>
        <w:spacing w:after="120" w:line="240" w:lineRule="auto"/>
        <w:rPr>
          <w:rFonts w:ascii="Verdana" w:hAnsi="Verdana"/>
        </w:rPr>
      </w:pPr>
      <w:r w:rsidRPr="00F34B68">
        <w:rPr>
          <w:rFonts w:ascii="Verdana" w:hAnsi="Verdana"/>
          <w:lang w:eastAsia="en-GB"/>
        </w:rPr>
        <w:t>PD</w:t>
      </w:r>
      <w:r w:rsidRPr="00F34B68">
        <w:rPr>
          <w:rFonts w:ascii="Verdana" w:hAnsi="Verdana"/>
          <w:lang w:eastAsia="en-GB"/>
        </w:rPr>
        <w:noBreakHyphen/>
        <w:t>L1 may be expressed on tumour cells and/or tumour</w:t>
      </w:r>
      <w:r w:rsidRPr="00F34B68">
        <w:rPr>
          <w:rFonts w:ascii="Verdana" w:hAnsi="Verdana"/>
          <w:lang w:eastAsia="en-GB"/>
        </w:rPr>
        <w:noBreakHyphen/>
        <w:t>infiltrating immune cells and can contribute to the inhibition of the anti</w:t>
      </w:r>
      <w:r w:rsidRPr="00F34B68">
        <w:rPr>
          <w:rFonts w:ascii="Verdana" w:hAnsi="Verdana"/>
          <w:lang w:eastAsia="en-GB"/>
        </w:rPr>
        <w:noBreakHyphen/>
        <w:t>tumour immune response in the tumour microenvironment. Binding of PD</w:t>
      </w:r>
      <w:r w:rsidRPr="00F34B68">
        <w:rPr>
          <w:rFonts w:ascii="Verdana" w:hAnsi="Verdana"/>
          <w:lang w:eastAsia="en-GB"/>
        </w:rPr>
        <w:noBreakHyphen/>
        <w:t>L1 to the PD</w:t>
      </w:r>
      <w:r w:rsidRPr="00F34B68">
        <w:rPr>
          <w:rFonts w:ascii="Verdana" w:hAnsi="Verdana"/>
          <w:lang w:eastAsia="en-GB"/>
        </w:rPr>
        <w:noBreakHyphen/>
        <w:t>1 and B7.1 receptors found on T cells and antigen presenting cells suppresses cytotoxic T</w:t>
      </w:r>
      <w:r w:rsidRPr="00F34B68">
        <w:rPr>
          <w:rFonts w:ascii="Verdana" w:hAnsi="Verdana"/>
          <w:lang w:eastAsia="en-GB"/>
        </w:rPr>
        <w:noBreakHyphen/>
        <w:t>cell activity, T</w:t>
      </w:r>
      <w:r w:rsidRPr="00F34B68">
        <w:rPr>
          <w:rFonts w:ascii="Verdana" w:hAnsi="Verdana"/>
          <w:lang w:eastAsia="en-GB"/>
        </w:rPr>
        <w:noBreakHyphen/>
        <w:t>cell proliferation and cytokine production.</w:t>
      </w:r>
    </w:p>
    <w:p w14:paraId="0A92CC4A" w14:textId="728EB16B" w:rsidR="00065444" w:rsidRPr="00F34B68" w:rsidRDefault="00065444" w:rsidP="00065444">
      <w:pPr>
        <w:spacing w:after="120" w:line="240" w:lineRule="auto"/>
        <w:rPr>
          <w:rFonts w:ascii="Verdana" w:hAnsi="Verdana"/>
        </w:rPr>
      </w:pPr>
      <w:r w:rsidRPr="00F34B68">
        <w:rPr>
          <w:rFonts w:ascii="Verdana" w:hAnsi="Verdana"/>
        </w:rPr>
        <w:t>Avelumab is a fully human immunoglobulin G1 (IgG1) monoclonal antibody directed against programmed death ligand 1 (PD</w:t>
      </w:r>
      <w:r w:rsidRPr="00F34B68">
        <w:rPr>
          <w:rFonts w:ascii="Verdana" w:hAnsi="Verdana"/>
        </w:rPr>
        <w:noBreakHyphen/>
        <w:t>L1). Avelumab binds PD</w:t>
      </w:r>
      <w:r w:rsidRPr="00F34B68">
        <w:rPr>
          <w:rFonts w:ascii="Verdana" w:hAnsi="Verdana"/>
        </w:rPr>
        <w:noBreakHyphen/>
        <w:t>L1 and blocks the interaction between PD</w:t>
      </w:r>
      <w:r w:rsidRPr="00F34B68">
        <w:rPr>
          <w:rFonts w:ascii="Verdana" w:hAnsi="Verdana"/>
        </w:rPr>
        <w:noBreakHyphen/>
        <w:t>L1 and the programmed death 1 (PD</w:t>
      </w:r>
      <w:r w:rsidRPr="00F34B68">
        <w:rPr>
          <w:rFonts w:ascii="Verdana" w:hAnsi="Verdana"/>
        </w:rPr>
        <w:noBreakHyphen/>
        <w:t>1) and B7.1 receptors. This removes the suppressive effects of PD</w:t>
      </w:r>
      <w:r w:rsidRPr="00F34B68">
        <w:rPr>
          <w:rFonts w:ascii="Verdana" w:hAnsi="Verdana"/>
        </w:rPr>
        <w:noBreakHyphen/>
        <w:t>L1 on cytotoxic CD8</w:t>
      </w:r>
      <w:r w:rsidRPr="00F34B68">
        <w:rPr>
          <w:rFonts w:ascii="Verdana" w:hAnsi="Verdana"/>
          <w:vertAlign w:val="superscript"/>
        </w:rPr>
        <w:t>+</w:t>
      </w:r>
      <w:r w:rsidRPr="00F34B68">
        <w:rPr>
          <w:rFonts w:ascii="Verdana" w:hAnsi="Verdana"/>
        </w:rPr>
        <w:t xml:space="preserve"> T</w:t>
      </w:r>
      <w:r w:rsidRPr="00F34B68">
        <w:rPr>
          <w:rFonts w:ascii="Verdana" w:hAnsi="Verdana"/>
        </w:rPr>
        <w:noBreakHyphen/>
        <w:t>cells, resulting in the restoration of anti</w:t>
      </w:r>
      <w:r w:rsidRPr="00F34B68">
        <w:rPr>
          <w:rFonts w:ascii="Verdana" w:hAnsi="Verdana"/>
        </w:rPr>
        <w:noBreakHyphen/>
        <w:t>tumour T</w:t>
      </w:r>
      <w:r w:rsidRPr="00F34B68">
        <w:rPr>
          <w:rFonts w:ascii="Verdana" w:hAnsi="Verdana"/>
        </w:rPr>
        <w:noBreakHyphen/>
        <w:t xml:space="preserve">cell responses. </w:t>
      </w:r>
      <w:r w:rsidRPr="00F34B68">
        <w:rPr>
          <w:rFonts w:ascii="Verdana" w:hAnsi="Verdana"/>
          <w:lang w:eastAsia="en-GB"/>
        </w:rPr>
        <w:t>In syngeneic mouse tumour models, blocking PD</w:t>
      </w:r>
      <w:r w:rsidRPr="00F34B68">
        <w:rPr>
          <w:rFonts w:ascii="Verdana" w:hAnsi="Verdana"/>
          <w:lang w:eastAsia="en-GB"/>
        </w:rPr>
        <w:noBreakHyphen/>
        <w:t>L1 activity resulted in decreased tumour growth.</w:t>
      </w:r>
    </w:p>
    <w:p w14:paraId="5260ECAF" w14:textId="701F4A33" w:rsidR="00065444" w:rsidRDefault="00065444" w:rsidP="00827860">
      <w:pPr>
        <w:spacing w:after="120" w:line="240" w:lineRule="auto"/>
        <w:rPr>
          <w:rFonts w:ascii="Verdana" w:hAnsi="Verdana"/>
          <w:iCs/>
        </w:rPr>
      </w:pPr>
      <w:r w:rsidRPr="00F34B68">
        <w:rPr>
          <w:rFonts w:ascii="Verdana" w:hAnsi="Verdana"/>
        </w:rPr>
        <w:lastRenderedPageBreak/>
        <w:t>Avelumab has also shown to induce NK cell</w:t>
      </w:r>
      <w:r w:rsidRPr="00F34B68">
        <w:rPr>
          <w:rFonts w:ascii="Verdana" w:hAnsi="Verdana"/>
        </w:rPr>
        <w:noBreakHyphen/>
        <w:t xml:space="preserve">mediated direct tumour cell lysis via </w:t>
      </w:r>
      <w:r w:rsidRPr="00F34B68">
        <w:rPr>
          <w:rFonts w:ascii="Verdana" w:hAnsi="Verdana"/>
          <w:iCs/>
        </w:rPr>
        <w:t>antibody</w:t>
      </w:r>
      <w:r w:rsidRPr="00F34B68">
        <w:rPr>
          <w:rFonts w:ascii="Verdana" w:hAnsi="Verdana"/>
          <w:iCs/>
        </w:rPr>
        <w:noBreakHyphen/>
        <w:t>dependent cell</w:t>
      </w:r>
      <w:r w:rsidRPr="00F34B68">
        <w:rPr>
          <w:rFonts w:ascii="Verdana" w:hAnsi="Verdana"/>
          <w:iCs/>
        </w:rPr>
        <w:noBreakHyphen/>
        <w:t>mediated cytotoxicity</w:t>
      </w:r>
      <w:r w:rsidRPr="00F34B68">
        <w:rPr>
          <w:rFonts w:ascii="Verdana" w:hAnsi="Verdana"/>
        </w:rPr>
        <w:t xml:space="preserve"> (ADCC) </w:t>
      </w:r>
      <w:r w:rsidRPr="00F34B68">
        <w:rPr>
          <w:rFonts w:ascii="Verdana" w:hAnsi="Verdana"/>
          <w:i/>
          <w:iCs/>
        </w:rPr>
        <w:t>in vitro</w:t>
      </w:r>
      <w:r w:rsidRPr="00F34B68">
        <w:rPr>
          <w:rFonts w:ascii="Verdana" w:hAnsi="Verdana"/>
          <w:iCs/>
        </w:rPr>
        <w:t>.</w:t>
      </w:r>
    </w:p>
    <w:p w14:paraId="3B819754" w14:textId="3231CD9F" w:rsidR="001A3992" w:rsidRPr="00F34B68" w:rsidRDefault="001A3992" w:rsidP="00571719">
      <w:pPr>
        <w:pStyle w:val="Heading3"/>
        <w:rPr>
          <w:lang w:val="en-US"/>
        </w:rPr>
      </w:pPr>
      <w:r w:rsidRPr="00F34B68">
        <w:t>Clinical</w:t>
      </w:r>
      <w:r w:rsidRPr="00F34B68">
        <w:rPr>
          <w:lang w:val="en-US"/>
        </w:rPr>
        <w:t xml:space="preserve"> trials</w:t>
      </w:r>
    </w:p>
    <w:p w14:paraId="5C15F5C5" w14:textId="77777777" w:rsidR="00065444" w:rsidRPr="00F34B68" w:rsidRDefault="00065444" w:rsidP="00065444">
      <w:pPr>
        <w:spacing w:after="120" w:line="240" w:lineRule="auto"/>
        <w:rPr>
          <w:rFonts w:ascii="Verdana" w:hAnsi="Verdana"/>
        </w:rPr>
      </w:pPr>
      <w:r w:rsidRPr="00F34B68">
        <w:rPr>
          <w:rFonts w:ascii="Verdana" w:hAnsi="Verdana"/>
          <w:iCs/>
          <w:spacing w:val="-1"/>
          <w:u w:val="single"/>
          <w:lang w:eastAsia="en-GB"/>
        </w:rPr>
        <w:t>Merkel cell carcinoma (study 003)</w:t>
      </w:r>
    </w:p>
    <w:p w14:paraId="15F4F6B3" w14:textId="1105717E" w:rsidR="00065444" w:rsidRPr="00F34B68" w:rsidRDefault="00065444" w:rsidP="00065444">
      <w:pPr>
        <w:keepNext/>
        <w:keepLines/>
        <w:autoSpaceDE w:val="0"/>
        <w:autoSpaceDN w:val="0"/>
        <w:adjustRightInd w:val="0"/>
        <w:spacing w:after="120" w:line="240" w:lineRule="auto"/>
        <w:rPr>
          <w:rFonts w:ascii="Verdana" w:hAnsi="Verdana"/>
          <w:spacing w:val="-1"/>
          <w:lang w:eastAsia="en-GB"/>
        </w:rPr>
      </w:pPr>
      <w:r w:rsidRPr="00F34B68">
        <w:rPr>
          <w:rFonts w:ascii="Verdana" w:hAnsi="Verdana"/>
          <w:spacing w:val="-1"/>
          <w:lang w:eastAsia="en-GB"/>
        </w:rPr>
        <w:t>The efficacy and safety of avelumab was investigated in the study EMR100070-003 with two parts. Part A was a single</w:t>
      </w:r>
      <w:r w:rsidRPr="00F34B68">
        <w:rPr>
          <w:rFonts w:ascii="Verdana" w:hAnsi="Verdana"/>
          <w:spacing w:val="-1"/>
          <w:lang w:eastAsia="en-GB"/>
        </w:rPr>
        <w:noBreakHyphen/>
        <w:t>arm, multi-centre study conducted in</w:t>
      </w:r>
      <w:r w:rsidRPr="00F34B68" w:rsidDel="000F0623">
        <w:rPr>
          <w:rFonts w:ascii="Verdana" w:hAnsi="Verdana"/>
          <w:spacing w:val="-1"/>
          <w:lang w:eastAsia="en-GB"/>
        </w:rPr>
        <w:t xml:space="preserve"> </w:t>
      </w:r>
      <w:r w:rsidRPr="00F34B68">
        <w:rPr>
          <w:rFonts w:ascii="Verdana" w:hAnsi="Verdana"/>
          <w:spacing w:val="-1"/>
          <w:lang w:eastAsia="en-GB"/>
        </w:rPr>
        <w:t>patients with histologically confirmed metastatic MCC, whose disease had progressed on or after chemotherapy administered for distant metastatic disease, with a life expectancy of more than 3 months. Part B included patients with histologically confirmed metastatic MCC who</w:t>
      </w:r>
      <w:r w:rsidRPr="00F34B68" w:rsidDel="00F5704D">
        <w:rPr>
          <w:rFonts w:ascii="Verdana" w:hAnsi="Verdana"/>
          <w:spacing w:val="-1"/>
          <w:lang w:eastAsia="en-GB"/>
        </w:rPr>
        <w:t xml:space="preserve"> </w:t>
      </w:r>
      <w:r w:rsidRPr="00F34B68">
        <w:rPr>
          <w:rFonts w:ascii="Verdana" w:hAnsi="Verdana"/>
          <w:spacing w:val="-1"/>
          <w:lang w:eastAsia="en-GB"/>
        </w:rPr>
        <w:t>were treatment-naïve to systemic therapy in the metastatic setting.</w:t>
      </w:r>
    </w:p>
    <w:p w14:paraId="7A247A12" w14:textId="3BAA1A8A" w:rsidR="00065444" w:rsidRPr="00F34B68" w:rsidRDefault="00065444" w:rsidP="00065444">
      <w:pPr>
        <w:spacing w:after="120" w:line="240" w:lineRule="auto"/>
        <w:rPr>
          <w:rFonts w:ascii="Verdana" w:hAnsi="Verdana"/>
          <w:spacing w:val="-1"/>
          <w:lang w:eastAsia="en-GB"/>
        </w:rPr>
      </w:pPr>
      <w:r w:rsidRPr="00F34B68">
        <w:rPr>
          <w:rFonts w:ascii="Verdana" w:hAnsi="Verdana"/>
          <w:spacing w:val="-1"/>
          <w:lang w:eastAsia="en-GB"/>
        </w:rPr>
        <w:t>Patients with active central nervous system (CNS) metastasis</w:t>
      </w:r>
      <w:r w:rsidR="00573ECF">
        <w:rPr>
          <w:rFonts w:ascii="Verdana" w:hAnsi="Verdana"/>
          <w:spacing w:val="-1"/>
          <w:lang w:eastAsia="en-GB"/>
        </w:rPr>
        <w:t xml:space="preserve"> or treated less than 2 months prior to enrolment</w:t>
      </w:r>
      <w:r w:rsidRPr="00F34B68">
        <w:rPr>
          <w:rFonts w:ascii="Verdana" w:hAnsi="Verdana"/>
          <w:spacing w:val="-1"/>
          <w:lang w:eastAsia="en-GB"/>
        </w:rPr>
        <w:t>, active or a history of any autoimmune disease, a history of other malignancies within the last 5 years, organ transplant, conditions requiring therapeutic immune suppression or active infection with HIV or hepatitis B or C, were excluded.</w:t>
      </w:r>
    </w:p>
    <w:p w14:paraId="1F26FCF6" w14:textId="07C8FF72" w:rsidR="00065444" w:rsidRPr="00F34B68" w:rsidRDefault="00065444" w:rsidP="00065444">
      <w:pPr>
        <w:spacing w:after="120" w:line="240" w:lineRule="auto"/>
        <w:rPr>
          <w:rFonts w:ascii="Verdana" w:hAnsi="Verdana"/>
          <w:spacing w:val="-1"/>
          <w:lang w:eastAsia="en-GB"/>
        </w:rPr>
      </w:pPr>
      <w:r w:rsidRPr="00F34B68">
        <w:rPr>
          <w:rFonts w:ascii="Verdana" w:hAnsi="Verdana"/>
          <w:spacing w:val="-1"/>
          <w:lang w:eastAsia="en-GB"/>
        </w:rPr>
        <w:t xml:space="preserve">Patients received avelumab at a dose of 10 mg/kg every 2 weeks until disease progression or unacceptable toxicity. Patients with radiological disease progression </w:t>
      </w:r>
      <w:bookmarkStart w:id="1" w:name="_Hlk497468998"/>
      <w:r w:rsidRPr="00F34B68">
        <w:rPr>
          <w:rFonts w:ascii="Verdana" w:hAnsi="Verdana"/>
          <w:spacing w:val="-1"/>
          <w:lang w:eastAsia="en-GB"/>
        </w:rPr>
        <w:t>not associated with significant clinical deterioration, defined as no new or worsening symptoms, no change in performance status for greater than two weeks, and no need for salvage therapy could continue treatment.</w:t>
      </w:r>
      <w:bookmarkEnd w:id="1"/>
    </w:p>
    <w:p w14:paraId="1D0A900B" w14:textId="4FEB8153" w:rsidR="00065444" w:rsidRPr="00F34B68" w:rsidRDefault="00065444" w:rsidP="00065444">
      <w:pPr>
        <w:kinsoku w:val="0"/>
        <w:overflowPunct w:val="0"/>
        <w:autoSpaceDE w:val="0"/>
        <w:autoSpaceDN w:val="0"/>
        <w:adjustRightInd w:val="0"/>
        <w:spacing w:after="120" w:line="240" w:lineRule="auto"/>
        <w:rPr>
          <w:rFonts w:ascii="Verdana" w:hAnsi="Verdana"/>
          <w:iCs/>
        </w:rPr>
      </w:pPr>
      <w:bookmarkStart w:id="2" w:name="_Hlk497468932"/>
      <w:r w:rsidRPr="00F34B68">
        <w:rPr>
          <w:rFonts w:ascii="Verdana" w:hAnsi="Verdana"/>
          <w:iCs/>
        </w:rPr>
        <w:t>Tumour response assessments were performed every 6 weeks, as assessed by an Independent Endpoint Review Committee (IERC) using Response Evaluation Criteria in Solid Tumours (RECIST) v1.1.</w:t>
      </w:r>
      <w:bookmarkEnd w:id="2"/>
    </w:p>
    <w:p w14:paraId="1C3460F7" w14:textId="32974F08" w:rsidR="00065444" w:rsidRPr="00F34B68" w:rsidRDefault="00065444" w:rsidP="00065444">
      <w:pPr>
        <w:spacing w:after="120" w:line="240" w:lineRule="auto"/>
        <w:rPr>
          <w:rFonts w:ascii="Verdana" w:hAnsi="Verdana"/>
          <w:iCs/>
        </w:rPr>
      </w:pPr>
      <w:r w:rsidRPr="00F34B68">
        <w:rPr>
          <w:rFonts w:ascii="Verdana" w:hAnsi="Verdana"/>
          <w:iCs/>
        </w:rPr>
        <w:t>For Part A, the major efficacy outcome measure was confirmed best overall response (BOR); secondary efficacy outcome measures included duration of response (DOR), and progression</w:t>
      </w:r>
      <w:r w:rsidRPr="00F34B68">
        <w:rPr>
          <w:rFonts w:ascii="Verdana" w:hAnsi="Verdana"/>
          <w:iCs/>
        </w:rPr>
        <w:noBreakHyphen/>
        <w:t>free survival (PFS).</w:t>
      </w:r>
    </w:p>
    <w:p w14:paraId="4F336812" w14:textId="1CD58CD7" w:rsidR="00065444" w:rsidRPr="00F34B68" w:rsidRDefault="00065444" w:rsidP="00065444">
      <w:pPr>
        <w:spacing w:after="120" w:line="240" w:lineRule="auto"/>
        <w:rPr>
          <w:rFonts w:ascii="Verdana" w:hAnsi="Verdana"/>
          <w:spacing w:val="-1"/>
          <w:lang w:eastAsia="en-GB"/>
        </w:rPr>
      </w:pPr>
      <w:r w:rsidRPr="00F34B68">
        <w:rPr>
          <w:rFonts w:ascii="Verdana" w:hAnsi="Verdana"/>
          <w:spacing w:val="-1"/>
          <w:lang w:eastAsia="en-GB"/>
        </w:rPr>
        <w:t xml:space="preserve">For Part A, efficacy was evaluated </w:t>
      </w:r>
      <w:r w:rsidR="00C7617F" w:rsidRPr="00F34B68">
        <w:rPr>
          <w:rFonts w:ascii="Verdana" w:hAnsi="Verdana"/>
          <w:spacing w:val="-1"/>
          <w:lang w:eastAsia="en-GB"/>
        </w:rPr>
        <w:t xml:space="preserve">after </w:t>
      </w:r>
      <w:r w:rsidRPr="00F34B68">
        <w:rPr>
          <w:rFonts w:ascii="Verdana" w:hAnsi="Verdana"/>
          <w:spacing w:val="-1"/>
          <w:lang w:eastAsia="en-GB"/>
        </w:rPr>
        <w:t>a minimum of 18 months</w:t>
      </w:r>
      <w:r w:rsidR="00C7617F" w:rsidRPr="00F34B68">
        <w:rPr>
          <w:rFonts w:ascii="Verdana" w:hAnsi="Verdana"/>
          <w:spacing w:val="-1"/>
          <w:lang w:eastAsia="en-GB"/>
        </w:rPr>
        <w:t xml:space="preserve"> follow-up after the last patient initiated treatment</w:t>
      </w:r>
      <w:r w:rsidRPr="00F34B68">
        <w:rPr>
          <w:rFonts w:ascii="Verdana" w:hAnsi="Verdana"/>
          <w:spacing w:val="-1"/>
          <w:lang w:eastAsia="en-GB"/>
        </w:rPr>
        <w:t xml:space="preserve">.  Patients received a median of 7 doses of avelumab (range: 1 dose to 61 doses), and the median duration of treatment was 17 weeks (range: 2 weeks to 132 weeks). </w:t>
      </w:r>
    </w:p>
    <w:p w14:paraId="78B989E6" w14:textId="39ECAFEF" w:rsidR="00065444" w:rsidRPr="00F34B68" w:rsidRDefault="00065444" w:rsidP="00065444">
      <w:pPr>
        <w:spacing w:after="120" w:line="240" w:lineRule="auto"/>
        <w:rPr>
          <w:rFonts w:ascii="Verdana" w:hAnsi="Verdana"/>
          <w:spacing w:val="-1"/>
          <w:lang w:eastAsia="en-GB"/>
        </w:rPr>
      </w:pPr>
      <w:r w:rsidRPr="00F34B68">
        <w:rPr>
          <w:rFonts w:ascii="Verdana" w:hAnsi="Verdana"/>
          <w:spacing w:val="-1"/>
          <w:lang w:eastAsia="en-GB"/>
        </w:rPr>
        <w:t xml:space="preserve">Of the 88 patients, 65 (73.9%) were male, the median age was 72.5 years (range 33 years to 88 years), 81 (92.0%) patients were Caucasian, and 49 (55.7%) patients and 39 (44.3%) patients with an ECOG performance status 0 and 1, respectively. </w:t>
      </w:r>
    </w:p>
    <w:p w14:paraId="02931F57" w14:textId="189ED4D4" w:rsidR="00065444" w:rsidRPr="00F34B68" w:rsidRDefault="00065444" w:rsidP="00065444">
      <w:pPr>
        <w:spacing w:after="120" w:line="240" w:lineRule="auto"/>
        <w:rPr>
          <w:rFonts w:ascii="Verdana" w:hAnsi="Verdana"/>
        </w:rPr>
      </w:pPr>
      <w:r w:rsidRPr="00F34B68">
        <w:rPr>
          <w:rFonts w:ascii="Verdana" w:hAnsi="Verdana"/>
          <w:spacing w:val="-1"/>
          <w:lang w:eastAsia="en-GB"/>
        </w:rPr>
        <w:t xml:space="preserve">Overall, </w:t>
      </w:r>
      <w:r w:rsidRPr="00F34B68">
        <w:rPr>
          <w:rFonts w:ascii="Verdana" w:hAnsi="Verdana"/>
          <w:spacing w:val="-1"/>
        </w:rPr>
        <w:t>52 (59.1%) of the patients were reported to have had 1 prior anti</w:t>
      </w:r>
      <w:r w:rsidRPr="00F34B68">
        <w:rPr>
          <w:rFonts w:ascii="Verdana" w:hAnsi="Verdana"/>
          <w:spacing w:val="-1"/>
        </w:rPr>
        <w:noBreakHyphen/>
        <w:t>cancer therapy for MCC, 26 (29.5%) with 2 prior therapies, 10 (11%) with 3 or more prior therapies</w:t>
      </w:r>
      <w:r w:rsidRPr="00F34B68">
        <w:rPr>
          <w:rFonts w:ascii="Verdana" w:hAnsi="Verdana"/>
          <w:spacing w:val="-1"/>
          <w:lang w:eastAsia="en-GB"/>
        </w:rPr>
        <w:t>. Forty</w:t>
      </w:r>
      <w:r w:rsidRPr="00F34B68">
        <w:rPr>
          <w:rFonts w:ascii="Verdana" w:hAnsi="Verdana"/>
          <w:spacing w:val="-1"/>
          <w:lang w:eastAsia="en-GB"/>
        </w:rPr>
        <w:noBreakHyphen/>
        <w:t>seven (53.4%) of the patients had visceral metastases.</w:t>
      </w:r>
    </w:p>
    <w:p w14:paraId="0C0E8996" w14:textId="676E5901" w:rsidR="00065444" w:rsidRPr="00F34B68" w:rsidRDefault="00573ECF" w:rsidP="00065444">
      <w:pPr>
        <w:spacing w:after="120" w:line="240" w:lineRule="auto"/>
        <w:rPr>
          <w:rFonts w:ascii="Verdana" w:hAnsi="Verdana"/>
        </w:rPr>
      </w:pPr>
      <w:r>
        <w:rPr>
          <w:rFonts w:ascii="Verdana" w:hAnsi="Verdana"/>
          <w:iCs/>
        </w:rPr>
        <w:t>Reported with</w:t>
      </w:r>
      <w:r w:rsidR="00065444" w:rsidRPr="00F34B68">
        <w:rPr>
          <w:rFonts w:ascii="Verdana" w:hAnsi="Verdana"/>
          <w:iCs/>
        </w:rPr>
        <w:t xml:space="preserve"> minimum </w:t>
      </w:r>
      <w:r w:rsidRPr="00F34B68">
        <w:rPr>
          <w:rFonts w:ascii="Verdana" w:hAnsi="Verdana"/>
          <w:iCs/>
        </w:rPr>
        <w:t xml:space="preserve">of 18 months </w:t>
      </w:r>
      <w:r w:rsidR="00065444" w:rsidRPr="00F34B68">
        <w:rPr>
          <w:rFonts w:ascii="Verdana" w:hAnsi="Verdana"/>
          <w:iCs/>
        </w:rPr>
        <w:t xml:space="preserve">follow-up, </w:t>
      </w:r>
      <w:r w:rsidR="00065444" w:rsidRPr="00F34B68">
        <w:rPr>
          <w:rFonts w:ascii="Verdana" w:hAnsi="Verdana"/>
        </w:rPr>
        <w:t xml:space="preserve">the ORR was 33.0% (95% CI: 23.3, 43.8), consisting of 10 complete responses and 19 partial responses in </w:t>
      </w:r>
      <w:r w:rsidR="00065444" w:rsidRPr="00F34B68">
        <w:rPr>
          <w:rFonts w:ascii="Verdana" w:hAnsi="Verdana"/>
          <w:spacing w:val="-1"/>
          <w:lang w:eastAsia="en-GB"/>
        </w:rPr>
        <w:t>avelumab</w:t>
      </w:r>
      <w:r w:rsidR="00065444" w:rsidRPr="00F34B68">
        <w:rPr>
          <w:rFonts w:ascii="Verdana" w:hAnsi="Verdana"/>
        </w:rPr>
        <w:noBreakHyphen/>
        <w:t xml:space="preserve">treated patients. </w:t>
      </w:r>
      <w:r w:rsidR="00065444" w:rsidRPr="00F34B68">
        <w:rPr>
          <w:rFonts w:ascii="Verdana" w:hAnsi="Verdana"/>
          <w:iCs/>
        </w:rPr>
        <w:t>Of 29 patients with objective responses, duration ranged from 2.8 to 24.9+ months. T</w:t>
      </w:r>
      <w:r w:rsidR="00065444" w:rsidRPr="00F34B68">
        <w:rPr>
          <w:rFonts w:ascii="Verdana" w:hAnsi="Verdana"/>
        </w:rPr>
        <w:t>wenty patients (69%) had ongoing responses at the cut</w:t>
      </w:r>
      <w:r w:rsidR="00065444" w:rsidRPr="00F34B68">
        <w:rPr>
          <w:rFonts w:ascii="Verdana" w:hAnsi="Verdana"/>
        </w:rPr>
        <w:noBreakHyphen/>
        <w:t>off date of the analysis</w:t>
      </w:r>
      <w:r w:rsidR="00065444" w:rsidRPr="00F34B68">
        <w:rPr>
          <w:rFonts w:ascii="Verdana" w:hAnsi="Verdana"/>
          <w:iCs/>
        </w:rPr>
        <w:t>.</w:t>
      </w:r>
    </w:p>
    <w:p w14:paraId="18333168" w14:textId="371E650C" w:rsidR="00065444" w:rsidRPr="00F34B68" w:rsidRDefault="00065444" w:rsidP="00065444">
      <w:pPr>
        <w:spacing w:after="120" w:line="240" w:lineRule="auto"/>
        <w:rPr>
          <w:rFonts w:ascii="Verdana" w:hAnsi="Verdana"/>
        </w:rPr>
      </w:pPr>
      <w:r w:rsidRPr="00F34B68">
        <w:rPr>
          <w:rFonts w:ascii="Verdana" w:hAnsi="Verdana"/>
          <w:spacing w:val="-1"/>
          <w:lang w:eastAsia="en-GB"/>
        </w:rPr>
        <w:t>The median time to response was 6 weeks (range: 6 weeks to 36 weeks) after the first dose of avelumab. Twenty</w:t>
      </w:r>
      <w:r w:rsidRPr="00F34B68">
        <w:rPr>
          <w:rFonts w:ascii="Verdana" w:hAnsi="Verdana"/>
          <w:spacing w:val="-1"/>
          <w:lang w:eastAsia="en-GB"/>
        </w:rPr>
        <w:noBreakHyphen/>
        <w:t>two out of 29 (75.9%) patients with a response responded within 7 weeks after the first dose of avelumab.</w:t>
      </w:r>
    </w:p>
    <w:p w14:paraId="05578833" w14:textId="0727362B" w:rsidR="00065444" w:rsidRPr="00F34B68" w:rsidRDefault="00065444" w:rsidP="00065444">
      <w:pPr>
        <w:spacing w:after="120" w:line="240" w:lineRule="auto"/>
        <w:rPr>
          <w:rFonts w:ascii="Verdana" w:hAnsi="Verdana"/>
          <w:spacing w:val="-1"/>
          <w:lang w:eastAsia="en-GB"/>
        </w:rPr>
      </w:pPr>
      <w:r w:rsidRPr="00F34B68">
        <w:rPr>
          <w:rFonts w:ascii="Verdana" w:hAnsi="Verdana"/>
        </w:rPr>
        <w:lastRenderedPageBreak/>
        <w:t>Responses were observed in patients regardless of PD</w:t>
      </w:r>
      <w:r w:rsidRPr="00F34B68">
        <w:rPr>
          <w:rFonts w:ascii="Verdana" w:hAnsi="Verdana"/>
        </w:rPr>
        <w:noBreakHyphen/>
        <w:t xml:space="preserve">L1 expression and/or </w:t>
      </w:r>
      <w:r w:rsidRPr="00F34B68">
        <w:rPr>
          <w:rFonts w:ascii="Verdana" w:hAnsi="Verdana"/>
          <w:spacing w:val="-1"/>
          <w:lang w:eastAsia="en-GB"/>
        </w:rPr>
        <w:t>Merkel cell polyomavirus status</w:t>
      </w:r>
      <w:r w:rsidRPr="00F34B68">
        <w:rPr>
          <w:rFonts w:ascii="Verdana" w:hAnsi="Verdana"/>
        </w:rPr>
        <w:t>.</w:t>
      </w:r>
    </w:p>
    <w:p w14:paraId="0A10BC1C" w14:textId="0F595DBF" w:rsidR="00065444" w:rsidRPr="00F34B68" w:rsidRDefault="00065444" w:rsidP="00065444">
      <w:pPr>
        <w:spacing w:after="120" w:line="240" w:lineRule="auto"/>
        <w:rPr>
          <w:rFonts w:ascii="Verdana" w:hAnsi="Verdana"/>
          <w:spacing w:val="-1"/>
          <w:lang w:eastAsia="en-GB"/>
        </w:rPr>
      </w:pPr>
      <w:r w:rsidRPr="00F34B68">
        <w:rPr>
          <w:rFonts w:ascii="Verdana" w:hAnsi="Verdana"/>
          <w:lang w:eastAsia="en-GB"/>
        </w:rPr>
        <w:t>Table </w:t>
      </w:r>
      <w:r w:rsidR="00827860" w:rsidRPr="00F34B68">
        <w:rPr>
          <w:rFonts w:ascii="Verdana" w:hAnsi="Verdana"/>
          <w:lang w:eastAsia="en-GB"/>
        </w:rPr>
        <w:t>3</w:t>
      </w:r>
      <w:r w:rsidRPr="00F34B68">
        <w:rPr>
          <w:rFonts w:ascii="Verdana" w:hAnsi="Verdana"/>
          <w:spacing w:val="-3"/>
          <w:lang w:eastAsia="en-GB"/>
        </w:rPr>
        <w:t xml:space="preserve"> </w:t>
      </w:r>
      <w:r w:rsidRPr="00F34B68">
        <w:rPr>
          <w:rFonts w:ascii="Verdana" w:hAnsi="Verdana"/>
          <w:spacing w:val="-1"/>
          <w:lang w:eastAsia="en-GB"/>
        </w:rPr>
        <w:t>summarises efficacy endpoints in patients</w:t>
      </w:r>
      <w:r w:rsidRPr="00F34B68">
        <w:rPr>
          <w:rFonts w:ascii="Verdana" w:hAnsi="Verdana"/>
          <w:spacing w:val="30"/>
          <w:lang w:eastAsia="en-GB"/>
        </w:rPr>
        <w:t xml:space="preserve"> </w:t>
      </w:r>
      <w:r w:rsidRPr="00F34B68">
        <w:rPr>
          <w:rFonts w:ascii="Verdana" w:hAnsi="Verdana"/>
          <w:spacing w:val="-1"/>
          <w:lang w:eastAsia="en-GB"/>
        </w:rPr>
        <w:t>receiving avelumab at the</w:t>
      </w:r>
      <w:r w:rsidRPr="00F34B68">
        <w:rPr>
          <w:rFonts w:ascii="Verdana" w:hAnsi="Verdana"/>
          <w:spacing w:val="22"/>
          <w:lang w:eastAsia="en-GB"/>
        </w:rPr>
        <w:t xml:space="preserve"> </w:t>
      </w:r>
      <w:r w:rsidRPr="00F34B68">
        <w:rPr>
          <w:rFonts w:ascii="Verdana" w:hAnsi="Verdana"/>
          <w:spacing w:val="-1"/>
          <w:lang w:eastAsia="en-GB"/>
        </w:rPr>
        <w:t>recommended dose for study EMR100070-003 Part A.</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E23B73" w:rsidRPr="00F34B68" w14:paraId="7D1FE0C6" w14:textId="77777777" w:rsidTr="00270174">
        <w:tc>
          <w:tcPr>
            <w:tcW w:w="8647" w:type="dxa"/>
          </w:tcPr>
          <w:p w14:paraId="11F4F321" w14:textId="77777777" w:rsidR="00E23B73" w:rsidRPr="00F34B68" w:rsidRDefault="00E23B73" w:rsidP="00E23B73">
            <w:pPr>
              <w:keepNext/>
              <w:rPr>
                <w:rFonts w:ascii="Verdana" w:hAnsi="Verdana"/>
                <w:b/>
                <w:bCs/>
                <w:spacing w:val="-2"/>
                <w:lang w:eastAsia="en-GB"/>
              </w:rPr>
            </w:pPr>
            <w:r w:rsidRPr="00F34B68">
              <w:rPr>
                <w:rFonts w:ascii="Verdana" w:hAnsi="Verdana"/>
                <w:b/>
                <w:bCs/>
                <w:lang w:eastAsia="en-GB"/>
              </w:rPr>
              <w:t>Table 3</w:t>
            </w:r>
            <w:r w:rsidRPr="00F34B68">
              <w:rPr>
                <w:rFonts w:ascii="Verdana" w:hAnsi="Verdana"/>
                <w:b/>
                <w:bCs/>
                <w:spacing w:val="-2"/>
                <w:lang w:eastAsia="en-GB"/>
              </w:rPr>
              <w:t>:</w:t>
            </w:r>
            <w:r w:rsidRPr="00F34B68">
              <w:rPr>
                <w:rFonts w:ascii="Verdana" w:hAnsi="Verdana"/>
                <w:b/>
                <w:bCs/>
                <w:spacing w:val="-1"/>
                <w:lang w:eastAsia="en-GB"/>
              </w:rPr>
              <w:t xml:space="preserve"> Response to </w:t>
            </w:r>
            <w:proofErr w:type="spellStart"/>
            <w:r w:rsidRPr="00F34B68">
              <w:rPr>
                <w:rFonts w:ascii="Verdana" w:hAnsi="Verdana"/>
                <w:b/>
                <w:bCs/>
                <w:spacing w:val="-1"/>
                <w:lang w:eastAsia="en-GB"/>
              </w:rPr>
              <w:t>avelumab</w:t>
            </w:r>
            <w:proofErr w:type="spellEnd"/>
            <w:r w:rsidRPr="00F34B68">
              <w:rPr>
                <w:rFonts w:ascii="Verdana" w:hAnsi="Verdana"/>
                <w:b/>
                <w:bCs/>
                <w:spacing w:val="-1"/>
                <w:lang w:eastAsia="en-GB"/>
              </w:rPr>
              <w:t xml:space="preserve"> 10</w:t>
            </w:r>
            <w:r w:rsidRPr="00F34B68">
              <w:rPr>
                <w:rFonts w:ascii="Verdana" w:hAnsi="Verdana"/>
                <w:b/>
                <w:bCs/>
                <w:spacing w:val="-3"/>
                <w:lang w:eastAsia="en-GB"/>
              </w:rPr>
              <w:t> </w:t>
            </w:r>
            <w:r w:rsidRPr="00F34B68">
              <w:rPr>
                <w:rFonts w:ascii="Verdana" w:hAnsi="Verdana"/>
                <w:b/>
                <w:bCs/>
                <w:spacing w:val="-1"/>
                <w:lang w:eastAsia="en-GB"/>
              </w:rPr>
              <w:t>mg/kg every 2</w:t>
            </w:r>
            <w:r w:rsidRPr="00F34B68">
              <w:rPr>
                <w:rFonts w:ascii="Verdana" w:hAnsi="Verdana"/>
                <w:b/>
                <w:bCs/>
                <w:spacing w:val="-3"/>
                <w:lang w:eastAsia="en-GB"/>
              </w:rPr>
              <w:t> </w:t>
            </w:r>
            <w:r w:rsidRPr="00F34B68">
              <w:rPr>
                <w:rFonts w:ascii="Verdana" w:hAnsi="Verdana"/>
                <w:b/>
                <w:bCs/>
                <w:spacing w:val="-1"/>
                <w:lang w:eastAsia="en-GB"/>
              </w:rPr>
              <w:t xml:space="preserve">weeks in patients with </w:t>
            </w:r>
            <w:proofErr w:type="spellStart"/>
            <w:r w:rsidRPr="00F34B68">
              <w:rPr>
                <w:rFonts w:ascii="Verdana" w:hAnsi="Verdana"/>
                <w:b/>
                <w:bCs/>
                <w:spacing w:val="-1"/>
                <w:lang w:eastAsia="en-GB"/>
              </w:rPr>
              <w:t>mMCC</w:t>
            </w:r>
            <w:proofErr w:type="spellEnd"/>
            <w:r w:rsidRPr="00F34B68">
              <w:rPr>
                <w:rFonts w:ascii="Verdana" w:hAnsi="Verdana"/>
                <w:b/>
                <w:bCs/>
                <w:lang w:eastAsia="en-GB"/>
              </w:rPr>
              <w:t xml:space="preserve"> </w:t>
            </w:r>
            <w:r w:rsidRPr="00F34B68">
              <w:rPr>
                <w:rFonts w:ascii="Verdana" w:hAnsi="Verdana"/>
                <w:b/>
                <w:bCs/>
                <w:spacing w:val="-1"/>
                <w:lang w:eastAsia="en-GB"/>
              </w:rPr>
              <w:t>in study </w:t>
            </w:r>
            <w:r w:rsidRPr="00F34B68">
              <w:rPr>
                <w:rFonts w:ascii="Verdana" w:hAnsi="Verdana"/>
                <w:b/>
                <w:spacing w:val="-1"/>
                <w:lang w:eastAsia="en-GB"/>
              </w:rPr>
              <w:t>003 (Part A)</w:t>
            </w:r>
          </w:p>
        </w:tc>
      </w:tr>
      <w:tr w:rsidR="00E23B73" w:rsidRPr="00F34B68" w14:paraId="5A66B54E" w14:textId="77777777" w:rsidTr="00270174">
        <w:tc>
          <w:tcPr>
            <w:tcW w:w="8647" w:type="dxa"/>
          </w:tcPr>
          <w:tbl>
            <w:tblPr>
              <w:tblStyle w:val="TableGrid8"/>
              <w:tblpPr w:leftFromText="180" w:rightFromText="180" w:vertAnchor="text" w:horzAnchor="margin" w:tblpY="33"/>
              <w:tblOverlap w:val="never"/>
              <w:tblW w:w="8260" w:type="dxa"/>
              <w:tblInd w:w="0" w:type="dxa"/>
              <w:tblLayout w:type="fixed"/>
              <w:tblLook w:val="04A0" w:firstRow="1" w:lastRow="0" w:firstColumn="1" w:lastColumn="0" w:noHBand="0" w:noVBand="1"/>
            </w:tblPr>
            <w:tblGrid>
              <w:gridCol w:w="5448"/>
              <w:gridCol w:w="2805"/>
              <w:gridCol w:w="7"/>
            </w:tblGrid>
            <w:tr w:rsidR="00E23B73" w:rsidRPr="00F34B68" w14:paraId="013FB7C7" w14:textId="77777777" w:rsidTr="00270174">
              <w:trPr>
                <w:gridAfter w:val="1"/>
                <w:wAfter w:w="7" w:type="dxa"/>
              </w:trPr>
              <w:tc>
                <w:tcPr>
                  <w:tcW w:w="5448" w:type="dxa"/>
                  <w:shd w:val="clear" w:color="auto" w:fill="auto"/>
                </w:tcPr>
                <w:p w14:paraId="4AFEF714" w14:textId="77777777" w:rsidR="00E23B73" w:rsidRPr="00F34B68" w:rsidRDefault="00E23B73" w:rsidP="00270174">
                  <w:pPr>
                    <w:keepNext/>
                    <w:rPr>
                      <w:rFonts w:ascii="Verdana" w:hAnsi="Verdana"/>
                      <w:b/>
                      <w:kern w:val="24"/>
                    </w:rPr>
                  </w:pPr>
                  <w:bookmarkStart w:id="3" w:name="_Ref453081932"/>
                  <w:bookmarkEnd w:id="3"/>
                  <w:r w:rsidRPr="00F34B68">
                    <w:rPr>
                      <w:rFonts w:ascii="Verdana" w:hAnsi="Verdana"/>
                      <w:b/>
                      <w:kern w:val="24"/>
                    </w:rPr>
                    <w:t>Efficacy Endpoints</w:t>
                  </w:r>
                </w:p>
                <w:p w14:paraId="32598A5D" w14:textId="77777777" w:rsidR="00E23B73" w:rsidRPr="00F34B68" w:rsidRDefault="00E23B73" w:rsidP="00270174">
                  <w:pPr>
                    <w:keepNext/>
                    <w:rPr>
                      <w:rFonts w:ascii="Verdana" w:hAnsi="Verdana"/>
                      <w:b/>
                    </w:rPr>
                  </w:pPr>
                  <w:r w:rsidRPr="00F34B68">
                    <w:rPr>
                      <w:rFonts w:ascii="Verdana" w:hAnsi="Verdana"/>
                      <w:b/>
                    </w:rPr>
                    <w:t>(</w:t>
                  </w:r>
                  <w:r w:rsidRPr="00F34B68" w:rsidDel="0031574A">
                    <w:rPr>
                      <w:rFonts w:ascii="Verdana" w:hAnsi="Verdana"/>
                      <w:b/>
                    </w:rPr>
                    <w:t>per RECIST v1.1, I</w:t>
                  </w:r>
                  <w:r w:rsidRPr="00F34B68">
                    <w:rPr>
                      <w:rFonts w:ascii="Verdana" w:hAnsi="Verdana"/>
                      <w:b/>
                    </w:rPr>
                    <w:t>E</w:t>
                  </w:r>
                  <w:r w:rsidRPr="00F34B68" w:rsidDel="0031574A">
                    <w:rPr>
                      <w:rFonts w:ascii="Verdana" w:hAnsi="Verdana"/>
                      <w:b/>
                    </w:rPr>
                    <w:t>RC</w:t>
                  </w:r>
                  <w:r w:rsidRPr="00F34B68">
                    <w:rPr>
                      <w:rFonts w:ascii="Verdana" w:hAnsi="Verdana"/>
                      <w:b/>
                    </w:rPr>
                    <w:t>)</w:t>
                  </w:r>
                </w:p>
              </w:tc>
              <w:tc>
                <w:tcPr>
                  <w:tcW w:w="2805" w:type="dxa"/>
                </w:tcPr>
                <w:p w14:paraId="301DF24B" w14:textId="77777777" w:rsidR="00E23B73" w:rsidRPr="00F34B68" w:rsidRDefault="00E23B73" w:rsidP="00270174">
                  <w:pPr>
                    <w:keepNext/>
                    <w:jc w:val="center"/>
                    <w:rPr>
                      <w:rFonts w:ascii="Verdana" w:hAnsi="Verdana"/>
                      <w:b/>
                      <w:kern w:val="24"/>
                    </w:rPr>
                  </w:pPr>
                  <w:r w:rsidRPr="00F34B68">
                    <w:rPr>
                      <w:rFonts w:ascii="Verdana" w:hAnsi="Verdana"/>
                      <w:b/>
                      <w:kern w:val="24"/>
                    </w:rPr>
                    <w:t>Results</w:t>
                  </w:r>
                </w:p>
                <w:p w14:paraId="07E4FF4A" w14:textId="77777777" w:rsidR="00E23B73" w:rsidRPr="00F34B68" w:rsidRDefault="00E23B73" w:rsidP="00270174">
                  <w:pPr>
                    <w:keepNext/>
                    <w:jc w:val="center"/>
                    <w:rPr>
                      <w:rFonts w:ascii="Verdana" w:hAnsi="Verdana"/>
                      <w:b/>
                      <w:kern w:val="24"/>
                    </w:rPr>
                  </w:pPr>
                  <w:r w:rsidRPr="00F34B68">
                    <w:rPr>
                      <w:rFonts w:ascii="Verdana" w:hAnsi="Verdana"/>
                      <w:b/>
                      <w:kern w:val="24"/>
                    </w:rPr>
                    <w:t>(N = 88)</w:t>
                  </w:r>
                </w:p>
                <w:p w14:paraId="77227DC4" w14:textId="77777777" w:rsidR="00E23B73" w:rsidRPr="00F34B68" w:rsidRDefault="00E23B73" w:rsidP="00270174">
                  <w:pPr>
                    <w:keepNext/>
                    <w:jc w:val="center"/>
                    <w:rPr>
                      <w:rFonts w:ascii="Verdana" w:hAnsi="Verdana"/>
                      <w:b/>
                      <w:kern w:val="24"/>
                    </w:rPr>
                  </w:pPr>
                </w:p>
              </w:tc>
            </w:tr>
            <w:tr w:rsidR="00E23B73" w:rsidRPr="00F34B68" w14:paraId="1D97CC68" w14:textId="77777777" w:rsidTr="00270174">
              <w:trPr>
                <w:trHeight w:val="847"/>
              </w:trPr>
              <w:tc>
                <w:tcPr>
                  <w:tcW w:w="5448" w:type="dxa"/>
                </w:tcPr>
                <w:p w14:paraId="0479EC3E" w14:textId="77777777" w:rsidR="00E23B73" w:rsidRPr="00F34B68" w:rsidRDefault="00E23B73" w:rsidP="00270174">
                  <w:pPr>
                    <w:keepNext/>
                    <w:jc w:val="both"/>
                    <w:rPr>
                      <w:rFonts w:ascii="Verdana" w:hAnsi="Verdana"/>
                    </w:rPr>
                  </w:pPr>
                  <w:r w:rsidRPr="00F34B68">
                    <w:rPr>
                      <w:rFonts w:ascii="Verdana" w:hAnsi="Verdana"/>
                    </w:rPr>
                    <w:t>Objective Response Rate (ORR)</w:t>
                  </w:r>
                </w:p>
                <w:p w14:paraId="5468BAAC" w14:textId="77777777" w:rsidR="00E23B73" w:rsidRPr="00F34B68" w:rsidRDefault="00E23B73" w:rsidP="00270174">
                  <w:pPr>
                    <w:keepNext/>
                    <w:jc w:val="both"/>
                    <w:rPr>
                      <w:rFonts w:ascii="Verdana" w:hAnsi="Verdana"/>
                    </w:rPr>
                  </w:pPr>
                  <w:r w:rsidRPr="00F34B68">
                    <w:rPr>
                      <w:rFonts w:ascii="Verdana" w:hAnsi="Verdana"/>
                    </w:rPr>
                    <w:tab/>
                    <w:t>Response Rate, CR+PR* n (%)</w:t>
                  </w:r>
                </w:p>
                <w:p w14:paraId="50CE4E02" w14:textId="77777777" w:rsidR="00E23B73" w:rsidRPr="00F34B68" w:rsidRDefault="00E23B73" w:rsidP="00270174">
                  <w:pPr>
                    <w:keepNext/>
                    <w:jc w:val="both"/>
                    <w:rPr>
                      <w:rFonts w:ascii="Verdana" w:hAnsi="Verdana"/>
                    </w:rPr>
                  </w:pPr>
                  <w:r w:rsidRPr="00F34B68">
                    <w:rPr>
                      <w:rFonts w:ascii="Verdana" w:hAnsi="Verdana"/>
                    </w:rPr>
                    <w:tab/>
                    <w:t>(95% CI)</w:t>
                  </w:r>
                </w:p>
              </w:tc>
              <w:tc>
                <w:tcPr>
                  <w:tcW w:w="2812" w:type="dxa"/>
                  <w:gridSpan w:val="2"/>
                </w:tcPr>
                <w:p w14:paraId="15938C14" w14:textId="77777777" w:rsidR="00E23B73" w:rsidRDefault="00E23B73" w:rsidP="00270174">
                  <w:pPr>
                    <w:keepNext/>
                    <w:jc w:val="center"/>
                    <w:rPr>
                      <w:rFonts w:ascii="Verdana" w:hAnsi="Verdana"/>
                      <w:color w:val="000000" w:themeColor="dark1"/>
                      <w:kern w:val="24"/>
                    </w:rPr>
                  </w:pPr>
                  <w:r w:rsidRPr="00F34B68">
                    <w:rPr>
                      <w:rFonts w:ascii="Verdana" w:hAnsi="Verdana"/>
                      <w:color w:val="000000" w:themeColor="dark1"/>
                      <w:kern w:val="24"/>
                    </w:rPr>
                    <w:t xml:space="preserve"> </w:t>
                  </w:r>
                </w:p>
                <w:p w14:paraId="58719D93" w14:textId="77777777" w:rsidR="00E23B73" w:rsidRDefault="00E23B73" w:rsidP="00270174">
                  <w:pPr>
                    <w:keepNext/>
                    <w:jc w:val="center"/>
                    <w:rPr>
                      <w:rFonts w:ascii="Verdana" w:hAnsi="Verdana"/>
                      <w:color w:val="000000" w:themeColor="dark1"/>
                      <w:kern w:val="24"/>
                    </w:rPr>
                  </w:pPr>
                  <w:r w:rsidRPr="00F34B68">
                    <w:rPr>
                      <w:rFonts w:ascii="Verdana" w:hAnsi="Verdana"/>
                      <w:color w:val="000000" w:themeColor="dark1"/>
                      <w:kern w:val="24"/>
                    </w:rPr>
                    <w:t xml:space="preserve">29 (33.0%) </w:t>
                  </w:r>
                </w:p>
                <w:p w14:paraId="19B70717" w14:textId="77777777" w:rsidR="00E23B73" w:rsidRPr="00F34B68" w:rsidDel="00715BF7" w:rsidRDefault="00E23B73" w:rsidP="00270174">
                  <w:pPr>
                    <w:keepNext/>
                    <w:jc w:val="center"/>
                    <w:rPr>
                      <w:rFonts w:ascii="Verdana" w:hAnsi="Verdana"/>
                      <w:color w:val="000000" w:themeColor="dark1"/>
                      <w:kern w:val="24"/>
                    </w:rPr>
                  </w:pPr>
                  <w:r w:rsidRPr="00F34B68">
                    <w:rPr>
                      <w:rFonts w:ascii="Verdana" w:hAnsi="Verdana"/>
                      <w:color w:val="000000" w:themeColor="dark1"/>
                      <w:kern w:val="24"/>
                    </w:rPr>
                    <w:t>(23.3, 43.8)</w:t>
                  </w:r>
                </w:p>
              </w:tc>
            </w:tr>
            <w:tr w:rsidR="00E23B73" w:rsidRPr="00F34B68" w14:paraId="04FBFD96" w14:textId="77777777" w:rsidTr="00270174">
              <w:trPr>
                <w:gridAfter w:val="1"/>
                <w:wAfter w:w="7" w:type="dxa"/>
                <w:trHeight w:val="861"/>
              </w:trPr>
              <w:tc>
                <w:tcPr>
                  <w:tcW w:w="5448" w:type="dxa"/>
                </w:tcPr>
                <w:p w14:paraId="63897D75" w14:textId="77777777" w:rsidR="00E23B73" w:rsidRPr="00F34B68" w:rsidRDefault="00E23B73" w:rsidP="00270174">
                  <w:pPr>
                    <w:keepNext/>
                    <w:rPr>
                      <w:rFonts w:ascii="Verdana" w:hAnsi="Verdana"/>
                      <w:color w:val="000000" w:themeColor="dark1"/>
                      <w:kern w:val="24"/>
                    </w:rPr>
                  </w:pPr>
                  <w:r w:rsidRPr="00F34B68">
                    <w:rPr>
                      <w:rFonts w:ascii="Verdana" w:hAnsi="Verdana"/>
                    </w:rPr>
                    <w:t>Confirmed Best Overall Response (BOR)</w:t>
                  </w:r>
                </w:p>
                <w:p w14:paraId="2C9EDCE1" w14:textId="77777777" w:rsidR="00E23B73" w:rsidRPr="00F34B68" w:rsidRDefault="00E23B73" w:rsidP="00270174">
                  <w:pPr>
                    <w:keepNext/>
                    <w:rPr>
                      <w:rFonts w:ascii="Verdana" w:hAnsi="Verdana"/>
                      <w:color w:val="000000" w:themeColor="dark1"/>
                      <w:kern w:val="24"/>
                      <w:lang w:val="fr-CH"/>
                    </w:rPr>
                  </w:pPr>
                  <w:r w:rsidRPr="00F34B68">
                    <w:rPr>
                      <w:rFonts w:ascii="Verdana" w:hAnsi="Verdana"/>
                    </w:rPr>
                    <w:tab/>
                  </w:r>
                  <w:r w:rsidRPr="00F34B68">
                    <w:rPr>
                      <w:rFonts w:ascii="Verdana" w:hAnsi="Verdana"/>
                      <w:lang w:val="fr-CH"/>
                    </w:rPr>
                    <w:t xml:space="preserve">Complete </w:t>
                  </w:r>
                  <w:r w:rsidRPr="00DD2A89">
                    <w:rPr>
                      <w:rFonts w:ascii="Verdana" w:hAnsi="Verdana"/>
                      <w:lang w:val="en-AU"/>
                    </w:rPr>
                    <w:t>Response</w:t>
                  </w:r>
                  <w:r w:rsidRPr="00F34B68">
                    <w:rPr>
                      <w:rFonts w:ascii="Verdana" w:hAnsi="Verdana"/>
                      <w:lang w:val="fr-CH"/>
                    </w:rPr>
                    <w:t xml:space="preserve"> (CR)* n (%)</w:t>
                  </w:r>
                </w:p>
                <w:p w14:paraId="658C6260" w14:textId="77777777" w:rsidR="00E23B73" w:rsidRPr="00F34B68" w:rsidRDefault="00E23B73" w:rsidP="00270174">
                  <w:pPr>
                    <w:keepNext/>
                    <w:rPr>
                      <w:rFonts w:ascii="Verdana" w:hAnsi="Verdana"/>
                      <w:color w:val="000000" w:themeColor="dark1"/>
                      <w:kern w:val="24"/>
                      <w:lang w:val="fr-CH"/>
                    </w:rPr>
                  </w:pPr>
                  <w:r w:rsidRPr="00F34B68">
                    <w:rPr>
                      <w:rFonts w:ascii="Verdana" w:hAnsi="Verdana"/>
                      <w:lang w:val="fr-CH"/>
                    </w:rPr>
                    <w:tab/>
                    <w:t xml:space="preserve">Partial </w:t>
                  </w:r>
                  <w:proofErr w:type="spellStart"/>
                  <w:r w:rsidRPr="00F34B68">
                    <w:rPr>
                      <w:rFonts w:ascii="Verdana" w:hAnsi="Verdana"/>
                      <w:lang w:val="fr-CH"/>
                    </w:rPr>
                    <w:t>Response</w:t>
                  </w:r>
                  <w:proofErr w:type="spellEnd"/>
                  <w:r w:rsidRPr="00F34B68">
                    <w:rPr>
                      <w:rFonts w:ascii="Verdana" w:hAnsi="Verdana"/>
                      <w:lang w:val="fr-CH"/>
                    </w:rPr>
                    <w:t xml:space="preserve"> (PR)* n (%)</w:t>
                  </w:r>
                </w:p>
              </w:tc>
              <w:tc>
                <w:tcPr>
                  <w:tcW w:w="2805" w:type="dxa"/>
                </w:tcPr>
                <w:p w14:paraId="55A6F762" w14:textId="77777777" w:rsidR="00E23B73" w:rsidRPr="00F34B68" w:rsidRDefault="00E23B73" w:rsidP="00270174">
                  <w:pPr>
                    <w:keepNext/>
                    <w:jc w:val="center"/>
                    <w:rPr>
                      <w:rFonts w:ascii="Verdana" w:hAnsi="Verdana"/>
                      <w:lang w:val="fr-CH"/>
                    </w:rPr>
                  </w:pPr>
                </w:p>
                <w:p w14:paraId="016D43C5" w14:textId="77777777" w:rsidR="00E23B73" w:rsidRDefault="00E23B73" w:rsidP="00270174">
                  <w:pPr>
                    <w:keepNext/>
                    <w:jc w:val="center"/>
                    <w:rPr>
                      <w:rFonts w:ascii="Verdana" w:hAnsi="Verdana"/>
                    </w:rPr>
                  </w:pPr>
                  <w:r w:rsidRPr="00F34B68">
                    <w:rPr>
                      <w:rFonts w:ascii="Verdana" w:hAnsi="Verdana"/>
                    </w:rPr>
                    <w:t xml:space="preserve"> 10 (11.4%) </w:t>
                  </w:r>
                </w:p>
                <w:p w14:paraId="57CD95E3" w14:textId="77777777" w:rsidR="00E23B73" w:rsidRPr="00F34B68" w:rsidRDefault="00E23B73" w:rsidP="00270174">
                  <w:pPr>
                    <w:keepNext/>
                    <w:jc w:val="center"/>
                    <w:rPr>
                      <w:rFonts w:ascii="Verdana" w:hAnsi="Verdana"/>
                      <w:lang w:val="fr-CH"/>
                    </w:rPr>
                  </w:pPr>
                  <w:r w:rsidRPr="00F34B68">
                    <w:rPr>
                      <w:rFonts w:ascii="Verdana" w:hAnsi="Verdana"/>
                    </w:rPr>
                    <w:t>19 (21.6%)</w:t>
                  </w:r>
                </w:p>
              </w:tc>
            </w:tr>
            <w:tr w:rsidR="00E23B73" w:rsidRPr="00F34B68" w14:paraId="40E5A200" w14:textId="77777777" w:rsidTr="00270174">
              <w:trPr>
                <w:gridAfter w:val="1"/>
                <w:wAfter w:w="7" w:type="dxa"/>
                <w:trHeight w:val="1048"/>
              </w:trPr>
              <w:tc>
                <w:tcPr>
                  <w:tcW w:w="5448" w:type="dxa"/>
                </w:tcPr>
                <w:p w14:paraId="523C1372" w14:textId="77777777" w:rsidR="00E23B73" w:rsidRPr="00F34B68" w:rsidRDefault="00E23B73" w:rsidP="00270174">
                  <w:pPr>
                    <w:keepNext/>
                    <w:rPr>
                      <w:rFonts w:ascii="Verdana" w:hAnsi="Verdana"/>
                    </w:rPr>
                  </w:pPr>
                  <w:r w:rsidRPr="00F34B68">
                    <w:rPr>
                      <w:rFonts w:ascii="Verdana" w:hAnsi="Verdana"/>
                    </w:rPr>
                    <w:t>Duration of Response (DOR)</w:t>
                  </w:r>
                  <w:r w:rsidRPr="00F34B68">
                    <w:rPr>
                      <w:rFonts w:ascii="Verdana" w:hAnsi="Verdana"/>
                      <w:vertAlign w:val="superscript"/>
                    </w:rPr>
                    <w:t>a</w:t>
                  </w:r>
                </w:p>
                <w:p w14:paraId="65C2DFD8" w14:textId="77777777" w:rsidR="00E23B73" w:rsidRPr="00F34B68" w:rsidRDefault="00E23B73" w:rsidP="00270174">
                  <w:pPr>
                    <w:keepNext/>
                    <w:rPr>
                      <w:rFonts w:ascii="Verdana" w:hAnsi="Verdana"/>
                    </w:rPr>
                  </w:pPr>
                  <w:r w:rsidRPr="00F34B68">
                    <w:rPr>
                      <w:rFonts w:ascii="Verdana" w:hAnsi="Verdana"/>
                    </w:rPr>
                    <w:tab/>
                    <w:t>Median, months (95% CI)</w:t>
                  </w:r>
                </w:p>
                <w:p w14:paraId="00123CBC" w14:textId="77777777" w:rsidR="00E23B73" w:rsidRPr="00F34B68" w:rsidRDefault="00E23B73" w:rsidP="00270174">
                  <w:pPr>
                    <w:keepNext/>
                    <w:rPr>
                      <w:rFonts w:ascii="Verdana" w:hAnsi="Verdana"/>
                    </w:rPr>
                  </w:pPr>
                  <w:r w:rsidRPr="00F34B68">
                    <w:rPr>
                      <w:rFonts w:ascii="Verdana" w:hAnsi="Verdana"/>
                    </w:rPr>
                    <w:tab/>
                    <w:t>Minimum, Maximum</w:t>
                  </w:r>
                </w:p>
                <w:p w14:paraId="56B0B4EA" w14:textId="77777777" w:rsidR="00E23B73" w:rsidRPr="00F34B68" w:rsidRDefault="00E23B73" w:rsidP="00270174">
                  <w:pPr>
                    <w:keepNext/>
                    <w:rPr>
                      <w:rFonts w:ascii="Verdana" w:hAnsi="Verdana"/>
                    </w:rPr>
                  </w:pPr>
                  <w:r w:rsidRPr="00F34B68">
                    <w:rPr>
                      <w:rFonts w:ascii="Verdana" w:hAnsi="Verdana"/>
                    </w:rPr>
                    <w:tab/>
                    <w:t>≥ 6 months by K</w:t>
                  </w:r>
                  <w:r w:rsidRPr="00F34B68">
                    <w:rPr>
                      <w:rFonts w:ascii="Verdana" w:hAnsi="Verdana"/>
                    </w:rPr>
                    <w:noBreakHyphen/>
                    <w:t>M, (95% CI)</w:t>
                  </w:r>
                </w:p>
                <w:p w14:paraId="54194CD3" w14:textId="77777777" w:rsidR="00E23B73" w:rsidRPr="00F34B68" w:rsidRDefault="00E23B73" w:rsidP="00270174">
                  <w:pPr>
                    <w:keepNext/>
                    <w:rPr>
                      <w:rFonts w:ascii="Verdana" w:hAnsi="Verdana"/>
                    </w:rPr>
                  </w:pPr>
                  <w:r w:rsidRPr="00F34B68">
                    <w:rPr>
                      <w:rFonts w:ascii="Verdana" w:hAnsi="Verdana"/>
                    </w:rPr>
                    <w:t xml:space="preserve">           ≥ 12 months by K</w:t>
                  </w:r>
                  <w:r w:rsidRPr="00F34B68">
                    <w:rPr>
                      <w:rFonts w:ascii="Verdana" w:hAnsi="Verdana"/>
                    </w:rPr>
                    <w:noBreakHyphen/>
                    <w:t>M, (95% CI)</w:t>
                  </w:r>
                </w:p>
              </w:tc>
              <w:tc>
                <w:tcPr>
                  <w:tcW w:w="2805" w:type="dxa"/>
                </w:tcPr>
                <w:p w14:paraId="69A51DA1" w14:textId="77777777" w:rsidR="00E23B73" w:rsidRPr="00F34B68" w:rsidRDefault="00E23B73" w:rsidP="00270174">
                  <w:pPr>
                    <w:keepNext/>
                    <w:jc w:val="center"/>
                    <w:rPr>
                      <w:rFonts w:ascii="Verdana" w:hAnsi="Verdana"/>
                    </w:rPr>
                  </w:pPr>
                </w:p>
                <w:p w14:paraId="7E6EA7AA" w14:textId="77777777" w:rsidR="00E23B73" w:rsidRPr="00F34B68" w:rsidRDefault="00E23B73" w:rsidP="00270174">
                  <w:pPr>
                    <w:keepNext/>
                    <w:jc w:val="center"/>
                    <w:rPr>
                      <w:rFonts w:ascii="Verdana" w:hAnsi="Verdana"/>
                    </w:rPr>
                  </w:pPr>
                  <w:r w:rsidRPr="00F34B68">
                    <w:rPr>
                      <w:rFonts w:ascii="Verdana" w:hAnsi="Verdana"/>
                    </w:rPr>
                    <w:t>NR (18.0, not estimated)</w:t>
                  </w:r>
                </w:p>
                <w:p w14:paraId="76232076" w14:textId="77777777" w:rsidR="00E23B73" w:rsidRPr="00F34B68" w:rsidRDefault="00E23B73" w:rsidP="00270174">
                  <w:pPr>
                    <w:keepNext/>
                    <w:jc w:val="center"/>
                    <w:rPr>
                      <w:rFonts w:ascii="Verdana" w:hAnsi="Verdana"/>
                    </w:rPr>
                  </w:pPr>
                  <w:r w:rsidRPr="00F34B68">
                    <w:rPr>
                      <w:rFonts w:ascii="Verdana" w:hAnsi="Verdana"/>
                    </w:rPr>
                    <w:t>2.8</w:t>
                  </w:r>
                  <w:r>
                    <w:rPr>
                      <w:rFonts w:ascii="Verdana" w:hAnsi="Verdana"/>
                    </w:rPr>
                    <w:t>+</w:t>
                  </w:r>
                  <w:r w:rsidRPr="00F34B68">
                    <w:rPr>
                      <w:rFonts w:ascii="Verdana" w:hAnsi="Verdana"/>
                    </w:rPr>
                    <w:t>, 24.9+</w:t>
                  </w:r>
                </w:p>
                <w:p w14:paraId="3CA14AE0" w14:textId="77777777" w:rsidR="00E23B73" w:rsidRPr="00F34B68" w:rsidRDefault="00E23B73" w:rsidP="00270174">
                  <w:pPr>
                    <w:keepNext/>
                    <w:jc w:val="center"/>
                    <w:rPr>
                      <w:rFonts w:ascii="Verdana" w:hAnsi="Verdana"/>
                    </w:rPr>
                  </w:pPr>
                  <w:r w:rsidRPr="00F34B68">
                    <w:rPr>
                      <w:rFonts w:ascii="Verdana" w:hAnsi="Verdana"/>
                    </w:rPr>
                    <w:t>93% (75, 98)</w:t>
                  </w:r>
                </w:p>
                <w:p w14:paraId="12C23E88" w14:textId="77777777" w:rsidR="00E23B73" w:rsidRPr="00F34B68" w:rsidRDefault="00E23B73" w:rsidP="00270174">
                  <w:pPr>
                    <w:keepNext/>
                    <w:jc w:val="center"/>
                    <w:rPr>
                      <w:rFonts w:ascii="Verdana" w:hAnsi="Verdana"/>
                    </w:rPr>
                  </w:pPr>
                  <w:r w:rsidRPr="00F34B68">
                    <w:rPr>
                      <w:rFonts w:ascii="Verdana" w:hAnsi="Verdana"/>
                    </w:rPr>
                    <w:t>71% (51, 85)</w:t>
                  </w:r>
                </w:p>
              </w:tc>
            </w:tr>
            <w:tr w:rsidR="00E23B73" w:rsidRPr="00F34B68" w14:paraId="0D3E0C11" w14:textId="77777777" w:rsidTr="00270174">
              <w:trPr>
                <w:gridAfter w:val="1"/>
                <w:wAfter w:w="7" w:type="dxa"/>
                <w:trHeight w:val="641"/>
              </w:trPr>
              <w:tc>
                <w:tcPr>
                  <w:tcW w:w="5448" w:type="dxa"/>
                </w:tcPr>
                <w:p w14:paraId="4484B57D" w14:textId="77777777" w:rsidR="00E23B73" w:rsidRPr="00F34B68" w:rsidRDefault="00E23B73" w:rsidP="00270174">
                  <w:pPr>
                    <w:keepNext/>
                    <w:rPr>
                      <w:rFonts w:ascii="Verdana" w:hAnsi="Verdana"/>
                      <w:lang w:eastAsia="ja-JP"/>
                    </w:rPr>
                  </w:pPr>
                  <w:r w:rsidRPr="00F34B68">
                    <w:rPr>
                      <w:rFonts w:ascii="Verdana" w:hAnsi="Verdana"/>
                      <w:lang w:eastAsia="ja-JP"/>
                    </w:rPr>
                    <w:t>Progression</w:t>
                  </w:r>
                  <w:r w:rsidRPr="00F34B68">
                    <w:rPr>
                      <w:rFonts w:ascii="Verdana" w:hAnsi="Verdana"/>
                      <w:lang w:eastAsia="ja-JP"/>
                    </w:rPr>
                    <w:noBreakHyphen/>
                    <w:t>free Survival (PFS)</w:t>
                  </w:r>
                </w:p>
                <w:p w14:paraId="32334DEF" w14:textId="77777777" w:rsidR="00E23B73" w:rsidRPr="00F34B68" w:rsidRDefault="00E23B73" w:rsidP="00270174">
                  <w:pPr>
                    <w:keepNext/>
                    <w:rPr>
                      <w:rFonts w:ascii="Verdana" w:hAnsi="Verdana"/>
                      <w:lang w:eastAsia="ja-JP"/>
                    </w:rPr>
                  </w:pPr>
                  <w:r w:rsidRPr="00F34B68">
                    <w:rPr>
                      <w:rFonts w:ascii="Verdana" w:hAnsi="Verdana"/>
                      <w:lang w:eastAsia="ja-JP"/>
                    </w:rPr>
                    <w:t xml:space="preserve"> </w:t>
                  </w:r>
                  <w:r w:rsidRPr="00F34B68">
                    <w:rPr>
                      <w:rFonts w:ascii="Verdana" w:hAnsi="Verdana"/>
                      <w:lang w:eastAsia="ja-JP"/>
                    </w:rPr>
                    <w:tab/>
                    <w:t>Median PFS, months</w:t>
                  </w:r>
                </w:p>
                <w:p w14:paraId="75419546" w14:textId="77777777" w:rsidR="00E23B73" w:rsidRPr="00F34B68" w:rsidRDefault="00E23B73" w:rsidP="00270174">
                  <w:pPr>
                    <w:keepNext/>
                    <w:rPr>
                      <w:rFonts w:ascii="Verdana" w:hAnsi="Verdana"/>
                      <w:lang w:eastAsia="ja-JP"/>
                    </w:rPr>
                  </w:pPr>
                  <w:r w:rsidRPr="00F34B68">
                    <w:rPr>
                      <w:rFonts w:ascii="Verdana" w:hAnsi="Verdana"/>
                      <w:lang w:eastAsia="ja-JP"/>
                    </w:rPr>
                    <w:tab/>
                    <w:t>(95% CI)</w:t>
                  </w:r>
                </w:p>
                <w:p w14:paraId="70089B42" w14:textId="77777777" w:rsidR="00E23B73" w:rsidRPr="00F34B68" w:rsidRDefault="00E23B73" w:rsidP="00270174">
                  <w:pPr>
                    <w:keepNext/>
                    <w:rPr>
                      <w:rFonts w:ascii="Verdana" w:hAnsi="Verdana"/>
                      <w:lang w:eastAsia="ja-JP"/>
                    </w:rPr>
                  </w:pPr>
                  <w:r w:rsidRPr="00F34B68">
                    <w:rPr>
                      <w:rFonts w:ascii="Verdana" w:hAnsi="Verdana"/>
                      <w:lang w:eastAsia="ja-JP"/>
                    </w:rPr>
                    <w:tab/>
                    <w:t>6</w:t>
                  </w:r>
                  <w:r w:rsidRPr="00F34B68">
                    <w:rPr>
                      <w:rFonts w:ascii="Verdana" w:hAnsi="Verdana"/>
                      <w:lang w:eastAsia="ja-JP"/>
                    </w:rPr>
                    <w:noBreakHyphen/>
                    <w:t>month PFS rate by K</w:t>
                  </w:r>
                  <w:r w:rsidRPr="00F34B68">
                    <w:rPr>
                      <w:rFonts w:ascii="Verdana" w:hAnsi="Verdana"/>
                      <w:lang w:eastAsia="ja-JP"/>
                    </w:rPr>
                    <w:noBreakHyphen/>
                    <w:t>M,</w:t>
                  </w:r>
                  <w:r w:rsidRPr="00F34B68" w:rsidDel="00BF5408">
                    <w:rPr>
                      <w:rFonts w:ascii="Verdana" w:hAnsi="Verdana"/>
                      <w:lang w:eastAsia="ja-JP"/>
                    </w:rPr>
                    <w:t xml:space="preserve"> </w:t>
                  </w:r>
                  <w:r w:rsidRPr="00F34B68">
                    <w:rPr>
                      <w:rFonts w:ascii="Verdana" w:hAnsi="Verdana"/>
                      <w:lang w:eastAsia="ja-JP"/>
                    </w:rPr>
                    <w:t>(95% CI)</w:t>
                  </w:r>
                </w:p>
                <w:p w14:paraId="15392459" w14:textId="77777777" w:rsidR="00E23B73" w:rsidRPr="00F34B68" w:rsidRDefault="00E23B73" w:rsidP="00270174">
                  <w:pPr>
                    <w:keepNext/>
                    <w:rPr>
                      <w:rFonts w:ascii="Verdana" w:hAnsi="Verdana"/>
                    </w:rPr>
                  </w:pPr>
                  <w:r w:rsidRPr="00F34B68">
                    <w:rPr>
                      <w:rFonts w:ascii="Verdana" w:hAnsi="Verdana"/>
                      <w:lang w:eastAsia="ja-JP"/>
                    </w:rPr>
                    <w:tab/>
                    <w:t>12-month PFS rate by K-M (95% CI)</w:t>
                  </w:r>
                </w:p>
              </w:tc>
              <w:tc>
                <w:tcPr>
                  <w:tcW w:w="2805" w:type="dxa"/>
                </w:tcPr>
                <w:p w14:paraId="4C341710" w14:textId="77777777" w:rsidR="00E23B73" w:rsidRPr="00F34B68" w:rsidRDefault="00E23B73" w:rsidP="00270174">
                  <w:pPr>
                    <w:keepNext/>
                    <w:jc w:val="center"/>
                    <w:rPr>
                      <w:rFonts w:ascii="Verdana" w:hAnsi="Verdana"/>
                      <w:lang w:eastAsia="ja-JP"/>
                    </w:rPr>
                  </w:pPr>
                </w:p>
                <w:p w14:paraId="0565AB84" w14:textId="77777777" w:rsidR="00E23B73" w:rsidRPr="00F34B68" w:rsidRDefault="00E23B73" w:rsidP="00270174">
                  <w:pPr>
                    <w:keepNext/>
                    <w:jc w:val="center"/>
                    <w:rPr>
                      <w:rFonts w:ascii="Verdana" w:hAnsi="Verdana"/>
                      <w:lang w:eastAsia="ja-JP"/>
                    </w:rPr>
                  </w:pPr>
                  <w:r w:rsidRPr="00F34B68">
                    <w:rPr>
                      <w:rFonts w:ascii="Verdana" w:hAnsi="Verdana"/>
                      <w:lang w:eastAsia="ja-JP"/>
                    </w:rPr>
                    <w:t>2.7</w:t>
                  </w:r>
                </w:p>
                <w:p w14:paraId="28718D3E" w14:textId="77777777" w:rsidR="00E23B73" w:rsidRPr="00F34B68" w:rsidRDefault="00E23B73" w:rsidP="00270174">
                  <w:pPr>
                    <w:keepNext/>
                    <w:jc w:val="center"/>
                    <w:rPr>
                      <w:rFonts w:ascii="Verdana" w:hAnsi="Verdana"/>
                      <w:lang w:eastAsia="ja-JP"/>
                    </w:rPr>
                  </w:pPr>
                  <w:r w:rsidRPr="00F34B68">
                    <w:rPr>
                      <w:rFonts w:ascii="Verdana" w:hAnsi="Verdana"/>
                      <w:lang w:eastAsia="ja-JP"/>
                    </w:rPr>
                    <w:t>(1.4, 6.9)</w:t>
                  </w:r>
                </w:p>
                <w:p w14:paraId="27445665" w14:textId="77777777" w:rsidR="00E23B73" w:rsidRPr="00F34B68" w:rsidRDefault="00E23B73" w:rsidP="00270174">
                  <w:pPr>
                    <w:keepNext/>
                    <w:jc w:val="center"/>
                    <w:rPr>
                      <w:rFonts w:ascii="Verdana" w:hAnsi="Verdana"/>
                      <w:lang w:eastAsia="ja-JP"/>
                    </w:rPr>
                  </w:pPr>
                  <w:r w:rsidRPr="00F34B68">
                    <w:rPr>
                      <w:rFonts w:ascii="Verdana" w:hAnsi="Verdana"/>
                      <w:lang w:eastAsia="ja-JP"/>
                    </w:rPr>
                    <w:t>40% (29, 50)</w:t>
                  </w:r>
                </w:p>
                <w:p w14:paraId="03B3367D" w14:textId="77777777" w:rsidR="00E23B73" w:rsidRPr="00F34B68" w:rsidRDefault="00E23B73" w:rsidP="00270174">
                  <w:pPr>
                    <w:keepNext/>
                    <w:jc w:val="center"/>
                    <w:rPr>
                      <w:rFonts w:ascii="Verdana" w:hAnsi="Verdana"/>
                      <w:lang w:eastAsia="ja-JP"/>
                    </w:rPr>
                  </w:pPr>
                  <w:r w:rsidRPr="00F34B68">
                    <w:rPr>
                      <w:rFonts w:ascii="Verdana" w:hAnsi="Verdana"/>
                      <w:lang w:eastAsia="ja-JP"/>
                    </w:rPr>
                    <w:t>29% (19, 39)</w:t>
                  </w:r>
                </w:p>
              </w:tc>
            </w:tr>
          </w:tbl>
          <w:p w14:paraId="20619390" w14:textId="77777777" w:rsidR="00E23B73" w:rsidRPr="00F34B68" w:rsidRDefault="00E23B73" w:rsidP="00270174">
            <w:pPr>
              <w:keepNext/>
              <w:rPr>
                <w:rFonts w:ascii="Verdana" w:hAnsi="Verdana"/>
                <w:color w:val="000000" w:themeColor="text1"/>
              </w:rPr>
            </w:pPr>
          </w:p>
        </w:tc>
      </w:tr>
      <w:tr w:rsidR="00E23B73" w:rsidRPr="00F34B68" w14:paraId="2D6578CA" w14:textId="77777777" w:rsidTr="00270174">
        <w:trPr>
          <w:trHeight w:val="890"/>
        </w:trPr>
        <w:tc>
          <w:tcPr>
            <w:tcW w:w="8647" w:type="dxa"/>
          </w:tcPr>
          <w:p w14:paraId="314661CE" w14:textId="77777777" w:rsidR="00E23B73" w:rsidRPr="00F34B68" w:rsidRDefault="00E23B73" w:rsidP="00270174">
            <w:pPr>
              <w:spacing w:after="0" w:line="240" w:lineRule="auto"/>
              <w:rPr>
                <w:rFonts w:ascii="Verdana" w:hAnsi="Verdana"/>
                <w:color w:val="000000" w:themeColor="text1"/>
                <w:sz w:val="18"/>
              </w:rPr>
            </w:pPr>
            <w:r w:rsidRPr="00F34B68">
              <w:rPr>
                <w:rFonts w:ascii="Verdana" w:hAnsi="Verdana"/>
                <w:color w:val="000000" w:themeColor="text1"/>
                <w:sz w:val="18"/>
              </w:rPr>
              <w:t>CI: Confidence interval; RECIST: Response Evaluation Criteria in Solid Tumours; IERC: Independent Endpoint Review Committee; K</w:t>
            </w:r>
            <w:r w:rsidRPr="00F34B68">
              <w:rPr>
                <w:rFonts w:ascii="Verdana" w:hAnsi="Verdana"/>
                <w:color w:val="000000" w:themeColor="text1"/>
                <w:sz w:val="18"/>
              </w:rPr>
              <w:noBreakHyphen/>
              <w:t>M: Kaplan</w:t>
            </w:r>
            <w:r w:rsidRPr="00F34B68">
              <w:rPr>
                <w:rFonts w:ascii="Verdana" w:hAnsi="Verdana"/>
                <w:color w:val="000000" w:themeColor="text1"/>
                <w:sz w:val="18"/>
              </w:rPr>
              <w:noBreakHyphen/>
              <w:t>Meier; NR: Not reached; +denotes a censored value</w:t>
            </w:r>
          </w:p>
          <w:p w14:paraId="7422E7F6" w14:textId="77777777" w:rsidR="00E23B73" w:rsidRPr="00F34B68" w:rsidRDefault="00E23B73" w:rsidP="00270174">
            <w:pPr>
              <w:spacing w:after="0" w:line="240" w:lineRule="auto"/>
              <w:rPr>
                <w:rFonts w:ascii="Verdana" w:hAnsi="Verdana"/>
                <w:spacing w:val="-1"/>
                <w:sz w:val="18"/>
                <w:lang w:eastAsia="en-GB"/>
              </w:rPr>
            </w:pPr>
            <w:r w:rsidRPr="00F34B68">
              <w:rPr>
                <w:rFonts w:ascii="Verdana" w:hAnsi="Verdana"/>
                <w:spacing w:val="-1"/>
                <w:sz w:val="18"/>
                <w:lang w:eastAsia="en-GB"/>
              </w:rPr>
              <w:t>* CR or PR was confirmed at a subsequent tumour assessment</w:t>
            </w:r>
          </w:p>
          <w:p w14:paraId="7A29B72F" w14:textId="77777777" w:rsidR="00E23B73" w:rsidRPr="00F34B68" w:rsidRDefault="00E23B73" w:rsidP="00270174">
            <w:pPr>
              <w:spacing w:after="0" w:line="240" w:lineRule="auto"/>
              <w:rPr>
                <w:rFonts w:ascii="Verdana" w:hAnsi="Verdana"/>
                <w:spacing w:val="-1"/>
                <w:sz w:val="18"/>
                <w:lang w:eastAsia="en-GB"/>
              </w:rPr>
            </w:pPr>
            <w:r w:rsidRPr="00F34B68">
              <w:rPr>
                <w:rFonts w:ascii="Verdana" w:hAnsi="Verdana"/>
                <w:sz w:val="18"/>
                <w:vertAlign w:val="superscript"/>
              </w:rPr>
              <w:t xml:space="preserve">a </w:t>
            </w:r>
            <w:r w:rsidRPr="00F34B68">
              <w:rPr>
                <w:rFonts w:ascii="Verdana" w:hAnsi="Verdana"/>
                <w:sz w:val="18"/>
              </w:rPr>
              <w:t>Based on number of subjects with confirmed response (CR or PR)</w:t>
            </w:r>
          </w:p>
        </w:tc>
      </w:tr>
    </w:tbl>
    <w:p w14:paraId="4B8E13FF" w14:textId="126A0E3F" w:rsidR="00065444" w:rsidRPr="00F34B68" w:rsidRDefault="00065444" w:rsidP="00065444">
      <w:pPr>
        <w:spacing w:before="120"/>
        <w:rPr>
          <w:rFonts w:ascii="Verdana" w:hAnsi="Verdana"/>
        </w:rPr>
      </w:pPr>
      <w:r w:rsidRPr="00F34B68">
        <w:rPr>
          <w:rFonts w:ascii="Verdana" w:hAnsi="Verdana"/>
        </w:rPr>
        <w:t>The Kaplan</w:t>
      </w:r>
      <w:r w:rsidRPr="00F34B68">
        <w:rPr>
          <w:rFonts w:ascii="Verdana" w:hAnsi="Verdana"/>
        </w:rPr>
        <w:noBreakHyphen/>
        <w:t xml:space="preserve">Meier curve of PFS of the 88 patients with mMCC (Part A) is presented in </w:t>
      </w:r>
      <w:r w:rsidRPr="00F34B68">
        <w:rPr>
          <w:rFonts w:ascii="Verdana" w:hAnsi="Verdana"/>
        </w:rPr>
        <w:fldChar w:fldCharType="begin"/>
      </w:r>
      <w:r w:rsidRPr="00F34B68">
        <w:rPr>
          <w:rFonts w:ascii="Verdana" w:hAnsi="Verdana"/>
        </w:rPr>
        <w:instrText xml:space="preserve"> REF _Ref456255499 \h  \* MERGEFORMAT </w:instrText>
      </w:r>
      <w:r w:rsidRPr="00F34B68">
        <w:rPr>
          <w:rFonts w:ascii="Verdana" w:hAnsi="Verdana"/>
        </w:rPr>
      </w:r>
      <w:r w:rsidRPr="00F34B68">
        <w:rPr>
          <w:rFonts w:ascii="Verdana" w:hAnsi="Verdana"/>
        </w:rPr>
        <w:fldChar w:fldCharType="separate"/>
      </w:r>
      <w:r w:rsidR="002856C1" w:rsidRPr="002856C1">
        <w:rPr>
          <w:rFonts w:ascii="Verdana" w:hAnsi="Verdana"/>
        </w:rPr>
        <w:t>Figure 1</w:t>
      </w:r>
      <w:r w:rsidRPr="00F34B68">
        <w:rPr>
          <w:rFonts w:ascii="Verdana" w:hAnsi="Verdana"/>
        </w:rPr>
        <w:fldChar w:fldCharType="end"/>
      </w:r>
      <w:r w:rsidRPr="00F34B68">
        <w:rPr>
          <w:rFonts w:ascii="Verdana" w:hAnsi="Verdana"/>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065444" w:rsidRPr="00F34B68" w14:paraId="72722E14" w14:textId="77777777" w:rsidTr="00065444">
        <w:trPr>
          <w:trHeight w:val="315"/>
        </w:trPr>
        <w:tc>
          <w:tcPr>
            <w:tcW w:w="9067" w:type="dxa"/>
          </w:tcPr>
          <w:p w14:paraId="24A1E8F1" w14:textId="77777777" w:rsidR="00065444" w:rsidRPr="00F34B68" w:rsidRDefault="00065444" w:rsidP="00065FBD">
            <w:pPr>
              <w:keepNext/>
              <w:rPr>
                <w:rFonts w:ascii="Verdana" w:hAnsi="Verdana"/>
                <w:b/>
                <w:lang w:eastAsia="ja-JP"/>
              </w:rPr>
            </w:pPr>
            <w:bookmarkStart w:id="4" w:name="_Ref456255499"/>
            <w:r w:rsidRPr="00F34B68">
              <w:rPr>
                <w:rFonts w:ascii="Verdana" w:hAnsi="Verdana"/>
                <w:b/>
              </w:rPr>
              <w:lastRenderedPageBreak/>
              <w:t>Figure </w:t>
            </w:r>
            <w:r w:rsidRPr="00F34B68">
              <w:rPr>
                <w:rFonts w:ascii="Verdana" w:hAnsi="Verdana"/>
                <w:b/>
              </w:rPr>
              <w:fldChar w:fldCharType="begin"/>
            </w:r>
            <w:r w:rsidRPr="00F34B68">
              <w:rPr>
                <w:rFonts w:ascii="Verdana" w:hAnsi="Verdana"/>
                <w:b/>
              </w:rPr>
              <w:instrText xml:space="preserve"> SEQ Figure \* ARABIC </w:instrText>
            </w:r>
            <w:r w:rsidRPr="00F34B68">
              <w:rPr>
                <w:rFonts w:ascii="Verdana" w:hAnsi="Verdana"/>
                <w:b/>
              </w:rPr>
              <w:fldChar w:fldCharType="separate"/>
            </w:r>
            <w:r w:rsidR="002856C1">
              <w:rPr>
                <w:rFonts w:ascii="Verdana" w:hAnsi="Verdana"/>
                <w:b/>
                <w:noProof/>
              </w:rPr>
              <w:t>1</w:t>
            </w:r>
            <w:r w:rsidRPr="00F34B68">
              <w:rPr>
                <w:rFonts w:ascii="Verdana" w:hAnsi="Verdana"/>
                <w:b/>
              </w:rPr>
              <w:fldChar w:fldCharType="end"/>
            </w:r>
            <w:bookmarkEnd w:id="4"/>
            <w:r w:rsidRPr="00F34B68">
              <w:rPr>
                <w:rFonts w:ascii="Verdana" w:hAnsi="Verdana"/>
                <w:b/>
              </w:rPr>
              <w:t xml:space="preserve">: </w:t>
            </w:r>
            <w:r w:rsidRPr="00F34B68">
              <w:rPr>
                <w:rFonts w:ascii="Verdana" w:hAnsi="Verdana"/>
                <w:b/>
                <w:lang w:eastAsia="ja-JP"/>
              </w:rPr>
              <w:t>Kaplan</w:t>
            </w:r>
            <w:r w:rsidRPr="00F34B68">
              <w:rPr>
                <w:rFonts w:ascii="Verdana" w:hAnsi="Verdana"/>
                <w:b/>
                <w:lang w:eastAsia="ja-JP"/>
              </w:rPr>
              <w:noBreakHyphen/>
              <w:t>Meier estimates of progression</w:t>
            </w:r>
            <w:r w:rsidRPr="00F34B68">
              <w:rPr>
                <w:rFonts w:ascii="Verdana" w:hAnsi="Verdana"/>
                <w:b/>
                <w:lang w:eastAsia="ja-JP"/>
              </w:rPr>
              <w:noBreakHyphen/>
              <w:t>free survival (PFS) per RECIST v1.1, IERC (Part A)</w:t>
            </w:r>
          </w:p>
        </w:tc>
      </w:tr>
      <w:tr w:rsidR="00065444" w:rsidRPr="00F34B68" w14:paraId="4257ECB3" w14:textId="77777777" w:rsidTr="00065444">
        <w:trPr>
          <w:trHeight w:val="5751"/>
        </w:trPr>
        <w:tc>
          <w:tcPr>
            <w:tcW w:w="9067" w:type="dxa"/>
          </w:tcPr>
          <w:p w14:paraId="49811996" w14:textId="7FD706AC" w:rsidR="00065444" w:rsidRPr="00F34B68" w:rsidRDefault="00065444" w:rsidP="00065FBD">
            <w:pPr>
              <w:keepNext/>
              <w:rPr>
                <w:rFonts w:ascii="Verdana" w:hAnsi="Verdana"/>
                <w:lang w:eastAsia="ja-JP"/>
              </w:rPr>
            </w:pPr>
            <w:r w:rsidRPr="00F34B68">
              <w:rPr>
                <w:rFonts w:ascii="Verdana" w:hAnsi="Verdana"/>
                <w:noProof/>
                <w:lang w:eastAsia="en-AU"/>
              </w:rPr>
              <w:drawing>
                <wp:inline distT="0" distB="0" distL="0" distR="0" wp14:anchorId="336C03AC" wp14:editId="1ACF662D">
                  <wp:extent cx="5450774" cy="3286898"/>
                  <wp:effectExtent l="0" t="0" r="0" b="8890"/>
                  <wp:docPr id="3" name="Picture 3" descr="Figure 1: Kaplan Meier estimates of progression free survival (PFS) per RECIST v1.1, IERC (Par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4211" cy="3301031"/>
                          </a:xfrm>
                          <a:prstGeom prst="rect">
                            <a:avLst/>
                          </a:prstGeom>
                          <a:noFill/>
                          <a:ln>
                            <a:noFill/>
                          </a:ln>
                        </pic:spPr>
                      </pic:pic>
                    </a:graphicData>
                  </a:graphic>
                </wp:inline>
              </w:drawing>
            </w:r>
          </w:p>
          <w:p w14:paraId="60AC0565" w14:textId="244B8C53" w:rsidR="00065444" w:rsidRPr="00F34B68" w:rsidRDefault="00065444" w:rsidP="00065444">
            <w:pPr>
              <w:pStyle w:val="Tablefootnote"/>
              <w:keepNext/>
              <w:keepLines w:val="0"/>
              <w:rPr>
                <w:rFonts w:ascii="Verdana" w:eastAsia="MS Mincho" w:hAnsi="Verdana"/>
                <w:sz w:val="22"/>
                <w:szCs w:val="22"/>
                <w:lang w:eastAsia="ja-JP"/>
              </w:rPr>
            </w:pPr>
            <w:r w:rsidRPr="00F34B68">
              <w:rPr>
                <w:rFonts w:ascii="Verdana" w:eastAsia="MS Mincho" w:hAnsi="Verdana"/>
                <w:sz w:val="22"/>
                <w:szCs w:val="22"/>
                <w:lang w:eastAsia="ja-JP"/>
              </w:rPr>
              <w:t>IERC: Independent Endpoint Review Committee</w:t>
            </w:r>
            <w:r w:rsidRPr="00F34B68" w:rsidDel="00932292">
              <w:rPr>
                <w:rFonts w:ascii="Verdana" w:eastAsia="MS Mincho" w:hAnsi="Verdana"/>
                <w:sz w:val="22"/>
                <w:szCs w:val="22"/>
                <w:lang w:eastAsia="ja-JP"/>
              </w:rPr>
              <w:t xml:space="preserve"> </w:t>
            </w:r>
          </w:p>
        </w:tc>
      </w:tr>
    </w:tbl>
    <w:p w14:paraId="5D90D39B" w14:textId="38D5283F" w:rsidR="00065444" w:rsidRPr="00F34B68" w:rsidRDefault="00065444" w:rsidP="00E23B73">
      <w:pPr>
        <w:autoSpaceDE w:val="0"/>
        <w:autoSpaceDN w:val="0"/>
        <w:spacing w:before="240"/>
        <w:rPr>
          <w:rFonts w:ascii="Verdana" w:hAnsi="Verdana"/>
          <w:lang w:val="en-US"/>
        </w:rPr>
      </w:pPr>
      <w:r w:rsidRPr="00F34B68">
        <w:rPr>
          <w:rFonts w:ascii="Verdana" w:hAnsi="Verdana"/>
          <w:lang w:val="en-US"/>
        </w:rPr>
        <w:t xml:space="preserve">For Part B, the major efficacy outcome measure was durable response, defined as objective response (complete response (CR) or partial response (PR)) with </w:t>
      </w:r>
      <w:proofErr w:type="gramStart"/>
      <w:r w:rsidRPr="00F34B68">
        <w:rPr>
          <w:rFonts w:ascii="Verdana" w:hAnsi="Verdana"/>
          <w:lang w:val="en-US"/>
        </w:rPr>
        <w:t>a duration</w:t>
      </w:r>
      <w:proofErr w:type="gramEnd"/>
      <w:r w:rsidRPr="00F34B68">
        <w:rPr>
          <w:rFonts w:ascii="Verdana" w:hAnsi="Verdana"/>
          <w:lang w:val="en-US"/>
        </w:rPr>
        <w:t xml:space="preserve"> of at least 6 months; secondary outcome measures included BOR, DOR, PFS, and OS.</w:t>
      </w:r>
    </w:p>
    <w:p w14:paraId="2431D4FE" w14:textId="2DAD9217" w:rsidR="00065444" w:rsidRPr="00F34B68" w:rsidRDefault="00065444" w:rsidP="00065444">
      <w:pPr>
        <w:autoSpaceDE w:val="0"/>
        <w:autoSpaceDN w:val="0"/>
        <w:adjustRightInd w:val="0"/>
        <w:rPr>
          <w:rFonts w:ascii="Verdana" w:hAnsi="Verdana"/>
          <w:lang w:val="en-US"/>
        </w:rPr>
      </w:pPr>
      <w:r w:rsidRPr="00F34B68">
        <w:rPr>
          <w:rFonts w:ascii="Verdana" w:hAnsi="Verdana"/>
          <w:lang w:val="en-US"/>
        </w:rPr>
        <w:t>For Part B,</w:t>
      </w:r>
      <w:r w:rsidR="004745EB" w:rsidRPr="00F34B68">
        <w:rPr>
          <w:rFonts w:ascii="Verdana" w:hAnsi="Verdana"/>
          <w:lang w:val="en-US"/>
        </w:rPr>
        <w:t xml:space="preserve"> prespecified </w:t>
      </w:r>
      <w:r w:rsidRPr="00F34B68">
        <w:rPr>
          <w:rFonts w:ascii="Verdana" w:hAnsi="Verdana"/>
          <w:lang w:val="en-US"/>
        </w:rPr>
        <w:t xml:space="preserve"> interim analysis of efficacy was conducted </w:t>
      </w:r>
      <w:r w:rsidR="004745EB" w:rsidRPr="00F34B68">
        <w:rPr>
          <w:rFonts w:ascii="Verdana" w:hAnsi="Verdana"/>
          <w:lang w:val="en-US"/>
        </w:rPr>
        <w:t>after 29 patients had at least 13 weeks of follow-up as of the data cut-off date. There were</w:t>
      </w:r>
      <w:r w:rsidRPr="00F34B68">
        <w:rPr>
          <w:rFonts w:ascii="Verdana" w:hAnsi="Verdana"/>
          <w:lang w:val="en-US"/>
        </w:rPr>
        <w:t xml:space="preserve"> 39 patients who received at least one dose. Of those, 30 (77%) were males, the median age was 75 years (range: 47 years to 88 years), 33 (85%) patients were Caucasian, and 31 (79%) patients and 8 (21%) patients had an ECOG performance status 0 and 1, respectively. Twenty-nine patients had at least 13 weeks of follow-up at the time of the data cut-off.</w:t>
      </w:r>
    </w:p>
    <w:p w14:paraId="092A6B5D" w14:textId="76CA3B5E" w:rsidR="00F34B68" w:rsidRDefault="00065444" w:rsidP="00065444">
      <w:pPr>
        <w:rPr>
          <w:rFonts w:ascii="Verdana" w:hAnsi="Verdana"/>
          <w:lang w:val="en-US"/>
        </w:rPr>
      </w:pPr>
      <w:r w:rsidRPr="00F34B68">
        <w:rPr>
          <w:rFonts w:ascii="Verdana" w:hAnsi="Verdana"/>
          <w:lang w:val="en-US"/>
        </w:rPr>
        <w:t>Table </w:t>
      </w:r>
      <w:r w:rsidR="00827860" w:rsidRPr="00F34B68">
        <w:rPr>
          <w:rFonts w:ascii="Verdana" w:hAnsi="Verdana"/>
          <w:lang w:val="en-US"/>
        </w:rPr>
        <w:t>4</w:t>
      </w:r>
      <w:r w:rsidRPr="00F34B68">
        <w:rPr>
          <w:rFonts w:ascii="Verdana" w:hAnsi="Verdana"/>
          <w:lang w:val="en-US"/>
        </w:rPr>
        <w:t xml:space="preserve"> </w:t>
      </w:r>
      <w:r w:rsidRPr="00F7758E">
        <w:rPr>
          <w:rFonts w:ascii="Verdana" w:hAnsi="Verdana"/>
        </w:rPr>
        <w:t>summarises</w:t>
      </w:r>
      <w:r w:rsidRPr="00F34B68">
        <w:rPr>
          <w:rFonts w:ascii="Verdana" w:hAnsi="Verdana"/>
          <w:lang w:val="en-US"/>
        </w:rPr>
        <w:t xml:space="preserve"> efficacy endpoints in patients receiving avelumab at the recommended dose for study EMR100070-003, Part B.</w:t>
      </w:r>
    </w:p>
    <w:p w14:paraId="3D0AB5DA" w14:textId="47547C22" w:rsidR="00065444" w:rsidRPr="00F34B68" w:rsidRDefault="00065444" w:rsidP="00E23B73">
      <w:pPr>
        <w:keepNext/>
        <w:rPr>
          <w:rFonts w:ascii="Verdana" w:hAnsi="Verdana"/>
          <w:b/>
          <w:lang w:val="en-US"/>
        </w:rPr>
      </w:pPr>
      <w:r w:rsidRPr="00F34B68">
        <w:rPr>
          <w:rFonts w:ascii="Verdana" w:hAnsi="Verdana"/>
          <w:b/>
          <w:lang w:val="en-US"/>
        </w:rPr>
        <w:t>Table </w:t>
      </w:r>
      <w:r w:rsidR="00827860" w:rsidRPr="00F34B68">
        <w:rPr>
          <w:rFonts w:ascii="Verdana" w:hAnsi="Verdana"/>
          <w:b/>
          <w:lang w:val="en-US"/>
        </w:rPr>
        <w:t>4</w:t>
      </w:r>
      <w:r w:rsidRPr="00F34B68">
        <w:rPr>
          <w:rFonts w:ascii="Verdana" w:hAnsi="Verdana"/>
          <w:b/>
          <w:lang w:val="en-US"/>
        </w:rPr>
        <w:t xml:space="preserve">: Response to </w:t>
      </w:r>
      <w:proofErr w:type="spellStart"/>
      <w:r w:rsidRPr="00F34B68">
        <w:rPr>
          <w:rFonts w:ascii="Verdana" w:hAnsi="Verdana"/>
          <w:b/>
          <w:lang w:val="en-US"/>
        </w:rPr>
        <w:t>avelumab</w:t>
      </w:r>
      <w:proofErr w:type="spellEnd"/>
      <w:r w:rsidRPr="00F34B68">
        <w:rPr>
          <w:rFonts w:ascii="Verdana" w:hAnsi="Verdana"/>
          <w:b/>
          <w:lang w:val="en-US"/>
        </w:rPr>
        <w:t xml:space="preserve"> 10 mg/kg every 2 weeks in patients with metastatic MCC in study EMR100070-003 (Part B)</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5493"/>
        <w:gridCol w:w="3007"/>
      </w:tblGrid>
      <w:tr w:rsidR="00065444" w:rsidRPr="00F34B68" w14:paraId="5B46629F" w14:textId="77777777" w:rsidTr="007845AE">
        <w:trPr>
          <w:cantSplit/>
          <w:tblHeader/>
          <w:jc w:val="center"/>
        </w:trPr>
        <w:tc>
          <w:tcPr>
            <w:tcW w:w="5493" w:type="dxa"/>
          </w:tcPr>
          <w:p w14:paraId="5EEF522C" w14:textId="77777777" w:rsidR="00065444" w:rsidRPr="00F34B68" w:rsidRDefault="00065444" w:rsidP="000654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b/>
                <w:sz w:val="20"/>
                <w:szCs w:val="20"/>
                <w:lang w:val="en-US"/>
              </w:rPr>
            </w:pPr>
            <w:r w:rsidRPr="00F34B68">
              <w:rPr>
                <w:rFonts w:ascii="Verdana" w:hAnsi="Verdana"/>
                <w:b/>
                <w:sz w:val="20"/>
                <w:szCs w:val="20"/>
                <w:lang w:val="en-US"/>
              </w:rPr>
              <w:t>Efficacy endpoints (Part B)</w:t>
            </w:r>
          </w:p>
          <w:p w14:paraId="1E3043FE" w14:textId="77777777" w:rsidR="00065444" w:rsidRPr="00F34B68" w:rsidRDefault="00065444" w:rsidP="000654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b/>
                <w:sz w:val="20"/>
                <w:szCs w:val="20"/>
                <w:lang w:val="en-US"/>
              </w:rPr>
            </w:pPr>
            <w:r w:rsidRPr="00F34B68">
              <w:rPr>
                <w:rFonts w:ascii="Verdana" w:hAnsi="Verdana"/>
                <w:b/>
                <w:sz w:val="20"/>
                <w:szCs w:val="20"/>
                <w:lang w:val="en-US"/>
              </w:rPr>
              <w:t>(per RECIST v1.1, IERC)</w:t>
            </w:r>
          </w:p>
        </w:tc>
        <w:tc>
          <w:tcPr>
            <w:tcW w:w="3007" w:type="dxa"/>
          </w:tcPr>
          <w:p w14:paraId="3CAD313A" w14:textId="77777777" w:rsidR="00065444" w:rsidRPr="00F34B68" w:rsidRDefault="00065444" w:rsidP="00065444">
            <w:pPr>
              <w:keepNext/>
              <w:autoSpaceDE w:val="0"/>
              <w:autoSpaceDN w:val="0"/>
              <w:adjustRightInd w:val="0"/>
              <w:spacing w:after="0"/>
              <w:jc w:val="center"/>
              <w:rPr>
                <w:rFonts w:ascii="Verdana" w:hAnsi="Verdana"/>
                <w:b/>
                <w:sz w:val="20"/>
                <w:szCs w:val="20"/>
                <w:lang w:val="en-US"/>
              </w:rPr>
            </w:pPr>
            <w:r w:rsidRPr="00F34B68">
              <w:rPr>
                <w:rFonts w:ascii="Verdana" w:hAnsi="Verdana"/>
                <w:b/>
                <w:sz w:val="20"/>
                <w:szCs w:val="20"/>
                <w:lang w:val="en-US"/>
              </w:rPr>
              <w:t>Results</w:t>
            </w:r>
          </w:p>
        </w:tc>
      </w:tr>
      <w:tr w:rsidR="00065444" w:rsidRPr="00F34B68" w14:paraId="3F1AC265" w14:textId="77777777" w:rsidTr="007845AE">
        <w:trPr>
          <w:cantSplit/>
          <w:tblHeader/>
          <w:jc w:val="center"/>
        </w:trPr>
        <w:tc>
          <w:tcPr>
            <w:tcW w:w="5493" w:type="dxa"/>
          </w:tcPr>
          <w:p w14:paraId="364264D3"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Objective response rate (ORR)</w:t>
            </w:r>
          </w:p>
          <w:p w14:paraId="2C22BE2E"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ab/>
              <w:t>Response rate, CR+PR* n (%)</w:t>
            </w:r>
          </w:p>
          <w:p w14:paraId="4BE6C825" w14:textId="77777777" w:rsidR="00065444" w:rsidRPr="00F34B68" w:rsidRDefault="00065444" w:rsidP="000654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Verdana" w:hAnsi="Verdana"/>
                <w:sz w:val="20"/>
                <w:szCs w:val="20"/>
                <w:lang w:val="en-US"/>
              </w:rPr>
            </w:pPr>
            <w:r w:rsidRPr="00F34B68">
              <w:rPr>
                <w:rFonts w:ascii="Verdana" w:hAnsi="Verdana"/>
                <w:sz w:val="20"/>
                <w:szCs w:val="20"/>
                <w:lang w:val="en-US"/>
              </w:rPr>
              <w:tab/>
              <w:t>(95% CI)</w:t>
            </w:r>
          </w:p>
        </w:tc>
        <w:tc>
          <w:tcPr>
            <w:tcW w:w="3007" w:type="dxa"/>
          </w:tcPr>
          <w:p w14:paraId="6F9920AF" w14:textId="77777777" w:rsidR="00065444" w:rsidRPr="00F34B68" w:rsidRDefault="00065444" w:rsidP="000654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(N=29)</w:t>
            </w:r>
          </w:p>
          <w:p w14:paraId="6087D355" w14:textId="77777777" w:rsidR="00065444" w:rsidRPr="00F34B68" w:rsidRDefault="00065444" w:rsidP="000654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18 (62.1%)</w:t>
            </w:r>
          </w:p>
          <w:p w14:paraId="55C34429" w14:textId="77777777" w:rsidR="00065444" w:rsidRPr="00F34B68" w:rsidRDefault="00065444" w:rsidP="00065444">
            <w:pPr>
              <w:keepNext/>
              <w:autoSpaceDE w:val="0"/>
              <w:autoSpaceDN w:val="0"/>
              <w:adjustRightInd w:val="0"/>
              <w:spacing w:after="0"/>
              <w:jc w:val="center"/>
              <w:rPr>
                <w:rFonts w:ascii="Verdana" w:hAnsi="Verdana"/>
                <w:sz w:val="20"/>
                <w:szCs w:val="20"/>
                <w:lang w:val="en-US"/>
              </w:rPr>
            </w:pPr>
            <w:r w:rsidRPr="00F34B68">
              <w:rPr>
                <w:rFonts w:ascii="Verdana" w:hAnsi="Verdana"/>
                <w:sz w:val="20"/>
                <w:szCs w:val="20"/>
                <w:lang w:val="en-US"/>
              </w:rPr>
              <w:t>(42.3, 79.3)</w:t>
            </w:r>
          </w:p>
        </w:tc>
      </w:tr>
      <w:tr w:rsidR="00065444" w:rsidRPr="00F34B68" w14:paraId="0933E9F0" w14:textId="77777777" w:rsidTr="007845AE">
        <w:trPr>
          <w:cantSplit/>
          <w:jc w:val="center"/>
        </w:trPr>
        <w:tc>
          <w:tcPr>
            <w:tcW w:w="5493" w:type="dxa"/>
          </w:tcPr>
          <w:p w14:paraId="00A06CF2"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Confirmed best overall response (BOR)</w:t>
            </w:r>
          </w:p>
          <w:p w14:paraId="258021A2"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ab/>
              <w:t>Complete response (CR)* n (%)</w:t>
            </w:r>
          </w:p>
          <w:p w14:paraId="3F9713A7"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ab/>
              <w:t>Partial response (PR)* n (%)</w:t>
            </w:r>
          </w:p>
        </w:tc>
        <w:tc>
          <w:tcPr>
            <w:tcW w:w="3007" w:type="dxa"/>
          </w:tcPr>
          <w:p w14:paraId="21D9BDCE" w14:textId="77777777" w:rsidR="00065444" w:rsidRPr="00F34B68" w:rsidRDefault="00065444" w:rsidP="000654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(N=29)</w:t>
            </w:r>
          </w:p>
          <w:p w14:paraId="3953589C" w14:textId="77777777" w:rsidR="00065444" w:rsidRPr="00F34B68" w:rsidRDefault="00065444" w:rsidP="000654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4 (13.8%)</w:t>
            </w:r>
          </w:p>
          <w:p w14:paraId="4D7B2B2B" w14:textId="77777777" w:rsidR="00065444" w:rsidRPr="00F34B68" w:rsidRDefault="00065444" w:rsidP="0006544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14 (48.3%)</w:t>
            </w:r>
          </w:p>
        </w:tc>
      </w:tr>
      <w:tr w:rsidR="00065444" w:rsidRPr="00F34B68" w14:paraId="381E6217" w14:textId="77777777" w:rsidTr="007845AE">
        <w:trPr>
          <w:cantSplit/>
          <w:jc w:val="center"/>
        </w:trPr>
        <w:tc>
          <w:tcPr>
            <w:tcW w:w="5493" w:type="dxa"/>
          </w:tcPr>
          <w:p w14:paraId="27A26372"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Duration of response (DOR)</w:t>
            </w:r>
            <w:r w:rsidRPr="00F34B68">
              <w:rPr>
                <w:rFonts w:ascii="Verdana" w:hAnsi="Verdana"/>
                <w:sz w:val="20"/>
                <w:szCs w:val="20"/>
                <w:vertAlign w:val="superscript"/>
                <w:lang w:val="en-US"/>
              </w:rPr>
              <w:t>a</w:t>
            </w:r>
          </w:p>
          <w:p w14:paraId="1BCDDC4A"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ab/>
              <w:t>Median, months</w:t>
            </w:r>
          </w:p>
          <w:p w14:paraId="4388CE7C"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ab/>
              <w:t>(95% CI)</w:t>
            </w:r>
          </w:p>
          <w:p w14:paraId="72664F73"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ab/>
              <w:t>Minimum, maximum</w:t>
            </w:r>
          </w:p>
          <w:p w14:paraId="5A02D7E7"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ab/>
              <w:t>≥ 3 months by K</w:t>
            </w:r>
            <w:r w:rsidRPr="00F34B68">
              <w:rPr>
                <w:rFonts w:ascii="Verdana" w:hAnsi="Verdana"/>
                <w:sz w:val="20"/>
                <w:szCs w:val="20"/>
                <w:lang w:val="en-US"/>
              </w:rPr>
              <w:noBreakHyphen/>
              <w:t>M, (95% CI)</w:t>
            </w:r>
          </w:p>
        </w:tc>
        <w:tc>
          <w:tcPr>
            <w:tcW w:w="3007" w:type="dxa"/>
          </w:tcPr>
          <w:p w14:paraId="3A218CC3" w14:textId="0F2B0F47" w:rsidR="00065444" w:rsidRPr="00F34B68" w:rsidRDefault="00065444" w:rsidP="000654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(N=</w:t>
            </w:r>
            <w:r w:rsidR="00DD2A89">
              <w:rPr>
                <w:rFonts w:ascii="Verdana" w:hAnsi="Verdana"/>
                <w:sz w:val="20"/>
                <w:szCs w:val="20"/>
                <w:lang w:val="en-US"/>
              </w:rPr>
              <w:t>18</w:t>
            </w:r>
            <w:r w:rsidRPr="00F34B68">
              <w:rPr>
                <w:rFonts w:ascii="Verdana" w:hAnsi="Verdana"/>
                <w:sz w:val="20"/>
                <w:szCs w:val="20"/>
                <w:lang w:val="en-US"/>
              </w:rPr>
              <w:t>)</w:t>
            </w:r>
          </w:p>
          <w:p w14:paraId="3421F87F" w14:textId="77777777" w:rsidR="00065444" w:rsidRPr="00F34B68" w:rsidRDefault="00065444" w:rsidP="000654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NR</w:t>
            </w:r>
          </w:p>
          <w:p w14:paraId="1646E9F2" w14:textId="77777777" w:rsidR="00065444" w:rsidRPr="00F34B68" w:rsidRDefault="00065444" w:rsidP="000654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(4.0, not estimable)</w:t>
            </w:r>
          </w:p>
          <w:p w14:paraId="3989992B" w14:textId="77777777" w:rsidR="00065444" w:rsidRPr="00F34B68" w:rsidRDefault="00065444" w:rsidP="000654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1.2+, 8.3+</w:t>
            </w:r>
          </w:p>
          <w:p w14:paraId="6EC5DF8F" w14:textId="77777777" w:rsidR="00065444" w:rsidRPr="00F34B68" w:rsidRDefault="00065444" w:rsidP="000654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93% (61, 99)</w:t>
            </w:r>
          </w:p>
        </w:tc>
      </w:tr>
      <w:tr w:rsidR="00065444" w:rsidRPr="00F34B68" w14:paraId="70287F41" w14:textId="77777777" w:rsidTr="007845AE">
        <w:trPr>
          <w:cantSplit/>
          <w:jc w:val="center"/>
        </w:trPr>
        <w:tc>
          <w:tcPr>
            <w:tcW w:w="5493" w:type="dxa"/>
          </w:tcPr>
          <w:p w14:paraId="00A5F0FD"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Progression</w:t>
            </w:r>
            <w:r w:rsidRPr="00F34B68">
              <w:rPr>
                <w:rFonts w:ascii="Verdana" w:hAnsi="Verdana"/>
                <w:sz w:val="20"/>
                <w:szCs w:val="20"/>
                <w:lang w:val="en-US"/>
              </w:rPr>
              <w:noBreakHyphen/>
              <w:t>free survival (PFS)</w:t>
            </w:r>
          </w:p>
          <w:p w14:paraId="791ACB36"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ab/>
              <w:t>Median PFS, months</w:t>
            </w:r>
          </w:p>
          <w:p w14:paraId="13F2C464"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ab/>
              <w:t>(95% CI)</w:t>
            </w:r>
          </w:p>
          <w:p w14:paraId="6364F363" w14:textId="77777777" w:rsidR="00065444" w:rsidRPr="00F34B68" w:rsidRDefault="00065444" w:rsidP="00065444">
            <w:pPr>
              <w:keepNext/>
              <w:keepLines/>
              <w:spacing w:after="0"/>
              <w:rPr>
                <w:rFonts w:ascii="Verdana" w:hAnsi="Verdana"/>
                <w:sz w:val="20"/>
                <w:szCs w:val="20"/>
                <w:lang w:val="en-US"/>
              </w:rPr>
            </w:pPr>
            <w:r w:rsidRPr="00F34B68">
              <w:rPr>
                <w:rFonts w:ascii="Verdana" w:hAnsi="Verdana"/>
                <w:sz w:val="20"/>
                <w:szCs w:val="20"/>
                <w:lang w:val="en-US"/>
              </w:rPr>
              <w:tab/>
              <w:t>3</w:t>
            </w:r>
            <w:r w:rsidRPr="00F34B68">
              <w:rPr>
                <w:rFonts w:ascii="Verdana" w:hAnsi="Verdana"/>
                <w:sz w:val="20"/>
                <w:szCs w:val="20"/>
                <w:lang w:val="en-US"/>
              </w:rPr>
              <w:noBreakHyphen/>
              <w:t>month PFS rate by K</w:t>
            </w:r>
            <w:r w:rsidRPr="00F34B68">
              <w:rPr>
                <w:rFonts w:ascii="Verdana" w:hAnsi="Verdana"/>
                <w:sz w:val="20"/>
                <w:szCs w:val="20"/>
                <w:lang w:val="en-US"/>
              </w:rPr>
              <w:noBreakHyphen/>
              <w:t>M,</w:t>
            </w:r>
            <w:r w:rsidRPr="00F34B68" w:rsidDel="00BF5408">
              <w:rPr>
                <w:rFonts w:ascii="Verdana" w:hAnsi="Verdana"/>
                <w:sz w:val="20"/>
                <w:szCs w:val="20"/>
                <w:lang w:val="en-US"/>
              </w:rPr>
              <w:t xml:space="preserve"> </w:t>
            </w:r>
            <w:r w:rsidRPr="00F34B68">
              <w:rPr>
                <w:rFonts w:ascii="Verdana" w:hAnsi="Verdana"/>
                <w:sz w:val="20"/>
                <w:szCs w:val="20"/>
                <w:lang w:val="en-US"/>
              </w:rPr>
              <w:t>(95% CI)</w:t>
            </w:r>
          </w:p>
        </w:tc>
        <w:tc>
          <w:tcPr>
            <w:tcW w:w="3007" w:type="dxa"/>
          </w:tcPr>
          <w:p w14:paraId="32DA0C9C" w14:textId="77777777" w:rsidR="00065444" w:rsidRPr="00F34B68" w:rsidRDefault="00065444" w:rsidP="000654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(N=39)</w:t>
            </w:r>
          </w:p>
          <w:p w14:paraId="722288DF" w14:textId="77777777" w:rsidR="00065444" w:rsidRPr="00F34B68" w:rsidRDefault="00065444" w:rsidP="000654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9.1</w:t>
            </w:r>
          </w:p>
          <w:p w14:paraId="31E9C8CD" w14:textId="77777777" w:rsidR="00065444" w:rsidRPr="00F34B68" w:rsidRDefault="00065444" w:rsidP="000654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(1.9, not estimable)</w:t>
            </w:r>
          </w:p>
          <w:p w14:paraId="70C928A0" w14:textId="77777777" w:rsidR="00065444" w:rsidRPr="00F34B68" w:rsidRDefault="00065444" w:rsidP="000654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Verdana" w:hAnsi="Verdana"/>
                <w:sz w:val="20"/>
                <w:szCs w:val="20"/>
                <w:lang w:val="en-US"/>
              </w:rPr>
            </w:pPr>
            <w:r w:rsidRPr="00F34B68">
              <w:rPr>
                <w:rFonts w:ascii="Verdana" w:hAnsi="Verdana"/>
                <w:sz w:val="20"/>
                <w:szCs w:val="20"/>
                <w:lang w:val="en-US"/>
              </w:rPr>
              <w:t>67% (48, 80)</w:t>
            </w:r>
          </w:p>
        </w:tc>
      </w:tr>
    </w:tbl>
    <w:p w14:paraId="0E7D9912" w14:textId="77777777" w:rsidR="007845AE" w:rsidRDefault="00065444" w:rsidP="007845AE">
      <w:pPr>
        <w:keepLines/>
        <w:spacing w:after="0" w:line="240" w:lineRule="auto"/>
        <w:ind w:left="284" w:right="379"/>
        <w:rPr>
          <w:rFonts w:ascii="Verdana" w:hAnsi="Verdana"/>
          <w:sz w:val="18"/>
          <w:lang w:val="en-US"/>
        </w:rPr>
      </w:pPr>
      <w:r w:rsidRPr="00F34B68">
        <w:rPr>
          <w:rFonts w:ascii="Verdana" w:hAnsi="Verdana"/>
          <w:sz w:val="18"/>
          <w:lang w:val="en-US"/>
        </w:rPr>
        <w:t>CI: Confidence interval; RECIST: Response Evaluation Criteria in Solid Tumours; IERC: Independent Endpoint Review Committee; K</w:t>
      </w:r>
      <w:r w:rsidRPr="00F34B68">
        <w:rPr>
          <w:rFonts w:ascii="Verdana" w:hAnsi="Verdana"/>
          <w:sz w:val="18"/>
          <w:lang w:val="en-US"/>
        </w:rPr>
        <w:noBreakHyphen/>
        <w:t>M: Kaplan</w:t>
      </w:r>
      <w:r w:rsidRPr="00F34B68">
        <w:rPr>
          <w:rFonts w:ascii="Verdana" w:hAnsi="Verdana"/>
          <w:sz w:val="18"/>
          <w:lang w:val="en-US"/>
        </w:rPr>
        <w:noBreakHyphen/>
        <w:t>Meier; NR: Not reached; +denotes a censored value</w:t>
      </w:r>
    </w:p>
    <w:p w14:paraId="0545AF21" w14:textId="40AED712" w:rsidR="00065444" w:rsidRPr="00F34B68" w:rsidRDefault="00065444" w:rsidP="007845AE">
      <w:pPr>
        <w:keepLines/>
        <w:spacing w:after="0" w:line="240" w:lineRule="auto"/>
        <w:ind w:left="284" w:right="379"/>
        <w:rPr>
          <w:rFonts w:ascii="Verdana" w:hAnsi="Verdana"/>
          <w:sz w:val="18"/>
          <w:lang w:val="en-US"/>
        </w:rPr>
      </w:pPr>
      <w:r w:rsidRPr="00F34B68">
        <w:rPr>
          <w:rFonts w:ascii="Verdana" w:hAnsi="Verdana"/>
          <w:sz w:val="18"/>
          <w:lang w:val="en-US"/>
        </w:rPr>
        <w:t>* CR or PR was confirmed at a subsequent tumour assessment</w:t>
      </w:r>
    </w:p>
    <w:p w14:paraId="37730D72" w14:textId="429B89F0" w:rsidR="00065444" w:rsidRDefault="00065444" w:rsidP="007845AE">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right="992"/>
        <w:rPr>
          <w:rFonts w:ascii="Verdana" w:hAnsi="Verdana"/>
          <w:sz w:val="18"/>
          <w:lang w:val="en-US"/>
        </w:rPr>
      </w:pPr>
      <w:r w:rsidRPr="00F34B68">
        <w:rPr>
          <w:rFonts w:ascii="Verdana" w:hAnsi="Verdana"/>
          <w:sz w:val="18"/>
          <w:vertAlign w:val="superscript"/>
          <w:lang w:val="en-US"/>
        </w:rPr>
        <w:t>a</w:t>
      </w:r>
      <w:r w:rsidRPr="00F34B68">
        <w:rPr>
          <w:rFonts w:ascii="Verdana" w:hAnsi="Verdana"/>
          <w:sz w:val="18"/>
          <w:lang w:val="en-US"/>
        </w:rPr>
        <w:t xml:space="preserve"> Based on number of patients with conf</w:t>
      </w:r>
      <w:r w:rsidR="007845AE">
        <w:rPr>
          <w:rFonts w:ascii="Verdana" w:hAnsi="Verdana"/>
          <w:sz w:val="18"/>
          <w:lang w:val="en-US"/>
        </w:rPr>
        <w:t>irmed response (CR or PR)</w:t>
      </w:r>
    </w:p>
    <w:p w14:paraId="640791D4" w14:textId="77777777" w:rsidR="007845AE" w:rsidRPr="007845AE" w:rsidRDefault="007845AE" w:rsidP="007845AE">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right="992"/>
        <w:rPr>
          <w:rFonts w:ascii="Verdana" w:hAnsi="Verdana"/>
          <w:sz w:val="18"/>
          <w:lang w:val="en-US"/>
        </w:rPr>
      </w:pPr>
    </w:p>
    <w:p w14:paraId="106A994D" w14:textId="00695D53" w:rsidR="00065444" w:rsidRDefault="00065444" w:rsidP="00065444">
      <w:pPr>
        <w:rPr>
          <w:rFonts w:ascii="Verdana" w:hAnsi="Verdana"/>
          <w:lang w:val="en-US"/>
        </w:rPr>
      </w:pPr>
      <w:r w:rsidRPr="00F34B68">
        <w:rPr>
          <w:rFonts w:ascii="Verdana" w:hAnsi="Verdana"/>
          <w:lang w:val="en-US"/>
        </w:rPr>
        <w:t>Figure 2 presents the Kaplan-Meier curve for PFS for the 39 patients enrolled into Part B who received at least one dose of study drug prior to the data cut-off for the interim analysis.</w:t>
      </w:r>
    </w:p>
    <w:p w14:paraId="1422CC29" w14:textId="23D3A0B4" w:rsidR="00E23B73" w:rsidRDefault="00E23B73" w:rsidP="00E23B73">
      <w:pPr>
        <w:keepNext/>
        <w:rPr>
          <w:rFonts w:ascii="Verdana" w:hAnsi="Verdana"/>
          <w:b/>
          <w:lang w:val="en-US"/>
        </w:rPr>
      </w:pPr>
      <w:r w:rsidRPr="00F34B68">
        <w:rPr>
          <w:rFonts w:ascii="Verdana" w:hAnsi="Verdana"/>
          <w:b/>
          <w:lang w:val="en-US"/>
        </w:rPr>
        <w:t>Figure 2: Kaplan</w:t>
      </w:r>
      <w:r w:rsidRPr="00F34B68">
        <w:rPr>
          <w:rFonts w:ascii="Verdana" w:hAnsi="Verdana"/>
          <w:b/>
          <w:lang w:val="en-US"/>
        </w:rPr>
        <w:noBreakHyphen/>
        <w:t>Meier estimates of progression</w:t>
      </w:r>
      <w:r w:rsidRPr="00F34B68">
        <w:rPr>
          <w:rFonts w:ascii="Verdana" w:hAnsi="Verdana"/>
          <w:b/>
          <w:lang w:val="en-US"/>
        </w:rPr>
        <w:noBreakHyphen/>
        <w:t>free survival (PFS)</w:t>
      </w:r>
      <w:r>
        <w:rPr>
          <w:rFonts w:ascii="Verdana" w:hAnsi="Verdana"/>
          <w:b/>
          <w:lang w:val="en-US"/>
        </w:rPr>
        <w:t xml:space="preserve"> per RECIST v1.1, IERC (Part B)</w:t>
      </w:r>
    </w:p>
    <w:p w14:paraId="7791FA95" w14:textId="1AFDB5CD" w:rsidR="00E23B73" w:rsidRPr="00F34B68" w:rsidRDefault="00E23B73" w:rsidP="00065444">
      <w:pPr>
        <w:rPr>
          <w:rFonts w:ascii="Verdana" w:hAnsi="Verdana"/>
          <w:lang w:val="en-US"/>
        </w:rPr>
      </w:pPr>
      <w:r>
        <w:rPr>
          <w:rFonts w:ascii="Verdana" w:hAnsi="Verdana"/>
          <w:noProof/>
          <w:lang w:eastAsia="en-AU"/>
        </w:rPr>
        <w:drawing>
          <wp:inline distT="0" distB="0" distL="0" distR="0" wp14:anchorId="32635B85" wp14:editId="0632E569">
            <wp:extent cx="5218430" cy="3249295"/>
            <wp:effectExtent l="0" t="0" r="1270" b="8255"/>
            <wp:docPr id="5" name="Picture 5" descr="Figure 2: Kaplan Meier estimates of progression free survival (PFS) per RECIST v1.1, IERC (Par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8430" cy="3249295"/>
                    </a:xfrm>
                    <a:prstGeom prst="rect">
                      <a:avLst/>
                    </a:prstGeom>
                    <a:noFill/>
                  </pic:spPr>
                </pic:pic>
              </a:graphicData>
            </a:graphic>
          </wp:inline>
        </w:drawing>
      </w:r>
    </w:p>
    <w:p w14:paraId="75974176" w14:textId="5A083767" w:rsidR="001A3992" w:rsidRPr="00F34B68" w:rsidRDefault="001A3992" w:rsidP="001A3992">
      <w:pPr>
        <w:pStyle w:val="Heading2"/>
        <w:keepNext/>
        <w:spacing w:before="0" w:after="120"/>
        <w:rPr>
          <w:rFonts w:ascii="Verdana" w:hAnsi="Verdana"/>
          <w:sz w:val="22"/>
          <w:lang w:val="en-US"/>
        </w:rPr>
      </w:pPr>
      <w:r w:rsidRPr="00F34B68">
        <w:rPr>
          <w:rFonts w:ascii="Verdana" w:hAnsi="Verdana"/>
          <w:sz w:val="22"/>
          <w:lang w:val="en-US"/>
        </w:rPr>
        <w:t xml:space="preserve">Pharmacokinetic properties </w:t>
      </w:r>
    </w:p>
    <w:p w14:paraId="7B400AD9" w14:textId="557B0AC3" w:rsidR="00BB73BA" w:rsidRPr="00F34B68" w:rsidRDefault="00BB73BA" w:rsidP="00BB73BA">
      <w:pPr>
        <w:spacing w:after="120" w:line="240" w:lineRule="auto"/>
        <w:rPr>
          <w:rFonts w:ascii="Verdana" w:hAnsi="Verdana"/>
          <w:lang w:eastAsia="zh-TW"/>
        </w:rPr>
      </w:pPr>
      <w:r w:rsidRPr="00F34B68">
        <w:rPr>
          <w:rFonts w:ascii="Verdana" w:hAnsi="Verdana"/>
          <w:lang w:eastAsia="zh-TW"/>
        </w:rPr>
        <w:t>The pharmacokinetics of avelumab have been determined by non-compartmental analyses and a population PK analysis in which patients received avelumab up to 20 mg/kg were studied while the majority of them received dose of 10 mg/kg every 2 weeks, which equates to the recommended avelumab dose.</w:t>
      </w:r>
    </w:p>
    <w:p w14:paraId="40190958" w14:textId="576A79C7" w:rsidR="00BB73BA" w:rsidRPr="00F34B68" w:rsidRDefault="00BB73BA" w:rsidP="00BB73BA">
      <w:pPr>
        <w:spacing w:after="120" w:line="240" w:lineRule="auto"/>
        <w:rPr>
          <w:rFonts w:ascii="Verdana" w:hAnsi="Verdana"/>
          <w:lang w:eastAsia="zh-TW"/>
        </w:rPr>
      </w:pPr>
      <w:r w:rsidRPr="00F34B68">
        <w:rPr>
          <w:rFonts w:ascii="Verdana" w:eastAsia="TimesNewRoman" w:hAnsi="Verdana"/>
          <w:u w:val="single"/>
          <w:lang w:eastAsia="en-GB"/>
        </w:rPr>
        <w:t>Distribution</w:t>
      </w:r>
    </w:p>
    <w:p w14:paraId="55362489" w14:textId="68BD8F36" w:rsidR="00BB73BA" w:rsidRPr="00F34B68" w:rsidRDefault="00BB73BA" w:rsidP="00BB73BA">
      <w:pPr>
        <w:spacing w:after="120" w:line="240" w:lineRule="auto"/>
        <w:rPr>
          <w:rFonts w:ascii="Verdana" w:hAnsi="Verdana"/>
        </w:rPr>
      </w:pPr>
      <w:r w:rsidRPr="00F34B68">
        <w:rPr>
          <w:rFonts w:ascii="Verdana" w:hAnsi="Verdana"/>
        </w:rPr>
        <w:t>Avelumab is expected to be distributed in the systemic circulation and to a lesser extent in the extracellular space. The volume of distribution at steady state was 4.72 L.</w:t>
      </w:r>
    </w:p>
    <w:p w14:paraId="2A78288A" w14:textId="2236CA9E" w:rsidR="00BB73BA" w:rsidRPr="00F34B68" w:rsidRDefault="00BB73BA" w:rsidP="00BB73BA">
      <w:pPr>
        <w:spacing w:after="120" w:line="240" w:lineRule="auto"/>
        <w:rPr>
          <w:rFonts w:ascii="Verdana" w:eastAsia="TimesNewRoman" w:hAnsi="Verdana"/>
          <w:u w:val="single"/>
          <w:lang w:eastAsia="en-GB"/>
        </w:rPr>
      </w:pPr>
      <w:r w:rsidRPr="00F34B68">
        <w:rPr>
          <w:rFonts w:ascii="Verdana" w:hAnsi="Verdana"/>
        </w:rPr>
        <w:t xml:space="preserve">Consistent with a limited extravascular distribution, the volume of distribution of </w:t>
      </w:r>
      <w:r w:rsidRPr="00F34B68">
        <w:rPr>
          <w:rFonts w:ascii="Verdana" w:hAnsi="Verdana"/>
          <w:noProof/>
        </w:rPr>
        <w:t>avelumab</w:t>
      </w:r>
      <w:r w:rsidRPr="00F34B68">
        <w:rPr>
          <w:rFonts w:ascii="Verdana" w:hAnsi="Verdana"/>
        </w:rPr>
        <w:t xml:space="preserve"> at steady state is small. As an antibody, </w:t>
      </w:r>
      <w:r w:rsidRPr="00F34B68">
        <w:rPr>
          <w:rFonts w:ascii="Verdana" w:hAnsi="Verdana"/>
          <w:noProof/>
        </w:rPr>
        <w:t xml:space="preserve">avelumab </w:t>
      </w:r>
      <w:r w:rsidRPr="00F34B68">
        <w:rPr>
          <w:rFonts w:ascii="Verdana" w:hAnsi="Verdana"/>
        </w:rPr>
        <w:t>is</w:t>
      </w:r>
      <w:r w:rsidRPr="00F34B68">
        <w:rPr>
          <w:rFonts w:ascii="Verdana" w:hAnsi="Verdana"/>
          <w:noProof/>
        </w:rPr>
        <w:t xml:space="preserve"> not expected to</w:t>
      </w:r>
      <w:r w:rsidRPr="00F34B68">
        <w:rPr>
          <w:rFonts w:ascii="Verdana" w:hAnsi="Verdana"/>
        </w:rPr>
        <w:t xml:space="preserve"> bind to plasma proteins in a specific manner.</w:t>
      </w:r>
    </w:p>
    <w:p w14:paraId="53051AC3" w14:textId="43855DE0" w:rsidR="00BB73BA" w:rsidRPr="00F34B68" w:rsidRDefault="00BB73BA" w:rsidP="00BB73BA">
      <w:pPr>
        <w:spacing w:after="120" w:line="240" w:lineRule="auto"/>
        <w:rPr>
          <w:rFonts w:ascii="Verdana" w:hAnsi="Verdana"/>
          <w:lang w:eastAsia="zh-TW"/>
        </w:rPr>
      </w:pPr>
      <w:r w:rsidRPr="00F34B68">
        <w:rPr>
          <w:rFonts w:ascii="Verdana" w:eastAsia="TimesNewRoman" w:hAnsi="Verdana"/>
          <w:u w:val="single"/>
          <w:lang w:eastAsia="en-GB"/>
        </w:rPr>
        <w:t>Elimination</w:t>
      </w:r>
    </w:p>
    <w:p w14:paraId="12BBE876" w14:textId="674876F3" w:rsidR="00BB73BA" w:rsidRPr="00F34B68" w:rsidRDefault="00BB73BA" w:rsidP="00BB73BA">
      <w:pPr>
        <w:spacing w:after="120" w:line="240" w:lineRule="auto"/>
        <w:rPr>
          <w:rFonts w:ascii="Verdana" w:hAnsi="Verdana"/>
        </w:rPr>
      </w:pPr>
      <w:r w:rsidRPr="00F34B68">
        <w:rPr>
          <w:rFonts w:ascii="Verdana" w:hAnsi="Verdana"/>
        </w:rPr>
        <w:t>Based on a population pharmacokinetic analysis from 1629 patients, the value of total systemic clearance (CL) is 0.59 L/day.</w:t>
      </w:r>
    </w:p>
    <w:p w14:paraId="017D8CC1" w14:textId="39876D68" w:rsidR="00BB73BA" w:rsidRPr="00F34B68" w:rsidRDefault="00BB73BA" w:rsidP="00BB73BA">
      <w:pPr>
        <w:spacing w:after="120" w:line="240" w:lineRule="auto"/>
        <w:rPr>
          <w:rFonts w:ascii="Verdana" w:hAnsi="Verdana"/>
        </w:rPr>
      </w:pPr>
      <w:r w:rsidRPr="00F34B68">
        <w:rPr>
          <w:rFonts w:ascii="Verdana" w:hAnsi="Verdana"/>
        </w:rPr>
        <w:t>Steady</w:t>
      </w:r>
      <w:r w:rsidRPr="00F34B68">
        <w:rPr>
          <w:rFonts w:ascii="Verdana" w:hAnsi="Verdana"/>
        </w:rPr>
        <w:noBreakHyphen/>
        <w:t xml:space="preserve">state concentrations of </w:t>
      </w:r>
      <w:r w:rsidRPr="00F34B68">
        <w:rPr>
          <w:rFonts w:ascii="Verdana" w:hAnsi="Verdana"/>
          <w:noProof/>
        </w:rPr>
        <w:t>avelumab</w:t>
      </w:r>
      <w:r w:rsidRPr="00F34B68">
        <w:rPr>
          <w:rFonts w:ascii="Verdana" w:hAnsi="Verdana"/>
        </w:rPr>
        <w:t xml:space="preserve"> were reached after approximately 4 to 6 weeks (2 to 3 cycles) of repeated dosing at 10 mg/kg every 2 weeks, and systemic accumulation was approximately 1.25</w:t>
      </w:r>
      <w:r w:rsidRPr="00F34B68">
        <w:rPr>
          <w:rFonts w:ascii="Verdana" w:hAnsi="Verdana"/>
        </w:rPr>
        <w:noBreakHyphen/>
        <w:t>fold.</w:t>
      </w:r>
    </w:p>
    <w:p w14:paraId="64752258" w14:textId="5D9C9F66" w:rsidR="00BB73BA" w:rsidRPr="00F34B68" w:rsidRDefault="00BB73BA" w:rsidP="00BB73BA">
      <w:pPr>
        <w:spacing w:after="120" w:line="240" w:lineRule="auto"/>
        <w:rPr>
          <w:rFonts w:ascii="Verdana" w:hAnsi="Verdana"/>
        </w:rPr>
      </w:pPr>
      <w:r w:rsidRPr="00F34B68">
        <w:rPr>
          <w:rFonts w:ascii="Verdana" w:hAnsi="Verdana"/>
        </w:rPr>
        <w:t>The elimination half</w:t>
      </w:r>
      <w:r w:rsidRPr="00F34B68">
        <w:rPr>
          <w:rFonts w:ascii="Verdana" w:hAnsi="Verdana"/>
        </w:rPr>
        <w:noBreakHyphen/>
        <w:t>life (t</w:t>
      </w:r>
      <w:r w:rsidRPr="00F34B68">
        <w:rPr>
          <w:rFonts w:ascii="Verdana" w:hAnsi="Verdana"/>
          <w:vertAlign w:val="subscript"/>
        </w:rPr>
        <w:t>1/2</w:t>
      </w:r>
      <w:r w:rsidRPr="00F34B68">
        <w:rPr>
          <w:rFonts w:ascii="Verdana" w:hAnsi="Verdana"/>
        </w:rPr>
        <w:t>) at the recommended dose is 6.1 days based on the population PK analysis.</w:t>
      </w:r>
    </w:p>
    <w:p w14:paraId="11CB5734" w14:textId="576CF078" w:rsidR="00BB73BA" w:rsidRPr="00F34B68" w:rsidRDefault="00BB73BA" w:rsidP="00BB73BA">
      <w:pPr>
        <w:spacing w:after="120" w:line="240" w:lineRule="auto"/>
        <w:rPr>
          <w:rFonts w:ascii="Verdana" w:hAnsi="Verdana"/>
        </w:rPr>
      </w:pPr>
      <w:r w:rsidRPr="00F34B68">
        <w:rPr>
          <w:rFonts w:ascii="Verdana" w:eastAsia="TimesNewRoman" w:hAnsi="Verdana"/>
          <w:u w:val="single"/>
          <w:lang w:eastAsia="en-GB"/>
        </w:rPr>
        <w:t>Linearity/non</w:t>
      </w:r>
      <w:r w:rsidRPr="00F34B68">
        <w:rPr>
          <w:rFonts w:ascii="Verdana" w:eastAsia="TimesNewRoman" w:hAnsi="Verdana"/>
          <w:u w:val="single"/>
          <w:lang w:eastAsia="en-GB"/>
        </w:rPr>
        <w:noBreakHyphen/>
        <w:t>linearity</w:t>
      </w:r>
    </w:p>
    <w:p w14:paraId="006D36EF" w14:textId="0152DC94" w:rsidR="00BB73BA" w:rsidRPr="00F34B68" w:rsidRDefault="00BB73BA" w:rsidP="00BB73BA">
      <w:pPr>
        <w:spacing w:after="120" w:line="240" w:lineRule="auto"/>
        <w:rPr>
          <w:rFonts w:ascii="Verdana" w:hAnsi="Verdana"/>
        </w:rPr>
      </w:pPr>
      <w:r w:rsidRPr="00F34B68">
        <w:rPr>
          <w:rFonts w:ascii="Verdana" w:hAnsi="Verdana"/>
        </w:rPr>
        <w:t>The exposure of avelumab increased dose</w:t>
      </w:r>
      <w:r w:rsidRPr="00F34B68">
        <w:rPr>
          <w:rFonts w:ascii="Verdana" w:hAnsi="Verdana"/>
        </w:rPr>
        <w:noBreakHyphen/>
        <w:t>proportionally in the dose range of 10 mg/kg to 20 mg/kg every 2 weeks.</w:t>
      </w:r>
    </w:p>
    <w:p w14:paraId="6D21F5D8" w14:textId="62E08592" w:rsidR="00BB73BA" w:rsidRPr="00F34B68" w:rsidRDefault="00BB73BA" w:rsidP="00BB73BA">
      <w:pPr>
        <w:spacing w:after="120" w:line="240" w:lineRule="auto"/>
        <w:rPr>
          <w:rFonts w:ascii="Verdana" w:eastAsia="TimesNewRoman" w:hAnsi="Verdana"/>
          <w:u w:val="single"/>
          <w:lang w:eastAsia="en-GB"/>
        </w:rPr>
      </w:pPr>
      <w:r w:rsidRPr="00F34B68">
        <w:rPr>
          <w:rFonts w:ascii="Verdana" w:eastAsia="TimesNewRoman" w:hAnsi="Verdana"/>
          <w:u w:val="single"/>
          <w:lang w:eastAsia="en-GB"/>
        </w:rPr>
        <w:t>Special populations</w:t>
      </w:r>
    </w:p>
    <w:p w14:paraId="435998A5" w14:textId="0D76945E" w:rsidR="00BB73BA" w:rsidRPr="00F34B68" w:rsidRDefault="00BB73BA" w:rsidP="00BB73BA">
      <w:pPr>
        <w:spacing w:after="120" w:line="240" w:lineRule="auto"/>
        <w:rPr>
          <w:rFonts w:ascii="Verdana" w:hAnsi="Verdana"/>
        </w:rPr>
      </w:pPr>
      <w:r w:rsidRPr="00F34B68">
        <w:rPr>
          <w:rFonts w:ascii="Verdana" w:hAnsi="Verdana"/>
        </w:rPr>
        <w:t xml:space="preserve">A population pharmacokinetic analysis suggested no difference in the total systemic clearance of </w:t>
      </w:r>
      <w:r w:rsidRPr="00F34B68">
        <w:rPr>
          <w:rFonts w:ascii="Verdana" w:hAnsi="Verdana"/>
          <w:noProof/>
        </w:rPr>
        <w:t>avelumab</w:t>
      </w:r>
      <w:r w:rsidRPr="00F34B68">
        <w:rPr>
          <w:rFonts w:ascii="Verdana" w:hAnsi="Verdana"/>
        </w:rPr>
        <w:t xml:space="preserve"> based on age, gender, race, PD</w:t>
      </w:r>
      <w:r w:rsidRPr="00F34B68">
        <w:rPr>
          <w:rFonts w:ascii="Verdana" w:hAnsi="Verdana"/>
        </w:rPr>
        <w:noBreakHyphen/>
        <w:t>L1 status, tumour burden, renal impairment and mild or moderate hepatic impairment.</w:t>
      </w:r>
    </w:p>
    <w:p w14:paraId="7A5327E7" w14:textId="7F54956D" w:rsidR="00BB73BA" w:rsidRPr="00F34B68" w:rsidRDefault="00BB73BA" w:rsidP="00BB73BA">
      <w:pPr>
        <w:spacing w:after="120" w:line="240" w:lineRule="auto"/>
        <w:rPr>
          <w:rFonts w:ascii="Verdana" w:hAnsi="Verdana"/>
        </w:rPr>
      </w:pPr>
      <w:r w:rsidRPr="00F34B68">
        <w:rPr>
          <w:rFonts w:ascii="Verdana" w:hAnsi="Verdana"/>
        </w:rPr>
        <w:t>Total systemic clearance increases with body weight.</w:t>
      </w:r>
    </w:p>
    <w:p w14:paraId="13C9E8BD" w14:textId="34F9ADE6" w:rsidR="00BB73BA" w:rsidRPr="00F34B68" w:rsidRDefault="00BB73BA" w:rsidP="00BB73BA">
      <w:pPr>
        <w:spacing w:after="120" w:line="240" w:lineRule="auto"/>
        <w:rPr>
          <w:rFonts w:ascii="Verdana" w:eastAsia="TimesNewRoman" w:hAnsi="Verdana"/>
          <w:u w:val="single"/>
          <w:lang w:eastAsia="en-GB"/>
        </w:rPr>
      </w:pPr>
      <w:r w:rsidRPr="00F34B68">
        <w:rPr>
          <w:rFonts w:ascii="Verdana" w:eastAsia="TimesNewRoman" w:hAnsi="Verdana"/>
          <w:u w:val="single"/>
          <w:lang w:eastAsia="en-GB"/>
        </w:rPr>
        <w:t>Renal impairment</w:t>
      </w:r>
    </w:p>
    <w:p w14:paraId="45415D22" w14:textId="68CC093A" w:rsidR="00BB73BA" w:rsidRPr="00F34B68" w:rsidRDefault="00BB73BA" w:rsidP="00BB73BA">
      <w:pPr>
        <w:spacing w:after="120" w:line="240" w:lineRule="auto"/>
        <w:rPr>
          <w:rFonts w:ascii="Verdana" w:hAnsi="Verdana"/>
        </w:rPr>
      </w:pPr>
      <w:r w:rsidRPr="00F34B68">
        <w:rPr>
          <w:rFonts w:ascii="Verdana" w:hAnsi="Verdana"/>
        </w:rPr>
        <w:t>No clinically important differences in the clearance of avelumab were found between patients with mild (glomerular filtration rate (GFR) 60 to 89 mL/min, n = 623), moderate (GFR 30 to 59 mL/min, n = 320) or severe (GFR 15 to 29 ml/min, n = 4) renal impairment and patients with normal (GFR greater than or equal to 90 mL/min, n = 671) renal function.</w:t>
      </w:r>
    </w:p>
    <w:p w14:paraId="1DE50AF8" w14:textId="7373DB28" w:rsidR="00BB73BA" w:rsidRPr="00F34B68" w:rsidRDefault="00BB73BA" w:rsidP="00BB73BA">
      <w:pPr>
        <w:spacing w:after="120" w:line="240" w:lineRule="auto"/>
        <w:rPr>
          <w:rFonts w:ascii="Verdana" w:hAnsi="Verdana"/>
        </w:rPr>
      </w:pPr>
      <w:r w:rsidRPr="00F34B68">
        <w:rPr>
          <w:rFonts w:ascii="Verdana" w:eastAsia="TimesNewRoman" w:hAnsi="Verdana"/>
          <w:u w:val="single"/>
          <w:lang w:eastAsia="en-GB"/>
        </w:rPr>
        <w:t>Hepatic impairment</w:t>
      </w:r>
    </w:p>
    <w:p w14:paraId="6C4A3E6E" w14:textId="10C3FC1E" w:rsidR="00BB73BA" w:rsidRPr="00F34B68" w:rsidRDefault="00BB73BA" w:rsidP="00BB73BA">
      <w:pPr>
        <w:spacing w:after="120" w:line="240" w:lineRule="auto"/>
        <w:rPr>
          <w:rFonts w:ascii="Verdana" w:hAnsi="Verdana"/>
        </w:rPr>
      </w:pPr>
      <w:r w:rsidRPr="00F34B68">
        <w:rPr>
          <w:rFonts w:ascii="Verdana" w:hAnsi="Verdana"/>
        </w:rPr>
        <w:t xml:space="preserve">No clinically important differences in the clearance of </w:t>
      </w:r>
      <w:r w:rsidRPr="00F34B68">
        <w:rPr>
          <w:rFonts w:ascii="Verdana" w:hAnsi="Verdana"/>
          <w:noProof/>
        </w:rPr>
        <w:t>avelumab</w:t>
      </w:r>
      <w:r w:rsidRPr="00F34B68">
        <w:rPr>
          <w:rFonts w:ascii="Verdana" w:hAnsi="Verdana"/>
        </w:rPr>
        <w:t xml:space="preserve"> were found between patients with mild hepatic impairment (bilirubin less than or equal to the ULN and AST greater than ULN or bilirubin between 1 and 1.5 times ULN, n = 217), or moderate hepatic impairment (bilirubin between 1.5 and 3 times ULN, n = 4), and normal hepatic function (bilirubin and AST less than or equal to ULN, n = 1388) in a population PK analysis.</w:t>
      </w:r>
    </w:p>
    <w:p w14:paraId="7CEBBB8F" w14:textId="18BA6B94" w:rsidR="00BB73BA" w:rsidRPr="00F34B68" w:rsidRDefault="00BB73BA" w:rsidP="00BB73BA">
      <w:pPr>
        <w:spacing w:after="120" w:line="240" w:lineRule="auto"/>
        <w:rPr>
          <w:rFonts w:ascii="Verdana" w:hAnsi="Verdana"/>
        </w:rPr>
      </w:pPr>
      <w:r w:rsidRPr="00F34B68">
        <w:rPr>
          <w:rFonts w:ascii="Verdana" w:hAnsi="Verdana"/>
        </w:rPr>
        <w:t>Avelumab has not been studied in patients with severe hepatic impairment (bilirubin greater than 3 times</w:t>
      </w:r>
      <w:r w:rsidRPr="00F34B68" w:rsidDel="00AF7A28">
        <w:rPr>
          <w:rFonts w:ascii="Verdana" w:hAnsi="Verdana"/>
        </w:rPr>
        <w:t xml:space="preserve"> </w:t>
      </w:r>
      <w:r w:rsidRPr="00F34B68">
        <w:rPr>
          <w:rFonts w:ascii="Verdana" w:hAnsi="Verdana"/>
        </w:rPr>
        <w:t>ULN).</w:t>
      </w:r>
    </w:p>
    <w:p w14:paraId="6AB7D87E" w14:textId="74396CFA" w:rsidR="00BB73BA" w:rsidRPr="00F34B68" w:rsidRDefault="001A3992" w:rsidP="00BB73BA">
      <w:pPr>
        <w:pStyle w:val="Heading2"/>
        <w:spacing w:before="0" w:after="120"/>
        <w:rPr>
          <w:rFonts w:ascii="Verdana" w:hAnsi="Verdana"/>
          <w:sz w:val="22"/>
          <w:lang w:val="en-US"/>
        </w:rPr>
      </w:pPr>
      <w:r w:rsidRPr="00F34B68">
        <w:rPr>
          <w:rFonts w:ascii="Verdana" w:hAnsi="Verdana"/>
          <w:sz w:val="22"/>
          <w:lang w:val="en-US"/>
        </w:rPr>
        <w:lastRenderedPageBreak/>
        <w:t>Preclinical safety data</w:t>
      </w:r>
    </w:p>
    <w:p w14:paraId="5E22FBCF" w14:textId="773F5036" w:rsidR="00BB73BA" w:rsidRPr="00F34B68" w:rsidRDefault="00BB73BA" w:rsidP="00571719">
      <w:pPr>
        <w:pStyle w:val="Heading3"/>
        <w:rPr>
          <w:lang w:val="en-US"/>
        </w:rPr>
      </w:pPr>
      <w:r w:rsidRPr="00F34B68">
        <w:rPr>
          <w:lang w:val="en-US"/>
        </w:rPr>
        <w:t>Genotoxicity</w:t>
      </w:r>
    </w:p>
    <w:p w14:paraId="0245601F" w14:textId="2BAA38CD" w:rsidR="00BB73BA" w:rsidRPr="00F34B68" w:rsidRDefault="00BB73BA" w:rsidP="00BB73BA">
      <w:pPr>
        <w:rPr>
          <w:rFonts w:ascii="Verdana" w:hAnsi="Verdana"/>
          <w:lang w:eastAsia="zh-TW"/>
        </w:rPr>
      </w:pPr>
      <w:r w:rsidRPr="00F34B68">
        <w:rPr>
          <w:rFonts w:ascii="Verdana" w:hAnsi="Verdana"/>
          <w:color w:val="000000"/>
        </w:rPr>
        <w:t>No studies have been conducted to assess the genotoxic potential of avelumab. As a large protein molecule, avelumab is not expected to interact directly with DNA or other chromosomal material.</w:t>
      </w:r>
    </w:p>
    <w:p w14:paraId="26681F1C" w14:textId="39EE9D2E" w:rsidR="00BB73BA" w:rsidRPr="00F34B68" w:rsidRDefault="00BB73BA" w:rsidP="00571719">
      <w:pPr>
        <w:pStyle w:val="Heading3"/>
        <w:rPr>
          <w:lang w:val="en-US"/>
        </w:rPr>
      </w:pPr>
      <w:r w:rsidRPr="00F34B68">
        <w:rPr>
          <w:lang w:val="en-US"/>
        </w:rPr>
        <w:t>Carcinogenicity</w:t>
      </w:r>
    </w:p>
    <w:p w14:paraId="037E3491" w14:textId="77777777" w:rsidR="00BB73BA" w:rsidRPr="00F34B68" w:rsidRDefault="00BB73BA" w:rsidP="00BB73BA">
      <w:pPr>
        <w:rPr>
          <w:rFonts w:ascii="Verdana" w:hAnsi="Verdana"/>
          <w:color w:val="000000"/>
        </w:rPr>
      </w:pPr>
      <w:r w:rsidRPr="00F34B68">
        <w:rPr>
          <w:rFonts w:ascii="Verdana" w:hAnsi="Verdana"/>
          <w:color w:val="000000"/>
        </w:rPr>
        <w:t>No studies have been conducted to assess the carcinogenic potential of avelumab.</w:t>
      </w:r>
    </w:p>
    <w:p w14:paraId="735E9ED2" w14:textId="77777777" w:rsidR="001A3992" w:rsidRPr="00F34B68" w:rsidRDefault="001A3992" w:rsidP="001A3992">
      <w:pPr>
        <w:pStyle w:val="Heading1"/>
        <w:spacing w:before="0" w:after="120"/>
        <w:rPr>
          <w:rFonts w:ascii="Verdana" w:hAnsi="Verdana"/>
          <w:sz w:val="22"/>
          <w:szCs w:val="22"/>
          <w:lang w:val="en-US"/>
        </w:rPr>
      </w:pPr>
      <w:r w:rsidRPr="00F34B68">
        <w:rPr>
          <w:rFonts w:ascii="Verdana" w:hAnsi="Verdana"/>
          <w:sz w:val="22"/>
          <w:szCs w:val="22"/>
          <w:lang w:val="en-US"/>
        </w:rPr>
        <w:t>Pharmaceutical particulars</w:t>
      </w:r>
    </w:p>
    <w:p w14:paraId="0FFFC744" w14:textId="349A81BB" w:rsidR="001A3992" w:rsidRPr="00F34B68" w:rsidRDefault="001A3992" w:rsidP="001A3992">
      <w:pPr>
        <w:pStyle w:val="Heading2"/>
        <w:spacing w:before="0" w:after="120"/>
        <w:rPr>
          <w:rFonts w:ascii="Verdana" w:hAnsi="Verdana"/>
          <w:sz w:val="22"/>
          <w:lang w:val="en-US"/>
        </w:rPr>
      </w:pPr>
      <w:r w:rsidRPr="00F34B68">
        <w:rPr>
          <w:rFonts w:ascii="Verdana" w:hAnsi="Verdana"/>
          <w:sz w:val="22"/>
          <w:lang w:val="en-US"/>
        </w:rPr>
        <w:t xml:space="preserve">List of excipients </w:t>
      </w:r>
    </w:p>
    <w:p w14:paraId="1A9FAE59" w14:textId="50CE9423" w:rsidR="00BB73BA" w:rsidRPr="00F34B68" w:rsidRDefault="00BB73BA" w:rsidP="00BB73BA">
      <w:pPr>
        <w:spacing w:after="120" w:line="240" w:lineRule="auto"/>
        <w:rPr>
          <w:rFonts w:ascii="Verdana" w:hAnsi="Verdana"/>
        </w:rPr>
      </w:pPr>
      <w:r w:rsidRPr="00F34B68">
        <w:rPr>
          <w:rFonts w:ascii="Verdana" w:hAnsi="Verdana"/>
        </w:rPr>
        <w:t>mannitol</w:t>
      </w:r>
    </w:p>
    <w:p w14:paraId="1D8347C2" w14:textId="5C64338F" w:rsidR="00BB73BA" w:rsidRPr="00F34B68" w:rsidRDefault="00BB73BA" w:rsidP="00BB73BA">
      <w:pPr>
        <w:spacing w:after="120" w:line="240" w:lineRule="auto"/>
        <w:rPr>
          <w:rFonts w:ascii="Verdana" w:hAnsi="Verdana"/>
        </w:rPr>
      </w:pPr>
      <w:r w:rsidRPr="00F34B68">
        <w:rPr>
          <w:rFonts w:ascii="Verdana" w:hAnsi="Verdana"/>
        </w:rPr>
        <w:t>glacial acetic acid</w:t>
      </w:r>
    </w:p>
    <w:p w14:paraId="196C589F" w14:textId="583B0C4D" w:rsidR="00BB73BA" w:rsidRPr="00F34B68" w:rsidRDefault="00BB73BA" w:rsidP="00BB73BA">
      <w:pPr>
        <w:spacing w:after="120" w:line="240" w:lineRule="auto"/>
        <w:rPr>
          <w:rFonts w:ascii="Verdana" w:hAnsi="Verdana"/>
        </w:rPr>
      </w:pPr>
      <w:r w:rsidRPr="00F34B68">
        <w:rPr>
          <w:rFonts w:ascii="Verdana" w:hAnsi="Verdana"/>
        </w:rPr>
        <w:t>polysorbate 20</w:t>
      </w:r>
    </w:p>
    <w:p w14:paraId="078199C3" w14:textId="179D6AFD" w:rsidR="00BB73BA" w:rsidRPr="00F34B68" w:rsidRDefault="00BB73BA" w:rsidP="00BB73BA">
      <w:pPr>
        <w:spacing w:after="120" w:line="240" w:lineRule="auto"/>
        <w:rPr>
          <w:rFonts w:ascii="Verdana" w:hAnsi="Verdana"/>
        </w:rPr>
      </w:pPr>
      <w:r w:rsidRPr="00F34B68">
        <w:rPr>
          <w:rFonts w:ascii="Verdana" w:hAnsi="Verdana"/>
        </w:rPr>
        <w:t xml:space="preserve">sodium hydroxide </w:t>
      </w:r>
    </w:p>
    <w:p w14:paraId="266FB1C3" w14:textId="1298B5C2" w:rsidR="00BB73BA" w:rsidRPr="00F34B68" w:rsidRDefault="00BB73BA" w:rsidP="00BB73BA">
      <w:pPr>
        <w:spacing w:after="120" w:line="240" w:lineRule="auto"/>
        <w:rPr>
          <w:rFonts w:ascii="Verdana" w:hAnsi="Verdana"/>
          <w:lang w:val="en-US"/>
        </w:rPr>
      </w:pPr>
      <w:r w:rsidRPr="00F34B68">
        <w:rPr>
          <w:rFonts w:ascii="Verdana" w:hAnsi="Verdana"/>
        </w:rPr>
        <w:t>water for injections</w:t>
      </w:r>
    </w:p>
    <w:p w14:paraId="628C419C" w14:textId="6D8D1BCB" w:rsidR="001A3992" w:rsidRPr="00F34B68" w:rsidRDefault="001A3992" w:rsidP="001A3992">
      <w:pPr>
        <w:pStyle w:val="Heading2"/>
        <w:keepNext/>
        <w:keepLines/>
        <w:spacing w:before="0" w:after="120"/>
        <w:rPr>
          <w:rFonts w:ascii="Verdana" w:hAnsi="Verdana"/>
          <w:sz w:val="22"/>
          <w:lang w:val="en-US"/>
        </w:rPr>
      </w:pPr>
      <w:r w:rsidRPr="00F34B68">
        <w:rPr>
          <w:rFonts w:ascii="Verdana" w:hAnsi="Verdana"/>
          <w:sz w:val="22"/>
          <w:lang w:val="en-US"/>
        </w:rPr>
        <w:t xml:space="preserve">Incompatibilities </w:t>
      </w:r>
    </w:p>
    <w:p w14:paraId="59703E9E" w14:textId="3E60C4FD" w:rsidR="00BB73BA" w:rsidRPr="00F34B68" w:rsidRDefault="00BB73BA" w:rsidP="00BB73BA">
      <w:pPr>
        <w:rPr>
          <w:rFonts w:ascii="Verdana" w:hAnsi="Verdana"/>
          <w:lang w:val="en-US"/>
        </w:rPr>
      </w:pPr>
      <w:r w:rsidRPr="00F34B68">
        <w:rPr>
          <w:rFonts w:ascii="Verdana" w:hAnsi="Verdana"/>
          <w:lang w:val="en-US"/>
        </w:rPr>
        <w:t xml:space="preserve">This medicine must not be mixed with other medicines except those mentioned in </w:t>
      </w:r>
      <w:r w:rsidR="00827A1B" w:rsidRPr="00F34B68">
        <w:rPr>
          <w:rFonts w:ascii="Verdana" w:hAnsi="Verdana"/>
          <w:lang w:val="en-US"/>
        </w:rPr>
        <w:t>section 4.2</w:t>
      </w:r>
      <w:r w:rsidR="001E5C06">
        <w:rPr>
          <w:rFonts w:ascii="Verdana" w:hAnsi="Verdana"/>
          <w:lang w:val="en-US"/>
        </w:rPr>
        <w:t>.</w:t>
      </w:r>
    </w:p>
    <w:p w14:paraId="39BDE992" w14:textId="26A9EB44" w:rsidR="001A3992" w:rsidRPr="00F34B68" w:rsidRDefault="001A3992" w:rsidP="001A3992">
      <w:pPr>
        <w:pStyle w:val="Heading2"/>
        <w:spacing w:before="0" w:after="120"/>
        <w:rPr>
          <w:rFonts w:ascii="Verdana" w:hAnsi="Verdana"/>
          <w:sz w:val="22"/>
          <w:lang w:val="en-US"/>
        </w:rPr>
      </w:pPr>
      <w:r w:rsidRPr="00F34B68">
        <w:rPr>
          <w:rFonts w:ascii="Verdana" w:hAnsi="Verdana"/>
          <w:sz w:val="22"/>
          <w:lang w:val="en-US"/>
        </w:rPr>
        <w:t xml:space="preserve">Shelf life </w:t>
      </w:r>
    </w:p>
    <w:p w14:paraId="069E7EF3" w14:textId="77777777" w:rsidR="00827A1B" w:rsidRPr="00F34B68" w:rsidRDefault="00827A1B" w:rsidP="00F7758E">
      <w:pPr>
        <w:spacing w:after="120" w:line="240" w:lineRule="auto"/>
        <w:rPr>
          <w:rFonts w:ascii="Verdana" w:hAnsi="Verdana"/>
          <w:u w:val="single"/>
          <w:lang w:val="en-US"/>
        </w:rPr>
      </w:pPr>
      <w:r w:rsidRPr="00F34B68">
        <w:rPr>
          <w:rFonts w:ascii="Verdana" w:hAnsi="Verdana"/>
          <w:u w:val="single"/>
          <w:lang w:val="en-US"/>
        </w:rPr>
        <w:t>Unopened vial</w:t>
      </w:r>
    </w:p>
    <w:p w14:paraId="493AD25C" w14:textId="0198BFD9" w:rsidR="009E5306" w:rsidRPr="00F34B68" w:rsidRDefault="00F7758E" w:rsidP="009E5306">
      <w:pPr>
        <w:spacing w:after="120" w:line="240" w:lineRule="auto"/>
        <w:rPr>
          <w:rFonts w:ascii="Verdana" w:eastAsia="TimesNewRoman" w:hAnsi="Verdana"/>
          <w:u w:val="single"/>
          <w:lang w:eastAsia="en-GB"/>
        </w:rPr>
      </w:pPr>
      <w:r w:rsidRPr="00F7758E">
        <w:rPr>
          <w:rFonts w:ascii="Verdana" w:hAnsi="Verdana"/>
          <w:lang w:val="en-US"/>
        </w:rPr>
        <w:t>In Australia, information on the shelf life can be found on the public summary of the Australian Register of Therapeutic Goods (ARTG). The expiry date can be found on the packaging.</w:t>
      </w:r>
      <w:r w:rsidR="00E74E65">
        <w:rPr>
          <w:rFonts w:ascii="Verdana" w:hAnsi="Verdana"/>
          <w:lang w:val="en-US"/>
        </w:rPr>
        <w:t xml:space="preserve"> </w:t>
      </w:r>
      <w:r w:rsidR="009E5306" w:rsidRPr="00F34B68">
        <w:rPr>
          <w:rFonts w:ascii="Verdana" w:eastAsia="TimesNewRoman" w:hAnsi="Verdana"/>
          <w:u w:val="single"/>
          <w:lang w:eastAsia="en-GB"/>
        </w:rPr>
        <w:t xml:space="preserve">After opening </w:t>
      </w:r>
    </w:p>
    <w:p w14:paraId="7FCD906D" w14:textId="17B8F273" w:rsidR="009E5306" w:rsidRPr="00F34B68" w:rsidRDefault="009E5306" w:rsidP="009E5306">
      <w:pPr>
        <w:spacing w:after="120" w:line="240" w:lineRule="auto"/>
        <w:rPr>
          <w:rFonts w:ascii="Verdana" w:eastAsia="TimesNewRoman" w:hAnsi="Verdana"/>
          <w:lang w:eastAsia="en-GB"/>
        </w:rPr>
      </w:pPr>
      <w:r w:rsidRPr="00F34B68">
        <w:rPr>
          <w:rFonts w:ascii="Verdana" w:eastAsia="TimesNewRoman" w:hAnsi="Verdana"/>
          <w:lang w:eastAsia="en-GB"/>
        </w:rPr>
        <w:t>BAVENCIO should be diluted and infused immediately.</w:t>
      </w:r>
    </w:p>
    <w:p w14:paraId="59CE8ABD" w14:textId="1B264DBB" w:rsidR="009E5306" w:rsidRPr="00F34B68" w:rsidRDefault="009E5306" w:rsidP="009E5306">
      <w:pPr>
        <w:spacing w:after="120" w:line="240" w:lineRule="auto"/>
        <w:rPr>
          <w:rFonts w:ascii="Verdana" w:hAnsi="Verdana"/>
          <w:noProof/>
          <w:u w:val="single"/>
        </w:rPr>
      </w:pPr>
      <w:r w:rsidRPr="00F34B68">
        <w:rPr>
          <w:rFonts w:ascii="Verdana" w:hAnsi="Verdana"/>
          <w:noProof/>
          <w:u w:val="single"/>
        </w:rPr>
        <w:t>After preparation of infusion</w:t>
      </w:r>
    </w:p>
    <w:p w14:paraId="0B02722B" w14:textId="0E9825E2" w:rsidR="009E5306" w:rsidRPr="00F34B68" w:rsidRDefault="009E5306" w:rsidP="009E5306">
      <w:pPr>
        <w:spacing w:after="120" w:line="240" w:lineRule="auto"/>
        <w:rPr>
          <w:rFonts w:ascii="Verdana" w:hAnsi="Verdana"/>
          <w:noProof/>
        </w:rPr>
      </w:pPr>
      <w:r w:rsidRPr="00F34B68">
        <w:rPr>
          <w:rFonts w:ascii="Verdana" w:hAnsi="Verdana"/>
          <w:noProof/>
        </w:rPr>
        <w:t xml:space="preserve">BAVENCIO does not contain a preservative. The diluted solution should be infused immediately, unless dilution has taken place in controlled and validated aseptic conditions. </w:t>
      </w:r>
    </w:p>
    <w:p w14:paraId="47A17A63" w14:textId="5632C072" w:rsidR="009E5306" w:rsidRPr="00F34B68" w:rsidRDefault="009E5306" w:rsidP="009E5306">
      <w:pPr>
        <w:spacing w:after="120" w:line="240" w:lineRule="auto"/>
        <w:rPr>
          <w:rFonts w:ascii="Verdana" w:hAnsi="Verdana"/>
          <w:noProof/>
        </w:rPr>
      </w:pPr>
      <w:r w:rsidRPr="00F34B68">
        <w:rPr>
          <w:rFonts w:ascii="Verdana" w:hAnsi="Verdana"/>
          <w:noProof/>
        </w:rPr>
        <w:t xml:space="preserve">If BAVENCIO is not used immediately, store the diluted solution of BAVENCIO, either: </w:t>
      </w:r>
    </w:p>
    <w:p w14:paraId="09D89B7B" w14:textId="5A4F15AA" w:rsidR="009E5306" w:rsidRPr="00F34B68" w:rsidRDefault="009E5306" w:rsidP="009E5306">
      <w:pPr>
        <w:pStyle w:val="ListParagraph"/>
        <w:numPr>
          <w:ilvl w:val="0"/>
          <w:numId w:val="12"/>
        </w:numPr>
        <w:spacing w:after="120" w:line="240" w:lineRule="auto"/>
        <w:rPr>
          <w:rFonts w:ascii="Verdana" w:hAnsi="Verdana"/>
          <w:noProof/>
        </w:rPr>
      </w:pPr>
      <w:r w:rsidRPr="00F34B68">
        <w:rPr>
          <w:rFonts w:ascii="Verdana" w:hAnsi="Verdana"/>
          <w:noProof/>
        </w:rPr>
        <w:t xml:space="preserve">At room temperature and room light for up to 8 hours. This includes room temperature storage of the infusion in the infusion bag and the duration of infusion. </w:t>
      </w:r>
    </w:p>
    <w:p w14:paraId="5C935EB9" w14:textId="26E803A7" w:rsidR="009E5306" w:rsidRPr="00F34B68" w:rsidRDefault="009E5306" w:rsidP="009E5306">
      <w:pPr>
        <w:pStyle w:val="ListParagraph"/>
        <w:numPr>
          <w:ilvl w:val="0"/>
          <w:numId w:val="12"/>
        </w:numPr>
        <w:spacing w:after="120" w:line="240" w:lineRule="auto"/>
        <w:rPr>
          <w:rFonts w:ascii="Verdana" w:hAnsi="Verdana"/>
          <w:noProof/>
        </w:rPr>
      </w:pPr>
      <w:r w:rsidRPr="00F34B68">
        <w:rPr>
          <w:rFonts w:ascii="Verdana" w:hAnsi="Verdana"/>
          <w:noProof/>
        </w:rPr>
        <w:t>At 2°C to 8°C (Refrigerate. Do not freeze) for up to 24 hours at the time of dilution. If refrigerated, allow the diluted solution to come to room temperature prior to administration.</w:t>
      </w:r>
    </w:p>
    <w:p w14:paraId="17413263" w14:textId="76F4E8CA" w:rsidR="009E5306" w:rsidRPr="00F34B68" w:rsidRDefault="009E5306" w:rsidP="00F7758E">
      <w:pPr>
        <w:spacing w:after="120" w:line="240" w:lineRule="auto"/>
        <w:rPr>
          <w:rFonts w:ascii="Verdana" w:hAnsi="Verdana"/>
          <w:lang w:val="en-US"/>
        </w:rPr>
      </w:pPr>
      <w:r w:rsidRPr="00F34B68">
        <w:rPr>
          <w:rFonts w:ascii="Verdana" w:hAnsi="Verdana"/>
        </w:rPr>
        <w:t>Do not freeze or shake the diluted solution.</w:t>
      </w:r>
    </w:p>
    <w:p w14:paraId="45B64F18" w14:textId="639F09AD" w:rsidR="001A3992" w:rsidRPr="00F34B68" w:rsidRDefault="001A3992" w:rsidP="001A3992">
      <w:pPr>
        <w:pStyle w:val="Heading2"/>
        <w:keepNext/>
        <w:keepLines/>
        <w:spacing w:before="0" w:after="120"/>
        <w:rPr>
          <w:rFonts w:ascii="Verdana" w:hAnsi="Verdana"/>
          <w:sz w:val="22"/>
          <w:lang w:val="en-US"/>
        </w:rPr>
      </w:pPr>
      <w:r w:rsidRPr="00F34B68">
        <w:rPr>
          <w:rFonts w:ascii="Verdana" w:hAnsi="Verdana"/>
          <w:sz w:val="22"/>
          <w:lang w:val="en-US"/>
        </w:rPr>
        <w:lastRenderedPageBreak/>
        <w:t xml:space="preserve">Special precautions for storage </w:t>
      </w:r>
    </w:p>
    <w:p w14:paraId="79E4CCC9" w14:textId="483C0099" w:rsidR="009E5306" w:rsidRPr="00F34B68" w:rsidRDefault="009E5306" w:rsidP="009E5306">
      <w:pPr>
        <w:spacing w:after="120" w:line="240" w:lineRule="auto"/>
        <w:rPr>
          <w:rFonts w:ascii="Verdana" w:hAnsi="Verdana"/>
        </w:rPr>
      </w:pPr>
      <w:r w:rsidRPr="00F34B68">
        <w:rPr>
          <w:rFonts w:ascii="Verdana" w:hAnsi="Verdana"/>
          <w:noProof/>
        </w:rPr>
        <w:t>Store in a refrigerator (2</w:t>
      </w:r>
      <w:r w:rsidRPr="00F34B68">
        <w:rPr>
          <w:rFonts w:ascii="Verdana" w:hAnsi="Verdana"/>
          <w:noProof/>
        </w:rPr>
        <w:sym w:font="Symbol" w:char="F0B0"/>
      </w:r>
      <w:r w:rsidRPr="00F34B68">
        <w:rPr>
          <w:rFonts w:ascii="Verdana" w:hAnsi="Verdana"/>
          <w:noProof/>
        </w:rPr>
        <w:t>C </w:t>
      </w:r>
      <w:r w:rsidRPr="00F34B68">
        <w:rPr>
          <w:rFonts w:ascii="Verdana" w:hAnsi="Verdana"/>
          <w:noProof/>
        </w:rPr>
        <w:noBreakHyphen/>
        <w:t> 8</w:t>
      </w:r>
      <w:r w:rsidRPr="00F34B68">
        <w:rPr>
          <w:rFonts w:ascii="Verdana" w:hAnsi="Verdana"/>
          <w:noProof/>
        </w:rPr>
        <w:sym w:font="Symbol" w:char="F0B0"/>
      </w:r>
      <w:r w:rsidRPr="00F34B68">
        <w:rPr>
          <w:rFonts w:ascii="Verdana" w:hAnsi="Verdana"/>
          <w:noProof/>
        </w:rPr>
        <w:t xml:space="preserve">C). </w:t>
      </w:r>
      <w:r w:rsidRPr="00F34B68">
        <w:rPr>
          <w:rFonts w:ascii="Verdana" w:hAnsi="Verdana"/>
        </w:rPr>
        <w:t xml:space="preserve">Do not freeze. </w:t>
      </w:r>
    </w:p>
    <w:p w14:paraId="34EFDC24" w14:textId="75D72B97" w:rsidR="009E5306" w:rsidRPr="00F34B68" w:rsidRDefault="009E5306" w:rsidP="009E5306">
      <w:pPr>
        <w:spacing w:after="120" w:line="240" w:lineRule="auto"/>
        <w:rPr>
          <w:rFonts w:ascii="Verdana" w:hAnsi="Verdana"/>
        </w:rPr>
      </w:pPr>
      <w:r w:rsidRPr="00F34B68">
        <w:rPr>
          <w:rFonts w:ascii="Verdana" w:hAnsi="Verdana"/>
        </w:rPr>
        <w:t>Store in the original package in order to protect from light.</w:t>
      </w:r>
    </w:p>
    <w:p w14:paraId="70DD1A5B" w14:textId="3DB94061" w:rsidR="009E5306" w:rsidRPr="00F34B68" w:rsidRDefault="009E5306" w:rsidP="009E5306">
      <w:pPr>
        <w:spacing w:after="120" w:line="240" w:lineRule="auto"/>
        <w:rPr>
          <w:rFonts w:ascii="Verdana" w:hAnsi="Verdana" w:cs="Cambria"/>
          <w:iCs/>
          <w:color w:val="000000"/>
          <w:lang w:eastAsia="en-AU"/>
        </w:rPr>
      </w:pPr>
      <w:r w:rsidRPr="00F34B68">
        <w:rPr>
          <w:rFonts w:ascii="Verdana" w:hAnsi="Verdana" w:cs="Cambria"/>
          <w:iCs/>
          <w:color w:val="000000"/>
          <w:lang w:eastAsia="en-AU"/>
        </w:rPr>
        <w:t>Product is for single use in one patient only. Discard any residue.</w:t>
      </w:r>
    </w:p>
    <w:p w14:paraId="674311C1" w14:textId="2C9372D6" w:rsidR="009E5306" w:rsidRPr="00F34B68" w:rsidRDefault="00827A1B" w:rsidP="00827860">
      <w:pPr>
        <w:spacing w:after="120" w:line="240" w:lineRule="auto"/>
        <w:rPr>
          <w:rFonts w:ascii="Verdana" w:hAnsi="Verdana"/>
          <w:lang w:val="en-US"/>
        </w:rPr>
      </w:pPr>
      <w:r w:rsidRPr="00F34B68">
        <w:rPr>
          <w:rFonts w:ascii="Verdana" w:hAnsi="Verdana" w:cs="Cambria"/>
          <w:iCs/>
          <w:color w:val="000000"/>
          <w:lang w:eastAsia="en-AU"/>
        </w:rPr>
        <w:t>For storage conditions after dilution of the medicine, see section 6.3</w:t>
      </w:r>
      <w:r w:rsidR="00C90850">
        <w:rPr>
          <w:rFonts w:ascii="Verdana" w:hAnsi="Verdana" w:cs="Cambria"/>
          <w:iCs/>
          <w:color w:val="000000"/>
          <w:lang w:eastAsia="en-AU"/>
        </w:rPr>
        <w:t>.</w:t>
      </w:r>
    </w:p>
    <w:p w14:paraId="7E052960" w14:textId="4E1EE019" w:rsidR="001A3992" w:rsidRPr="00F34B68" w:rsidRDefault="001A3992" w:rsidP="001A3992">
      <w:pPr>
        <w:pStyle w:val="Heading2"/>
        <w:spacing w:before="0" w:after="120"/>
        <w:rPr>
          <w:rFonts w:ascii="Verdana" w:hAnsi="Verdana"/>
          <w:sz w:val="22"/>
          <w:lang w:val="en-US"/>
        </w:rPr>
      </w:pPr>
      <w:r w:rsidRPr="00F34B68">
        <w:rPr>
          <w:rFonts w:ascii="Verdana" w:hAnsi="Verdana"/>
          <w:sz w:val="22"/>
          <w:lang w:val="en-US"/>
        </w:rPr>
        <w:t xml:space="preserve">Nature and contents of container </w:t>
      </w:r>
    </w:p>
    <w:p w14:paraId="4312307A" w14:textId="10700CF5" w:rsidR="00827A1B" w:rsidRPr="00F34B68" w:rsidRDefault="00827A1B" w:rsidP="00827860">
      <w:pPr>
        <w:spacing w:after="120" w:line="240" w:lineRule="auto"/>
        <w:rPr>
          <w:rFonts w:ascii="Verdana" w:hAnsi="Verdana"/>
        </w:rPr>
      </w:pPr>
      <w:r w:rsidRPr="00F34B68">
        <w:rPr>
          <w:rFonts w:ascii="Verdana" w:hAnsi="Verdana"/>
        </w:rPr>
        <w:t>10 mL of concentrated solution for intravenous infusion in a 16 mL vial (Type I glass) with a halobutyl rubber stopper and an aluminium seal fitted with a removable plastic cap.</w:t>
      </w:r>
    </w:p>
    <w:p w14:paraId="1188086F" w14:textId="4FE97450" w:rsidR="00827A1B" w:rsidRPr="00F34B68" w:rsidRDefault="00827A1B" w:rsidP="00827860">
      <w:pPr>
        <w:spacing w:after="120" w:line="240" w:lineRule="auto"/>
        <w:rPr>
          <w:rFonts w:ascii="Verdana" w:hAnsi="Verdana"/>
          <w:noProof/>
        </w:rPr>
      </w:pPr>
      <w:r w:rsidRPr="00F34B68">
        <w:rPr>
          <w:rFonts w:ascii="Verdana" w:hAnsi="Verdana"/>
        </w:rPr>
        <w:t>Pack size of 1 vial.</w:t>
      </w:r>
    </w:p>
    <w:p w14:paraId="27114A07" w14:textId="576E069F" w:rsidR="001A3992" w:rsidRPr="00F34B68" w:rsidRDefault="001A3992" w:rsidP="001A3992">
      <w:pPr>
        <w:pStyle w:val="Heading2"/>
        <w:spacing w:before="0" w:after="120"/>
        <w:rPr>
          <w:rFonts w:ascii="Verdana" w:hAnsi="Verdana"/>
          <w:sz w:val="22"/>
          <w:lang w:val="en-US"/>
        </w:rPr>
      </w:pPr>
      <w:r w:rsidRPr="00F34B68">
        <w:rPr>
          <w:rFonts w:ascii="Verdana" w:hAnsi="Verdana"/>
          <w:sz w:val="22"/>
          <w:lang w:val="en-US"/>
        </w:rPr>
        <w:t xml:space="preserve">Special precautions for disposal </w:t>
      </w:r>
    </w:p>
    <w:p w14:paraId="3300D77B" w14:textId="65733B61" w:rsidR="00827A1B" w:rsidRPr="00F34B68" w:rsidRDefault="00827A1B" w:rsidP="00827860">
      <w:pPr>
        <w:rPr>
          <w:rFonts w:ascii="Verdana" w:hAnsi="Verdana"/>
          <w:lang w:val="en-US"/>
        </w:rPr>
      </w:pPr>
      <w:r w:rsidRPr="00F34B68">
        <w:rPr>
          <w:rFonts w:ascii="Verdana" w:hAnsi="Verdana"/>
          <w:lang w:val="en-US"/>
        </w:rPr>
        <w:t>Any unused medicine or waste material should be disposed of in accordance with local requirements.</w:t>
      </w:r>
    </w:p>
    <w:p w14:paraId="5D51B5A6" w14:textId="77777777" w:rsidR="001A3992" w:rsidRPr="00F34B68" w:rsidRDefault="001A3992" w:rsidP="002856C1">
      <w:pPr>
        <w:pStyle w:val="Heading2"/>
        <w:keepNext/>
        <w:spacing w:before="0" w:after="120"/>
        <w:rPr>
          <w:rFonts w:ascii="Verdana" w:hAnsi="Verdana"/>
          <w:sz w:val="22"/>
          <w:lang w:val="en-US"/>
        </w:rPr>
      </w:pPr>
      <w:r w:rsidRPr="00F34B68">
        <w:rPr>
          <w:rFonts w:ascii="Verdana" w:hAnsi="Verdana"/>
          <w:sz w:val="22"/>
          <w:lang w:val="en-US"/>
        </w:rPr>
        <w:t>Physi</w:t>
      </w:r>
      <w:bookmarkStart w:id="5" w:name="_GoBack"/>
      <w:bookmarkEnd w:id="5"/>
      <w:r w:rsidRPr="00F34B68">
        <w:rPr>
          <w:rFonts w:ascii="Verdana" w:hAnsi="Verdana"/>
          <w:sz w:val="22"/>
          <w:lang w:val="en-US"/>
        </w:rPr>
        <w:t>cochemical properties</w:t>
      </w:r>
    </w:p>
    <w:p w14:paraId="22B2899B" w14:textId="49F29BF8" w:rsidR="001A3992" w:rsidRPr="00F34B68" w:rsidRDefault="00883A13" w:rsidP="00571719">
      <w:pPr>
        <w:pStyle w:val="Heading3"/>
        <w:rPr>
          <w:lang w:val="en-US"/>
        </w:rPr>
      </w:pPr>
      <w:r w:rsidRPr="00F34B68">
        <w:rPr>
          <w:noProof/>
          <w:lang w:eastAsia="en-AU"/>
        </w:rPr>
        <w:drawing>
          <wp:anchor distT="0" distB="0" distL="114300" distR="114300" simplePos="0" relativeHeight="251659264" behindDoc="1" locked="0" layoutInCell="1" allowOverlap="1" wp14:anchorId="4CE4DD95" wp14:editId="7913A444">
            <wp:simplePos x="0" y="0"/>
            <wp:positionH relativeFrom="column">
              <wp:posOffset>2091327</wp:posOffset>
            </wp:positionH>
            <wp:positionV relativeFrom="paragraph">
              <wp:posOffset>157026</wp:posOffset>
            </wp:positionV>
            <wp:extent cx="2990229" cy="2028769"/>
            <wp:effectExtent l="0" t="0" r="635" b="0"/>
            <wp:wrapNone/>
            <wp:docPr id="4" name="Picture 4"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1A46.D1FE1BD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990229" cy="2028769"/>
                    </a:xfrm>
                    <a:prstGeom prst="rect">
                      <a:avLst/>
                    </a:prstGeom>
                    <a:noFill/>
                    <a:ln>
                      <a:noFill/>
                    </a:ln>
                  </pic:spPr>
                </pic:pic>
              </a:graphicData>
            </a:graphic>
            <wp14:sizeRelH relativeFrom="page">
              <wp14:pctWidth>0</wp14:pctWidth>
            </wp14:sizeRelH>
            <wp14:sizeRelV relativeFrom="page">
              <wp14:pctHeight>0</wp14:pctHeight>
            </wp14:sizeRelV>
          </wp:anchor>
        </w:drawing>
      </w:r>
      <w:r w:rsidR="001A3992" w:rsidRPr="00F34B68">
        <w:rPr>
          <w:lang w:val="en-US"/>
        </w:rPr>
        <w:t>Chemical structure</w:t>
      </w:r>
    </w:p>
    <w:p w14:paraId="0D8A1E8B" w14:textId="5F2FDB08" w:rsidR="001A22D6" w:rsidRDefault="001A22D6" w:rsidP="00827860">
      <w:pPr>
        <w:jc w:val="center"/>
        <w:rPr>
          <w:rFonts w:ascii="Verdana" w:hAnsi="Verdana"/>
          <w:noProof/>
          <w:lang w:eastAsia="ko-KR"/>
        </w:rPr>
      </w:pPr>
    </w:p>
    <w:p w14:paraId="178EF74F" w14:textId="402E7D0E" w:rsidR="001A22D6" w:rsidRDefault="001A22D6" w:rsidP="00827860">
      <w:pPr>
        <w:jc w:val="center"/>
        <w:rPr>
          <w:rFonts w:ascii="Verdana" w:hAnsi="Verdana"/>
          <w:noProof/>
          <w:lang w:eastAsia="ko-KR"/>
        </w:rPr>
      </w:pPr>
    </w:p>
    <w:p w14:paraId="0A761542" w14:textId="215240FF" w:rsidR="001A22D6" w:rsidRDefault="001A22D6" w:rsidP="00827860">
      <w:pPr>
        <w:jc w:val="center"/>
        <w:rPr>
          <w:rFonts w:ascii="Verdana" w:hAnsi="Verdana"/>
          <w:lang w:val="en-US"/>
        </w:rPr>
      </w:pPr>
    </w:p>
    <w:p w14:paraId="70D38467" w14:textId="0D0795EA" w:rsidR="001A22D6" w:rsidRDefault="001A22D6" w:rsidP="00827860">
      <w:pPr>
        <w:jc w:val="center"/>
        <w:rPr>
          <w:rFonts w:ascii="Verdana" w:hAnsi="Verdana"/>
          <w:lang w:val="en-US"/>
        </w:rPr>
      </w:pPr>
    </w:p>
    <w:p w14:paraId="7D6F8FB1" w14:textId="529A2F97" w:rsidR="001A22D6" w:rsidRDefault="001A22D6" w:rsidP="00827860">
      <w:pPr>
        <w:jc w:val="center"/>
        <w:rPr>
          <w:rFonts w:ascii="Verdana" w:hAnsi="Verdana"/>
          <w:lang w:val="en-US"/>
        </w:rPr>
      </w:pPr>
    </w:p>
    <w:p w14:paraId="1FB09BB0" w14:textId="26C95043" w:rsidR="00827A1B" w:rsidRPr="00F34B68" w:rsidRDefault="00827A1B" w:rsidP="00827860">
      <w:pPr>
        <w:jc w:val="center"/>
        <w:rPr>
          <w:rFonts w:ascii="Verdana" w:hAnsi="Verdana"/>
          <w:lang w:val="en-US"/>
        </w:rPr>
      </w:pPr>
    </w:p>
    <w:p w14:paraId="3655D327" w14:textId="15D771C6" w:rsidR="001A3992" w:rsidRPr="00F34B68" w:rsidRDefault="001A3992" w:rsidP="00571719">
      <w:pPr>
        <w:pStyle w:val="Heading3"/>
        <w:rPr>
          <w:lang w:val="en-US"/>
        </w:rPr>
      </w:pPr>
      <w:r w:rsidRPr="00F34B68">
        <w:rPr>
          <w:lang w:val="en-US"/>
        </w:rPr>
        <w:t>CAS number</w:t>
      </w:r>
    </w:p>
    <w:p w14:paraId="05347D58" w14:textId="7156C324" w:rsidR="00827A1B" w:rsidRPr="00F34B68" w:rsidRDefault="00827A1B" w:rsidP="00827A1B">
      <w:pPr>
        <w:rPr>
          <w:rFonts w:ascii="Verdana" w:hAnsi="Verdana"/>
          <w:lang w:val="en-US"/>
        </w:rPr>
      </w:pPr>
      <w:r w:rsidRPr="00F34B68">
        <w:rPr>
          <w:rFonts w:ascii="Verdana" w:hAnsi="Verdana"/>
          <w:lang w:val="en-US"/>
        </w:rPr>
        <w:t>1537032-82-8</w:t>
      </w:r>
    </w:p>
    <w:p w14:paraId="159262D3" w14:textId="25BAC76E" w:rsidR="001A3992" w:rsidRPr="00F34B68" w:rsidRDefault="001A3992" w:rsidP="001A3992">
      <w:pPr>
        <w:pStyle w:val="Heading1"/>
        <w:spacing w:before="0" w:after="120"/>
        <w:rPr>
          <w:rFonts w:ascii="Verdana" w:hAnsi="Verdana"/>
          <w:sz w:val="22"/>
          <w:szCs w:val="22"/>
          <w:lang w:val="en-US"/>
        </w:rPr>
      </w:pPr>
      <w:r w:rsidRPr="00F34B68">
        <w:rPr>
          <w:rFonts w:ascii="Verdana" w:hAnsi="Verdana"/>
          <w:sz w:val="22"/>
          <w:szCs w:val="22"/>
          <w:lang w:val="en-US"/>
        </w:rPr>
        <w:t>Medicine schedule (Poisons Standard)</w:t>
      </w:r>
    </w:p>
    <w:p w14:paraId="09818AED" w14:textId="45832A9B" w:rsidR="00827A1B" w:rsidRPr="00F34B68" w:rsidRDefault="00827A1B" w:rsidP="00827A1B">
      <w:pPr>
        <w:rPr>
          <w:rFonts w:ascii="Verdana" w:hAnsi="Verdana"/>
          <w:lang w:val="en-US"/>
        </w:rPr>
      </w:pPr>
      <w:r w:rsidRPr="00F34B68">
        <w:rPr>
          <w:rFonts w:ascii="Verdana" w:hAnsi="Verdana"/>
          <w:lang w:val="en-US"/>
        </w:rPr>
        <w:t>S4 (Prescription Only Medicine)</w:t>
      </w:r>
    </w:p>
    <w:p w14:paraId="2BE60275" w14:textId="5B2A0B1B" w:rsidR="00285173" w:rsidRPr="00F34B68" w:rsidRDefault="001A3992" w:rsidP="00285173">
      <w:pPr>
        <w:pStyle w:val="Heading1"/>
        <w:spacing w:before="0" w:after="120"/>
        <w:rPr>
          <w:rFonts w:ascii="Verdana" w:hAnsi="Verdana"/>
          <w:sz w:val="22"/>
          <w:szCs w:val="22"/>
          <w:lang w:val="en-US"/>
        </w:rPr>
      </w:pPr>
      <w:r w:rsidRPr="00F34B68">
        <w:rPr>
          <w:rFonts w:ascii="Verdana" w:hAnsi="Verdana"/>
          <w:sz w:val="22"/>
          <w:szCs w:val="22"/>
          <w:lang w:val="en-US"/>
        </w:rPr>
        <w:t>Sponsor</w:t>
      </w:r>
      <w:r w:rsidR="00285173" w:rsidRPr="00F34B68">
        <w:rPr>
          <w:rFonts w:ascii="Verdana" w:hAnsi="Verdana"/>
          <w:sz w:val="22"/>
          <w:szCs w:val="22"/>
          <w:lang w:val="en-US"/>
        </w:rPr>
        <w:t xml:space="preserve"> </w:t>
      </w:r>
    </w:p>
    <w:p w14:paraId="10085AF4" w14:textId="664123AD" w:rsidR="00827A1B" w:rsidRPr="00F34B68" w:rsidRDefault="00827A1B" w:rsidP="00827A1B">
      <w:pPr>
        <w:spacing w:after="120" w:line="240" w:lineRule="auto"/>
        <w:rPr>
          <w:rFonts w:ascii="Verdana" w:hAnsi="Verdana"/>
          <w:lang w:val="en-US"/>
        </w:rPr>
      </w:pPr>
      <w:r w:rsidRPr="00F34B68">
        <w:rPr>
          <w:rFonts w:ascii="Verdana" w:hAnsi="Verdana"/>
          <w:lang w:val="en-US"/>
        </w:rPr>
        <w:t>Merck Serono Australia Pty Ltd</w:t>
      </w:r>
    </w:p>
    <w:p w14:paraId="6C0298CF" w14:textId="6C86089C" w:rsidR="00827A1B" w:rsidRPr="00F34B68" w:rsidRDefault="00827A1B" w:rsidP="00827A1B">
      <w:pPr>
        <w:spacing w:after="120" w:line="240" w:lineRule="auto"/>
        <w:rPr>
          <w:rFonts w:ascii="Verdana" w:hAnsi="Verdana"/>
          <w:lang w:val="en-US"/>
        </w:rPr>
      </w:pPr>
      <w:r w:rsidRPr="00F34B68">
        <w:rPr>
          <w:rFonts w:ascii="Verdana" w:hAnsi="Verdana"/>
          <w:lang w:val="en-US"/>
        </w:rPr>
        <w:t>Unit 3- 4, 25 Frenchs Forest Road East</w:t>
      </w:r>
    </w:p>
    <w:p w14:paraId="6D052B0D" w14:textId="0D4841BD" w:rsidR="00827A1B" w:rsidRDefault="00827A1B" w:rsidP="00827A1B">
      <w:pPr>
        <w:spacing w:after="120" w:line="240" w:lineRule="auto"/>
        <w:rPr>
          <w:rFonts w:ascii="Verdana" w:hAnsi="Verdana"/>
          <w:lang w:val="en-US"/>
        </w:rPr>
      </w:pPr>
      <w:r w:rsidRPr="00F34B68">
        <w:rPr>
          <w:rFonts w:ascii="Verdana" w:hAnsi="Verdana"/>
          <w:lang w:val="en-US"/>
        </w:rPr>
        <w:t>French Forest NSW 2086</w:t>
      </w:r>
    </w:p>
    <w:p w14:paraId="43A53519" w14:textId="3A495A3D" w:rsidR="00970AD9" w:rsidRPr="00F34B68" w:rsidRDefault="00970AD9" w:rsidP="00827A1B">
      <w:pPr>
        <w:spacing w:after="120" w:line="240" w:lineRule="auto"/>
        <w:rPr>
          <w:rFonts w:ascii="Verdana" w:hAnsi="Verdana"/>
          <w:lang w:val="en-US"/>
        </w:rPr>
      </w:pPr>
      <w:r>
        <w:rPr>
          <w:rFonts w:ascii="Verdana" w:hAnsi="Verdana"/>
          <w:lang w:val="en-US"/>
        </w:rPr>
        <w:t>Merck Medical Information: 1800 633 463</w:t>
      </w:r>
    </w:p>
    <w:p w14:paraId="064484CC" w14:textId="0D045DB4" w:rsidR="00827A1B" w:rsidRPr="00F34B68" w:rsidRDefault="00827A1B" w:rsidP="00827A1B">
      <w:pPr>
        <w:spacing w:after="120" w:line="240" w:lineRule="auto"/>
        <w:rPr>
          <w:rFonts w:ascii="Verdana" w:hAnsi="Verdana"/>
          <w:lang w:val="en-US"/>
        </w:rPr>
      </w:pPr>
      <w:r w:rsidRPr="00F34B68">
        <w:rPr>
          <w:rFonts w:ascii="Verdana" w:hAnsi="Verdana"/>
          <w:lang w:val="en-US"/>
        </w:rPr>
        <w:t>ALSO DISTRIBUTED BY:</w:t>
      </w:r>
    </w:p>
    <w:p w14:paraId="7B8B775D" w14:textId="5928018D" w:rsidR="00827A1B" w:rsidRPr="00F34B68" w:rsidRDefault="00827A1B" w:rsidP="00827A1B">
      <w:pPr>
        <w:spacing w:after="120" w:line="240" w:lineRule="auto"/>
        <w:rPr>
          <w:rFonts w:ascii="Verdana" w:hAnsi="Verdana"/>
          <w:lang w:val="en-US"/>
        </w:rPr>
      </w:pPr>
      <w:r w:rsidRPr="00F34B68">
        <w:rPr>
          <w:rFonts w:ascii="Verdana" w:hAnsi="Verdana"/>
          <w:lang w:val="en-US"/>
        </w:rPr>
        <w:t>Pfizer Australia Pty Ltd</w:t>
      </w:r>
    </w:p>
    <w:p w14:paraId="6ED066D2" w14:textId="7540BF71" w:rsidR="00827A1B" w:rsidRDefault="00970AD9" w:rsidP="00827A1B">
      <w:pPr>
        <w:spacing w:after="120" w:line="240" w:lineRule="auto"/>
        <w:rPr>
          <w:rFonts w:ascii="Verdana" w:hAnsi="Verdana"/>
          <w:lang w:val="en-US"/>
        </w:rPr>
      </w:pPr>
      <w:r>
        <w:rPr>
          <w:rFonts w:ascii="Verdana" w:hAnsi="Verdana"/>
          <w:lang w:val="en-US"/>
        </w:rPr>
        <w:t>38 – 42 Wharf Road</w:t>
      </w:r>
    </w:p>
    <w:p w14:paraId="21D38409" w14:textId="6627F625" w:rsidR="00970AD9" w:rsidRPr="00F34B68" w:rsidRDefault="00970AD9" w:rsidP="00827A1B">
      <w:pPr>
        <w:spacing w:after="120" w:line="240" w:lineRule="auto"/>
        <w:rPr>
          <w:rFonts w:ascii="Verdana" w:hAnsi="Verdana"/>
          <w:lang w:val="en-US"/>
        </w:rPr>
      </w:pPr>
      <w:r>
        <w:rPr>
          <w:rFonts w:ascii="Verdana" w:hAnsi="Verdana"/>
          <w:lang w:val="en-US"/>
        </w:rPr>
        <w:lastRenderedPageBreak/>
        <w:t>West Ryde</w:t>
      </w:r>
    </w:p>
    <w:p w14:paraId="0F80A7C4" w14:textId="4FFD4E48" w:rsidR="00827A1B" w:rsidRPr="00F34B68" w:rsidRDefault="00827A1B" w:rsidP="00827A1B">
      <w:pPr>
        <w:spacing w:after="120" w:line="240" w:lineRule="auto"/>
        <w:rPr>
          <w:rFonts w:ascii="Verdana" w:hAnsi="Verdana"/>
          <w:lang w:val="en-US"/>
        </w:rPr>
      </w:pPr>
      <w:r w:rsidRPr="00F34B68">
        <w:rPr>
          <w:rFonts w:ascii="Verdana" w:hAnsi="Verdana"/>
          <w:lang w:val="en-US"/>
        </w:rPr>
        <w:t>NSW</w:t>
      </w:r>
      <w:r w:rsidR="00970AD9">
        <w:rPr>
          <w:rFonts w:ascii="Verdana" w:hAnsi="Verdana"/>
          <w:lang w:val="en-US"/>
        </w:rPr>
        <w:t xml:space="preserve"> 2114</w:t>
      </w:r>
    </w:p>
    <w:p w14:paraId="31F9191F" w14:textId="19F16917" w:rsidR="00285173" w:rsidRPr="00F34B68" w:rsidRDefault="00285173" w:rsidP="00285173">
      <w:pPr>
        <w:pStyle w:val="Heading1"/>
        <w:spacing w:before="0" w:after="120"/>
        <w:rPr>
          <w:rFonts w:ascii="Verdana" w:hAnsi="Verdana"/>
          <w:sz w:val="22"/>
          <w:szCs w:val="22"/>
          <w:lang w:val="en-US"/>
        </w:rPr>
      </w:pPr>
      <w:r w:rsidRPr="00F34B68">
        <w:rPr>
          <w:rFonts w:ascii="Verdana" w:hAnsi="Verdana"/>
          <w:sz w:val="22"/>
          <w:szCs w:val="22"/>
          <w:lang w:val="en-US"/>
        </w:rPr>
        <w:t xml:space="preserve">Date of first approval  </w:t>
      </w:r>
    </w:p>
    <w:p w14:paraId="741A4E5D" w14:textId="777D1AB4" w:rsidR="00960CD5" w:rsidRPr="002856C1" w:rsidRDefault="003B0E7F" w:rsidP="002856C1">
      <w:pPr>
        <w:rPr>
          <w:rFonts w:ascii="Verdana" w:hAnsi="Verdana"/>
          <w:lang w:val="en-US"/>
        </w:rPr>
      </w:pPr>
      <w:r>
        <w:rPr>
          <w:rFonts w:ascii="Verdana" w:hAnsi="Verdana"/>
          <w:lang w:val="en-US"/>
        </w:rPr>
        <w:t>3 January 2018</w:t>
      </w:r>
    </w:p>
    <w:sectPr w:rsidR="00960CD5" w:rsidRPr="002856C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1C539" w14:textId="77777777" w:rsidR="006D355D" w:rsidRDefault="006D355D" w:rsidP="001A3992">
      <w:pPr>
        <w:spacing w:after="0" w:line="240" w:lineRule="auto"/>
      </w:pPr>
      <w:r>
        <w:separator/>
      </w:r>
    </w:p>
  </w:endnote>
  <w:endnote w:type="continuationSeparator" w:id="0">
    <w:p w14:paraId="13072588" w14:textId="77777777" w:rsidR="006D355D" w:rsidRDefault="006D355D"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81" w:usb1="08070000" w:usb2="00000010" w:usb3="00000000" w:csb0="00020008" w:csb1="00000000"/>
  </w:font>
  <w:font w:name="HelveticaNeueLTStd-Cn">
    <w:altName w:val="MS Gothic"/>
    <w:panose1 w:val="00000000000000000000"/>
    <w:charset w:val="80"/>
    <w:family w:val="swiss"/>
    <w:notTrueType/>
    <w:pitch w:val="default"/>
    <w:sig w:usb0="00000001" w:usb1="08070000" w:usb2="00000010" w:usb3="00000000" w:csb0="00020000" w:csb1="00000000"/>
  </w:font>
  <w:font w:name="18gfa">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C388E" w14:textId="77777777" w:rsidR="006D355D" w:rsidRDefault="006D355D" w:rsidP="001A3992">
      <w:pPr>
        <w:spacing w:after="0" w:line="240" w:lineRule="auto"/>
      </w:pPr>
      <w:r>
        <w:separator/>
      </w:r>
    </w:p>
  </w:footnote>
  <w:footnote w:type="continuationSeparator" w:id="0">
    <w:p w14:paraId="723C2DCC" w14:textId="77777777" w:rsidR="006D355D" w:rsidRDefault="006D355D"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6D355D" w14:paraId="16E61C3A" w14:textId="77777777" w:rsidTr="006D355D">
      <w:tc>
        <w:tcPr>
          <w:tcW w:w="8720" w:type="dxa"/>
          <w:shd w:val="clear" w:color="auto" w:fill="E4F2E0"/>
        </w:tcPr>
        <w:p w14:paraId="51E9F197" w14:textId="769FB81F" w:rsidR="006D355D" w:rsidRPr="00D361CA" w:rsidRDefault="006D355D" w:rsidP="006D355D">
          <w:pPr>
            <w:spacing w:before="40" w:after="40"/>
            <w:rPr>
              <w:b/>
            </w:rPr>
          </w:pPr>
          <w:r w:rsidRPr="00D361CA">
            <w:rPr>
              <w:b/>
            </w:rPr>
            <w:t xml:space="preserve">Attachment 1: Product information for </w:t>
          </w:r>
          <w:proofErr w:type="spellStart"/>
          <w:r w:rsidRPr="00EA786E">
            <w:rPr>
              <w:b/>
            </w:rPr>
            <w:t>AusPAR</w:t>
          </w:r>
          <w:proofErr w:type="spellEnd"/>
          <w:r w:rsidRPr="00EA786E">
            <w:rPr>
              <w:b/>
            </w:rPr>
            <w:t xml:space="preserve"> </w:t>
          </w:r>
          <w:proofErr w:type="spellStart"/>
          <w:r w:rsidRPr="00EA786E">
            <w:rPr>
              <w:b/>
            </w:rPr>
            <w:t>Bavencio</w:t>
          </w:r>
          <w:proofErr w:type="spellEnd"/>
          <w:r w:rsidRPr="00EA786E">
            <w:rPr>
              <w:b/>
            </w:rPr>
            <w:t xml:space="preserve"> - </w:t>
          </w:r>
          <w:proofErr w:type="spellStart"/>
          <w:r w:rsidRPr="00EA786E">
            <w:rPr>
              <w:b/>
            </w:rPr>
            <w:t>Avelumab</w:t>
          </w:r>
          <w:proofErr w:type="spellEnd"/>
          <w:r w:rsidRPr="00EA786E">
            <w:rPr>
              <w:b/>
            </w:rPr>
            <w:t xml:space="preserve"> (</w:t>
          </w:r>
          <w:proofErr w:type="spellStart"/>
          <w:r w:rsidRPr="00EA786E">
            <w:rPr>
              <w:b/>
            </w:rPr>
            <w:t>rch</w:t>
          </w:r>
          <w:proofErr w:type="spellEnd"/>
          <w:r w:rsidRPr="00EA786E">
            <w:rPr>
              <w:b/>
            </w:rPr>
            <w:t xml:space="preserve">) - Merck </w:t>
          </w:r>
          <w:proofErr w:type="spellStart"/>
          <w:r w:rsidRPr="00EA786E">
            <w:rPr>
              <w:b/>
            </w:rPr>
            <w:t>Serono</w:t>
          </w:r>
          <w:proofErr w:type="spellEnd"/>
          <w:r w:rsidRPr="00EA786E">
            <w:rPr>
              <w:b/>
            </w:rPr>
            <w:t xml:space="preserve"> Australia Pty Ltd - PM-2016-03575-1-4 FINAL 22 January 2019</w:t>
          </w:r>
          <w:r w:rsidRPr="00D361CA">
            <w:rPr>
              <w:b/>
            </w:rPr>
            <w:t xml:space="preserve">. </w:t>
          </w:r>
          <w:r w:rsidRPr="00FB03BD">
            <w:rPr>
              <w:b/>
            </w:rPr>
            <w:t xml:space="preserve">This is the Product Information that was approved with the submission described in this </w:t>
          </w:r>
          <w:proofErr w:type="spellStart"/>
          <w:r w:rsidRPr="00FB03BD">
            <w:rPr>
              <w:b/>
            </w:rPr>
            <w:t>AusPAR</w:t>
          </w:r>
          <w:proofErr w:type="spellEnd"/>
          <w:r w:rsidRPr="00FB03BD">
            <w:rPr>
              <w:b/>
            </w:rPr>
            <w:t>. It may have been superseded. For the most recent PI, please refer to the TGA website at &lt;</w:t>
          </w:r>
          <w:hyperlink r:id="rId1" w:history="1">
            <w:r w:rsidRPr="00FB03BD">
              <w:rPr>
                <w:rStyle w:val="Hyperlink"/>
                <w:b/>
              </w:rPr>
              <w:t>https://www.tga.gov.au/product-information-pi</w:t>
            </w:r>
          </w:hyperlink>
          <w:r w:rsidRPr="00FB03BD">
            <w:rPr>
              <w:b/>
            </w:rPr>
            <w:t>&gt;</w:t>
          </w:r>
        </w:p>
      </w:tc>
    </w:tr>
  </w:tbl>
  <w:p w14:paraId="01567717" w14:textId="77777777" w:rsidR="006D355D" w:rsidRPr="00EA786E" w:rsidRDefault="006D355D" w:rsidP="00EA786E">
    <w:pPr>
      <w:spacing w:after="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7A769F4"/>
    <w:multiLevelType w:val="hybridMultilevel"/>
    <w:tmpl w:val="F4F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780760"/>
    <w:multiLevelType w:val="hybridMultilevel"/>
    <w:tmpl w:val="869C8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5"/>
  </w:num>
  <w:num w:numId="5">
    <w:abstractNumId w:val="11"/>
  </w:num>
  <w:num w:numId="6">
    <w:abstractNumId w:val="9"/>
  </w:num>
  <w:num w:numId="7">
    <w:abstractNumId w:val="7"/>
  </w:num>
  <w:num w:numId="8">
    <w:abstractNumId w:val="10"/>
  </w:num>
  <w:num w:numId="9">
    <w:abstractNumId w:val="2"/>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E7"/>
    <w:rsid w:val="00042302"/>
    <w:rsid w:val="00065444"/>
    <w:rsid w:val="00065FBD"/>
    <w:rsid w:val="00070AB0"/>
    <w:rsid w:val="00074223"/>
    <w:rsid w:val="001A22D6"/>
    <w:rsid w:val="001A3992"/>
    <w:rsid w:val="001E5C06"/>
    <w:rsid w:val="002226E7"/>
    <w:rsid w:val="002805E5"/>
    <w:rsid w:val="00285173"/>
    <w:rsid w:val="002856C1"/>
    <w:rsid w:val="002B1795"/>
    <w:rsid w:val="002C01EF"/>
    <w:rsid w:val="002D38ED"/>
    <w:rsid w:val="002E078A"/>
    <w:rsid w:val="002E277D"/>
    <w:rsid w:val="002F6B8D"/>
    <w:rsid w:val="00375DF3"/>
    <w:rsid w:val="003B0E7F"/>
    <w:rsid w:val="003B4CDD"/>
    <w:rsid w:val="003D2089"/>
    <w:rsid w:val="00404428"/>
    <w:rsid w:val="00422D8C"/>
    <w:rsid w:val="00431ACD"/>
    <w:rsid w:val="004745EB"/>
    <w:rsid w:val="004B34D9"/>
    <w:rsid w:val="004B6B19"/>
    <w:rsid w:val="004C07FF"/>
    <w:rsid w:val="004C78BA"/>
    <w:rsid w:val="004D0C55"/>
    <w:rsid w:val="00502B50"/>
    <w:rsid w:val="0055425C"/>
    <w:rsid w:val="00571719"/>
    <w:rsid w:val="00573ECF"/>
    <w:rsid w:val="006018AE"/>
    <w:rsid w:val="00623248"/>
    <w:rsid w:val="006B77C2"/>
    <w:rsid w:val="006D355D"/>
    <w:rsid w:val="00717276"/>
    <w:rsid w:val="007178A2"/>
    <w:rsid w:val="00751AA2"/>
    <w:rsid w:val="007805E4"/>
    <w:rsid w:val="007845AE"/>
    <w:rsid w:val="007C66C8"/>
    <w:rsid w:val="007F7F2E"/>
    <w:rsid w:val="00816131"/>
    <w:rsid w:val="00827860"/>
    <w:rsid w:val="00827A1B"/>
    <w:rsid w:val="00857E2E"/>
    <w:rsid w:val="0087307F"/>
    <w:rsid w:val="00883A13"/>
    <w:rsid w:val="008D4D79"/>
    <w:rsid w:val="008F599A"/>
    <w:rsid w:val="00905FE6"/>
    <w:rsid w:val="00960CD5"/>
    <w:rsid w:val="00970AD9"/>
    <w:rsid w:val="009911D9"/>
    <w:rsid w:val="009D5F10"/>
    <w:rsid w:val="009E5306"/>
    <w:rsid w:val="00A337AE"/>
    <w:rsid w:val="00A8646F"/>
    <w:rsid w:val="00A9145A"/>
    <w:rsid w:val="00A92DE1"/>
    <w:rsid w:val="00AA048B"/>
    <w:rsid w:val="00AB09A1"/>
    <w:rsid w:val="00B43808"/>
    <w:rsid w:val="00B44E39"/>
    <w:rsid w:val="00B90F64"/>
    <w:rsid w:val="00BB73BA"/>
    <w:rsid w:val="00BC6F21"/>
    <w:rsid w:val="00BE2A26"/>
    <w:rsid w:val="00BE5CFE"/>
    <w:rsid w:val="00BF5C4B"/>
    <w:rsid w:val="00C1262F"/>
    <w:rsid w:val="00C2033A"/>
    <w:rsid w:val="00C51BCA"/>
    <w:rsid w:val="00C62C8C"/>
    <w:rsid w:val="00C7617F"/>
    <w:rsid w:val="00C90850"/>
    <w:rsid w:val="00CA0EF1"/>
    <w:rsid w:val="00CB76CD"/>
    <w:rsid w:val="00CE04BB"/>
    <w:rsid w:val="00D36E1B"/>
    <w:rsid w:val="00D878A1"/>
    <w:rsid w:val="00DA2A13"/>
    <w:rsid w:val="00DC683C"/>
    <w:rsid w:val="00DD2A89"/>
    <w:rsid w:val="00DF3FB9"/>
    <w:rsid w:val="00E13C85"/>
    <w:rsid w:val="00E23B73"/>
    <w:rsid w:val="00E74A56"/>
    <w:rsid w:val="00E74E65"/>
    <w:rsid w:val="00EA786E"/>
    <w:rsid w:val="00EE38D8"/>
    <w:rsid w:val="00EE5575"/>
    <w:rsid w:val="00F34B68"/>
    <w:rsid w:val="00F775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1D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571719"/>
    <w:pPr>
      <w:keepNext/>
      <w:keepLines/>
      <w:spacing w:after="120"/>
      <w:ind w:left="227"/>
      <w:outlineLvl w:val="2"/>
    </w:pPr>
    <w:rPr>
      <w:rFonts w:ascii="Verdana" w:eastAsiaTheme="majorEastAsia" w:hAnsi="Verdana"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571719"/>
    <w:rPr>
      <w:rFonts w:ascii="Verdana" w:eastAsiaTheme="majorEastAsia" w:hAnsi="Verdana"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2F6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B8D"/>
  </w:style>
  <w:style w:type="paragraph" w:customStyle="1" w:styleId="TableParagraph">
    <w:name w:val="Table Paragraph"/>
    <w:basedOn w:val="Normal"/>
    <w:uiPriority w:val="1"/>
    <w:qFormat/>
    <w:rsid w:val="00AA048B"/>
    <w:pPr>
      <w:autoSpaceDE w:val="0"/>
      <w:autoSpaceDN w:val="0"/>
      <w:adjustRightInd w:val="0"/>
      <w:spacing w:after="0" w:line="240" w:lineRule="auto"/>
    </w:pPr>
    <w:rPr>
      <w:rFonts w:ascii="Times New Roman" w:eastAsia="Times New Roman" w:hAnsi="Times New Roman" w:cs="Times New Roman"/>
      <w:sz w:val="24"/>
      <w:szCs w:val="24"/>
      <w:lang w:val="en-GB" w:eastAsia="ja-JP"/>
    </w:rPr>
  </w:style>
  <w:style w:type="paragraph" w:styleId="CommentSubject">
    <w:name w:val="annotation subject"/>
    <w:basedOn w:val="CommentText"/>
    <w:next w:val="CommentText"/>
    <w:link w:val="CommentSubjectChar"/>
    <w:uiPriority w:val="99"/>
    <w:semiHidden/>
    <w:unhideWhenUsed/>
    <w:rsid w:val="00070AB0"/>
    <w:rPr>
      <w:rFonts w:asciiTheme="minorHAnsi" w:hAnsiTheme="minorHAnsi"/>
      <w:b/>
      <w:bCs/>
    </w:rPr>
  </w:style>
  <w:style w:type="character" w:customStyle="1" w:styleId="CommentSubjectChar">
    <w:name w:val="Comment Subject Char"/>
    <w:basedOn w:val="CommentTextChar"/>
    <w:link w:val="CommentSubject"/>
    <w:uiPriority w:val="99"/>
    <w:semiHidden/>
    <w:rsid w:val="00070AB0"/>
    <w:rPr>
      <w:rFonts w:ascii="Cambria" w:hAnsi="Cambria"/>
      <w:b/>
      <w:bCs/>
      <w:sz w:val="20"/>
      <w:szCs w:val="20"/>
    </w:rPr>
  </w:style>
  <w:style w:type="table" w:styleId="TableGrid">
    <w:name w:val="Table Grid"/>
    <w:basedOn w:val="TableNormal"/>
    <w:uiPriority w:val="59"/>
    <w:rsid w:val="003D2089"/>
    <w:pPr>
      <w:spacing w:after="0" w:line="240" w:lineRule="auto"/>
    </w:pPr>
    <w:rPr>
      <w:rFonts w:ascii="Times New Roman" w:eastAsia="SimSu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BodyText"/>
    <w:link w:val="TabletextZchn"/>
    <w:qFormat/>
    <w:rsid w:val="003D2089"/>
    <w:pPr>
      <w:keepLines/>
      <w:spacing w:before="40" w:after="40" w:line="240" w:lineRule="auto"/>
      <w:jc w:val="both"/>
    </w:pPr>
    <w:rPr>
      <w:rFonts w:ascii="Arial" w:hAnsi="Arial"/>
      <w:sz w:val="18"/>
      <w:lang w:val="en-GB"/>
    </w:rPr>
  </w:style>
  <w:style w:type="character" w:customStyle="1" w:styleId="TabletextZchn">
    <w:name w:val="Table text Zchn"/>
    <w:link w:val="Tabletext"/>
    <w:locked/>
    <w:rsid w:val="003D2089"/>
    <w:rPr>
      <w:rFonts w:ascii="Arial" w:hAnsi="Arial"/>
      <w:sz w:val="18"/>
      <w:lang w:val="en-GB"/>
    </w:rPr>
  </w:style>
  <w:style w:type="paragraph" w:customStyle="1" w:styleId="Tableheading">
    <w:name w:val="Table heading"/>
    <w:basedOn w:val="Tabletext"/>
    <w:link w:val="TableheadingChar"/>
    <w:qFormat/>
    <w:rsid w:val="003D2089"/>
    <w:pPr>
      <w:keepNext/>
      <w:spacing w:before="80" w:after="80"/>
      <w:jc w:val="center"/>
    </w:pPr>
    <w:rPr>
      <w:b/>
    </w:rPr>
  </w:style>
  <w:style w:type="character" w:customStyle="1" w:styleId="TableheadingChar">
    <w:name w:val="Table heading Char"/>
    <w:link w:val="Tableheading"/>
    <w:locked/>
    <w:rsid w:val="003D2089"/>
    <w:rPr>
      <w:rFonts w:ascii="Arial" w:hAnsi="Arial"/>
      <w:b/>
      <w:sz w:val="18"/>
      <w:lang w:val="en-GB"/>
    </w:rPr>
  </w:style>
  <w:style w:type="paragraph" w:customStyle="1" w:styleId="Default">
    <w:name w:val="Default"/>
    <w:rsid w:val="003D2089"/>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BodyText">
    <w:name w:val="Body Text"/>
    <w:basedOn w:val="Normal"/>
    <w:link w:val="BodyTextChar"/>
    <w:uiPriority w:val="99"/>
    <w:semiHidden/>
    <w:unhideWhenUsed/>
    <w:rsid w:val="003D2089"/>
    <w:pPr>
      <w:spacing w:after="120"/>
    </w:pPr>
  </w:style>
  <w:style w:type="character" w:customStyle="1" w:styleId="BodyTextChar">
    <w:name w:val="Body Text Char"/>
    <w:basedOn w:val="DefaultParagraphFont"/>
    <w:link w:val="BodyText"/>
    <w:uiPriority w:val="99"/>
    <w:semiHidden/>
    <w:rsid w:val="003D2089"/>
  </w:style>
  <w:style w:type="table" w:customStyle="1" w:styleId="TableGrid8">
    <w:name w:val="Table Grid8"/>
    <w:basedOn w:val="TableNormal"/>
    <w:next w:val="TableGrid"/>
    <w:uiPriority w:val="39"/>
    <w:rsid w:val="00065444"/>
    <w:pPr>
      <w:spacing w:before="20" w:after="20" w:line="240" w:lineRule="auto"/>
    </w:pPr>
    <w:rPr>
      <w:rFonts w:ascii="Times New Roman" w:eastAsia="Times New Roman" w:hAnsi="Times New Roman" w:cs="Times New Roman"/>
      <w:sz w:val="20"/>
      <w:szCs w:val="20"/>
      <w:lang w:val="en-US"/>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Tablefootnote">
    <w:name w:val="Table footnote"/>
    <w:basedOn w:val="Tabletext"/>
    <w:next w:val="BodyText"/>
    <w:link w:val="TablefootnoteChar"/>
    <w:rsid w:val="00065444"/>
    <w:pPr>
      <w:jc w:val="left"/>
    </w:pPr>
    <w:rPr>
      <w:rFonts w:eastAsia="Times New Roman" w:cs="Times New Roman"/>
      <w:szCs w:val="20"/>
      <w:lang w:val="en-US"/>
    </w:rPr>
  </w:style>
  <w:style w:type="character" w:customStyle="1" w:styleId="TablefootnoteChar">
    <w:name w:val="Table footnote Char"/>
    <w:basedOn w:val="DefaultParagraphFont"/>
    <w:link w:val="Tablefootnote"/>
    <w:locked/>
    <w:rsid w:val="00065444"/>
    <w:rPr>
      <w:rFonts w:ascii="Arial" w:eastAsia="Times New Roman" w:hAnsi="Arial" w:cs="Times New Roman"/>
      <w:sz w:val="18"/>
      <w:szCs w:val="20"/>
      <w:lang w:val="en-US"/>
    </w:rPr>
  </w:style>
  <w:style w:type="paragraph" w:styleId="Revision">
    <w:name w:val="Revision"/>
    <w:hidden/>
    <w:uiPriority w:val="99"/>
    <w:semiHidden/>
    <w:rsid w:val="00827A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571719"/>
    <w:pPr>
      <w:keepNext/>
      <w:keepLines/>
      <w:spacing w:after="120"/>
      <w:ind w:left="227"/>
      <w:outlineLvl w:val="2"/>
    </w:pPr>
    <w:rPr>
      <w:rFonts w:ascii="Verdana" w:eastAsiaTheme="majorEastAsia" w:hAnsi="Verdana"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571719"/>
    <w:rPr>
      <w:rFonts w:ascii="Verdana" w:eastAsiaTheme="majorEastAsia" w:hAnsi="Verdana"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2F6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B8D"/>
  </w:style>
  <w:style w:type="paragraph" w:customStyle="1" w:styleId="TableParagraph">
    <w:name w:val="Table Paragraph"/>
    <w:basedOn w:val="Normal"/>
    <w:uiPriority w:val="1"/>
    <w:qFormat/>
    <w:rsid w:val="00AA048B"/>
    <w:pPr>
      <w:autoSpaceDE w:val="0"/>
      <w:autoSpaceDN w:val="0"/>
      <w:adjustRightInd w:val="0"/>
      <w:spacing w:after="0" w:line="240" w:lineRule="auto"/>
    </w:pPr>
    <w:rPr>
      <w:rFonts w:ascii="Times New Roman" w:eastAsia="Times New Roman" w:hAnsi="Times New Roman" w:cs="Times New Roman"/>
      <w:sz w:val="24"/>
      <w:szCs w:val="24"/>
      <w:lang w:val="en-GB" w:eastAsia="ja-JP"/>
    </w:rPr>
  </w:style>
  <w:style w:type="paragraph" w:styleId="CommentSubject">
    <w:name w:val="annotation subject"/>
    <w:basedOn w:val="CommentText"/>
    <w:next w:val="CommentText"/>
    <w:link w:val="CommentSubjectChar"/>
    <w:uiPriority w:val="99"/>
    <w:semiHidden/>
    <w:unhideWhenUsed/>
    <w:rsid w:val="00070AB0"/>
    <w:rPr>
      <w:rFonts w:asciiTheme="minorHAnsi" w:hAnsiTheme="minorHAnsi"/>
      <w:b/>
      <w:bCs/>
    </w:rPr>
  </w:style>
  <w:style w:type="character" w:customStyle="1" w:styleId="CommentSubjectChar">
    <w:name w:val="Comment Subject Char"/>
    <w:basedOn w:val="CommentTextChar"/>
    <w:link w:val="CommentSubject"/>
    <w:uiPriority w:val="99"/>
    <w:semiHidden/>
    <w:rsid w:val="00070AB0"/>
    <w:rPr>
      <w:rFonts w:ascii="Cambria" w:hAnsi="Cambria"/>
      <w:b/>
      <w:bCs/>
      <w:sz w:val="20"/>
      <w:szCs w:val="20"/>
    </w:rPr>
  </w:style>
  <w:style w:type="table" w:styleId="TableGrid">
    <w:name w:val="Table Grid"/>
    <w:basedOn w:val="TableNormal"/>
    <w:uiPriority w:val="59"/>
    <w:rsid w:val="003D2089"/>
    <w:pPr>
      <w:spacing w:after="0" w:line="240" w:lineRule="auto"/>
    </w:pPr>
    <w:rPr>
      <w:rFonts w:ascii="Times New Roman" w:eastAsia="SimSu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BodyText"/>
    <w:link w:val="TabletextZchn"/>
    <w:qFormat/>
    <w:rsid w:val="003D2089"/>
    <w:pPr>
      <w:keepLines/>
      <w:spacing w:before="40" w:after="40" w:line="240" w:lineRule="auto"/>
      <w:jc w:val="both"/>
    </w:pPr>
    <w:rPr>
      <w:rFonts w:ascii="Arial" w:hAnsi="Arial"/>
      <w:sz w:val="18"/>
      <w:lang w:val="en-GB"/>
    </w:rPr>
  </w:style>
  <w:style w:type="character" w:customStyle="1" w:styleId="TabletextZchn">
    <w:name w:val="Table text Zchn"/>
    <w:link w:val="Tabletext"/>
    <w:locked/>
    <w:rsid w:val="003D2089"/>
    <w:rPr>
      <w:rFonts w:ascii="Arial" w:hAnsi="Arial"/>
      <w:sz w:val="18"/>
      <w:lang w:val="en-GB"/>
    </w:rPr>
  </w:style>
  <w:style w:type="paragraph" w:customStyle="1" w:styleId="Tableheading">
    <w:name w:val="Table heading"/>
    <w:basedOn w:val="Tabletext"/>
    <w:link w:val="TableheadingChar"/>
    <w:qFormat/>
    <w:rsid w:val="003D2089"/>
    <w:pPr>
      <w:keepNext/>
      <w:spacing w:before="80" w:after="80"/>
      <w:jc w:val="center"/>
    </w:pPr>
    <w:rPr>
      <w:b/>
    </w:rPr>
  </w:style>
  <w:style w:type="character" w:customStyle="1" w:styleId="TableheadingChar">
    <w:name w:val="Table heading Char"/>
    <w:link w:val="Tableheading"/>
    <w:locked/>
    <w:rsid w:val="003D2089"/>
    <w:rPr>
      <w:rFonts w:ascii="Arial" w:hAnsi="Arial"/>
      <w:b/>
      <w:sz w:val="18"/>
      <w:lang w:val="en-GB"/>
    </w:rPr>
  </w:style>
  <w:style w:type="paragraph" w:customStyle="1" w:styleId="Default">
    <w:name w:val="Default"/>
    <w:rsid w:val="003D2089"/>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BodyText">
    <w:name w:val="Body Text"/>
    <w:basedOn w:val="Normal"/>
    <w:link w:val="BodyTextChar"/>
    <w:uiPriority w:val="99"/>
    <w:semiHidden/>
    <w:unhideWhenUsed/>
    <w:rsid w:val="003D2089"/>
    <w:pPr>
      <w:spacing w:after="120"/>
    </w:pPr>
  </w:style>
  <w:style w:type="character" w:customStyle="1" w:styleId="BodyTextChar">
    <w:name w:val="Body Text Char"/>
    <w:basedOn w:val="DefaultParagraphFont"/>
    <w:link w:val="BodyText"/>
    <w:uiPriority w:val="99"/>
    <w:semiHidden/>
    <w:rsid w:val="003D2089"/>
  </w:style>
  <w:style w:type="table" w:customStyle="1" w:styleId="TableGrid8">
    <w:name w:val="Table Grid8"/>
    <w:basedOn w:val="TableNormal"/>
    <w:next w:val="TableGrid"/>
    <w:uiPriority w:val="39"/>
    <w:rsid w:val="00065444"/>
    <w:pPr>
      <w:spacing w:before="20" w:after="20" w:line="240" w:lineRule="auto"/>
    </w:pPr>
    <w:rPr>
      <w:rFonts w:ascii="Times New Roman" w:eastAsia="Times New Roman" w:hAnsi="Times New Roman" w:cs="Times New Roman"/>
      <w:sz w:val="20"/>
      <w:szCs w:val="20"/>
      <w:lang w:val="en-US"/>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Tablefootnote">
    <w:name w:val="Table footnote"/>
    <w:basedOn w:val="Tabletext"/>
    <w:next w:val="BodyText"/>
    <w:link w:val="TablefootnoteChar"/>
    <w:rsid w:val="00065444"/>
    <w:pPr>
      <w:jc w:val="left"/>
    </w:pPr>
    <w:rPr>
      <w:rFonts w:eastAsia="Times New Roman" w:cs="Times New Roman"/>
      <w:szCs w:val="20"/>
      <w:lang w:val="en-US"/>
    </w:rPr>
  </w:style>
  <w:style w:type="character" w:customStyle="1" w:styleId="TablefootnoteChar">
    <w:name w:val="Table footnote Char"/>
    <w:basedOn w:val="DefaultParagraphFont"/>
    <w:link w:val="Tablefootnote"/>
    <w:locked/>
    <w:rsid w:val="00065444"/>
    <w:rPr>
      <w:rFonts w:ascii="Arial" w:eastAsia="Times New Roman" w:hAnsi="Arial" w:cs="Times New Roman"/>
      <w:sz w:val="18"/>
      <w:szCs w:val="20"/>
      <w:lang w:val="en-US"/>
    </w:rPr>
  </w:style>
  <w:style w:type="paragraph" w:styleId="Revision">
    <w:name w:val="Revision"/>
    <w:hidden/>
    <w:uiPriority w:val="99"/>
    <w:semiHidden/>
    <w:rsid w:val="00827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921798">
      <w:bodyDiv w:val="1"/>
      <w:marLeft w:val="0"/>
      <w:marRight w:val="0"/>
      <w:marTop w:val="0"/>
      <w:marBottom w:val="0"/>
      <w:divBdr>
        <w:top w:val="none" w:sz="0" w:space="0" w:color="auto"/>
        <w:left w:val="none" w:sz="0" w:space="0" w:color="auto"/>
        <w:bottom w:val="none" w:sz="0" w:space="0" w:color="auto"/>
        <w:right w:val="none" w:sz="0" w:space="0" w:color="auto"/>
      </w:divBdr>
    </w:div>
    <w:div w:id="15574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21A46.D1FE1BD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tga.gov.au/reporting-proble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56924\AppData\Local\Microsoft\Windows\Temporary%20Internet%20Files\Content.Outlook\1H6Q3SD6\PI%20template%20-%20new%20format%20-%20with%20black%20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FF74-A067-4F0B-829B-85ADD6B6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 template - new format - with black triangle.dotx</Template>
  <TotalTime>0</TotalTime>
  <Pages>22</Pages>
  <Words>6536</Words>
  <Characters>36992</Characters>
  <Application>Microsoft Office Word</Application>
  <DocSecurity>0</DocSecurity>
  <Lines>1103</Lines>
  <Paragraphs>653</Paragraphs>
  <ScaleCrop>false</ScaleCrop>
  <HeadingPairs>
    <vt:vector size="2" baseType="variant">
      <vt:variant>
        <vt:lpstr>Title</vt:lpstr>
      </vt:variant>
      <vt:variant>
        <vt:i4>1</vt:i4>
      </vt:variant>
    </vt:vector>
  </HeadingPairs>
  <TitlesOfParts>
    <vt:vector size="1" baseType="lpstr">
      <vt:lpstr>AusPAR Attachment 1: Product Information for Avelumab</vt:lpstr>
    </vt:vector>
  </TitlesOfParts>
  <LinksUpToDate>false</LinksUpToDate>
  <CharactersWithSpaces>42968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Avelumab</dc:title>
  <dc:subject>Prescription medicines</dc:subject>
  <dc:creator/>
  <cp:keywords>AusPARs</cp:keywords>
  <cp:lastModifiedBy/>
  <dcterms:created xsi:type="dcterms:W3CDTF">2019-05-07T04:57:00Z</dcterms:created>
  <dcterms:modified xsi:type="dcterms:W3CDTF">2019-05-07T05:25:00Z</dcterms:modified>
</cp:coreProperties>
</file>