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CE" w:rsidRPr="007D1775" w:rsidRDefault="00B541CE">
      <w:pPr>
        <w:pStyle w:val="Title"/>
      </w:pPr>
      <w:r w:rsidRPr="007D1775">
        <w:t>PRODUCT INFORMATION</w:t>
      </w:r>
    </w:p>
    <w:p w:rsidR="00D74174" w:rsidRPr="007D1775" w:rsidRDefault="00625C16" w:rsidP="00831F11">
      <w:pPr>
        <w:pStyle w:val="Subtitle"/>
      </w:pPr>
      <w:r w:rsidRPr="007D1775">
        <w:t>SPEDRA</w:t>
      </w:r>
      <w:r w:rsidR="00183F9C" w:rsidRPr="00183F9C">
        <w:rPr>
          <w:vertAlign w:val="superscript"/>
        </w:rPr>
        <w:t>®</w:t>
      </w:r>
    </w:p>
    <w:p w:rsidR="00B541CE" w:rsidRPr="007D1775" w:rsidRDefault="00B541CE">
      <w:pPr>
        <w:pStyle w:val="Heading1"/>
        <w:rPr>
          <w:rFonts w:cs="Arial"/>
        </w:rPr>
      </w:pPr>
      <w:r w:rsidRPr="007D1775">
        <w:rPr>
          <w:rFonts w:cs="Arial"/>
        </w:rPr>
        <w:t>NAME OF THE MEDICINE</w:t>
      </w:r>
    </w:p>
    <w:p w:rsidR="00AE62AF" w:rsidRDefault="00625C16" w:rsidP="00AE62AF">
      <w:pPr>
        <w:autoSpaceDE w:val="0"/>
        <w:autoSpaceDN w:val="0"/>
        <w:adjustRightInd w:val="0"/>
        <w:spacing w:before="120" w:after="120"/>
        <w:jc w:val="left"/>
        <w:rPr>
          <w:rFonts w:cs="Arial"/>
        </w:rPr>
      </w:pPr>
      <w:proofErr w:type="spellStart"/>
      <w:proofErr w:type="gramStart"/>
      <w:r w:rsidRPr="007D1775">
        <w:rPr>
          <w:rFonts w:cs="Arial"/>
        </w:rPr>
        <w:t>avanafil</w:t>
      </w:r>
      <w:proofErr w:type="spellEnd"/>
      <w:proofErr w:type="gramEnd"/>
      <w:r w:rsidR="00CE1D6A" w:rsidRPr="007D1775">
        <w:rPr>
          <w:rFonts w:cs="Arial"/>
        </w:rPr>
        <w:t xml:space="preserve"> </w:t>
      </w:r>
    </w:p>
    <w:p w:rsidR="00AE62AF" w:rsidRDefault="00831F11" w:rsidP="00AE62AF">
      <w:pPr>
        <w:autoSpaceDE w:val="0"/>
        <w:autoSpaceDN w:val="0"/>
        <w:adjustRightInd w:val="0"/>
        <w:spacing w:before="120" w:after="120"/>
        <w:jc w:val="left"/>
        <w:rPr>
          <w:rFonts w:cs="Arial"/>
          <w:b/>
        </w:rPr>
      </w:pPr>
      <w:r w:rsidRPr="007D1775">
        <w:rPr>
          <w:rFonts w:cs="Arial"/>
          <w:b/>
        </w:rPr>
        <w:t>Chemical Structure</w:t>
      </w:r>
    </w:p>
    <w:p w:rsidR="00831F11" w:rsidRPr="007D1775" w:rsidRDefault="00ED1532" w:rsidP="00831F11">
      <w:pPr>
        <w:rPr>
          <w:rFonts w:cs="Arial"/>
          <w:highlight w:val="yellow"/>
        </w:rPr>
      </w:pPr>
      <w:r>
        <w:rPr>
          <w:rFonts w:cs="Arial"/>
          <w:noProof/>
          <w:lang w:eastAsia="en-AU"/>
        </w:rPr>
        <w:drawing>
          <wp:inline distT="0" distB="0" distL="0" distR="0">
            <wp:extent cx="2427168" cy="181308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427168" cy="1813083"/>
                    </a:xfrm>
                    <a:prstGeom prst="rect">
                      <a:avLst/>
                    </a:prstGeom>
                  </pic:spPr>
                </pic:pic>
              </a:graphicData>
            </a:graphic>
          </wp:inline>
        </w:drawing>
      </w:r>
    </w:p>
    <w:p w:rsidR="00831F11" w:rsidRPr="007D1775" w:rsidRDefault="00831F11" w:rsidP="00596ADA">
      <w:pPr>
        <w:pStyle w:val="Heading2"/>
        <w:rPr>
          <w:rFonts w:cs="Arial"/>
        </w:rPr>
      </w:pPr>
    </w:p>
    <w:p w:rsidR="00AE62AF" w:rsidRDefault="00831F11" w:rsidP="00AE62AF">
      <w:pPr>
        <w:autoSpaceDE w:val="0"/>
        <w:autoSpaceDN w:val="0"/>
        <w:adjustRightInd w:val="0"/>
        <w:spacing w:before="120" w:after="120"/>
        <w:jc w:val="left"/>
        <w:rPr>
          <w:rFonts w:cs="Arial"/>
          <w:b/>
        </w:rPr>
      </w:pPr>
      <w:r w:rsidRPr="007D1775">
        <w:rPr>
          <w:rFonts w:cs="Arial"/>
          <w:b/>
        </w:rPr>
        <w:t>Chemical Name</w:t>
      </w:r>
    </w:p>
    <w:p w:rsidR="00502F7D" w:rsidRDefault="00EA243F">
      <w:pPr>
        <w:autoSpaceDE w:val="0"/>
        <w:autoSpaceDN w:val="0"/>
        <w:adjustRightInd w:val="0"/>
        <w:rPr>
          <w:rFonts w:cs="Arial"/>
        </w:rPr>
      </w:pPr>
      <w:r w:rsidRPr="007D1775">
        <w:rPr>
          <w:rFonts w:cs="Arial"/>
        </w:rPr>
        <w:t>(</w:t>
      </w:r>
      <w:r w:rsidR="006576A7" w:rsidRPr="007D1775">
        <w:rPr>
          <w:rFonts w:cs="Arial"/>
          <w:i/>
        </w:rPr>
        <w:t>S</w:t>
      </w:r>
      <w:r w:rsidRPr="007D1775">
        <w:rPr>
          <w:rFonts w:cs="Arial"/>
        </w:rPr>
        <w:t>)-4-[(3-Chloro-4-methoxybenzyl</w:t>
      </w:r>
      <w:proofErr w:type="gramStart"/>
      <w:r w:rsidRPr="007D1775">
        <w:rPr>
          <w:rFonts w:cs="Arial"/>
        </w:rPr>
        <w:t>)amino</w:t>
      </w:r>
      <w:proofErr w:type="gramEnd"/>
      <w:r w:rsidRPr="007D1775">
        <w:rPr>
          <w:rFonts w:cs="Arial"/>
        </w:rPr>
        <w:t>]-2-[2-(hydroxymethyl)-1-pyrrolidinyl]-</w:t>
      </w:r>
      <w:r w:rsidR="006576A7" w:rsidRPr="007D1775">
        <w:rPr>
          <w:rFonts w:cs="Arial"/>
          <w:i/>
        </w:rPr>
        <w:t>N-</w:t>
      </w:r>
      <w:r w:rsidRPr="007D1775">
        <w:rPr>
          <w:rFonts w:cs="Arial"/>
        </w:rPr>
        <w:t>(2-pyrimidinylmethyl)-5-pyrimidinecarboxamide.</w:t>
      </w:r>
    </w:p>
    <w:p w:rsidR="00AE62AF" w:rsidRDefault="00831F11" w:rsidP="00AE62AF">
      <w:pPr>
        <w:spacing w:before="120" w:after="120"/>
        <w:rPr>
          <w:rFonts w:cs="Arial"/>
          <w:b/>
        </w:rPr>
      </w:pPr>
      <w:r w:rsidRPr="007D1775">
        <w:rPr>
          <w:rFonts w:cs="Arial"/>
          <w:b/>
        </w:rPr>
        <w:t>Molecular formula</w:t>
      </w:r>
    </w:p>
    <w:p w:rsidR="00831F11" w:rsidRPr="007D1775" w:rsidRDefault="00831F11" w:rsidP="00831F11">
      <w:pPr>
        <w:rPr>
          <w:rFonts w:cs="Arial"/>
          <w:vertAlign w:val="subscript"/>
        </w:rPr>
      </w:pPr>
      <w:r w:rsidRPr="007D1775">
        <w:rPr>
          <w:rFonts w:cs="Arial"/>
        </w:rPr>
        <w:t>C</w:t>
      </w:r>
      <w:r w:rsidRPr="007D1775">
        <w:rPr>
          <w:rFonts w:cs="Arial"/>
          <w:vertAlign w:val="subscript"/>
        </w:rPr>
        <w:t>23</w:t>
      </w:r>
      <w:r w:rsidRPr="007D1775">
        <w:rPr>
          <w:rFonts w:cs="Arial"/>
        </w:rPr>
        <w:t>H</w:t>
      </w:r>
      <w:r w:rsidRPr="007D1775">
        <w:rPr>
          <w:rFonts w:cs="Arial"/>
          <w:vertAlign w:val="subscript"/>
        </w:rPr>
        <w:t>26</w:t>
      </w:r>
      <w:r w:rsidRPr="007D1775">
        <w:rPr>
          <w:rFonts w:cs="Arial"/>
        </w:rPr>
        <w:t>ClN</w:t>
      </w:r>
      <w:r w:rsidRPr="007D1775">
        <w:rPr>
          <w:rFonts w:cs="Arial"/>
          <w:vertAlign w:val="subscript"/>
        </w:rPr>
        <w:t>7</w:t>
      </w:r>
      <w:r w:rsidRPr="007D1775">
        <w:rPr>
          <w:rFonts w:cs="Arial"/>
        </w:rPr>
        <w:t>O</w:t>
      </w:r>
      <w:r w:rsidRPr="007D1775">
        <w:rPr>
          <w:rFonts w:cs="Arial"/>
          <w:vertAlign w:val="subscript"/>
        </w:rPr>
        <w:t>3</w:t>
      </w:r>
    </w:p>
    <w:p w:rsidR="00AE62AF" w:rsidRDefault="00831F11" w:rsidP="00AE62AF">
      <w:pPr>
        <w:spacing w:before="120" w:after="120"/>
        <w:rPr>
          <w:rFonts w:cs="Arial"/>
          <w:b/>
        </w:rPr>
      </w:pPr>
      <w:r w:rsidRPr="007D1775">
        <w:rPr>
          <w:rFonts w:cs="Arial"/>
          <w:b/>
        </w:rPr>
        <w:t>Molecular weight</w:t>
      </w:r>
    </w:p>
    <w:p w:rsidR="00CE1D6A" w:rsidRPr="007D1775" w:rsidRDefault="00831F11" w:rsidP="00831F11">
      <w:pPr>
        <w:rPr>
          <w:rFonts w:cs="Arial"/>
        </w:rPr>
      </w:pPr>
      <w:r w:rsidRPr="007D1775">
        <w:rPr>
          <w:rFonts w:cs="Arial"/>
        </w:rPr>
        <w:t>484.0</w:t>
      </w:r>
    </w:p>
    <w:p w:rsidR="00AE62AF" w:rsidRDefault="00CE1D6A" w:rsidP="00AE62AF">
      <w:pPr>
        <w:autoSpaceDE w:val="0"/>
        <w:autoSpaceDN w:val="0"/>
        <w:adjustRightInd w:val="0"/>
        <w:spacing w:before="120" w:after="120"/>
        <w:jc w:val="left"/>
        <w:rPr>
          <w:rFonts w:cs="Arial"/>
          <w:b/>
        </w:rPr>
      </w:pPr>
      <w:r w:rsidRPr="007D1775">
        <w:rPr>
          <w:rFonts w:cs="Arial"/>
          <w:b/>
        </w:rPr>
        <w:t>CAS number</w:t>
      </w:r>
    </w:p>
    <w:p w:rsidR="00ED1532" w:rsidRDefault="00F11A63" w:rsidP="00ED1532">
      <w:pPr>
        <w:autoSpaceDE w:val="0"/>
        <w:autoSpaceDN w:val="0"/>
        <w:adjustRightInd w:val="0"/>
        <w:jc w:val="left"/>
        <w:rPr>
          <w:rFonts w:cs="Arial"/>
        </w:rPr>
      </w:pPr>
      <w:hyperlink r:id="rId10" w:history="1"/>
      <w:hyperlink r:id="rId11" w:history="1"/>
      <w:hyperlink r:id="rId12" w:history="1">
        <w:r w:rsidR="00CE1D6A" w:rsidRPr="007D1775">
          <w:rPr>
            <w:rFonts w:cs="Arial"/>
          </w:rPr>
          <w:t>330784-47-9</w:t>
        </w:r>
      </w:hyperlink>
      <w:r w:rsidR="00CE1D6A" w:rsidRPr="007D1775">
        <w:rPr>
          <w:rFonts w:cs="Arial"/>
        </w:rPr>
        <w:t xml:space="preserve"> </w:t>
      </w:r>
    </w:p>
    <w:p w:rsidR="00B541CE" w:rsidRPr="007D1775" w:rsidRDefault="00B541CE" w:rsidP="003E668F">
      <w:pPr>
        <w:pStyle w:val="Heading1"/>
        <w:rPr>
          <w:rFonts w:cs="Arial"/>
        </w:rPr>
      </w:pPr>
      <w:r w:rsidRPr="007D1775">
        <w:rPr>
          <w:rFonts w:cs="Arial"/>
        </w:rPr>
        <w:t>Description</w:t>
      </w:r>
    </w:p>
    <w:p w:rsidR="00502F7D" w:rsidRDefault="00625C16" w:rsidP="003E668F">
      <w:pPr>
        <w:autoSpaceDE w:val="0"/>
        <w:autoSpaceDN w:val="0"/>
        <w:adjustRightInd w:val="0"/>
        <w:rPr>
          <w:rFonts w:cs="Arial"/>
          <w:sz w:val="20"/>
          <w:lang w:eastAsia="en-AU"/>
        </w:rPr>
      </w:pPr>
      <w:proofErr w:type="spellStart"/>
      <w:r w:rsidRPr="007D1775">
        <w:rPr>
          <w:rFonts w:cs="Arial"/>
        </w:rPr>
        <w:t>Avanafil</w:t>
      </w:r>
      <w:proofErr w:type="spellEnd"/>
      <w:r w:rsidR="00CD3D02" w:rsidRPr="007D1775">
        <w:rPr>
          <w:rFonts w:cs="Arial"/>
        </w:rPr>
        <w:t xml:space="preserve"> </w:t>
      </w:r>
      <w:r w:rsidR="00CE1D6A" w:rsidRPr="007D1775">
        <w:rPr>
          <w:rFonts w:cs="Arial"/>
        </w:rPr>
        <w:t>is a white crystalline powder</w:t>
      </w:r>
      <w:r w:rsidR="00DA11B6" w:rsidRPr="007D1775">
        <w:rPr>
          <w:rFonts w:cs="Arial"/>
        </w:rPr>
        <w:t xml:space="preserve">. </w:t>
      </w:r>
      <w:r w:rsidR="00CE1D6A" w:rsidRPr="007D1775">
        <w:rPr>
          <w:rFonts w:cs="Arial"/>
        </w:rPr>
        <w:t xml:space="preserve">It is slightly soluble in ethanol, practically insoluble in water and soluble in 0.1 </w:t>
      </w:r>
      <w:proofErr w:type="spellStart"/>
      <w:r w:rsidR="00CE1D6A" w:rsidRPr="007D1775">
        <w:rPr>
          <w:rFonts w:cs="Arial"/>
        </w:rPr>
        <w:t>mol</w:t>
      </w:r>
      <w:proofErr w:type="spellEnd"/>
      <w:r w:rsidR="00CE1D6A" w:rsidRPr="007D1775">
        <w:rPr>
          <w:rFonts w:cs="Arial"/>
        </w:rPr>
        <w:t xml:space="preserve">/L hydrochloric acid. </w:t>
      </w:r>
    </w:p>
    <w:p w:rsidR="009103D5" w:rsidRDefault="00475744">
      <w:pPr>
        <w:autoSpaceDE w:val="0"/>
        <w:autoSpaceDN w:val="0"/>
        <w:adjustRightInd w:val="0"/>
        <w:rPr>
          <w:rFonts w:cs="Arial"/>
        </w:rPr>
      </w:pPr>
      <w:proofErr w:type="spellStart"/>
      <w:r w:rsidRPr="007D1775">
        <w:rPr>
          <w:rFonts w:cs="Arial"/>
        </w:rPr>
        <w:t>Avanafil</w:t>
      </w:r>
      <w:proofErr w:type="spellEnd"/>
      <w:r w:rsidRPr="007D1775">
        <w:rPr>
          <w:rFonts w:cs="Arial"/>
        </w:rPr>
        <w:t xml:space="preserve"> has a partition coefficient of 3.05</w:t>
      </w:r>
      <w:r w:rsidR="00CF62FF" w:rsidRPr="007D1775">
        <w:rPr>
          <w:rFonts w:cs="Arial"/>
        </w:rPr>
        <w:t xml:space="preserve"> (Log P) </w:t>
      </w:r>
      <w:r w:rsidRPr="007D1775">
        <w:rPr>
          <w:rFonts w:cs="Arial"/>
        </w:rPr>
        <w:t xml:space="preserve">when measured in 1-Octanol/pH </w:t>
      </w:r>
      <w:proofErr w:type="gramStart"/>
      <w:r w:rsidRPr="007D1775">
        <w:rPr>
          <w:rFonts w:cs="Arial"/>
        </w:rPr>
        <w:t>buffer</w:t>
      </w:r>
      <w:proofErr w:type="gramEnd"/>
      <w:r w:rsidRPr="007D1775">
        <w:rPr>
          <w:rFonts w:cs="Arial"/>
        </w:rPr>
        <w:t xml:space="preserve"> 6.6. </w:t>
      </w:r>
      <w:r w:rsidR="00CF62FF" w:rsidRPr="007D1775">
        <w:rPr>
          <w:rFonts w:cs="Arial"/>
        </w:rPr>
        <w:t xml:space="preserve">The dissociation constants as determined by potentiometric titration are pKa1: &lt;2 and pKa2: 5.2.  </w:t>
      </w:r>
    </w:p>
    <w:p w:rsidR="009103D5" w:rsidRDefault="00831F11">
      <w:pPr>
        <w:rPr>
          <w:rFonts w:cs="Arial"/>
        </w:rPr>
      </w:pPr>
      <w:r w:rsidRPr="007D1775">
        <w:rPr>
          <w:rFonts w:cs="Arial"/>
        </w:rPr>
        <w:t>SPEDRA tablets are available in strengths of 50mg</w:t>
      </w:r>
      <w:r w:rsidR="007D1775" w:rsidRPr="007D1775">
        <w:rPr>
          <w:rFonts w:cs="Arial"/>
        </w:rPr>
        <w:t>, 100mg</w:t>
      </w:r>
      <w:r w:rsidRPr="007D1775">
        <w:rPr>
          <w:rFonts w:cs="Arial"/>
        </w:rPr>
        <w:t xml:space="preserve"> and 200mg tablets. The tablets are </w:t>
      </w:r>
    </w:p>
    <w:p w:rsidR="009103D5" w:rsidRDefault="00831F11">
      <w:pPr>
        <w:rPr>
          <w:rFonts w:cs="Arial"/>
        </w:rPr>
      </w:pPr>
      <w:proofErr w:type="gramStart"/>
      <w:r w:rsidRPr="007D1775">
        <w:rPr>
          <w:rFonts w:cs="Arial"/>
        </w:rPr>
        <w:t>pale</w:t>
      </w:r>
      <w:proofErr w:type="gramEnd"/>
      <w:r w:rsidRPr="007D1775">
        <w:rPr>
          <w:rFonts w:cs="Arial"/>
        </w:rPr>
        <w:t xml:space="preserve"> yellow oval, debossed with the strength (“50”, “100” or “200”) on one side.</w:t>
      </w:r>
    </w:p>
    <w:p w:rsidR="009103D5" w:rsidRDefault="00625C16">
      <w:pPr>
        <w:numPr>
          <w:ilvl w:val="12"/>
          <w:numId w:val="0"/>
        </w:numPr>
        <w:rPr>
          <w:rFonts w:cs="Arial"/>
          <w:szCs w:val="22"/>
        </w:rPr>
      </w:pPr>
      <w:r w:rsidRPr="00ED1532">
        <w:rPr>
          <w:rFonts w:cs="Arial"/>
          <w:szCs w:val="22"/>
        </w:rPr>
        <w:t xml:space="preserve">SPEDRA </w:t>
      </w:r>
      <w:r w:rsidR="006A6757" w:rsidRPr="00ED1532">
        <w:rPr>
          <w:rFonts w:cs="Arial"/>
          <w:szCs w:val="22"/>
        </w:rPr>
        <w:t xml:space="preserve">tablets contain the </w:t>
      </w:r>
      <w:r w:rsidR="005C5364" w:rsidRPr="00ED1532">
        <w:rPr>
          <w:rFonts w:cs="Arial"/>
          <w:szCs w:val="22"/>
        </w:rPr>
        <w:t>following inactive ingredients: mannitol,</w:t>
      </w:r>
      <w:r w:rsidR="00652217" w:rsidRPr="00ED1532">
        <w:rPr>
          <w:rFonts w:cs="Arial"/>
          <w:szCs w:val="22"/>
        </w:rPr>
        <w:t xml:space="preserve"> </w:t>
      </w:r>
      <w:proofErr w:type="spellStart"/>
      <w:r w:rsidR="005C5364" w:rsidRPr="00ED1532">
        <w:rPr>
          <w:rFonts w:cs="Arial"/>
          <w:szCs w:val="22"/>
        </w:rPr>
        <w:t>fumaric</w:t>
      </w:r>
      <w:proofErr w:type="spellEnd"/>
      <w:r w:rsidR="005C5364" w:rsidRPr="00ED1532">
        <w:rPr>
          <w:rFonts w:cs="Arial"/>
          <w:szCs w:val="22"/>
        </w:rPr>
        <w:t xml:space="preserve"> acid, </w:t>
      </w:r>
      <w:proofErr w:type="spellStart"/>
      <w:r w:rsidR="005C5364" w:rsidRPr="00ED1532">
        <w:rPr>
          <w:rFonts w:cs="Arial"/>
          <w:szCs w:val="22"/>
        </w:rPr>
        <w:t>hydroxypropylcellulose</w:t>
      </w:r>
      <w:proofErr w:type="spellEnd"/>
      <w:r w:rsidR="005C5364" w:rsidRPr="00ED1532">
        <w:rPr>
          <w:rFonts w:cs="Arial"/>
          <w:szCs w:val="22"/>
        </w:rPr>
        <w:t>, calcium carbonate, magnesium stearate and iron oxide</w:t>
      </w:r>
      <w:r w:rsidR="006C64E4" w:rsidRPr="00ED1532">
        <w:rPr>
          <w:rFonts w:cs="Arial"/>
          <w:szCs w:val="22"/>
        </w:rPr>
        <w:t xml:space="preserve"> yellow</w:t>
      </w:r>
      <w:r w:rsidR="005C5364" w:rsidRPr="00ED1532">
        <w:rPr>
          <w:rFonts w:cs="Arial"/>
          <w:szCs w:val="22"/>
        </w:rPr>
        <w:t xml:space="preserve">. </w:t>
      </w:r>
    </w:p>
    <w:p w:rsidR="00B541CE" w:rsidRPr="004D145F" w:rsidRDefault="00B541CE" w:rsidP="004D145F">
      <w:pPr>
        <w:pStyle w:val="Heading1"/>
        <w:rPr>
          <w:rFonts w:cs="Arial"/>
        </w:rPr>
      </w:pPr>
      <w:r w:rsidRPr="004D145F">
        <w:rPr>
          <w:rFonts w:cs="Arial"/>
        </w:rPr>
        <w:t>Pharmacology</w:t>
      </w:r>
    </w:p>
    <w:p w:rsidR="00AE62AF" w:rsidRPr="00AE62AF" w:rsidRDefault="00AE62AF" w:rsidP="00AE62AF">
      <w:pPr>
        <w:spacing w:before="120" w:after="120"/>
        <w:outlineLvl w:val="0"/>
        <w:rPr>
          <w:rFonts w:cs="Arial"/>
          <w:b/>
          <w:lang w:val="en-US"/>
        </w:rPr>
      </w:pPr>
      <w:r w:rsidRPr="00AE62AF">
        <w:rPr>
          <w:rFonts w:cs="Arial"/>
          <w:b/>
          <w:lang w:val="en-US"/>
        </w:rPr>
        <w:t>Pharmacodynamics</w:t>
      </w:r>
    </w:p>
    <w:p w:rsidR="00AA4778" w:rsidRPr="007D1775" w:rsidRDefault="00625C16" w:rsidP="00325A59">
      <w:pPr>
        <w:numPr>
          <w:ilvl w:val="12"/>
          <w:numId w:val="0"/>
        </w:numPr>
        <w:rPr>
          <w:rFonts w:cs="Arial"/>
          <w:szCs w:val="22"/>
        </w:rPr>
      </w:pPr>
      <w:proofErr w:type="spellStart"/>
      <w:r w:rsidRPr="007D1775">
        <w:rPr>
          <w:rFonts w:cs="Arial"/>
        </w:rPr>
        <w:t>Avanafil</w:t>
      </w:r>
      <w:proofErr w:type="spellEnd"/>
      <w:r w:rsidR="00CD3D02" w:rsidRPr="007D1775">
        <w:rPr>
          <w:rFonts w:cs="Arial"/>
        </w:rPr>
        <w:t xml:space="preserve"> </w:t>
      </w:r>
      <w:r w:rsidR="00AA4778" w:rsidRPr="007D1775">
        <w:rPr>
          <w:rFonts w:cs="Arial"/>
          <w:szCs w:val="22"/>
        </w:rPr>
        <w:t>is a reversible inhibitor of cyclic guanosine monophosphate (cGMP)-specific phosphodiesterase type 5</w:t>
      </w:r>
      <w:r w:rsidR="002620C7" w:rsidRPr="007D1775">
        <w:rPr>
          <w:rFonts w:cs="Arial"/>
          <w:szCs w:val="22"/>
        </w:rPr>
        <w:t xml:space="preserve"> (PDE5)</w:t>
      </w:r>
      <w:r w:rsidR="00AA4778" w:rsidRPr="007D1775">
        <w:rPr>
          <w:rFonts w:cs="Arial"/>
          <w:szCs w:val="22"/>
        </w:rPr>
        <w:t xml:space="preserve">. When sexual stimulation causes the local release of nitric oxide, inhibition of PDE5 by </w:t>
      </w:r>
      <w:proofErr w:type="spellStart"/>
      <w:r w:rsidRPr="007D1775">
        <w:rPr>
          <w:rFonts w:cs="Arial"/>
        </w:rPr>
        <w:t>avanafil</w:t>
      </w:r>
      <w:proofErr w:type="spellEnd"/>
      <w:r w:rsidR="00CD3D02" w:rsidRPr="007D1775">
        <w:rPr>
          <w:rFonts w:cs="Arial"/>
        </w:rPr>
        <w:t xml:space="preserve"> </w:t>
      </w:r>
      <w:r w:rsidR="00AA4778" w:rsidRPr="007D1775">
        <w:rPr>
          <w:rFonts w:cs="Arial"/>
          <w:szCs w:val="22"/>
        </w:rPr>
        <w:t xml:space="preserve">produces increased levels of cGMP in the corpus </w:t>
      </w:r>
      <w:proofErr w:type="spellStart"/>
      <w:r w:rsidR="00AA4778" w:rsidRPr="007D1775">
        <w:rPr>
          <w:rFonts w:cs="Arial"/>
          <w:szCs w:val="22"/>
        </w:rPr>
        <w:t>cavernosum</w:t>
      </w:r>
      <w:proofErr w:type="spellEnd"/>
      <w:r w:rsidR="00AA4778" w:rsidRPr="007D1775">
        <w:rPr>
          <w:rFonts w:cs="Arial"/>
          <w:szCs w:val="22"/>
        </w:rPr>
        <w:t xml:space="preserve"> of the penis. This results in smooth muscle relaxation and inflow of blood into the penile tissues, thereby producing an erection. </w:t>
      </w:r>
      <w:proofErr w:type="spellStart"/>
      <w:r w:rsidRPr="007D1775">
        <w:rPr>
          <w:rFonts w:cs="Arial"/>
          <w:szCs w:val="22"/>
        </w:rPr>
        <w:t>A</w:t>
      </w:r>
      <w:r w:rsidRPr="007D1775">
        <w:rPr>
          <w:rFonts w:cs="Arial"/>
        </w:rPr>
        <w:t>vanafil</w:t>
      </w:r>
      <w:proofErr w:type="spellEnd"/>
      <w:r w:rsidRPr="007D1775">
        <w:rPr>
          <w:rFonts w:cs="Arial"/>
        </w:rPr>
        <w:t xml:space="preserve"> </w:t>
      </w:r>
      <w:r w:rsidR="00AA4778" w:rsidRPr="007D1775">
        <w:rPr>
          <w:rFonts w:cs="Arial"/>
          <w:szCs w:val="22"/>
        </w:rPr>
        <w:t>has no effect in the absence of sexual stimulation.</w:t>
      </w:r>
    </w:p>
    <w:p w:rsidR="00AA4778" w:rsidRPr="007D1775" w:rsidRDefault="00AA4778" w:rsidP="00AA4778">
      <w:pPr>
        <w:numPr>
          <w:ilvl w:val="12"/>
          <w:numId w:val="0"/>
        </w:numPr>
        <w:rPr>
          <w:rFonts w:cs="Arial"/>
          <w:szCs w:val="22"/>
        </w:rPr>
      </w:pPr>
      <w:r w:rsidRPr="007D1775">
        <w:rPr>
          <w:rFonts w:cs="Arial"/>
          <w:szCs w:val="22"/>
          <w:lang w:val="en-US"/>
        </w:rPr>
        <w:lastRenderedPageBreak/>
        <w:t xml:space="preserve">Studies </w:t>
      </w:r>
      <w:r w:rsidRPr="007D1775">
        <w:rPr>
          <w:rFonts w:cs="Arial"/>
          <w:i/>
          <w:iCs/>
          <w:szCs w:val="22"/>
          <w:lang w:val="en-US"/>
        </w:rPr>
        <w:t xml:space="preserve">in vitro </w:t>
      </w:r>
      <w:r w:rsidRPr="007D1775">
        <w:rPr>
          <w:rFonts w:cs="Arial"/>
          <w:szCs w:val="22"/>
          <w:lang w:val="en-US"/>
        </w:rPr>
        <w:t xml:space="preserve">have shown that </w:t>
      </w:r>
      <w:proofErr w:type="spellStart"/>
      <w:r w:rsidR="00625C16" w:rsidRPr="007D1775">
        <w:rPr>
          <w:rFonts w:cs="Arial"/>
        </w:rPr>
        <w:t>avanafil</w:t>
      </w:r>
      <w:proofErr w:type="spellEnd"/>
      <w:r w:rsidR="00625C16" w:rsidRPr="007D1775">
        <w:rPr>
          <w:rFonts w:cs="Arial"/>
        </w:rPr>
        <w:t xml:space="preserve"> </w:t>
      </w:r>
      <w:r w:rsidRPr="007D1775">
        <w:rPr>
          <w:rFonts w:cs="Arial"/>
          <w:szCs w:val="22"/>
          <w:lang w:val="en-US"/>
        </w:rPr>
        <w:t xml:space="preserve">is highly selective for PDE5. Its effect is more potent on PDE5 than on other known </w:t>
      </w:r>
      <w:proofErr w:type="spellStart"/>
      <w:r w:rsidRPr="007D1775">
        <w:rPr>
          <w:rFonts w:cs="Arial"/>
          <w:szCs w:val="22"/>
          <w:lang w:val="en-US"/>
        </w:rPr>
        <w:t>phosphodiesterases</w:t>
      </w:r>
      <w:proofErr w:type="spellEnd"/>
      <w:r w:rsidRPr="007D1775">
        <w:rPr>
          <w:rFonts w:cs="Arial"/>
          <w:szCs w:val="22"/>
          <w:lang w:val="en-US"/>
        </w:rPr>
        <w:t xml:space="preserve"> (&gt; 100-fold for PDE6; &gt; 1,000</w:t>
      </w:r>
      <w:r w:rsidRPr="007D1775">
        <w:rPr>
          <w:rFonts w:cs="Arial"/>
          <w:szCs w:val="22"/>
          <w:lang w:val="en-US"/>
        </w:rPr>
        <w:noBreakHyphen/>
        <w:t xml:space="preserve">fold for PDE4, PDE8 and PDE10; &gt; 5,000-fold for PDE2 and PDE7; &gt; 10,000-fold for PDE1, PDE3, PDE9, and PDE11). </w:t>
      </w:r>
      <w:r w:rsidR="00625C16" w:rsidRPr="007D1775">
        <w:rPr>
          <w:rFonts w:cs="Arial"/>
          <w:szCs w:val="22"/>
          <w:lang w:val="en-US"/>
        </w:rPr>
        <w:t xml:space="preserve"> A</w:t>
      </w:r>
      <w:proofErr w:type="spellStart"/>
      <w:r w:rsidR="00625C16" w:rsidRPr="007D1775">
        <w:rPr>
          <w:rFonts w:cs="Arial"/>
        </w:rPr>
        <w:t>vanafil</w:t>
      </w:r>
      <w:proofErr w:type="spellEnd"/>
      <w:r w:rsidR="00625C16" w:rsidRPr="007D1775">
        <w:rPr>
          <w:rFonts w:cs="Arial"/>
        </w:rPr>
        <w:t xml:space="preserve"> </w:t>
      </w:r>
      <w:r w:rsidRPr="007D1775">
        <w:rPr>
          <w:rFonts w:cs="Arial"/>
          <w:szCs w:val="22"/>
          <w:lang w:val="en-US"/>
        </w:rPr>
        <w:t>is &gt; 100</w:t>
      </w:r>
      <w:r w:rsidRPr="007D1775">
        <w:rPr>
          <w:rFonts w:cs="Arial"/>
          <w:szCs w:val="22"/>
          <w:lang w:val="en-US"/>
        </w:rPr>
        <w:noBreakHyphen/>
        <w:t xml:space="preserve">fold more potent for PDE5 than PDE6, which is found in the retina and is responsible for </w:t>
      </w:r>
      <w:proofErr w:type="spellStart"/>
      <w:r w:rsidRPr="007D1775">
        <w:rPr>
          <w:rFonts w:cs="Arial"/>
          <w:szCs w:val="22"/>
          <w:lang w:val="en-US"/>
        </w:rPr>
        <w:t>phototransduction</w:t>
      </w:r>
      <w:proofErr w:type="spellEnd"/>
      <w:r w:rsidRPr="007D1775">
        <w:rPr>
          <w:rFonts w:cs="Arial"/>
          <w:szCs w:val="22"/>
          <w:lang w:val="en-US"/>
        </w:rPr>
        <w:t xml:space="preserve">. The approximate 20,000-fold selectivity for PDE5 versus PDE3, </w:t>
      </w:r>
      <w:r w:rsidR="002620C7" w:rsidRPr="007D1775">
        <w:rPr>
          <w:rFonts w:cs="Arial"/>
          <w:szCs w:val="22"/>
          <w:lang w:val="en-US"/>
        </w:rPr>
        <w:t xml:space="preserve">an </w:t>
      </w:r>
      <w:r w:rsidRPr="007D1775">
        <w:rPr>
          <w:rFonts w:cs="Arial"/>
          <w:szCs w:val="22"/>
          <w:lang w:val="en-US"/>
        </w:rPr>
        <w:t>enzyme found in heart and blood vessels, is important because PDE3 is involved in control of cardiac contractility.</w:t>
      </w:r>
    </w:p>
    <w:p w:rsidR="00AE62AF" w:rsidRDefault="00AA4778" w:rsidP="00AE62AF">
      <w:pPr>
        <w:numPr>
          <w:ilvl w:val="12"/>
          <w:numId w:val="0"/>
        </w:numPr>
        <w:rPr>
          <w:rFonts w:cs="Arial"/>
        </w:rPr>
      </w:pPr>
      <w:r w:rsidRPr="007D1775">
        <w:rPr>
          <w:rFonts w:cs="Arial"/>
          <w:szCs w:val="22"/>
        </w:rPr>
        <w:t>In a penile plethysmography (</w:t>
      </w:r>
      <w:proofErr w:type="spellStart"/>
      <w:r w:rsidRPr="007D1775">
        <w:rPr>
          <w:rFonts w:cs="Arial"/>
          <w:szCs w:val="22"/>
        </w:rPr>
        <w:t>RigiScan</w:t>
      </w:r>
      <w:proofErr w:type="spellEnd"/>
      <w:r w:rsidRPr="007D1775">
        <w:rPr>
          <w:rFonts w:cs="Arial"/>
          <w:szCs w:val="22"/>
        </w:rPr>
        <w:t xml:space="preserve">) study, </w:t>
      </w:r>
      <w:proofErr w:type="spellStart"/>
      <w:r w:rsidRPr="007D1775">
        <w:rPr>
          <w:rFonts w:cs="Arial"/>
          <w:szCs w:val="22"/>
        </w:rPr>
        <w:t>avanafil</w:t>
      </w:r>
      <w:proofErr w:type="spellEnd"/>
      <w:r w:rsidRPr="007D1775">
        <w:rPr>
          <w:rFonts w:cs="Arial"/>
          <w:szCs w:val="22"/>
        </w:rPr>
        <w:t xml:space="preserve"> 200 mg produced erections considered sufficient for penetration (60% rigidity by </w:t>
      </w:r>
      <w:proofErr w:type="spellStart"/>
      <w:r w:rsidRPr="007D1775">
        <w:rPr>
          <w:rFonts w:cs="Arial"/>
          <w:szCs w:val="22"/>
        </w:rPr>
        <w:t>RigiScan</w:t>
      </w:r>
      <w:proofErr w:type="spellEnd"/>
      <w:r w:rsidRPr="007D1775">
        <w:rPr>
          <w:rFonts w:cs="Arial"/>
          <w:szCs w:val="22"/>
        </w:rPr>
        <w:t xml:space="preserve">) in some men as early as 20 minutes after dosing and overall response of these subjects to </w:t>
      </w:r>
      <w:proofErr w:type="spellStart"/>
      <w:r w:rsidR="00625C16" w:rsidRPr="007D1775">
        <w:rPr>
          <w:rFonts w:cs="Arial"/>
        </w:rPr>
        <w:t>avanafil</w:t>
      </w:r>
      <w:proofErr w:type="spellEnd"/>
      <w:r w:rsidR="00CD3D02" w:rsidRPr="007D1775">
        <w:rPr>
          <w:rFonts w:cs="Arial"/>
        </w:rPr>
        <w:t xml:space="preserve"> </w:t>
      </w:r>
      <w:r w:rsidRPr="007D1775">
        <w:rPr>
          <w:rFonts w:cs="Arial"/>
          <w:szCs w:val="22"/>
        </w:rPr>
        <w:t>was statistically significant, compared to placebo, in the 20-40 minute time interval.</w:t>
      </w:r>
    </w:p>
    <w:p w:rsidR="00AE62AF" w:rsidRPr="00AE62AF" w:rsidRDefault="00AE62AF" w:rsidP="00AE62AF">
      <w:pPr>
        <w:spacing w:before="120" w:after="120"/>
        <w:rPr>
          <w:rFonts w:cs="Arial"/>
          <w:u w:val="single"/>
        </w:rPr>
      </w:pPr>
      <w:r w:rsidRPr="00AE62AF">
        <w:rPr>
          <w:rFonts w:cs="Arial"/>
          <w:u w:val="single"/>
        </w:rPr>
        <w:t>Effects on vision</w:t>
      </w:r>
    </w:p>
    <w:p w:rsidR="009F3CD7" w:rsidRPr="007D1775" w:rsidRDefault="009F3CD7" w:rsidP="009F3CD7">
      <w:pPr>
        <w:rPr>
          <w:rFonts w:cs="Arial"/>
        </w:rPr>
      </w:pPr>
      <w:r w:rsidRPr="007D1775">
        <w:rPr>
          <w:rFonts w:cs="Arial"/>
        </w:rPr>
        <w:t>Single oral doses of Type 5 phosphodiesterase inhibitors have demonstrated transient dose-related impairment of colo</w:t>
      </w:r>
      <w:r w:rsidR="002424E3" w:rsidRPr="007D1775">
        <w:rPr>
          <w:rFonts w:cs="Arial"/>
        </w:rPr>
        <w:t>u</w:t>
      </w:r>
      <w:r w:rsidRPr="007D1775">
        <w:rPr>
          <w:rFonts w:cs="Arial"/>
        </w:rPr>
        <w:t>r discrimination (blue/green), using the Farnsworth-</w:t>
      </w:r>
      <w:proofErr w:type="spellStart"/>
      <w:r w:rsidRPr="007D1775">
        <w:rPr>
          <w:rFonts w:cs="Arial"/>
        </w:rPr>
        <w:t>Munsell</w:t>
      </w:r>
      <w:proofErr w:type="spellEnd"/>
      <w:r w:rsidRPr="007D1775">
        <w:rPr>
          <w:rFonts w:cs="Arial"/>
        </w:rPr>
        <w:t xml:space="preserve"> 100-hue test, with peak effects near the time of peak plasma levels. This finding is consistent with the inhibition of PDE6, which is involved in </w:t>
      </w:r>
      <w:proofErr w:type="spellStart"/>
      <w:r w:rsidRPr="007D1775">
        <w:rPr>
          <w:rFonts w:cs="Arial"/>
        </w:rPr>
        <w:t>phototransduction</w:t>
      </w:r>
      <w:proofErr w:type="spellEnd"/>
      <w:r w:rsidRPr="007D1775">
        <w:rPr>
          <w:rFonts w:cs="Arial"/>
        </w:rPr>
        <w:t xml:space="preserve"> in the retina.  </w:t>
      </w:r>
    </w:p>
    <w:p w:rsidR="005A0C1E" w:rsidRPr="007D1775" w:rsidRDefault="00625C16" w:rsidP="005A0C1E">
      <w:pPr>
        <w:rPr>
          <w:rFonts w:cs="Arial"/>
        </w:rPr>
      </w:pPr>
      <w:proofErr w:type="spellStart"/>
      <w:r w:rsidRPr="007D1775">
        <w:rPr>
          <w:rFonts w:cs="Arial"/>
        </w:rPr>
        <w:t>Avanafil</w:t>
      </w:r>
      <w:proofErr w:type="spellEnd"/>
      <w:r w:rsidR="005A0C1E" w:rsidRPr="007D1775">
        <w:rPr>
          <w:rFonts w:cs="Arial"/>
        </w:rPr>
        <w:t xml:space="preserve"> </w:t>
      </w:r>
      <w:r w:rsidR="005A0C1E" w:rsidRPr="007D1775">
        <w:rPr>
          <w:rFonts w:cs="Arial"/>
          <w:szCs w:val="22"/>
          <w:lang w:val="en-US"/>
        </w:rPr>
        <w:t>is &gt; 100</w:t>
      </w:r>
      <w:r w:rsidR="005A0C1E" w:rsidRPr="007D1775">
        <w:rPr>
          <w:rFonts w:cs="Arial"/>
          <w:szCs w:val="22"/>
          <w:lang w:val="en-US"/>
        </w:rPr>
        <w:noBreakHyphen/>
        <w:t xml:space="preserve">fold more potent for PDE5 than PDE6, which is found in the retina and is responsible for </w:t>
      </w:r>
      <w:proofErr w:type="spellStart"/>
      <w:r w:rsidR="005A0C1E" w:rsidRPr="007D1775">
        <w:rPr>
          <w:rFonts w:cs="Arial"/>
          <w:szCs w:val="22"/>
          <w:lang w:val="en-US"/>
        </w:rPr>
        <w:t>phototransduction</w:t>
      </w:r>
      <w:proofErr w:type="spellEnd"/>
      <w:r w:rsidR="005A0C1E" w:rsidRPr="007D1775">
        <w:rPr>
          <w:rFonts w:cs="Arial"/>
          <w:szCs w:val="22"/>
          <w:lang w:val="en-US"/>
        </w:rPr>
        <w:t>.</w:t>
      </w:r>
    </w:p>
    <w:p w:rsidR="00AE62AF" w:rsidRPr="00AE62AF" w:rsidRDefault="00AE62AF" w:rsidP="00AE62AF">
      <w:pPr>
        <w:spacing w:before="120" w:after="120"/>
        <w:rPr>
          <w:rFonts w:cs="Arial"/>
          <w:u w:val="single"/>
        </w:rPr>
      </w:pPr>
      <w:r w:rsidRPr="00AE62AF">
        <w:rPr>
          <w:rFonts w:cs="Arial"/>
          <w:u w:val="single"/>
        </w:rPr>
        <w:t>Effects on blood pressure and heart rate</w:t>
      </w:r>
    </w:p>
    <w:p w:rsidR="00F63891" w:rsidRPr="007D1775" w:rsidRDefault="00F63891" w:rsidP="00F63891">
      <w:pPr>
        <w:rPr>
          <w:rFonts w:cs="Arial"/>
        </w:rPr>
      </w:pPr>
      <w:r w:rsidRPr="007D1775">
        <w:rPr>
          <w:rFonts w:cs="Arial"/>
        </w:rPr>
        <w:t xml:space="preserve">Single oral doses of </w:t>
      </w:r>
      <w:proofErr w:type="spellStart"/>
      <w:r w:rsidR="00625C16" w:rsidRPr="007D1775">
        <w:rPr>
          <w:rFonts w:cs="Arial"/>
        </w:rPr>
        <w:t>avanafil</w:t>
      </w:r>
      <w:proofErr w:type="spellEnd"/>
      <w:r w:rsidRPr="007D1775">
        <w:rPr>
          <w:rFonts w:cs="Arial"/>
        </w:rPr>
        <w:t xml:space="preserve"> (200 mg) administered to healthy male volunteers resulted in mean changes from baseline in systolic/diastolic blood pressure of -5.3/-3.7 mmHg at 1 hour after dosing, compared to mean changes from baseline in the placebo group of 2.7/-0.4 mmHg.  </w:t>
      </w:r>
    </w:p>
    <w:p w:rsidR="00AE62AF" w:rsidRPr="00AE62AF" w:rsidRDefault="00AE62AF" w:rsidP="00AE62AF">
      <w:pPr>
        <w:spacing w:before="120" w:after="120"/>
        <w:rPr>
          <w:rFonts w:cs="Arial"/>
          <w:u w:val="single"/>
        </w:rPr>
      </w:pPr>
      <w:r w:rsidRPr="00AE62AF">
        <w:rPr>
          <w:rFonts w:cs="Arial"/>
          <w:u w:val="single"/>
        </w:rPr>
        <w:t>Effects on Cardiac Electrophysiology</w:t>
      </w:r>
    </w:p>
    <w:p w:rsidR="008D06C4" w:rsidRPr="007D1775" w:rsidRDefault="009F3CD7" w:rsidP="00AA0D07">
      <w:pPr>
        <w:rPr>
          <w:rFonts w:cs="Arial"/>
        </w:rPr>
      </w:pPr>
      <w:r w:rsidRPr="007D1775">
        <w:rPr>
          <w:rFonts w:cs="Arial"/>
        </w:rPr>
        <w:t xml:space="preserve">The effect of single 100 or 800 mg doses of </w:t>
      </w:r>
      <w:proofErr w:type="spellStart"/>
      <w:r w:rsidR="00625C16" w:rsidRPr="007D1775">
        <w:rPr>
          <w:rFonts w:cs="Arial"/>
        </w:rPr>
        <w:t>avanafil</w:t>
      </w:r>
      <w:proofErr w:type="spellEnd"/>
      <w:r w:rsidR="00CD3D02" w:rsidRPr="007D1775">
        <w:rPr>
          <w:rFonts w:cs="Arial"/>
        </w:rPr>
        <w:t xml:space="preserve"> </w:t>
      </w:r>
      <w:r w:rsidRPr="007D1775">
        <w:rPr>
          <w:rFonts w:cs="Arial"/>
        </w:rPr>
        <w:t>on the QT interval were evaluated in a randomi</w:t>
      </w:r>
      <w:r w:rsidR="00E1076D" w:rsidRPr="007D1775">
        <w:rPr>
          <w:rFonts w:cs="Arial"/>
        </w:rPr>
        <w:t>s</w:t>
      </w:r>
      <w:r w:rsidRPr="007D1775">
        <w:rPr>
          <w:rFonts w:cs="Arial"/>
        </w:rPr>
        <w:t xml:space="preserve">ed, double-blind, placebo, and active (moxifloxacin)–controlled crossover study in 52 healthy male subjects aged 18 to 45 years. There were no significant effects </w:t>
      </w:r>
      <w:r w:rsidR="002620C7" w:rsidRPr="007D1775">
        <w:rPr>
          <w:rFonts w:cs="Arial"/>
        </w:rPr>
        <w:t>with</w:t>
      </w:r>
      <w:r w:rsidRPr="007D1775">
        <w:rPr>
          <w:rFonts w:cs="Arial"/>
        </w:rPr>
        <w:t xml:space="preserve"> the 100 mg dose. The mean </w:t>
      </w:r>
      <w:proofErr w:type="spellStart"/>
      <w:r w:rsidRPr="007D1775">
        <w:rPr>
          <w:rFonts w:cs="Arial"/>
        </w:rPr>
        <w:t>QTc</w:t>
      </w:r>
      <w:proofErr w:type="spellEnd"/>
      <w:r w:rsidRPr="007D1775">
        <w:rPr>
          <w:rFonts w:cs="Arial"/>
        </w:rPr>
        <w:t xml:space="preserve"> (</w:t>
      </w:r>
      <w:proofErr w:type="spellStart"/>
      <w:r w:rsidRPr="007D1775">
        <w:rPr>
          <w:rFonts w:cs="Arial"/>
        </w:rPr>
        <w:t>Fridericia</w:t>
      </w:r>
      <w:proofErr w:type="spellEnd"/>
      <w:r w:rsidRPr="007D1775">
        <w:rPr>
          <w:rFonts w:cs="Arial"/>
        </w:rPr>
        <w:t xml:space="preserve"> QT correction) for </w:t>
      </w:r>
      <w:proofErr w:type="spellStart"/>
      <w:r w:rsidR="00625C16" w:rsidRPr="007D1775">
        <w:rPr>
          <w:rFonts w:cs="Arial"/>
        </w:rPr>
        <w:t>avanafil</w:t>
      </w:r>
      <w:proofErr w:type="spellEnd"/>
      <w:r w:rsidR="00625C16" w:rsidRPr="007D1775">
        <w:rPr>
          <w:rFonts w:cs="Arial"/>
        </w:rPr>
        <w:t xml:space="preserve"> </w:t>
      </w:r>
      <w:r w:rsidRPr="007D1775">
        <w:rPr>
          <w:rFonts w:cs="Arial"/>
        </w:rPr>
        <w:t>800 mg, relative to placebo was 9.4 milliseconds (two-sided 90% CI=7.2</w:t>
      </w:r>
      <w:r w:rsidR="002620C7" w:rsidRPr="007D1775">
        <w:rPr>
          <w:rFonts w:cs="Arial"/>
        </w:rPr>
        <w:t>-</w:t>
      </w:r>
      <w:r w:rsidRPr="007D1775">
        <w:rPr>
          <w:rFonts w:cs="Arial"/>
        </w:rPr>
        <w:t xml:space="preserve">11.6). An 800 mg dose of </w:t>
      </w:r>
      <w:proofErr w:type="spellStart"/>
      <w:r w:rsidR="00625C16" w:rsidRPr="007D1775">
        <w:rPr>
          <w:rFonts w:cs="Arial"/>
        </w:rPr>
        <w:t>avanafil</w:t>
      </w:r>
      <w:proofErr w:type="spellEnd"/>
      <w:r w:rsidR="00625C16" w:rsidRPr="007D1775">
        <w:rPr>
          <w:rFonts w:cs="Arial"/>
        </w:rPr>
        <w:t xml:space="preserve"> </w:t>
      </w:r>
      <w:r w:rsidRPr="007D1775">
        <w:rPr>
          <w:rFonts w:cs="Arial"/>
        </w:rPr>
        <w:t xml:space="preserve">(4 times the highest recommended dose) was chosen because this dose yields exposures greater than those observed upon co-administration of </w:t>
      </w:r>
      <w:proofErr w:type="spellStart"/>
      <w:r w:rsidR="00625C16" w:rsidRPr="007D1775">
        <w:rPr>
          <w:rFonts w:cs="Arial"/>
        </w:rPr>
        <w:t>avanafil</w:t>
      </w:r>
      <w:proofErr w:type="spellEnd"/>
      <w:r w:rsidR="00625C16" w:rsidRPr="007D1775">
        <w:rPr>
          <w:rFonts w:cs="Arial"/>
        </w:rPr>
        <w:t xml:space="preserve"> </w:t>
      </w:r>
      <w:r w:rsidRPr="007D1775">
        <w:rPr>
          <w:rFonts w:cs="Arial"/>
        </w:rPr>
        <w:t xml:space="preserve">with strong CYP3A4 inhibitors. A double-blind, </w:t>
      </w:r>
      <w:r w:rsidR="000D548E" w:rsidRPr="007D1775">
        <w:rPr>
          <w:rFonts w:cs="Arial"/>
        </w:rPr>
        <w:t>randomi</w:t>
      </w:r>
      <w:r w:rsidR="000D548E">
        <w:rPr>
          <w:rFonts w:cs="Arial"/>
        </w:rPr>
        <w:t>s</w:t>
      </w:r>
      <w:r w:rsidR="000D548E" w:rsidRPr="007D1775">
        <w:rPr>
          <w:rFonts w:cs="Arial"/>
        </w:rPr>
        <w:t>ed</w:t>
      </w:r>
      <w:r w:rsidRPr="007D1775">
        <w:rPr>
          <w:rFonts w:cs="Arial"/>
        </w:rPr>
        <w:t>, placebo- and active-controlled (moxifloxacin), thorough QT/</w:t>
      </w:r>
      <w:proofErr w:type="spellStart"/>
      <w:r w:rsidRPr="007D1775">
        <w:rPr>
          <w:rFonts w:cs="Arial"/>
        </w:rPr>
        <w:t>QTc</w:t>
      </w:r>
      <w:proofErr w:type="spellEnd"/>
      <w:r w:rsidRPr="007D1775">
        <w:rPr>
          <w:rFonts w:cs="Arial"/>
        </w:rPr>
        <w:t xml:space="preserve"> trial of </w:t>
      </w:r>
      <w:proofErr w:type="spellStart"/>
      <w:r w:rsidR="00625C16" w:rsidRPr="007D1775">
        <w:rPr>
          <w:rFonts w:cs="Arial"/>
        </w:rPr>
        <w:t>avanafil</w:t>
      </w:r>
      <w:proofErr w:type="spellEnd"/>
      <w:r w:rsidR="00625C16" w:rsidRPr="007D1775">
        <w:rPr>
          <w:rFonts w:cs="Arial"/>
        </w:rPr>
        <w:t xml:space="preserve"> </w:t>
      </w:r>
      <w:r w:rsidRPr="007D1775">
        <w:rPr>
          <w:rFonts w:cs="Arial"/>
        </w:rPr>
        <w:t xml:space="preserve">(100 and 800 mg) in healthy male subjects demonstrated that </w:t>
      </w:r>
      <w:proofErr w:type="spellStart"/>
      <w:r w:rsidR="00625C16" w:rsidRPr="007D1775">
        <w:rPr>
          <w:rFonts w:cs="Arial"/>
        </w:rPr>
        <w:t>avanafil</w:t>
      </w:r>
      <w:proofErr w:type="spellEnd"/>
      <w:r w:rsidR="00625C16" w:rsidRPr="007D1775">
        <w:rPr>
          <w:rFonts w:cs="Arial"/>
        </w:rPr>
        <w:t xml:space="preserve"> </w:t>
      </w:r>
      <w:r w:rsidRPr="007D1775">
        <w:rPr>
          <w:rFonts w:cs="Arial"/>
        </w:rPr>
        <w:t xml:space="preserve">did not cause any significant changes in </w:t>
      </w:r>
      <w:proofErr w:type="spellStart"/>
      <w:r w:rsidRPr="007D1775">
        <w:rPr>
          <w:rFonts w:cs="Arial"/>
        </w:rPr>
        <w:t>QTc</w:t>
      </w:r>
      <w:proofErr w:type="spellEnd"/>
      <w:r w:rsidRPr="007D1775">
        <w:rPr>
          <w:rFonts w:cs="Arial"/>
        </w:rPr>
        <w:t xml:space="preserve"> interval or ventricular repolari</w:t>
      </w:r>
      <w:r w:rsidR="00E1076D" w:rsidRPr="007D1775">
        <w:rPr>
          <w:rFonts w:cs="Arial"/>
        </w:rPr>
        <w:t>s</w:t>
      </w:r>
      <w:r w:rsidRPr="007D1775">
        <w:rPr>
          <w:rFonts w:cs="Arial"/>
        </w:rPr>
        <w:t>ation.</w:t>
      </w:r>
    </w:p>
    <w:p w:rsidR="00AE62AF" w:rsidRPr="00AE62AF" w:rsidRDefault="00AE62AF" w:rsidP="00AE62AF">
      <w:pPr>
        <w:spacing w:before="120" w:after="120"/>
        <w:rPr>
          <w:rFonts w:cs="Arial"/>
          <w:u w:val="single"/>
        </w:rPr>
      </w:pPr>
      <w:r w:rsidRPr="00AE62AF">
        <w:rPr>
          <w:rFonts w:cs="Arial"/>
          <w:u w:val="single"/>
        </w:rPr>
        <w:t>Effects on Semen</w:t>
      </w:r>
    </w:p>
    <w:p w:rsidR="009F3CD7" w:rsidRPr="007D1775" w:rsidRDefault="009F3CD7" w:rsidP="00AA0D07">
      <w:pPr>
        <w:rPr>
          <w:rFonts w:cs="Arial"/>
        </w:rPr>
      </w:pPr>
      <w:r w:rsidRPr="007D1775">
        <w:rPr>
          <w:rFonts w:cs="Arial"/>
        </w:rPr>
        <w:t xml:space="preserve">A single 200 mg dose of </w:t>
      </w:r>
      <w:proofErr w:type="spellStart"/>
      <w:r w:rsidR="00625C16" w:rsidRPr="007D1775">
        <w:rPr>
          <w:rFonts w:cs="Arial"/>
        </w:rPr>
        <w:t>avanafil</w:t>
      </w:r>
      <w:proofErr w:type="spellEnd"/>
      <w:r w:rsidR="00625C16" w:rsidRPr="007D1775">
        <w:rPr>
          <w:rFonts w:cs="Arial"/>
        </w:rPr>
        <w:t xml:space="preserve"> </w:t>
      </w:r>
      <w:r w:rsidRPr="007D1775">
        <w:rPr>
          <w:rFonts w:cs="Arial"/>
        </w:rPr>
        <w:t xml:space="preserve">had no acute effect on sperm motility or sperm morphology in a group of healthy male subjects. The effect of </w:t>
      </w:r>
      <w:proofErr w:type="spellStart"/>
      <w:r w:rsidR="00625C16" w:rsidRPr="007D1775">
        <w:rPr>
          <w:rFonts w:cs="Arial"/>
        </w:rPr>
        <w:t>avanafil</w:t>
      </w:r>
      <w:proofErr w:type="spellEnd"/>
      <w:r w:rsidR="00625C16" w:rsidRPr="007D1775">
        <w:rPr>
          <w:rFonts w:cs="Arial"/>
        </w:rPr>
        <w:t xml:space="preserve"> </w:t>
      </w:r>
      <w:r w:rsidRPr="007D1775">
        <w:rPr>
          <w:rFonts w:cs="Arial"/>
        </w:rPr>
        <w:t xml:space="preserve">on human spermatogenesis is unknown.   </w:t>
      </w:r>
    </w:p>
    <w:p w:rsidR="00AE62AF" w:rsidRPr="00AE62AF" w:rsidRDefault="00AE62AF" w:rsidP="00AE62AF">
      <w:pPr>
        <w:spacing w:before="120" w:after="120"/>
        <w:jc w:val="left"/>
        <w:rPr>
          <w:rFonts w:cs="Arial"/>
          <w:u w:val="single"/>
        </w:rPr>
      </w:pPr>
      <w:r w:rsidRPr="00AE62AF">
        <w:rPr>
          <w:rFonts w:cs="Arial"/>
          <w:u w:val="single"/>
        </w:rPr>
        <w:t>Effects on Blood Pressure When Administered with Alcohol</w:t>
      </w:r>
    </w:p>
    <w:p w:rsidR="009F3CD7" w:rsidRPr="007D1775" w:rsidRDefault="009F3CD7" w:rsidP="00AA0D07">
      <w:pPr>
        <w:rPr>
          <w:rFonts w:cs="Arial"/>
        </w:rPr>
      </w:pPr>
      <w:r w:rsidRPr="007D1775">
        <w:rPr>
          <w:rFonts w:cs="Arial"/>
        </w:rPr>
        <w:t xml:space="preserve">Alcohol and PDE5 inhibitors, including </w:t>
      </w:r>
      <w:proofErr w:type="spellStart"/>
      <w:r w:rsidR="00625C16" w:rsidRPr="007D1775">
        <w:rPr>
          <w:rFonts w:cs="Arial"/>
        </w:rPr>
        <w:t>avanafil</w:t>
      </w:r>
      <w:proofErr w:type="spellEnd"/>
      <w:r w:rsidRPr="007D1775">
        <w:rPr>
          <w:rFonts w:cs="Arial"/>
        </w:rPr>
        <w:t xml:space="preserve">, are mild systemic vasodilators. The interaction of </w:t>
      </w:r>
      <w:proofErr w:type="spellStart"/>
      <w:r w:rsidR="00625C16" w:rsidRPr="007D1775">
        <w:rPr>
          <w:rFonts w:cs="Arial"/>
        </w:rPr>
        <w:t>avanafil</w:t>
      </w:r>
      <w:proofErr w:type="spellEnd"/>
      <w:r w:rsidR="00625C16" w:rsidRPr="007D1775">
        <w:rPr>
          <w:rFonts w:cs="Arial"/>
        </w:rPr>
        <w:t xml:space="preserve"> </w:t>
      </w:r>
      <w:r w:rsidRPr="007D1775">
        <w:rPr>
          <w:rFonts w:cs="Arial"/>
        </w:rPr>
        <w:t xml:space="preserve">with alcohol was evaluated in a clinical pharmacology trial. Alcohol was administered at a dose of 0.5 g/kg, which is equivalent to approximately </w:t>
      </w:r>
      <w:r w:rsidR="007653DB" w:rsidRPr="007D1775">
        <w:rPr>
          <w:rFonts w:cs="Arial"/>
        </w:rPr>
        <w:t>8</w:t>
      </w:r>
      <w:r w:rsidR="00D36BBD" w:rsidRPr="007D1775">
        <w:rPr>
          <w:rFonts w:cs="Arial"/>
        </w:rPr>
        <w:t>8.7</w:t>
      </w:r>
      <w:r w:rsidR="00C2430D" w:rsidRPr="007D1775">
        <w:rPr>
          <w:rFonts w:cs="Arial"/>
        </w:rPr>
        <w:t xml:space="preserve"> mL </w:t>
      </w:r>
      <w:r w:rsidRPr="007D1775">
        <w:rPr>
          <w:rFonts w:cs="Arial"/>
        </w:rPr>
        <w:t xml:space="preserve">of 80-proof vodka in a 70kg male, and </w:t>
      </w:r>
      <w:proofErr w:type="spellStart"/>
      <w:r w:rsidR="00625C16" w:rsidRPr="007D1775">
        <w:rPr>
          <w:rFonts w:cs="Arial"/>
        </w:rPr>
        <w:t>avanafil</w:t>
      </w:r>
      <w:proofErr w:type="spellEnd"/>
      <w:r w:rsidR="00625C16" w:rsidRPr="007D1775">
        <w:rPr>
          <w:rFonts w:cs="Arial"/>
        </w:rPr>
        <w:t xml:space="preserve"> </w:t>
      </w:r>
      <w:r w:rsidRPr="007D1775">
        <w:rPr>
          <w:rFonts w:cs="Arial"/>
        </w:rPr>
        <w:t xml:space="preserve">was administered at a dose of 200 mg. All patients consumed the entire alcohol dose within 15 minutes of starting. Blood alcohol levels of 0.057% were confirmed. There were no reports of orthostatic hypotension or dizziness.  Additional maximum supine systolic/diastolic blood pressure decreases of 3.5/4.5 mm Hg and additional maximum pulse rate increase of 9.3 </w:t>
      </w:r>
      <w:r w:rsidR="00E07F38">
        <w:rPr>
          <w:rFonts w:cs="Arial"/>
        </w:rPr>
        <w:t xml:space="preserve">BPM </w:t>
      </w:r>
      <w:r w:rsidRPr="007D1775">
        <w:rPr>
          <w:rFonts w:cs="Arial"/>
        </w:rPr>
        <w:t xml:space="preserve">were observed when </w:t>
      </w:r>
      <w:proofErr w:type="spellStart"/>
      <w:r w:rsidR="009956B2" w:rsidRPr="007D1775">
        <w:rPr>
          <w:rFonts w:cs="Arial"/>
        </w:rPr>
        <w:t>avanafil</w:t>
      </w:r>
      <w:proofErr w:type="spellEnd"/>
      <w:r w:rsidR="002424E3" w:rsidRPr="007D1775">
        <w:rPr>
          <w:rFonts w:cs="Arial"/>
        </w:rPr>
        <w:t xml:space="preserve"> </w:t>
      </w:r>
      <w:r w:rsidRPr="007D1775">
        <w:rPr>
          <w:rFonts w:cs="Arial"/>
        </w:rPr>
        <w:t xml:space="preserve">was taken with alcohol compared to alcohol alone. </w:t>
      </w:r>
      <w:proofErr w:type="spellStart"/>
      <w:r w:rsidR="00633D64" w:rsidRPr="007D1775">
        <w:rPr>
          <w:rFonts w:cs="Arial"/>
        </w:rPr>
        <w:t>Avanafil</w:t>
      </w:r>
      <w:proofErr w:type="spellEnd"/>
      <w:r w:rsidRPr="007D1775">
        <w:rPr>
          <w:rFonts w:cs="Arial"/>
        </w:rPr>
        <w:t xml:space="preserve"> did not affect alcohol plasma concentrations.</w:t>
      </w:r>
    </w:p>
    <w:p w:rsidR="00AE62AF" w:rsidRPr="00AE62AF" w:rsidRDefault="00AE62AF" w:rsidP="00F11A63">
      <w:pPr>
        <w:pageBreakBefore/>
        <w:spacing w:before="120" w:after="120"/>
        <w:rPr>
          <w:rFonts w:cs="Arial"/>
          <w:b/>
        </w:rPr>
      </w:pPr>
      <w:r w:rsidRPr="00AE62AF">
        <w:rPr>
          <w:rFonts w:cs="Arial"/>
          <w:b/>
        </w:rPr>
        <w:lastRenderedPageBreak/>
        <w:t>Pharmacokinetics</w:t>
      </w:r>
    </w:p>
    <w:p w:rsidR="00767D7A" w:rsidRPr="007D1775" w:rsidRDefault="00B541CE">
      <w:pPr>
        <w:pStyle w:val="Heading3"/>
        <w:rPr>
          <w:rFonts w:cs="Arial"/>
        </w:rPr>
      </w:pPr>
      <w:r w:rsidRPr="007D1775">
        <w:rPr>
          <w:rFonts w:cs="Arial"/>
        </w:rPr>
        <w:t>Absorption</w:t>
      </w:r>
    </w:p>
    <w:p w:rsidR="00AE62AF" w:rsidRDefault="00633D64" w:rsidP="00AE62AF">
      <w:pPr>
        <w:autoSpaceDE w:val="0"/>
        <w:autoSpaceDN w:val="0"/>
        <w:adjustRightInd w:val="0"/>
        <w:jc w:val="left"/>
        <w:rPr>
          <w:rFonts w:cs="Arial"/>
          <w:szCs w:val="22"/>
        </w:rPr>
      </w:pPr>
      <w:proofErr w:type="spellStart"/>
      <w:r w:rsidRPr="007D1775">
        <w:rPr>
          <w:rFonts w:cs="Arial"/>
        </w:rPr>
        <w:t>Avanafil</w:t>
      </w:r>
      <w:proofErr w:type="spellEnd"/>
      <w:r w:rsidRPr="007D1775">
        <w:rPr>
          <w:rFonts w:cs="Arial"/>
        </w:rPr>
        <w:t xml:space="preserve"> </w:t>
      </w:r>
      <w:r w:rsidR="00AA0D07" w:rsidRPr="007D1775">
        <w:rPr>
          <w:rFonts w:cs="Arial"/>
          <w:szCs w:val="22"/>
        </w:rPr>
        <w:t xml:space="preserve">is rapidly absorbed. Maximum observed plasma concentrations are reached within </w:t>
      </w:r>
      <w:r w:rsidR="00F63891" w:rsidRPr="007D1775">
        <w:rPr>
          <w:rFonts w:cs="Arial"/>
          <w:szCs w:val="22"/>
        </w:rPr>
        <w:t xml:space="preserve">30 to 45 minutes </w:t>
      </w:r>
      <w:r w:rsidR="00AA0D07" w:rsidRPr="007D1775">
        <w:rPr>
          <w:rFonts w:cs="Arial"/>
          <w:szCs w:val="22"/>
        </w:rPr>
        <w:t>of oral dosing in the fasted state</w:t>
      </w:r>
      <w:r w:rsidR="0039758F" w:rsidRPr="007D1775">
        <w:rPr>
          <w:rFonts w:cs="Arial"/>
          <w:szCs w:val="22"/>
        </w:rPr>
        <w:t>.</w:t>
      </w:r>
      <w:r w:rsidR="00F63891" w:rsidRPr="007D1775">
        <w:rPr>
          <w:rFonts w:cs="Arial"/>
          <w:szCs w:val="22"/>
        </w:rPr>
        <w:t xml:space="preserve"> </w:t>
      </w:r>
    </w:p>
    <w:p w:rsidR="00AE62AF" w:rsidRDefault="00AA0D07" w:rsidP="003E668F">
      <w:pPr>
        <w:autoSpaceDE w:val="0"/>
        <w:autoSpaceDN w:val="0"/>
        <w:adjustRightInd w:val="0"/>
        <w:rPr>
          <w:rFonts w:cs="Arial"/>
          <w:szCs w:val="22"/>
        </w:rPr>
      </w:pPr>
      <w:r w:rsidRPr="007D1775">
        <w:rPr>
          <w:rFonts w:cs="Arial"/>
          <w:szCs w:val="22"/>
        </w:rPr>
        <w:t xml:space="preserve">When </w:t>
      </w:r>
      <w:proofErr w:type="spellStart"/>
      <w:r w:rsidR="00633D64" w:rsidRPr="007D1775">
        <w:rPr>
          <w:rFonts w:cs="Arial"/>
          <w:szCs w:val="22"/>
        </w:rPr>
        <w:t>a</w:t>
      </w:r>
      <w:r w:rsidR="00633D64" w:rsidRPr="007D1775">
        <w:rPr>
          <w:rFonts w:cs="Arial"/>
        </w:rPr>
        <w:t>vanafil</w:t>
      </w:r>
      <w:proofErr w:type="spellEnd"/>
      <w:r w:rsidR="00633D64" w:rsidRPr="007D1775">
        <w:rPr>
          <w:rFonts w:cs="Arial"/>
        </w:rPr>
        <w:t xml:space="preserve"> </w:t>
      </w:r>
      <w:r w:rsidRPr="007D1775">
        <w:rPr>
          <w:rFonts w:cs="Arial"/>
          <w:szCs w:val="22"/>
        </w:rPr>
        <w:t xml:space="preserve">is taken with a high fat meal, the rate of absorption is reduced with a mean delay in </w:t>
      </w:r>
      <w:proofErr w:type="spellStart"/>
      <w:r w:rsidRPr="007D1775">
        <w:rPr>
          <w:rFonts w:cs="Arial"/>
          <w:szCs w:val="22"/>
        </w:rPr>
        <w:t>T</w:t>
      </w:r>
      <w:r w:rsidR="00E0159A" w:rsidRPr="007D1775">
        <w:rPr>
          <w:rFonts w:cs="Arial"/>
          <w:szCs w:val="22"/>
          <w:vertAlign w:val="subscript"/>
        </w:rPr>
        <w:t>max</w:t>
      </w:r>
      <w:proofErr w:type="spellEnd"/>
      <w:r w:rsidRPr="007D1775">
        <w:rPr>
          <w:rFonts w:cs="Arial"/>
          <w:szCs w:val="22"/>
        </w:rPr>
        <w:t xml:space="preserve"> of 1.25 hours and a mean reduction in </w:t>
      </w:r>
      <w:proofErr w:type="spellStart"/>
      <w:r w:rsidRPr="007D1775">
        <w:rPr>
          <w:rFonts w:cs="Arial"/>
          <w:szCs w:val="22"/>
        </w:rPr>
        <w:t>C</w:t>
      </w:r>
      <w:r w:rsidR="00E0159A" w:rsidRPr="007D1775">
        <w:rPr>
          <w:rFonts w:cs="Arial"/>
          <w:szCs w:val="22"/>
          <w:vertAlign w:val="subscript"/>
        </w:rPr>
        <w:t>max</w:t>
      </w:r>
      <w:proofErr w:type="spellEnd"/>
      <w:r w:rsidRPr="007D1775">
        <w:rPr>
          <w:rFonts w:cs="Arial"/>
          <w:szCs w:val="22"/>
        </w:rPr>
        <w:t xml:space="preserve"> of 39% (</w:t>
      </w:r>
      <w:r w:rsidR="00312ADF" w:rsidRPr="007D1775">
        <w:rPr>
          <w:rFonts w:cs="Arial"/>
          <w:szCs w:val="22"/>
        </w:rPr>
        <w:t xml:space="preserve">at the </w:t>
      </w:r>
      <w:r w:rsidRPr="007D1775">
        <w:rPr>
          <w:rFonts w:cs="Arial"/>
          <w:szCs w:val="22"/>
        </w:rPr>
        <w:t>200 mg</w:t>
      </w:r>
      <w:r w:rsidR="00312ADF" w:rsidRPr="007D1775">
        <w:rPr>
          <w:rFonts w:cs="Arial"/>
          <w:szCs w:val="22"/>
        </w:rPr>
        <w:t xml:space="preserve"> dose</w:t>
      </w:r>
      <w:r w:rsidRPr="007D1775">
        <w:rPr>
          <w:rFonts w:cs="Arial"/>
          <w:szCs w:val="22"/>
        </w:rPr>
        <w:t>)</w:t>
      </w:r>
      <w:r w:rsidR="00D102DD" w:rsidRPr="007D1775">
        <w:rPr>
          <w:rFonts w:cs="Arial"/>
          <w:szCs w:val="22"/>
        </w:rPr>
        <w:t xml:space="preserve">. The small changes in </w:t>
      </w:r>
      <w:proofErr w:type="spellStart"/>
      <w:r w:rsidR="00D102DD" w:rsidRPr="007D1775">
        <w:rPr>
          <w:rFonts w:cs="Arial"/>
          <w:szCs w:val="22"/>
        </w:rPr>
        <w:t>avanafil</w:t>
      </w:r>
      <w:proofErr w:type="spellEnd"/>
      <w:r w:rsidR="00D102DD" w:rsidRPr="007D1775">
        <w:rPr>
          <w:rFonts w:cs="Arial"/>
          <w:szCs w:val="22"/>
        </w:rPr>
        <w:t xml:space="preserve"> </w:t>
      </w:r>
      <w:proofErr w:type="spellStart"/>
      <w:r w:rsidR="00D102DD" w:rsidRPr="007D1775">
        <w:rPr>
          <w:rFonts w:cs="Arial"/>
          <w:szCs w:val="22"/>
        </w:rPr>
        <w:t>C</w:t>
      </w:r>
      <w:r w:rsidR="00542088" w:rsidRPr="00542088">
        <w:rPr>
          <w:rFonts w:cs="Arial"/>
          <w:szCs w:val="22"/>
          <w:vertAlign w:val="subscript"/>
        </w:rPr>
        <w:t>max</w:t>
      </w:r>
      <w:proofErr w:type="spellEnd"/>
      <w:r w:rsidR="00542088" w:rsidRPr="00542088">
        <w:rPr>
          <w:rFonts w:cs="Arial"/>
          <w:szCs w:val="22"/>
          <w:vertAlign w:val="subscript"/>
        </w:rPr>
        <w:t xml:space="preserve"> </w:t>
      </w:r>
      <w:r w:rsidR="00D102DD" w:rsidRPr="007D1775">
        <w:rPr>
          <w:rFonts w:cs="Arial"/>
          <w:szCs w:val="22"/>
        </w:rPr>
        <w:t>are considered to be of minimal clinical significance. T</w:t>
      </w:r>
      <w:r w:rsidR="00312ADF" w:rsidRPr="007D1775">
        <w:rPr>
          <w:rFonts w:cs="Arial"/>
          <w:szCs w:val="22"/>
        </w:rPr>
        <w:t xml:space="preserve">here </w:t>
      </w:r>
      <w:r w:rsidR="002E148B" w:rsidRPr="007D1775">
        <w:rPr>
          <w:rFonts w:cs="Arial"/>
          <w:szCs w:val="22"/>
        </w:rPr>
        <w:t>was no effect on the extent of exposure (AUC).</w:t>
      </w:r>
      <w:r w:rsidR="00057898" w:rsidRPr="007D1775">
        <w:rPr>
          <w:rFonts w:cs="Arial"/>
          <w:szCs w:val="22"/>
        </w:rPr>
        <w:t xml:space="preserve"> </w:t>
      </w:r>
      <w:r w:rsidR="00D102DD" w:rsidRPr="007D1775">
        <w:rPr>
          <w:rFonts w:cs="Arial"/>
          <w:szCs w:val="22"/>
        </w:rPr>
        <w:t>P</w:t>
      </w:r>
      <w:r w:rsidR="00921D4F" w:rsidRPr="007D1775">
        <w:rPr>
          <w:rFonts w:cs="Arial"/>
          <w:szCs w:val="22"/>
        </w:rPr>
        <w:t xml:space="preserve">atients </w:t>
      </w:r>
      <w:r w:rsidR="00D102DD" w:rsidRPr="007D1775">
        <w:rPr>
          <w:rFonts w:cs="Arial"/>
          <w:szCs w:val="22"/>
        </w:rPr>
        <w:t>may</w:t>
      </w:r>
      <w:r w:rsidR="00EC38DC" w:rsidRPr="007D1775">
        <w:rPr>
          <w:rFonts w:cs="Arial"/>
          <w:szCs w:val="22"/>
        </w:rPr>
        <w:t xml:space="preserve"> need to</w:t>
      </w:r>
      <w:r w:rsidR="00D102DD" w:rsidRPr="007D1775">
        <w:rPr>
          <w:rFonts w:cs="Arial"/>
          <w:szCs w:val="22"/>
        </w:rPr>
        <w:t xml:space="preserve"> individuali</w:t>
      </w:r>
      <w:r w:rsidR="003B7488" w:rsidRPr="007D1775">
        <w:rPr>
          <w:rFonts w:cs="Arial"/>
          <w:szCs w:val="22"/>
        </w:rPr>
        <w:t>s</w:t>
      </w:r>
      <w:r w:rsidR="00D102DD" w:rsidRPr="007D1775">
        <w:rPr>
          <w:rFonts w:cs="Arial"/>
          <w:szCs w:val="22"/>
        </w:rPr>
        <w:t xml:space="preserve">e </w:t>
      </w:r>
      <w:r w:rsidR="00921D4F" w:rsidRPr="007D1775">
        <w:rPr>
          <w:rFonts w:cs="Arial"/>
          <w:szCs w:val="22"/>
        </w:rPr>
        <w:t>their dosing relative to their food intake</w:t>
      </w:r>
      <w:r w:rsidR="00312ADF" w:rsidRPr="007D1775">
        <w:rPr>
          <w:rFonts w:cs="Arial"/>
          <w:szCs w:val="22"/>
        </w:rPr>
        <w:t>,</w:t>
      </w:r>
      <w:r w:rsidR="00921D4F" w:rsidRPr="007D1775">
        <w:rPr>
          <w:rFonts w:cs="Arial"/>
          <w:szCs w:val="22"/>
        </w:rPr>
        <w:t xml:space="preserve"> based on their own experienced clinical response. </w:t>
      </w:r>
      <w:r w:rsidR="002E148B" w:rsidRPr="007D1775">
        <w:rPr>
          <w:rFonts w:cs="Arial"/>
          <w:szCs w:val="22"/>
        </w:rPr>
        <w:t xml:space="preserve"> </w:t>
      </w:r>
    </w:p>
    <w:p w:rsidR="00A46867" w:rsidRPr="007D1775" w:rsidRDefault="002E148B" w:rsidP="003E668F">
      <w:pPr>
        <w:rPr>
          <w:rFonts w:cs="Arial"/>
          <w:szCs w:val="22"/>
        </w:rPr>
      </w:pPr>
      <w:r w:rsidRPr="007D1775">
        <w:rPr>
          <w:rFonts w:cs="Arial"/>
          <w:szCs w:val="22"/>
        </w:rPr>
        <w:t xml:space="preserve">The pharmacokinetics of </w:t>
      </w:r>
      <w:proofErr w:type="spellStart"/>
      <w:r w:rsidRPr="007D1775">
        <w:rPr>
          <w:rFonts w:cs="Arial"/>
          <w:szCs w:val="22"/>
        </w:rPr>
        <w:t>a</w:t>
      </w:r>
      <w:r w:rsidRPr="007D1775">
        <w:rPr>
          <w:rFonts w:cs="Arial"/>
        </w:rPr>
        <w:t>vanafil</w:t>
      </w:r>
      <w:proofErr w:type="spellEnd"/>
      <w:r w:rsidRPr="007D1775">
        <w:rPr>
          <w:rFonts w:cs="Arial"/>
        </w:rPr>
        <w:t xml:space="preserve"> </w:t>
      </w:r>
      <w:proofErr w:type="gramStart"/>
      <w:r w:rsidRPr="007D1775">
        <w:rPr>
          <w:rFonts w:cs="Arial"/>
          <w:szCs w:val="22"/>
        </w:rPr>
        <w:t>are</w:t>
      </w:r>
      <w:proofErr w:type="gramEnd"/>
      <w:r w:rsidRPr="007D1775">
        <w:rPr>
          <w:rFonts w:cs="Arial"/>
          <w:szCs w:val="22"/>
        </w:rPr>
        <w:t xml:space="preserve"> dose proportional over the recommended dose range. </w:t>
      </w:r>
    </w:p>
    <w:p w:rsidR="00B541CE" w:rsidRPr="007D1775" w:rsidRDefault="00B541CE" w:rsidP="00596ADA">
      <w:pPr>
        <w:pStyle w:val="Heading3"/>
        <w:rPr>
          <w:rFonts w:cs="Arial"/>
        </w:rPr>
      </w:pPr>
      <w:r w:rsidRPr="007D1775">
        <w:rPr>
          <w:rFonts w:cs="Arial"/>
        </w:rPr>
        <w:t>Distribution</w:t>
      </w:r>
    </w:p>
    <w:p w:rsidR="00AE62AF" w:rsidRDefault="00633D64" w:rsidP="00AE62AF">
      <w:pPr>
        <w:numPr>
          <w:ilvl w:val="12"/>
          <w:numId w:val="0"/>
        </w:numPr>
        <w:rPr>
          <w:rFonts w:cs="Arial"/>
        </w:rPr>
      </w:pPr>
      <w:proofErr w:type="spellStart"/>
      <w:r w:rsidRPr="007D1775">
        <w:rPr>
          <w:rFonts w:cs="Arial"/>
        </w:rPr>
        <w:t>Avanafil</w:t>
      </w:r>
      <w:proofErr w:type="spellEnd"/>
      <w:r w:rsidRPr="007D1775">
        <w:rPr>
          <w:rFonts w:cs="Arial"/>
        </w:rPr>
        <w:t xml:space="preserve"> </w:t>
      </w:r>
      <w:r w:rsidR="00AA0D07" w:rsidRPr="007D1775">
        <w:rPr>
          <w:rFonts w:cs="Arial"/>
          <w:szCs w:val="22"/>
        </w:rPr>
        <w:t xml:space="preserve">is approximately 99% bound to plasma proteins. Protein binding is independent of total </w:t>
      </w:r>
      <w:r w:rsidR="00F63891" w:rsidRPr="007D1775">
        <w:rPr>
          <w:rFonts w:cs="Arial"/>
          <w:szCs w:val="22"/>
        </w:rPr>
        <w:t>drug</w:t>
      </w:r>
      <w:r w:rsidR="00AA0D07" w:rsidRPr="007D1775">
        <w:rPr>
          <w:rFonts w:cs="Arial"/>
          <w:szCs w:val="22"/>
        </w:rPr>
        <w:t xml:space="preserve"> substance concentrations, age, renal and hepatic function. </w:t>
      </w:r>
      <w:proofErr w:type="spellStart"/>
      <w:r w:rsidRPr="007D1775">
        <w:rPr>
          <w:rFonts w:cs="Arial"/>
        </w:rPr>
        <w:t>Avanafil</w:t>
      </w:r>
      <w:proofErr w:type="spellEnd"/>
      <w:r w:rsidRPr="007D1775">
        <w:rPr>
          <w:rFonts w:cs="Arial"/>
        </w:rPr>
        <w:t xml:space="preserve"> </w:t>
      </w:r>
      <w:r w:rsidR="00AA0D07" w:rsidRPr="007D1775">
        <w:rPr>
          <w:rFonts w:cs="Arial"/>
          <w:szCs w:val="22"/>
        </w:rPr>
        <w:t xml:space="preserve">was not found to accumulate in plasma when </w:t>
      </w:r>
      <w:r w:rsidR="002620C7" w:rsidRPr="007D1775">
        <w:rPr>
          <w:rFonts w:cs="Arial"/>
          <w:szCs w:val="22"/>
        </w:rPr>
        <w:t xml:space="preserve">administered as </w:t>
      </w:r>
      <w:r w:rsidR="00AA0D07" w:rsidRPr="007D1775">
        <w:rPr>
          <w:rFonts w:cs="Arial"/>
          <w:szCs w:val="22"/>
        </w:rPr>
        <w:t xml:space="preserve">200 mg twice daily over 7 days. Based upon measurements of </w:t>
      </w:r>
      <w:proofErr w:type="spellStart"/>
      <w:r w:rsidRPr="007D1775">
        <w:rPr>
          <w:rFonts w:cs="Arial"/>
          <w:szCs w:val="22"/>
        </w:rPr>
        <w:t>a</w:t>
      </w:r>
      <w:r w:rsidRPr="007D1775">
        <w:rPr>
          <w:rFonts w:cs="Arial"/>
        </w:rPr>
        <w:t>vanafil</w:t>
      </w:r>
      <w:proofErr w:type="spellEnd"/>
      <w:r w:rsidRPr="007D1775">
        <w:rPr>
          <w:rFonts w:cs="Arial"/>
        </w:rPr>
        <w:t xml:space="preserve"> </w:t>
      </w:r>
      <w:r w:rsidR="00AA0D07" w:rsidRPr="007D1775">
        <w:rPr>
          <w:rFonts w:cs="Arial"/>
          <w:szCs w:val="22"/>
        </w:rPr>
        <w:t>in semen of healthy volunteers 45-90 minutes after dosing, less than 0.0002% of the administered dose may appear in the semen of patients.</w:t>
      </w:r>
    </w:p>
    <w:p w:rsidR="00B541CE" w:rsidRPr="007D1775" w:rsidRDefault="00B541CE" w:rsidP="00596ADA">
      <w:pPr>
        <w:pStyle w:val="Heading3"/>
        <w:rPr>
          <w:rFonts w:cs="Arial"/>
        </w:rPr>
      </w:pPr>
      <w:r w:rsidRPr="007D1775">
        <w:rPr>
          <w:rFonts w:cs="Arial"/>
        </w:rPr>
        <w:t>Metabolism</w:t>
      </w:r>
    </w:p>
    <w:p w:rsidR="00AE62AF" w:rsidRDefault="00633D64" w:rsidP="00AE62AF">
      <w:pPr>
        <w:numPr>
          <w:ilvl w:val="12"/>
          <w:numId w:val="0"/>
        </w:numPr>
        <w:rPr>
          <w:rFonts w:cs="Arial"/>
        </w:rPr>
      </w:pPr>
      <w:proofErr w:type="spellStart"/>
      <w:r w:rsidRPr="007D1775">
        <w:rPr>
          <w:rFonts w:cs="Arial"/>
        </w:rPr>
        <w:t>Avanafil</w:t>
      </w:r>
      <w:proofErr w:type="spellEnd"/>
      <w:r w:rsidRPr="007D1775">
        <w:rPr>
          <w:rFonts w:cs="Arial"/>
        </w:rPr>
        <w:t xml:space="preserve"> </w:t>
      </w:r>
      <w:r w:rsidR="00AA0D07" w:rsidRPr="007D1775">
        <w:rPr>
          <w:rFonts w:cs="Arial"/>
          <w:szCs w:val="22"/>
        </w:rPr>
        <w:t xml:space="preserve">is cleared predominantly by </w:t>
      </w:r>
      <w:r w:rsidR="00105D98" w:rsidRPr="007D1775">
        <w:rPr>
          <w:rFonts w:cs="Arial"/>
          <w:szCs w:val="22"/>
        </w:rPr>
        <w:t xml:space="preserve">hepatic metabolism, mainly by the </w:t>
      </w:r>
      <w:r w:rsidR="00AA0D07" w:rsidRPr="007D1775">
        <w:rPr>
          <w:rFonts w:cs="Arial"/>
          <w:szCs w:val="22"/>
        </w:rPr>
        <w:t xml:space="preserve">CYP3A4 </w:t>
      </w:r>
      <w:r w:rsidR="00105D98" w:rsidRPr="007D1775">
        <w:rPr>
          <w:rFonts w:cs="Arial"/>
          <w:szCs w:val="22"/>
        </w:rPr>
        <w:t xml:space="preserve">enzyme and to a minor extent by the </w:t>
      </w:r>
      <w:r w:rsidR="00AA0D07" w:rsidRPr="007D1775">
        <w:rPr>
          <w:rFonts w:cs="Arial"/>
          <w:szCs w:val="22"/>
        </w:rPr>
        <w:t>CYP2C</w:t>
      </w:r>
      <w:r w:rsidR="00AA00F3" w:rsidRPr="007D1775">
        <w:rPr>
          <w:rFonts w:cs="Arial"/>
          <w:szCs w:val="22"/>
        </w:rPr>
        <w:t xml:space="preserve"> </w:t>
      </w:r>
      <w:r w:rsidR="00105D98" w:rsidRPr="007D1775">
        <w:rPr>
          <w:rFonts w:cs="Arial"/>
          <w:szCs w:val="22"/>
        </w:rPr>
        <w:t>isoform</w:t>
      </w:r>
      <w:r w:rsidR="001A6247" w:rsidRPr="007D1775">
        <w:rPr>
          <w:rFonts w:cs="Arial"/>
          <w:szCs w:val="22"/>
        </w:rPr>
        <w:t>s</w:t>
      </w:r>
      <w:r w:rsidR="00105D98" w:rsidRPr="007D1775">
        <w:rPr>
          <w:rFonts w:cs="Arial"/>
          <w:szCs w:val="22"/>
        </w:rPr>
        <w:t xml:space="preserve">. </w:t>
      </w:r>
      <w:r w:rsidR="00AA0D07" w:rsidRPr="007D1775">
        <w:rPr>
          <w:rFonts w:cs="Arial"/>
          <w:szCs w:val="22"/>
        </w:rPr>
        <w:t xml:space="preserve">The plasma concentrations of the major circulating metabolites, M4 and M16, are approximately 23% and 29% of the parent compound, respectively. The M4 metabolite shows a phosphodiesterase selectivity profile similar to that of </w:t>
      </w:r>
      <w:proofErr w:type="spellStart"/>
      <w:r w:rsidRPr="007D1775">
        <w:rPr>
          <w:rFonts w:cs="Arial"/>
        </w:rPr>
        <w:t>avanafil</w:t>
      </w:r>
      <w:proofErr w:type="spellEnd"/>
      <w:r w:rsidR="002424E3" w:rsidRPr="007D1775">
        <w:rPr>
          <w:rFonts w:cs="Arial"/>
        </w:rPr>
        <w:t xml:space="preserve"> </w:t>
      </w:r>
      <w:r w:rsidR="00AA0D07" w:rsidRPr="007D1775">
        <w:rPr>
          <w:rFonts w:cs="Arial"/>
          <w:szCs w:val="22"/>
        </w:rPr>
        <w:t xml:space="preserve">and an </w:t>
      </w:r>
      <w:r w:rsidR="00AA0D07" w:rsidRPr="007D1775">
        <w:rPr>
          <w:rFonts w:cs="Arial"/>
          <w:i/>
          <w:szCs w:val="22"/>
        </w:rPr>
        <w:t>in vitro</w:t>
      </w:r>
      <w:r w:rsidR="00AA0D07" w:rsidRPr="007D1775">
        <w:rPr>
          <w:rFonts w:cs="Arial"/>
          <w:szCs w:val="22"/>
        </w:rPr>
        <w:t xml:space="preserve"> inhibitory potency for PDE5 18% of that of </w:t>
      </w:r>
      <w:proofErr w:type="spellStart"/>
      <w:r w:rsidRPr="007D1775">
        <w:rPr>
          <w:rFonts w:cs="Arial"/>
        </w:rPr>
        <w:t>avanafil</w:t>
      </w:r>
      <w:proofErr w:type="spellEnd"/>
      <w:r w:rsidR="00AA0D07" w:rsidRPr="007D1775">
        <w:rPr>
          <w:rFonts w:cs="Arial"/>
          <w:szCs w:val="22"/>
        </w:rPr>
        <w:t xml:space="preserve">. Therefore, M4 accounts for approximately </w:t>
      </w:r>
      <w:r w:rsidR="00E501E8" w:rsidRPr="007D1775">
        <w:rPr>
          <w:rFonts w:cs="Arial"/>
          <w:szCs w:val="22"/>
        </w:rPr>
        <w:t xml:space="preserve">12% </w:t>
      </w:r>
      <w:r w:rsidR="00AA0D07" w:rsidRPr="007D1775">
        <w:rPr>
          <w:rFonts w:cs="Arial"/>
          <w:szCs w:val="22"/>
        </w:rPr>
        <w:t>of total pharmacologic activity</w:t>
      </w:r>
      <w:r w:rsidR="00E501E8" w:rsidRPr="007D1775">
        <w:rPr>
          <w:rFonts w:cs="Arial"/>
          <w:szCs w:val="22"/>
        </w:rPr>
        <w:t>, taking into account relative plasma protein binding. At expected clinical exposures,</w:t>
      </w:r>
      <w:r w:rsidR="00F768A6" w:rsidRPr="007D1775">
        <w:rPr>
          <w:rFonts w:cs="Arial"/>
          <w:szCs w:val="22"/>
        </w:rPr>
        <w:t xml:space="preserve"> </w:t>
      </w:r>
      <w:r w:rsidR="00E501E8" w:rsidRPr="007D1775">
        <w:rPr>
          <w:rFonts w:cs="Arial"/>
          <w:szCs w:val="22"/>
        </w:rPr>
        <w:t xml:space="preserve">the </w:t>
      </w:r>
      <w:r w:rsidR="00AA0D07" w:rsidRPr="007D1775">
        <w:rPr>
          <w:rFonts w:cs="Arial"/>
          <w:szCs w:val="22"/>
        </w:rPr>
        <w:t>M16 metabolite</w:t>
      </w:r>
      <w:r w:rsidR="00E501E8" w:rsidRPr="007D1775">
        <w:rPr>
          <w:rFonts w:cs="Arial"/>
          <w:szCs w:val="22"/>
        </w:rPr>
        <w:t xml:space="preserve"> is unlikely to inhibit</w:t>
      </w:r>
      <w:r w:rsidR="00AA0D07" w:rsidRPr="007D1775">
        <w:rPr>
          <w:rFonts w:cs="Arial"/>
          <w:szCs w:val="22"/>
        </w:rPr>
        <w:t xml:space="preserve"> PDE5.</w:t>
      </w:r>
    </w:p>
    <w:p w:rsidR="00B541CE" w:rsidRPr="007D1775" w:rsidRDefault="00B541CE" w:rsidP="00596ADA">
      <w:pPr>
        <w:pStyle w:val="Heading3"/>
        <w:rPr>
          <w:rFonts w:cs="Arial"/>
        </w:rPr>
      </w:pPr>
      <w:r w:rsidRPr="007D1775">
        <w:rPr>
          <w:rFonts w:cs="Arial"/>
        </w:rPr>
        <w:t>Excretion</w:t>
      </w:r>
    </w:p>
    <w:p w:rsidR="00AE62AF" w:rsidRDefault="00633D64" w:rsidP="00AE62AF">
      <w:pPr>
        <w:numPr>
          <w:ilvl w:val="12"/>
          <w:numId w:val="0"/>
        </w:numPr>
        <w:rPr>
          <w:rFonts w:cs="Arial"/>
        </w:rPr>
      </w:pPr>
      <w:proofErr w:type="spellStart"/>
      <w:r w:rsidRPr="007D1775">
        <w:rPr>
          <w:rFonts w:cs="Arial"/>
        </w:rPr>
        <w:t>Avanafil</w:t>
      </w:r>
      <w:proofErr w:type="spellEnd"/>
      <w:r w:rsidRPr="007D1775">
        <w:rPr>
          <w:rFonts w:cs="Arial"/>
        </w:rPr>
        <w:t xml:space="preserve"> </w:t>
      </w:r>
      <w:r w:rsidR="00AA0D07" w:rsidRPr="007D1775">
        <w:rPr>
          <w:rFonts w:cs="Arial"/>
          <w:szCs w:val="22"/>
        </w:rPr>
        <w:t xml:space="preserve">is extensively metabolised in humans. After oral administration, </w:t>
      </w:r>
      <w:proofErr w:type="spellStart"/>
      <w:r w:rsidRPr="007D1775">
        <w:rPr>
          <w:rFonts w:cs="Arial"/>
        </w:rPr>
        <w:t>avanafil</w:t>
      </w:r>
      <w:proofErr w:type="spellEnd"/>
      <w:r w:rsidRPr="007D1775">
        <w:rPr>
          <w:rFonts w:cs="Arial"/>
        </w:rPr>
        <w:t xml:space="preserve"> </w:t>
      </w:r>
      <w:r w:rsidR="00AA0D07" w:rsidRPr="007D1775">
        <w:rPr>
          <w:rFonts w:cs="Arial"/>
          <w:szCs w:val="22"/>
        </w:rPr>
        <w:t>is excreted as metabolites predominantly in the faeces (approximately 63% of administered oral dose) and to a lesser extent in the urine (approximately 21% of the administered oral dose).</w:t>
      </w:r>
      <w:r w:rsidR="00F63891" w:rsidRPr="007D1775">
        <w:rPr>
          <w:rFonts w:cs="Arial"/>
          <w:szCs w:val="22"/>
        </w:rPr>
        <w:t xml:space="preserve"> </w:t>
      </w:r>
      <w:proofErr w:type="spellStart"/>
      <w:r w:rsidR="004E01C0" w:rsidRPr="007D1775">
        <w:rPr>
          <w:rFonts w:cs="Arial"/>
          <w:szCs w:val="22"/>
        </w:rPr>
        <w:t>Avanafil</w:t>
      </w:r>
      <w:proofErr w:type="spellEnd"/>
      <w:r w:rsidR="004E01C0" w:rsidRPr="007D1775">
        <w:rPr>
          <w:rFonts w:cs="Arial"/>
          <w:szCs w:val="22"/>
        </w:rPr>
        <w:t xml:space="preserve"> has a terminal half-life of approximately 6-17 hours.</w:t>
      </w:r>
    </w:p>
    <w:p w:rsidR="00AA0D07" w:rsidRPr="007D1775" w:rsidRDefault="00AA0D07" w:rsidP="00596ADA">
      <w:pPr>
        <w:pStyle w:val="Heading3"/>
        <w:rPr>
          <w:rFonts w:cs="Arial"/>
        </w:rPr>
      </w:pPr>
      <w:r w:rsidRPr="007D1775">
        <w:rPr>
          <w:rFonts w:cs="Arial"/>
        </w:rPr>
        <w:t>Pharmacokinetics in Special Populations</w:t>
      </w:r>
    </w:p>
    <w:p w:rsidR="00A46867" w:rsidRPr="007D1775" w:rsidRDefault="00AA0D07" w:rsidP="00AA0D07">
      <w:pPr>
        <w:outlineLvl w:val="0"/>
        <w:rPr>
          <w:rFonts w:cs="Arial"/>
          <w:i/>
          <w:lang w:val="en-US"/>
        </w:rPr>
      </w:pPr>
      <w:r w:rsidRPr="007D1775">
        <w:rPr>
          <w:rFonts w:cs="Arial"/>
          <w:i/>
          <w:lang w:val="en-US"/>
        </w:rPr>
        <w:t>Older men</w:t>
      </w:r>
      <w:r w:rsidR="009345E0">
        <w:rPr>
          <w:rFonts w:cs="Arial"/>
          <w:i/>
          <w:lang w:val="en-US"/>
        </w:rPr>
        <w:t>:</w:t>
      </w:r>
      <w:r w:rsidRPr="007D1775">
        <w:rPr>
          <w:rFonts w:cs="Arial"/>
          <w:i/>
          <w:lang w:val="en-US"/>
        </w:rPr>
        <w:t xml:space="preserve"> </w:t>
      </w:r>
      <w:r w:rsidR="00322280" w:rsidRPr="007D1775">
        <w:rPr>
          <w:rFonts w:cs="Arial"/>
          <w:lang w:val="en-US"/>
        </w:rPr>
        <w:t xml:space="preserve">The pharmacokinetics of a single 200 mg </w:t>
      </w:r>
      <w:proofErr w:type="spellStart"/>
      <w:r w:rsidR="00633D64" w:rsidRPr="007D1775">
        <w:rPr>
          <w:rFonts w:cs="Arial"/>
        </w:rPr>
        <w:t>avanafil</w:t>
      </w:r>
      <w:proofErr w:type="spellEnd"/>
      <w:r w:rsidR="00633D64" w:rsidRPr="007D1775">
        <w:rPr>
          <w:rFonts w:cs="Arial"/>
        </w:rPr>
        <w:t xml:space="preserve"> </w:t>
      </w:r>
      <w:r w:rsidR="000F5351" w:rsidRPr="007D1775">
        <w:rPr>
          <w:rFonts w:cs="Arial"/>
          <w:lang w:val="en-US"/>
        </w:rPr>
        <w:t xml:space="preserve">dose </w:t>
      </w:r>
      <w:r w:rsidR="00322280" w:rsidRPr="007D1775">
        <w:rPr>
          <w:rFonts w:cs="Arial"/>
          <w:lang w:val="en-US"/>
        </w:rPr>
        <w:t>administered to fourteen healthy elderly male volunteers (65-80 years) and eighteen healthy younger male volunteers (18-43 years of age) were compared. AUC</w:t>
      </w:r>
      <w:r w:rsidR="00322280" w:rsidRPr="007D1775">
        <w:rPr>
          <w:rFonts w:cs="Arial"/>
          <w:vertAlign w:val="subscript"/>
          <w:lang w:val="en-US"/>
        </w:rPr>
        <w:t>0-inf</w:t>
      </w:r>
      <w:r w:rsidR="00322280" w:rsidRPr="007D1775">
        <w:rPr>
          <w:rFonts w:cs="Arial"/>
          <w:lang w:val="en-US"/>
        </w:rPr>
        <w:t xml:space="preserve"> increased by 6.8% and </w:t>
      </w:r>
      <w:proofErr w:type="spellStart"/>
      <w:r w:rsidR="00322280" w:rsidRPr="007D1775">
        <w:rPr>
          <w:rFonts w:cs="Arial"/>
          <w:lang w:val="en-US"/>
        </w:rPr>
        <w:t>C</w:t>
      </w:r>
      <w:r w:rsidR="00322280" w:rsidRPr="007D1775">
        <w:rPr>
          <w:rFonts w:cs="Arial"/>
          <w:vertAlign w:val="subscript"/>
          <w:lang w:val="en-US"/>
        </w:rPr>
        <w:t>max</w:t>
      </w:r>
      <w:proofErr w:type="spellEnd"/>
      <w:r w:rsidR="00322280" w:rsidRPr="007D1775">
        <w:rPr>
          <w:rFonts w:cs="Arial"/>
          <w:lang w:val="en-US"/>
        </w:rPr>
        <w:t xml:space="preserve"> decreased by 2.1% in the elderly group, compared to the younger group</w:t>
      </w:r>
      <w:r w:rsidR="009956B2" w:rsidRPr="007D1775">
        <w:rPr>
          <w:rFonts w:cs="Arial"/>
          <w:lang w:val="en-US"/>
        </w:rPr>
        <w:t>.</w:t>
      </w:r>
    </w:p>
    <w:p w:rsidR="00AE62AF" w:rsidRPr="00AE62AF" w:rsidRDefault="00AE62AF" w:rsidP="00AE62AF">
      <w:pPr>
        <w:spacing w:before="120" w:after="120"/>
        <w:outlineLvl w:val="0"/>
        <w:rPr>
          <w:rFonts w:cs="Arial"/>
          <w:i/>
          <w:u w:val="single"/>
          <w:lang w:val="en-US"/>
        </w:rPr>
      </w:pPr>
      <w:r w:rsidRPr="00AE62AF">
        <w:rPr>
          <w:rFonts w:cs="Arial"/>
          <w:i/>
          <w:u w:val="single"/>
          <w:lang w:val="en-US"/>
        </w:rPr>
        <w:t xml:space="preserve">Renal impairment </w:t>
      </w:r>
    </w:p>
    <w:p w:rsidR="00AA0D07" w:rsidRPr="007D1775" w:rsidRDefault="00AA0D07" w:rsidP="00AA0D07">
      <w:pPr>
        <w:outlineLvl w:val="0"/>
        <w:rPr>
          <w:rFonts w:cs="Arial"/>
          <w:i/>
          <w:lang w:val="en-US"/>
        </w:rPr>
      </w:pPr>
      <w:r w:rsidRPr="007D1775">
        <w:rPr>
          <w:rFonts w:cs="Arial"/>
          <w:szCs w:val="22"/>
        </w:rPr>
        <w:t xml:space="preserve">In subjects with mild (creatinine clearance </w:t>
      </w:r>
      <w:r w:rsidRPr="007D1775">
        <w:rPr>
          <w:rFonts w:cs="Arial"/>
          <w:szCs w:val="22"/>
        </w:rPr>
        <w:sym w:font="Symbol" w:char="F0B3"/>
      </w:r>
      <w:r w:rsidRPr="007D1775">
        <w:rPr>
          <w:rFonts w:cs="Arial"/>
          <w:szCs w:val="22"/>
        </w:rPr>
        <w:t> 50 - &lt; 80 mL/min</w:t>
      </w:r>
      <w:r w:rsidR="008F3155" w:rsidRPr="007D1775">
        <w:rPr>
          <w:rFonts w:cs="Arial"/>
          <w:szCs w:val="22"/>
        </w:rPr>
        <w:t>) -</w:t>
      </w:r>
      <w:r w:rsidR="002424E3" w:rsidRPr="007D1775">
        <w:rPr>
          <w:rFonts w:cs="Arial"/>
          <w:szCs w:val="22"/>
        </w:rPr>
        <w:t xml:space="preserve"> CKD stage </w:t>
      </w:r>
      <w:r w:rsidR="00F6760E" w:rsidRPr="007D1775">
        <w:rPr>
          <w:rFonts w:cs="Arial"/>
          <w:szCs w:val="22"/>
        </w:rPr>
        <w:t>2</w:t>
      </w:r>
      <w:r w:rsidRPr="007D1775">
        <w:rPr>
          <w:rFonts w:cs="Arial"/>
          <w:szCs w:val="22"/>
        </w:rPr>
        <w:t xml:space="preserve"> and moderate (creatinine clearance </w:t>
      </w:r>
      <w:r w:rsidRPr="007D1775">
        <w:rPr>
          <w:rFonts w:cs="Arial"/>
          <w:szCs w:val="22"/>
        </w:rPr>
        <w:sym w:font="Symbol" w:char="F0B3"/>
      </w:r>
      <w:r w:rsidRPr="007D1775">
        <w:rPr>
          <w:rFonts w:cs="Arial"/>
          <w:szCs w:val="22"/>
        </w:rPr>
        <w:t> 30 </w:t>
      </w:r>
      <w:r w:rsidRPr="007D1775">
        <w:rPr>
          <w:rFonts w:cs="Arial"/>
          <w:szCs w:val="22"/>
        </w:rPr>
        <w:noBreakHyphen/>
        <w:t> &lt; 50 mL/min</w:t>
      </w:r>
      <w:r w:rsidR="008F3155" w:rsidRPr="007D1775">
        <w:rPr>
          <w:rFonts w:cs="Arial"/>
          <w:szCs w:val="22"/>
        </w:rPr>
        <w:t>) -</w:t>
      </w:r>
      <w:r w:rsidR="002424E3" w:rsidRPr="007D1775">
        <w:rPr>
          <w:rFonts w:cs="Arial"/>
          <w:szCs w:val="22"/>
        </w:rPr>
        <w:t xml:space="preserve"> CKD stage </w:t>
      </w:r>
      <w:r w:rsidR="00F417C5" w:rsidRPr="007D459F">
        <w:rPr>
          <w:rFonts w:cs="Arial"/>
          <w:szCs w:val="22"/>
        </w:rPr>
        <w:t xml:space="preserve">3 renal impairment, the pharmacokinetics of a single 200 mg dose of </w:t>
      </w:r>
      <w:proofErr w:type="spellStart"/>
      <w:r w:rsidR="00F417C5" w:rsidRPr="007D459F">
        <w:rPr>
          <w:rFonts w:cs="Arial"/>
          <w:szCs w:val="22"/>
        </w:rPr>
        <w:t>avanafil</w:t>
      </w:r>
      <w:proofErr w:type="spellEnd"/>
      <w:r w:rsidR="00F417C5" w:rsidRPr="007D459F">
        <w:rPr>
          <w:rFonts w:cs="Arial"/>
          <w:szCs w:val="22"/>
        </w:rPr>
        <w:t xml:space="preserve"> were not altered. There are no data available for subjects with severe renal insufficiency or end-stage renal disease on haemodialysis (see PRECAUTIONS).</w:t>
      </w:r>
      <w:r w:rsidR="00CD3D02" w:rsidRPr="007D1775">
        <w:rPr>
          <w:rFonts w:cs="Arial"/>
          <w:szCs w:val="22"/>
        </w:rPr>
        <w:t xml:space="preserve"> </w:t>
      </w:r>
    </w:p>
    <w:p w:rsidR="00AE62AF" w:rsidRPr="00AE62AF" w:rsidRDefault="00AE62AF" w:rsidP="00AE62AF">
      <w:pPr>
        <w:autoSpaceDE w:val="0"/>
        <w:autoSpaceDN w:val="0"/>
        <w:adjustRightInd w:val="0"/>
        <w:spacing w:before="120" w:after="120"/>
        <w:jc w:val="left"/>
        <w:rPr>
          <w:rFonts w:cs="Arial"/>
          <w:i/>
          <w:u w:val="single"/>
          <w:lang w:val="en-US"/>
        </w:rPr>
      </w:pPr>
      <w:r w:rsidRPr="00AE62AF">
        <w:rPr>
          <w:rFonts w:cs="Arial"/>
          <w:i/>
          <w:u w:val="single"/>
          <w:lang w:val="en-US"/>
        </w:rPr>
        <w:t xml:space="preserve">Hepatic impairment </w:t>
      </w:r>
    </w:p>
    <w:p w:rsidR="00AE62AF" w:rsidRDefault="00AA0D07" w:rsidP="003E668F">
      <w:pPr>
        <w:autoSpaceDE w:val="0"/>
        <w:autoSpaceDN w:val="0"/>
        <w:adjustRightInd w:val="0"/>
        <w:rPr>
          <w:rFonts w:cs="Arial"/>
          <w:szCs w:val="22"/>
        </w:rPr>
      </w:pPr>
      <w:r w:rsidRPr="007D1775">
        <w:rPr>
          <w:rFonts w:cs="Arial"/>
          <w:szCs w:val="22"/>
        </w:rPr>
        <w:t>Subjects with mild hepatic impairment (Child-Pugh A) had comparable exposure to subjects with normal hepatic function when a single dose of 200</w:t>
      </w:r>
      <w:r w:rsidR="00CD3D02" w:rsidRPr="007D1775">
        <w:rPr>
          <w:rFonts w:cs="Arial"/>
          <w:szCs w:val="22"/>
        </w:rPr>
        <w:t xml:space="preserve"> mg </w:t>
      </w:r>
      <w:proofErr w:type="spellStart"/>
      <w:r w:rsidR="00633D64" w:rsidRPr="007D1775">
        <w:rPr>
          <w:rFonts w:cs="Arial"/>
          <w:szCs w:val="22"/>
        </w:rPr>
        <w:t>avanafil</w:t>
      </w:r>
      <w:proofErr w:type="spellEnd"/>
      <w:r w:rsidR="00633D64" w:rsidRPr="007D1775">
        <w:rPr>
          <w:rFonts w:cs="Arial"/>
          <w:szCs w:val="22"/>
        </w:rPr>
        <w:t xml:space="preserve"> </w:t>
      </w:r>
      <w:r w:rsidR="00CD3D02" w:rsidRPr="007D1775">
        <w:rPr>
          <w:rFonts w:cs="Arial"/>
          <w:szCs w:val="22"/>
        </w:rPr>
        <w:t xml:space="preserve">was administered (see </w:t>
      </w:r>
      <w:r w:rsidR="00FE0C05" w:rsidRPr="007D1775">
        <w:rPr>
          <w:rFonts w:cs="Arial"/>
          <w:szCs w:val="22"/>
        </w:rPr>
        <w:t>PRECAUTIONS</w:t>
      </w:r>
      <w:r w:rsidR="00CD3D02" w:rsidRPr="007D1775">
        <w:rPr>
          <w:rFonts w:cs="Arial"/>
          <w:szCs w:val="22"/>
        </w:rPr>
        <w:t xml:space="preserve">). </w:t>
      </w:r>
      <w:r w:rsidR="007C157D" w:rsidRPr="007D1775">
        <w:rPr>
          <w:rFonts w:cs="Arial"/>
          <w:szCs w:val="22"/>
        </w:rPr>
        <w:t xml:space="preserve">In patients with moderate hepatic impairment (Child Pugh Class B, </w:t>
      </w:r>
      <w:proofErr w:type="spellStart"/>
      <w:r w:rsidR="00367600" w:rsidRPr="007D1775">
        <w:rPr>
          <w:rFonts w:cs="Arial"/>
          <w:szCs w:val="22"/>
          <w:lang w:eastAsia="en-AU"/>
        </w:rPr>
        <w:t>a</w:t>
      </w:r>
      <w:r w:rsidR="007C157D" w:rsidRPr="007D1775">
        <w:rPr>
          <w:rFonts w:cs="Arial"/>
          <w:szCs w:val="22"/>
          <w:lang w:eastAsia="en-AU"/>
        </w:rPr>
        <w:t>vanafil</w:t>
      </w:r>
      <w:proofErr w:type="spellEnd"/>
      <w:r w:rsidR="007C157D" w:rsidRPr="007D1775">
        <w:rPr>
          <w:rFonts w:cs="Arial"/>
          <w:szCs w:val="22"/>
          <w:lang w:eastAsia="en-AU"/>
        </w:rPr>
        <w:t xml:space="preserve"> </w:t>
      </w:r>
      <w:proofErr w:type="spellStart"/>
      <w:r w:rsidR="007C157D" w:rsidRPr="007D1775">
        <w:rPr>
          <w:rFonts w:cs="Arial"/>
          <w:szCs w:val="22"/>
          <w:lang w:eastAsia="en-AU"/>
        </w:rPr>
        <w:t>C</w:t>
      </w:r>
      <w:r w:rsidR="007C157D" w:rsidRPr="007D1775">
        <w:rPr>
          <w:rFonts w:cs="Arial"/>
          <w:szCs w:val="22"/>
          <w:vertAlign w:val="subscript"/>
          <w:lang w:eastAsia="en-AU"/>
        </w:rPr>
        <w:t>max</w:t>
      </w:r>
      <w:proofErr w:type="spellEnd"/>
      <w:r w:rsidR="007C157D" w:rsidRPr="007D1775">
        <w:rPr>
          <w:rFonts w:cs="Arial"/>
          <w:szCs w:val="22"/>
          <w:lang w:eastAsia="en-AU"/>
        </w:rPr>
        <w:t xml:space="preserve"> was approximately 51% lower and AUC was 11% higher compared to subjects with normal hepatic function.</w:t>
      </w:r>
      <w:r w:rsidR="00AE62AF" w:rsidRPr="00AE62AF">
        <w:rPr>
          <w:rFonts w:cs="Arial"/>
          <w:sz w:val="19"/>
          <w:szCs w:val="19"/>
          <w:lang w:eastAsia="en-AU"/>
        </w:rPr>
        <w:t xml:space="preserve"> </w:t>
      </w:r>
      <w:r w:rsidRPr="007D1775">
        <w:rPr>
          <w:rFonts w:cs="Arial"/>
          <w:szCs w:val="22"/>
        </w:rPr>
        <w:t xml:space="preserve">The exposure 4 hours post-dose was lower in subjects with moderate hepatic impairment (Child-Pugh B) compared to subject with normal hepatic function after 200 mg of </w:t>
      </w:r>
      <w:proofErr w:type="spellStart"/>
      <w:r w:rsidR="00633D64" w:rsidRPr="007D1775">
        <w:rPr>
          <w:rFonts w:cs="Arial"/>
          <w:szCs w:val="22"/>
        </w:rPr>
        <w:t>avanafil</w:t>
      </w:r>
      <w:proofErr w:type="spellEnd"/>
      <w:r w:rsidRPr="007D1775">
        <w:rPr>
          <w:rFonts w:cs="Arial"/>
          <w:szCs w:val="22"/>
        </w:rPr>
        <w:t xml:space="preserve">. The </w:t>
      </w:r>
      <w:r w:rsidRPr="007D1775">
        <w:rPr>
          <w:rFonts w:cs="Arial"/>
          <w:szCs w:val="22"/>
        </w:rPr>
        <w:lastRenderedPageBreak/>
        <w:t xml:space="preserve">maximum concentration and exposure was similar to that observed after subjects with normal hepatic function received an efficacious </w:t>
      </w:r>
      <w:proofErr w:type="spellStart"/>
      <w:r w:rsidR="00633D64" w:rsidRPr="007D1775">
        <w:rPr>
          <w:rFonts w:cs="Arial"/>
          <w:szCs w:val="22"/>
        </w:rPr>
        <w:t>avanafil</w:t>
      </w:r>
      <w:proofErr w:type="spellEnd"/>
      <w:r w:rsidR="00633D64" w:rsidRPr="007D1775">
        <w:rPr>
          <w:rFonts w:cs="Arial"/>
          <w:szCs w:val="22"/>
        </w:rPr>
        <w:t xml:space="preserve"> </w:t>
      </w:r>
      <w:r w:rsidRPr="007D1775">
        <w:rPr>
          <w:rFonts w:cs="Arial"/>
          <w:szCs w:val="22"/>
        </w:rPr>
        <w:t>100 mg dose.</w:t>
      </w:r>
    </w:p>
    <w:p w:rsidR="00B541CE" w:rsidRPr="007D1775" w:rsidRDefault="00B541CE">
      <w:pPr>
        <w:pStyle w:val="Heading1"/>
        <w:rPr>
          <w:rFonts w:cs="Arial"/>
        </w:rPr>
      </w:pPr>
      <w:r w:rsidRPr="007D1775">
        <w:rPr>
          <w:rFonts w:cs="Arial"/>
        </w:rPr>
        <w:t>Clinical Trials</w:t>
      </w:r>
    </w:p>
    <w:p w:rsidR="00903171" w:rsidRPr="007D1775" w:rsidRDefault="00F3116E" w:rsidP="00D4375F">
      <w:pPr>
        <w:numPr>
          <w:ilvl w:val="12"/>
          <w:numId w:val="0"/>
        </w:numPr>
        <w:rPr>
          <w:rFonts w:cs="Arial"/>
          <w:szCs w:val="22"/>
        </w:rPr>
      </w:pPr>
      <w:r w:rsidRPr="007D1775">
        <w:rPr>
          <w:rFonts w:cs="Arial"/>
          <w:szCs w:val="22"/>
        </w:rPr>
        <w:t>SPEDRA</w:t>
      </w:r>
      <w:r w:rsidR="00903171" w:rsidRPr="007D1775">
        <w:rPr>
          <w:rFonts w:cs="Arial"/>
          <w:szCs w:val="22"/>
        </w:rPr>
        <w:t xml:space="preserve"> when taken on demand up to once </w:t>
      </w:r>
      <w:r w:rsidR="00367600" w:rsidRPr="007D1775">
        <w:rPr>
          <w:rFonts w:cs="Arial"/>
          <w:szCs w:val="22"/>
        </w:rPr>
        <w:t>daily</w:t>
      </w:r>
      <w:r w:rsidR="00903171" w:rsidRPr="007D1775">
        <w:rPr>
          <w:rFonts w:cs="Arial"/>
          <w:szCs w:val="22"/>
        </w:rPr>
        <w:t xml:space="preserve"> is effective in improving erectile function in men with erectile dysfunction (ED). In clinical studies assessing patients’ ability to engage in successful and satisfying sexual activity, </w:t>
      </w:r>
      <w:r w:rsidRPr="007D1775">
        <w:rPr>
          <w:rFonts w:cs="Arial"/>
          <w:szCs w:val="22"/>
        </w:rPr>
        <w:t>SPEDRA</w:t>
      </w:r>
      <w:r w:rsidR="00DD7B85" w:rsidRPr="007D1775">
        <w:rPr>
          <w:rFonts w:cs="Arial"/>
          <w:szCs w:val="22"/>
        </w:rPr>
        <w:t xml:space="preserve"> </w:t>
      </w:r>
      <w:r w:rsidR="00903171" w:rsidRPr="007D1775">
        <w:rPr>
          <w:rFonts w:cs="Arial"/>
          <w:szCs w:val="22"/>
        </w:rPr>
        <w:t xml:space="preserve">demonstrated highly statistically significant improvement compared to placebo. </w:t>
      </w:r>
    </w:p>
    <w:p w:rsidR="00822863" w:rsidRPr="007D1775" w:rsidRDefault="00F3116E" w:rsidP="00325A59">
      <w:pPr>
        <w:numPr>
          <w:ilvl w:val="12"/>
          <w:numId w:val="0"/>
        </w:numPr>
        <w:rPr>
          <w:rFonts w:cs="Arial"/>
          <w:szCs w:val="22"/>
        </w:rPr>
      </w:pPr>
      <w:r w:rsidRPr="007D1775">
        <w:rPr>
          <w:rFonts w:cs="Arial"/>
          <w:szCs w:val="22"/>
        </w:rPr>
        <w:t>SPEDRA</w:t>
      </w:r>
      <w:r w:rsidR="00D4375F" w:rsidRPr="007D1775">
        <w:rPr>
          <w:rFonts w:cs="Arial"/>
          <w:szCs w:val="22"/>
        </w:rPr>
        <w:t xml:space="preserve"> </w:t>
      </w:r>
      <w:r w:rsidR="00F722EB" w:rsidRPr="007D1775">
        <w:rPr>
          <w:rFonts w:cs="Arial"/>
          <w:szCs w:val="22"/>
        </w:rPr>
        <w:t>was evaluated in</w:t>
      </w:r>
      <w:r w:rsidR="00A92146" w:rsidRPr="007D1775">
        <w:rPr>
          <w:rFonts w:cs="Arial"/>
          <w:szCs w:val="22"/>
        </w:rPr>
        <w:t xml:space="preserve"> 4 </w:t>
      </w:r>
      <w:r w:rsidR="00F722EB" w:rsidRPr="007D1775">
        <w:rPr>
          <w:rFonts w:cs="Arial"/>
          <w:szCs w:val="22"/>
        </w:rPr>
        <w:t>randomi</w:t>
      </w:r>
      <w:r w:rsidR="009956B2" w:rsidRPr="007D1775">
        <w:rPr>
          <w:rFonts w:cs="Arial"/>
          <w:szCs w:val="22"/>
        </w:rPr>
        <w:t>s</w:t>
      </w:r>
      <w:r w:rsidR="00F722EB" w:rsidRPr="007D1775">
        <w:rPr>
          <w:rFonts w:cs="Arial"/>
          <w:szCs w:val="22"/>
        </w:rPr>
        <w:t>ed, double-blind, placebo-controlled, parallel group trials o</w:t>
      </w:r>
      <w:r w:rsidR="00A92146" w:rsidRPr="007D1775">
        <w:rPr>
          <w:rFonts w:cs="Arial"/>
          <w:szCs w:val="22"/>
        </w:rPr>
        <w:t>f u</w:t>
      </w:r>
      <w:r w:rsidR="006B4F71" w:rsidRPr="007D1775">
        <w:rPr>
          <w:rFonts w:cs="Arial"/>
          <w:szCs w:val="22"/>
        </w:rPr>
        <w:t xml:space="preserve">p to 3 months in duration in patients with erectile dysfunction in the general population, as well as with </w:t>
      </w:r>
      <w:r w:rsidR="00DD7B85" w:rsidRPr="007D1775">
        <w:rPr>
          <w:rFonts w:cs="Arial"/>
          <w:szCs w:val="22"/>
        </w:rPr>
        <w:t>the following aet</w:t>
      </w:r>
      <w:r w:rsidR="006B4F71" w:rsidRPr="007D1775">
        <w:rPr>
          <w:rFonts w:cs="Arial"/>
          <w:szCs w:val="22"/>
        </w:rPr>
        <w:t>iol</w:t>
      </w:r>
      <w:r w:rsidR="00DD7B85" w:rsidRPr="007D1775">
        <w:rPr>
          <w:rFonts w:cs="Arial"/>
          <w:szCs w:val="22"/>
        </w:rPr>
        <w:t>o</w:t>
      </w:r>
      <w:r w:rsidR="006B4F71" w:rsidRPr="007D1775">
        <w:rPr>
          <w:rFonts w:cs="Arial"/>
          <w:szCs w:val="22"/>
        </w:rPr>
        <w:t xml:space="preserve">gies; </w:t>
      </w:r>
      <w:r w:rsidR="00A92146" w:rsidRPr="007D1775">
        <w:rPr>
          <w:rFonts w:cs="Arial"/>
          <w:szCs w:val="22"/>
        </w:rPr>
        <w:t>patients</w:t>
      </w:r>
      <w:r w:rsidR="00902713" w:rsidRPr="007D1775">
        <w:rPr>
          <w:rFonts w:cs="Arial"/>
          <w:szCs w:val="22"/>
        </w:rPr>
        <w:t xml:space="preserve"> with Type 1 or Type 2 diabetes</w:t>
      </w:r>
      <w:r w:rsidR="00A92146" w:rsidRPr="007D1775">
        <w:rPr>
          <w:rFonts w:cs="Arial"/>
          <w:szCs w:val="22"/>
        </w:rPr>
        <w:t xml:space="preserve">, and in patients following bilateral nerve-sparing radical prostatectomy. </w:t>
      </w:r>
      <w:r w:rsidR="00215599" w:rsidRPr="007D1775">
        <w:rPr>
          <w:rFonts w:cs="Arial"/>
          <w:szCs w:val="22"/>
        </w:rPr>
        <w:t>The 4</w:t>
      </w:r>
      <w:r w:rsidR="00215599" w:rsidRPr="007D1775">
        <w:rPr>
          <w:rFonts w:cs="Arial"/>
          <w:szCs w:val="22"/>
          <w:vertAlign w:val="superscript"/>
        </w:rPr>
        <w:t>th</w:t>
      </w:r>
      <w:r w:rsidR="00215599" w:rsidRPr="007D1775">
        <w:rPr>
          <w:rFonts w:cs="Arial"/>
          <w:szCs w:val="22"/>
        </w:rPr>
        <w:t xml:space="preserve"> study, a </w:t>
      </w:r>
      <w:r w:rsidR="002105F8">
        <w:rPr>
          <w:rFonts w:cs="Arial"/>
          <w:szCs w:val="22"/>
        </w:rPr>
        <w:t>p</w:t>
      </w:r>
      <w:r w:rsidR="00215599" w:rsidRPr="007D1775">
        <w:rPr>
          <w:rFonts w:cs="Arial"/>
          <w:szCs w:val="22"/>
        </w:rPr>
        <w:t xml:space="preserve">hase 4 trial, </w:t>
      </w:r>
      <w:r w:rsidR="00D360C5" w:rsidRPr="007D1775">
        <w:rPr>
          <w:rFonts w:cs="Arial"/>
          <w:szCs w:val="22"/>
        </w:rPr>
        <w:t>evaluated the onset of</w:t>
      </w:r>
      <w:r w:rsidR="00822863" w:rsidRPr="007D1775">
        <w:rPr>
          <w:rFonts w:cs="Arial"/>
          <w:szCs w:val="22"/>
        </w:rPr>
        <w:t xml:space="preserve"> action of </w:t>
      </w:r>
      <w:r w:rsidRPr="007D1775">
        <w:rPr>
          <w:rFonts w:cs="Arial"/>
          <w:szCs w:val="22"/>
        </w:rPr>
        <w:t>SPEDRA</w:t>
      </w:r>
      <w:r w:rsidR="00822863" w:rsidRPr="007D1775">
        <w:rPr>
          <w:rFonts w:cs="Arial"/>
          <w:szCs w:val="22"/>
        </w:rPr>
        <w:t xml:space="preserve"> at two doses (100 and 200 mg) in terms of per-subject proportion of sexual attempts resulting in satisfactory completion of sexual intercourse.</w:t>
      </w:r>
      <w:r w:rsidR="00D360C5" w:rsidRPr="007D1775">
        <w:rPr>
          <w:rFonts w:cs="Arial"/>
          <w:szCs w:val="22"/>
        </w:rPr>
        <w:t xml:space="preserve"> </w:t>
      </w:r>
    </w:p>
    <w:p w:rsidR="00C737D7" w:rsidRPr="007D1775" w:rsidRDefault="00902713" w:rsidP="00325A59">
      <w:pPr>
        <w:rPr>
          <w:rFonts w:cs="Arial"/>
        </w:rPr>
      </w:pPr>
      <w:r w:rsidRPr="007D1775">
        <w:rPr>
          <w:rFonts w:cs="Arial"/>
          <w:szCs w:val="22"/>
        </w:rPr>
        <w:t xml:space="preserve">A total of 1774 </w:t>
      </w:r>
      <w:r w:rsidR="007D20D1" w:rsidRPr="007D1775">
        <w:rPr>
          <w:rFonts w:cs="Arial"/>
          <w:szCs w:val="22"/>
        </w:rPr>
        <w:t xml:space="preserve">patients received </w:t>
      </w:r>
      <w:r w:rsidR="00F3116E" w:rsidRPr="007D1775">
        <w:rPr>
          <w:rFonts w:cs="Arial"/>
          <w:szCs w:val="22"/>
        </w:rPr>
        <w:t>SPEDRA</w:t>
      </w:r>
      <w:r w:rsidRPr="007D1775">
        <w:rPr>
          <w:rFonts w:cs="Arial"/>
          <w:szCs w:val="22"/>
        </w:rPr>
        <w:t xml:space="preserve">, which was taken </w:t>
      </w:r>
      <w:r w:rsidR="00F722EB" w:rsidRPr="007D1775">
        <w:rPr>
          <w:rFonts w:cs="Arial"/>
          <w:szCs w:val="22"/>
        </w:rPr>
        <w:t>as needed at doses of 50 mg</w:t>
      </w:r>
      <w:r w:rsidR="00D4375F" w:rsidRPr="007D1775">
        <w:rPr>
          <w:rFonts w:cs="Arial"/>
          <w:szCs w:val="22"/>
        </w:rPr>
        <w:t xml:space="preserve"> (one study only), </w:t>
      </w:r>
      <w:r w:rsidR="00F722EB" w:rsidRPr="007D1775">
        <w:rPr>
          <w:rFonts w:cs="Arial"/>
          <w:szCs w:val="22"/>
        </w:rPr>
        <w:t>100 mg, and 200 mg</w:t>
      </w:r>
      <w:r w:rsidR="00D4375F" w:rsidRPr="007D1775">
        <w:rPr>
          <w:rFonts w:cs="Arial"/>
          <w:szCs w:val="22"/>
        </w:rPr>
        <w:t xml:space="preserve"> (all four studies)</w:t>
      </w:r>
      <w:r w:rsidR="00F722EB" w:rsidRPr="007D1775">
        <w:rPr>
          <w:rFonts w:cs="Arial"/>
          <w:szCs w:val="22"/>
        </w:rPr>
        <w:t>.</w:t>
      </w:r>
      <w:r w:rsidR="00D360C5" w:rsidRPr="007D1775">
        <w:rPr>
          <w:rFonts w:cs="Arial"/>
          <w:szCs w:val="22"/>
        </w:rPr>
        <w:t xml:space="preserve"> </w:t>
      </w:r>
      <w:r w:rsidR="00F722EB" w:rsidRPr="007D1775">
        <w:rPr>
          <w:rFonts w:cs="Arial"/>
          <w:szCs w:val="22"/>
        </w:rPr>
        <w:t xml:space="preserve">Patients were instructed to take </w:t>
      </w:r>
      <w:r w:rsidR="008975E0" w:rsidRPr="007D1775">
        <w:rPr>
          <w:rFonts w:cs="Arial"/>
          <w:szCs w:val="22"/>
        </w:rPr>
        <w:t>one</w:t>
      </w:r>
      <w:r w:rsidR="00F722EB" w:rsidRPr="007D1775">
        <w:rPr>
          <w:rFonts w:cs="Arial"/>
          <w:szCs w:val="22"/>
        </w:rPr>
        <w:t xml:space="preserve"> dose of study </w:t>
      </w:r>
      <w:r w:rsidR="00D4375F" w:rsidRPr="007D1775">
        <w:rPr>
          <w:rFonts w:cs="Arial"/>
          <w:szCs w:val="22"/>
        </w:rPr>
        <w:t>medication</w:t>
      </w:r>
      <w:r w:rsidR="00F722EB" w:rsidRPr="007D1775">
        <w:rPr>
          <w:rFonts w:cs="Arial"/>
          <w:szCs w:val="22"/>
        </w:rPr>
        <w:t xml:space="preserve"> approximately 30 minutes prior to initiation of sexual activity. </w:t>
      </w:r>
      <w:r w:rsidR="00903171" w:rsidRPr="007D1775">
        <w:rPr>
          <w:rFonts w:cs="Arial"/>
          <w:szCs w:val="22"/>
        </w:rPr>
        <w:t xml:space="preserve">In addition, </w:t>
      </w:r>
      <w:proofErr w:type="gramStart"/>
      <w:r w:rsidR="00903171" w:rsidRPr="007D1775">
        <w:rPr>
          <w:rFonts w:cs="Arial"/>
          <w:szCs w:val="22"/>
        </w:rPr>
        <w:t>a subset of patients from 2 of these trials were</w:t>
      </w:r>
      <w:proofErr w:type="gramEnd"/>
      <w:r w:rsidR="00903171" w:rsidRPr="007D1775">
        <w:rPr>
          <w:rFonts w:cs="Arial"/>
          <w:szCs w:val="22"/>
        </w:rPr>
        <w:t xml:space="preserve"> enrolled into an open-label extension trial with 493 patients receiving </w:t>
      </w:r>
      <w:r w:rsidR="00F3116E" w:rsidRPr="007D1775">
        <w:rPr>
          <w:rFonts w:cs="Arial"/>
          <w:szCs w:val="22"/>
        </w:rPr>
        <w:t>SPEDRA</w:t>
      </w:r>
      <w:r w:rsidR="00903171" w:rsidRPr="007D1775">
        <w:rPr>
          <w:rFonts w:cs="Arial"/>
          <w:szCs w:val="22"/>
        </w:rPr>
        <w:t xml:space="preserve"> for at least 6 months and 153 patients for at least 12 months. Patients were initially assigned to </w:t>
      </w:r>
      <w:r w:rsidR="00F3116E" w:rsidRPr="007D1775">
        <w:rPr>
          <w:rFonts w:cs="Arial"/>
          <w:szCs w:val="22"/>
        </w:rPr>
        <w:t>SPEDRA</w:t>
      </w:r>
      <w:r w:rsidR="00903171" w:rsidRPr="007D1775">
        <w:rPr>
          <w:rFonts w:cs="Arial"/>
          <w:szCs w:val="22"/>
        </w:rPr>
        <w:t xml:space="preserve"> 100 mg and at any point during the trial, they could request to have their dose of </w:t>
      </w:r>
      <w:r w:rsidR="00F3116E" w:rsidRPr="007D1775">
        <w:rPr>
          <w:rFonts w:cs="Arial"/>
          <w:szCs w:val="22"/>
        </w:rPr>
        <w:t>SPEDRA</w:t>
      </w:r>
      <w:r w:rsidR="00903171" w:rsidRPr="007D1775">
        <w:rPr>
          <w:rFonts w:cs="Arial"/>
          <w:szCs w:val="22"/>
        </w:rPr>
        <w:t xml:space="preserve"> increased to 200 mg or decreased to 50 mg based on their individual response to treatment.</w:t>
      </w:r>
      <w:r w:rsidR="00C737D7" w:rsidRPr="007D1775">
        <w:rPr>
          <w:rFonts w:cs="Arial"/>
        </w:rPr>
        <w:t xml:space="preserve"> In total, 536 (approximately 75%) patients increased their dose to 200 mg and 5 (less than 1%) patients reduced their dose to 50 mg. </w:t>
      </w:r>
    </w:p>
    <w:p w:rsidR="00C21857" w:rsidRPr="007D1775" w:rsidRDefault="00903171" w:rsidP="00325A59">
      <w:pPr>
        <w:numPr>
          <w:ilvl w:val="12"/>
          <w:numId w:val="0"/>
        </w:numPr>
        <w:rPr>
          <w:rFonts w:cs="Arial"/>
          <w:szCs w:val="22"/>
        </w:rPr>
      </w:pPr>
      <w:r w:rsidRPr="007D1775">
        <w:rPr>
          <w:rFonts w:cs="Arial"/>
          <w:szCs w:val="22"/>
        </w:rPr>
        <w:t>I</w:t>
      </w:r>
      <w:r w:rsidR="00D4375F" w:rsidRPr="007D1775">
        <w:rPr>
          <w:rFonts w:cs="Arial"/>
          <w:szCs w:val="22"/>
        </w:rPr>
        <w:t xml:space="preserve">n </w:t>
      </w:r>
      <w:r w:rsidR="00902713" w:rsidRPr="007D1775">
        <w:rPr>
          <w:rFonts w:cs="Arial"/>
          <w:szCs w:val="22"/>
        </w:rPr>
        <w:t xml:space="preserve">the </w:t>
      </w:r>
      <w:r w:rsidR="002105F8">
        <w:rPr>
          <w:rFonts w:cs="Arial"/>
          <w:szCs w:val="22"/>
        </w:rPr>
        <w:t>p</w:t>
      </w:r>
      <w:r w:rsidR="00902713" w:rsidRPr="007D1775">
        <w:rPr>
          <w:rFonts w:cs="Arial"/>
          <w:szCs w:val="22"/>
        </w:rPr>
        <w:t>hase 4 study</w:t>
      </w:r>
      <w:r w:rsidR="002424E3" w:rsidRPr="007D1775">
        <w:rPr>
          <w:rFonts w:cs="Arial"/>
          <w:szCs w:val="22"/>
        </w:rPr>
        <w:t xml:space="preserve"> (time to onset study)</w:t>
      </w:r>
      <w:r w:rsidR="00902713" w:rsidRPr="007D1775">
        <w:rPr>
          <w:rFonts w:cs="Arial"/>
          <w:szCs w:val="22"/>
        </w:rPr>
        <w:t xml:space="preserve">, </w:t>
      </w:r>
      <w:r w:rsidR="00D4375F" w:rsidRPr="007D1775">
        <w:rPr>
          <w:rFonts w:cs="Arial"/>
          <w:szCs w:val="22"/>
        </w:rPr>
        <w:t xml:space="preserve">patients were encouraged to attempt sexual intercourse approximately 15 minutes </w:t>
      </w:r>
      <w:r w:rsidR="00905258" w:rsidRPr="007D1775">
        <w:rPr>
          <w:rFonts w:cs="Arial"/>
          <w:szCs w:val="22"/>
        </w:rPr>
        <w:t xml:space="preserve">after </w:t>
      </w:r>
      <w:r w:rsidR="00D4375F" w:rsidRPr="007D1775">
        <w:rPr>
          <w:rFonts w:cs="Arial"/>
          <w:szCs w:val="22"/>
        </w:rPr>
        <w:t xml:space="preserve">dosing, to assess the onset of the </w:t>
      </w:r>
      <w:r w:rsidR="00AA2538" w:rsidRPr="007D1775">
        <w:rPr>
          <w:rFonts w:cs="Arial"/>
          <w:szCs w:val="22"/>
        </w:rPr>
        <w:t xml:space="preserve">erectile </w:t>
      </w:r>
      <w:r w:rsidR="00D4375F" w:rsidRPr="007D1775">
        <w:rPr>
          <w:rFonts w:cs="Arial"/>
          <w:szCs w:val="22"/>
        </w:rPr>
        <w:t xml:space="preserve">effect of </w:t>
      </w:r>
      <w:r w:rsidR="00F3116E" w:rsidRPr="007D1775">
        <w:rPr>
          <w:rFonts w:cs="Arial"/>
          <w:szCs w:val="22"/>
        </w:rPr>
        <w:t>SPEDRA</w:t>
      </w:r>
      <w:r w:rsidR="00D4375F" w:rsidRPr="007D1775">
        <w:rPr>
          <w:rFonts w:cs="Arial"/>
          <w:szCs w:val="22"/>
        </w:rPr>
        <w:t xml:space="preserve">, taken on an as needed  basis, at </w:t>
      </w:r>
      <w:r w:rsidR="009956B2" w:rsidRPr="007D1775">
        <w:rPr>
          <w:rFonts w:cs="Arial"/>
          <w:szCs w:val="22"/>
        </w:rPr>
        <w:t xml:space="preserve">a </w:t>
      </w:r>
      <w:r w:rsidR="00D4375F" w:rsidRPr="007D1775">
        <w:rPr>
          <w:rFonts w:cs="Arial"/>
          <w:szCs w:val="22"/>
        </w:rPr>
        <w:t>100 and 200 mg dose.</w:t>
      </w:r>
    </w:p>
    <w:p w:rsidR="00AE62AF" w:rsidRDefault="00C21857" w:rsidP="00AE62AF">
      <w:pPr>
        <w:autoSpaceDE w:val="0"/>
        <w:autoSpaceDN w:val="0"/>
        <w:adjustRightInd w:val="0"/>
        <w:jc w:val="left"/>
        <w:rPr>
          <w:rFonts w:cs="Arial"/>
          <w:szCs w:val="22"/>
        </w:rPr>
      </w:pPr>
      <w:r w:rsidRPr="007D1775">
        <w:rPr>
          <w:rFonts w:cs="Arial"/>
          <w:szCs w:val="22"/>
        </w:rPr>
        <w:t>F</w:t>
      </w:r>
      <w:r w:rsidR="00DD7B85" w:rsidRPr="007D1775">
        <w:rPr>
          <w:rFonts w:cs="Arial"/>
          <w:szCs w:val="22"/>
        </w:rPr>
        <w:t>ood and alcohol were not restricted</w:t>
      </w:r>
      <w:r w:rsidRPr="007D1775">
        <w:rPr>
          <w:rFonts w:cs="Arial"/>
          <w:szCs w:val="22"/>
        </w:rPr>
        <w:t xml:space="preserve"> in all trials. </w:t>
      </w:r>
      <w:r w:rsidR="00DD7B85" w:rsidRPr="007D1775">
        <w:rPr>
          <w:rFonts w:cs="Arial"/>
          <w:szCs w:val="22"/>
        </w:rPr>
        <w:t xml:space="preserve">  </w:t>
      </w:r>
      <w:r w:rsidR="00AE62AF" w:rsidRPr="00AE62AF">
        <w:rPr>
          <w:rFonts w:cs="Arial"/>
          <w:sz w:val="24"/>
          <w:szCs w:val="24"/>
          <w:lang w:eastAsia="en-AU"/>
        </w:rPr>
        <w:t xml:space="preserve"> </w:t>
      </w:r>
    </w:p>
    <w:p w:rsidR="00894082" w:rsidRPr="007D1775" w:rsidRDefault="008975E0" w:rsidP="00325A59">
      <w:pPr>
        <w:numPr>
          <w:ilvl w:val="12"/>
          <w:numId w:val="0"/>
        </w:numPr>
        <w:rPr>
          <w:rFonts w:cs="Arial"/>
          <w:i/>
          <w:szCs w:val="22"/>
        </w:rPr>
      </w:pPr>
      <w:r w:rsidRPr="007D1775">
        <w:rPr>
          <w:rFonts w:cs="Arial"/>
          <w:szCs w:val="22"/>
        </w:rPr>
        <w:t xml:space="preserve">Several assessment </w:t>
      </w:r>
      <w:r w:rsidR="00D360C5" w:rsidRPr="007D1775">
        <w:rPr>
          <w:rFonts w:cs="Arial"/>
          <w:szCs w:val="22"/>
        </w:rPr>
        <w:t xml:space="preserve">questionnaires </w:t>
      </w:r>
      <w:r w:rsidRPr="007D1775">
        <w:rPr>
          <w:rFonts w:cs="Arial"/>
          <w:szCs w:val="22"/>
        </w:rPr>
        <w:t xml:space="preserve">were used </w:t>
      </w:r>
      <w:r w:rsidR="0091799C" w:rsidRPr="007D1775">
        <w:rPr>
          <w:rFonts w:cs="Arial"/>
          <w:szCs w:val="22"/>
        </w:rPr>
        <w:t>to measure t</w:t>
      </w:r>
      <w:r w:rsidR="009E1E76" w:rsidRPr="007D1775">
        <w:rPr>
          <w:rFonts w:cs="Arial"/>
          <w:szCs w:val="22"/>
        </w:rPr>
        <w:t xml:space="preserve">he </w:t>
      </w:r>
      <w:r w:rsidR="0091799C" w:rsidRPr="007D1775">
        <w:rPr>
          <w:rFonts w:cs="Arial"/>
          <w:szCs w:val="22"/>
        </w:rPr>
        <w:t xml:space="preserve">primary </w:t>
      </w:r>
      <w:r w:rsidR="009E1E76" w:rsidRPr="007D1775">
        <w:rPr>
          <w:rFonts w:cs="Arial"/>
          <w:szCs w:val="22"/>
        </w:rPr>
        <w:t xml:space="preserve">effect of </w:t>
      </w:r>
      <w:r w:rsidR="00F3116E" w:rsidRPr="007D1775">
        <w:rPr>
          <w:rFonts w:cs="Arial"/>
          <w:szCs w:val="22"/>
        </w:rPr>
        <w:t>SPEDRA</w:t>
      </w:r>
      <w:r w:rsidR="009E1E76" w:rsidRPr="007D1775">
        <w:rPr>
          <w:rFonts w:cs="Arial"/>
          <w:szCs w:val="22"/>
        </w:rPr>
        <w:t xml:space="preserve"> in patients with erectile dysfunction.</w:t>
      </w:r>
      <w:r w:rsidRPr="007D1775">
        <w:rPr>
          <w:rFonts w:cs="Arial"/>
          <w:szCs w:val="22"/>
        </w:rPr>
        <w:t xml:space="preserve"> </w:t>
      </w:r>
      <w:r w:rsidR="00894082" w:rsidRPr="007D1775">
        <w:rPr>
          <w:rFonts w:cs="Arial"/>
          <w:szCs w:val="22"/>
        </w:rPr>
        <w:t>The 3 primary outcome measures were the erectile function domain of the International Index of Erectile Function (IIEF) and Questions 2 and 3 from Sexual Encounter Profile (SEP). The IIEF is a 4-week recall questionnaire that was administered at baseline and at 4-week intervals during treatment. The IIEF erectile function domain has a 30-point total score, where the higher scores reflect better erectile function. The SEP</w:t>
      </w:r>
      <w:r w:rsidR="00486775" w:rsidRPr="007D1775">
        <w:rPr>
          <w:rFonts w:cs="Arial"/>
          <w:szCs w:val="22"/>
        </w:rPr>
        <w:t xml:space="preserve"> </w:t>
      </w:r>
      <w:r w:rsidR="00894082" w:rsidRPr="007D1775">
        <w:rPr>
          <w:rFonts w:cs="Arial"/>
          <w:szCs w:val="22"/>
        </w:rPr>
        <w:t xml:space="preserve">included diary-based measures of erectile function. </w:t>
      </w:r>
      <w:r w:rsidR="00F251EB" w:rsidRPr="007D1775">
        <w:rPr>
          <w:rFonts w:cs="Arial"/>
          <w:szCs w:val="22"/>
        </w:rPr>
        <w:t>SEP Question 2 assessed the ability to</w:t>
      </w:r>
      <w:r w:rsidR="007B2FEC" w:rsidRPr="007D1775">
        <w:rPr>
          <w:rFonts w:cs="Arial"/>
          <w:szCs w:val="22"/>
        </w:rPr>
        <w:t xml:space="preserve"> penetrate the partner’s vagina,</w:t>
      </w:r>
      <w:r w:rsidR="00F251EB" w:rsidRPr="007D1775">
        <w:rPr>
          <w:rFonts w:cs="Arial"/>
          <w:szCs w:val="22"/>
        </w:rPr>
        <w:t xml:space="preserve"> and</w:t>
      </w:r>
      <w:r w:rsidR="007B2FEC" w:rsidRPr="007D1775">
        <w:rPr>
          <w:rFonts w:cs="Arial"/>
          <w:szCs w:val="22"/>
        </w:rPr>
        <w:t xml:space="preserve"> </w:t>
      </w:r>
      <w:r w:rsidR="00F251EB" w:rsidRPr="007D1775">
        <w:rPr>
          <w:rFonts w:cs="Arial"/>
          <w:szCs w:val="22"/>
        </w:rPr>
        <w:t>SEP Question 3 assessed the a</w:t>
      </w:r>
      <w:r w:rsidR="007B2FEC" w:rsidRPr="007D1775">
        <w:rPr>
          <w:rFonts w:cs="Arial"/>
          <w:szCs w:val="22"/>
        </w:rPr>
        <w:t>bility to maintain the erection</w:t>
      </w:r>
      <w:r w:rsidR="00F251EB" w:rsidRPr="007D1775">
        <w:rPr>
          <w:rFonts w:cs="Arial"/>
          <w:szCs w:val="22"/>
        </w:rPr>
        <w:t xml:space="preserve">.  </w:t>
      </w:r>
      <w:r w:rsidR="00894082" w:rsidRPr="007D1775">
        <w:rPr>
          <w:rFonts w:cs="Arial"/>
          <w:szCs w:val="22"/>
        </w:rPr>
        <w:t xml:space="preserve">Patients recorded information regarding each sexual attempt made throughout the trial. </w:t>
      </w:r>
    </w:p>
    <w:p w:rsidR="00255503" w:rsidRPr="007D1775" w:rsidRDefault="00255503" w:rsidP="00325A59">
      <w:pPr>
        <w:numPr>
          <w:ilvl w:val="12"/>
          <w:numId w:val="0"/>
        </w:numPr>
        <w:rPr>
          <w:rFonts w:cs="Arial"/>
          <w:szCs w:val="22"/>
        </w:rPr>
      </w:pPr>
      <w:r w:rsidRPr="007D1775">
        <w:rPr>
          <w:rFonts w:cs="Arial"/>
          <w:szCs w:val="22"/>
        </w:rPr>
        <w:t xml:space="preserve">Across all of the pivotal trials of </w:t>
      </w:r>
      <w:r w:rsidR="00F3116E" w:rsidRPr="007D1775">
        <w:rPr>
          <w:rFonts w:cs="Arial"/>
          <w:szCs w:val="22"/>
        </w:rPr>
        <w:t>SPEDRA</w:t>
      </w:r>
      <w:r w:rsidRPr="007D1775">
        <w:rPr>
          <w:rFonts w:cs="Arial"/>
          <w:szCs w:val="22"/>
        </w:rPr>
        <w:t xml:space="preserve">, the percentage of successful intercourse attempts was significantly higher for all doses of </w:t>
      </w:r>
      <w:r w:rsidR="00F3116E" w:rsidRPr="007D1775">
        <w:rPr>
          <w:rFonts w:cs="Arial"/>
          <w:szCs w:val="22"/>
        </w:rPr>
        <w:t>SPEDRA</w:t>
      </w:r>
      <w:r w:rsidRPr="007D1775">
        <w:rPr>
          <w:rFonts w:cs="Arial"/>
          <w:szCs w:val="22"/>
        </w:rPr>
        <w:t xml:space="preserve"> compared to placebo for all attempts at post-dosing time intervals examined</w:t>
      </w:r>
      <w:r w:rsidR="009A420F" w:rsidRPr="007D1775">
        <w:rPr>
          <w:rFonts w:cs="Arial"/>
          <w:szCs w:val="22"/>
        </w:rPr>
        <w:t>.</w:t>
      </w:r>
      <w:r w:rsidRPr="007D1775">
        <w:rPr>
          <w:rFonts w:cs="Arial"/>
          <w:szCs w:val="22"/>
        </w:rPr>
        <w:t xml:space="preserve"> </w:t>
      </w:r>
    </w:p>
    <w:p w:rsidR="00F722EB" w:rsidRPr="007D1775" w:rsidRDefault="007B2FEC" w:rsidP="00325A59">
      <w:pPr>
        <w:numPr>
          <w:ilvl w:val="12"/>
          <w:numId w:val="0"/>
        </w:numPr>
        <w:rPr>
          <w:rFonts w:cs="Arial"/>
          <w:szCs w:val="22"/>
        </w:rPr>
      </w:pPr>
      <w:r w:rsidRPr="007D1775">
        <w:rPr>
          <w:rFonts w:cs="Arial"/>
          <w:szCs w:val="22"/>
        </w:rPr>
        <w:t>Individual study r</w:t>
      </w:r>
      <w:r w:rsidR="00F722EB" w:rsidRPr="007D1775">
        <w:rPr>
          <w:rFonts w:cs="Arial"/>
          <w:szCs w:val="22"/>
        </w:rPr>
        <w:t xml:space="preserve">esults </w:t>
      </w:r>
      <w:r w:rsidR="00C21857" w:rsidRPr="007D1775">
        <w:rPr>
          <w:rFonts w:cs="Arial"/>
          <w:szCs w:val="22"/>
        </w:rPr>
        <w:t xml:space="preserve">are presented </w:t>
      </w:r>
      <w:r w:rsidR="00EF3C98" w:rsidRPr="007D1775">
        <w:rPr>
          <w:rFonts w:cs="Arial"/>
          <w:szCs w:val="22"/>
        </w:rPr>
        <w:t xml:space="preserve">below. </w:t>
      </w:r>
      <w:r w:rsidR="00F722EB" w:rsidRPr="007D1775">
        <w:rPr>
          <w:rFonts w:cs="Arial"/>
          <w:szCs w:val="22"/>
        </w:rPr>
        <w:t xml:space="preserve"> </w:t>
      </w:r>
    </w:p>
    <w:p w:rsidR="00AE62AF" w:rsidRDefault="003A6E99" w:rsidP="00AE62AF">
      <w:pPr>
        <w:numPr>
          <w:ilvl w:val="12"/>
          <w:numId w:val="0"/>
        </w:numPr>
        <w:spacing w:before="120" w:after="120"/>
        <w:rPr>
          <w:rFonts w:cs="Arial"/>
          <w:szCs w:val="22"/>
          <w:u w:val="single"/>
        </w:rPr>
      </w:pPr>
      <w:r w:rsidRPr="007D1775">
        <w:rPr>
          <w:rFonts w:cs="Arial"/>
          <w:szCs w:val="22"/>
          <w:u w:val="single"/>
        </w:rPr>
        <w:t>Efficacy in the G</w:t>
      </w:r>
      <w:r w:rsidR="00902713" w:rsidRPr="007D1775">
        <w:rPr>
          <w:rFonts w:cs="Arial"/>
          <w:szCs w:val="22"/>
          <w:u w:val="single"/>
        </w:rPr>
        <w:t xml:space="preserve">eneral </w:t>
      </w:r>
      <w:r w:rsidR="007D20D1" w:rsidRPr="007D1775">
        <w:rPr>
          <w:rFonts w:cs="Arial"/>
          <w:szCs w:val="22"/>
          <w:u w:val="single"/>
        </w:rPr>
        <w:t>Erectile Dysfunction (ED)</w:t>
      </w:r>
      <w:r w:rsidR="00902713" w:rsidRPr="007D1775">
        <w:rPr>
          <w:rFonts w:cs="Arial"/>
          <w:szCs w:val="22"/>
          <w:u w:val="single"/>
        </w:rPr>
        <w:t xml:space="preserve"> Population</w:t>
      </w:r>
      <w:r w:rsidR="00F722EB" w:rsidRPr="007D1775">
        <w:rPr>
          <w:rFonts w:cs="Arial"/>
          <w:szCs w:val="22"/>
          <w:u w:val="single"/>
        </w:rPr>
        <w:t>:</w:t>
      </w:r>
    </w:p>
    <w:p w:rsidR="00AE62AF" w:rsidRPr="00AE62AF" w:rsidRDefault="00F3116E" w:rsidP="00AE62AF">
      <w:pPr>
        <w:numPr>
          <w:ilvl w:val="12"/>
          <w:numId w:val="0"/>
        </w:numPr>
        <w:rPr>
          <w:rFonts w:cs="Arial"/>
          <w:color w:val="000000"/>
          <w:sz w:val="20"/>
          <w:lang w:eastAsia="en-AU"/>
        </w:rPr>
      </w:pPr>
      <w:r w:rsidRPr="007D1775">
        <w:rPr>
          <w:rFonts w:cs="Arial"/>
          <w:szCs w:val="22"/>
        </w:rPr>
        <w:t>SPEDRA</w:t>
      </w:r>
      <w:r w:rsidR="00F722EB" w:rsidRPr="007D1775">
        <w:rPr>
          <w:rFonts w:cs="Arial"/>
          <w:szCs w:val="22"/>
        </w:rPr>
        <w:t xml:space="preserve"> was evaluated in 646 men with ED of various </w:t>
      </w:r>
      <w:r w:rsidR="009956B2" w:rsidRPr="007D1775">
        <w:rPr>
          <w:rFonts w:cs="Arial"/>
          <w:szCs w:val="22"/>
        </w:rPr>
        <w:t>a</w:t>
      </w:r>
      <w:r w:rsidR="00F722EB" w:rsidRPr="007D1775">
        <w:rPr>
          <w:rFonts w:cs="Arial"/>
          <w:szCs w:val="22"/>
        </w:rPr>
        <w:t xml:space="preserve">etiologies (organic, psychogenic, </w:t>
      </w:r>
      <w:proofErr w:type="gramStart"/>
      <w:r w:rsidR="00F722EB" w:rsidRPr="007D1775">
        <w:rPr>
          <w:rFonts w:cs="Arial"/>
          <w:szCs w:val="22"/>
        </w:rPr>
        <w:t>mixed</w:t>
      </w:r>
      <w:proofErr w:type="gramEnd"/>
      <w:r w:rsidR="00F722EB" w:rsidRPr="007D1775">
        <w:rPr>
          <w:rFonts w:cs="Arial"/>
          <w:szCs w:val="22"/>
        </w:rPr>
        <w:t xml:space="preserve">). The mean age was 55.7 years (range 23 to 88 years). The population was 85.6% White, 13.2% Black, 0.9% Asian, and 0.3% of other races. </w:t>
      </w:r>
      <w:r w:rsidR="007D20D1" w:rsidRPr="007D1775">
        <w:rPr>
          <w:rFonts w:cs="Arial"/>
          <w:szCs w:val="22"/>
        </w:rPr>
        <w:t xml:space="preserve"> </w:t>
      </w:r>
      <w:r w:rsidR="00D91935" w:rsidRPr="00E62494">
        <w:rPr>
          <w:rFonts w:cs="Arial"/>
          <w:szCs w:val="22"/>
        </w:rPr>
        <w:t>The mean duration of ED was approximately 6.5 years. SPEDRA at doses of 50 mg, 100 mg, and 200 mg demonstrated statistically significant improvements in all 3 primary efficacy variables relative to placebo (see Table 1</w:t>
      </w:r>
      <w:r w:rsidR="00F722EB" w:rsidRPr="007D1775">
        <w:rPr>
          <w:rFonts w:cs="Arial"/>
          <w:szCs w:val="22"/>
        </w:rPr>
        <w:t>).</w:t>
      </w:r>
    </w:p>
    <w:p w:rsidR="007D1775" w:rsidRPr="007D1775" w:rsidRDefault="007D1775">
      <w:pPr>
        <w:spacing w:after="0"/>
        <w:jc w:val="left"/>
        <w:rPr>
          <w:rFonts w:cs="Arial"/>
          <w:u w:val="single"/>
        </w:rPr>
      </w:pPr>
      <w:r w:rsidRPr="007D1775">
        <w:rPr>
          <w:rFonts w:cs="Arial"/>
        </w:rPr>
        <w:br w:type="page"/>
      </w:r>
    </w:p>
    <w:p w:rsidR="00767D7A" w:rsidRPr="00C764BF" w:rsidRDefault="00355613" w:rsidP="00415645">
      <w:pPr>
        <w:pStyle w:val="Heading3"/>
        <w:ind w:left="994" w:hanging="994"/>
        <w:jc w:val="left"/>
        <w:rPr>
          <w:rFonts w:cs="Arial"/>
          <w:b/>
          <w:bCs/>
          <w:sz w:val="20"/>
        </w:rPr>
      </w:pPr>
      <w:r w:rsidRPr="00C764BF">
        <w:rPr>
          <w:rFonts w:cs="Arial"/>
          <w:b/>
          <w:sz w:val="20"/>
        </w:rPr>
        <w:lastRenderedPageBreak/>
        <w:t>Table 1:</w:t>
      </w:r>
      <w:r w:rsidR="00C764BF" w:rsidRPr="00C764BF">
        <w:rPr>
          <w:rFonts w:cs="Arial"/>
          <w:b/>
          <w:sz w:val="20"/>
        </w:rPr>
        <w:tab/>
      </w:r>
      <w:r w:rsidRPr="00C764BF">
        <w:rPr>
          <w:rFonts w:cs="Arial"/>
          <w:b/>
          <w:sz w:val="20"/>
        </w:rPr>
        <w:t xml:space="preserve">Mean Change </w:t>
      </w:r>
      <w:r w:rsidR="000A170A" w:rsidRPr="00C764BF">
        <w:rPr>
          <w:rFonts w:cs="Arial"/>
          <w:b/>
          <w:sz w:val="20"/>
        </w:rPr>
        <w:t>from</w:t>
      </w:r>
      <w:r w:rsidRPr="00C764BF">
        <w:rPr>
          <w:rFonts w:cs="Arial"/>
          <w:b/>
          <w:sz w:val="20"/>
        </w:rPr>
        <w:t xml:space="preserve"> Baseline for Primary</w:t>
      </w:r>
      <w:r w:rsidRPr="00C764BF">
        <w:rPr>
          <w:rFonts w:cs="Arial"/>
          <w:b/>
          <w:spacing w:val="-2"/>
          <w:sz w:val="20"/>
        </w:rPr>
        <w:t xml:space="preserve"> </w:t>
      </w:r>
      <w:r w:rsidRPr="00C764BF">
        <w:rPr>
          <w:rFonts w:cs="Arial"/>
          <w:b/>
          <w:sz w:val="20"/>
        </w:rPr>
        <w:t>Efficacy Variables in General ED Population (Study 1)</w:t>
      </w:r>
    </w:p>
    <w:p w:rsidR="00355613" w:rsidRPr="007D1775" w:rsidRDefault="00355613" w:rsidP="00355613">
      <w:pPr>
        <w:spacing w:before="1"/>
        <w:rPr>
          <w:rFonts w:cs="Arial"/>
          <w:b/>
          <w:bCs/>
          <w:sz w:val="5"/>
          <w:szCs w:val="5"/>
        </w:rPr>
      </w:pPr>
    </w:p>
    <w:tbl>
      <w:tblPr>
        <w:tblW w:w="9072" w:type="dxa"/>
        <w:tblInd w:w="114" w:type="dxa"/>
        <w:tblLayout w:type="fixed"/>
        <w:tblCellMar>
          <w:left w:w="0" w:type="dxa"/>
          <w:right w:w="0" w:type="dxa"/>
        </w:tblCellMar>
        <w:tblLook w:val="01E0" w:firstRow="1" w:lastRow="1" w:firstColumn="1" w:lastColumn="1" w:noHBand="0" w:noVBand="0"/>
      </w:tblPr>
      <w:tblGrid>
        <w:gridCol w:w="2822"/>
        <w:gridCol w:w="1562"/>
        <w:gridCol w:w="1562"/>
        <w:gridCol w:w="1562"/>
        <w:gridCol w:w="1564"/>
      </w:tblGrid>
      <w:tr w:rsidR="00355613" w:rsidRPr="007D1775" w:rsidTr="00C9497A">
        <w:trPr>
          <w:trHeight w:hRule="exact" w:val="647"/>
        </w:trPr>
        <w:tc>
          <w:tcPr>
            <w:tcW w:w="28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rPr>
                <w:rFonts w:cs="Arial"/>
              </w:rPr>
            </w:pPr>
          </w:p>
        </w:tc>
        <w:tc>
          <w:tcPr>
            <w:tcW w:w="1562" w:type="dxa"/>
            <w:tcBorders>
              <w:top w:val="single" w:sz="5" w:space="0" w:color="000000"/>
              <w:left w:val="single" w:sz="5" w:space="0" w:color="000000"/>
              <w:bottom w:val="single" w:sz="5" w:space="0" w:color="000000"/>
              <w:right w:val="single" w:sz="5" w:space="0" w:color="000000"/>
            </w:tcBorders>
          </w:tcPr>
          <w:p w:rsidR="00AE62AF" w:rsidRDefault="00C9497A" w:rsidP="00AE62AF">
            <w:pPr>
              <w:pStyle w:val="TableParagraph"/>
              <w:ind w:right="239"/>
              <w:jc w:val="center"/>
              <w:rPr>
                <w:rFonts w:ascii="Arial" w:hAnsi="Arial" w:cs="Arial"/>
                <w:b/>
                <w:sz w:val="18"/>
              </w:rPr>
            </w:pPr>
            <w:r w:rsidRPr="007D1775">
              <w:rPr>
                <w:rFonts w:ascii="Arial" w:hAnsi="Arial" w:cs="Arial"/>
                <w:b/>
                <w:sz w:val="18"/>
              </w:rPr>
              <w:t>Placebo</w:t>
            </w:r>
          </w:p>
          <w:p w:rsidR="00AE62AF" w:rsidRDefault="00C9497A" w:rsidP="00AE62AF">
            <w:pPr>
              <w:pStyle w:val="TableParagraph"/>
              <w:ind w:right="239"/>
              <w:jc w:val="center"/>
              <w:rPr>
                <w:rFonts w:ascii="Arial" w:eastAsia="Times New Roman" w:hAnsi="Arial" w:cs="Arial"/>
                <w:sz w:val="18"/>
                <w:szCs w:val="18"/>
              </w:rPr>
            </w:pPr>
            <w:r w:rsidRPr="007D1775">
              <w:rPr>
                <w:rFonts w:ascii="Arial" w:hAnsi="Arial" w:cs="Arial"/>
                <w:b/>
                <w:sz w:val="18"/>
              </w:rPr>
              <w:t>(</w:t>
            </w:r>
            <w:r w:rsidR="00355613" w:rsidRPr="007D1775">
              <w:rPr>
                <w:rFonts w:ascii="Arial" w:hAnsi="Arial" w:cs="Arial"/>
                <w:b/>
                <w:spacing w:val="-1"/>
                <w:sz w:val="18"/>
              </w:rPr>
              <w:t>N=155)</w:t>
            </w:r>
          </w:p>
        </w:tc>
        <w:tc>
          <w:tcPr>
            <w:tcW w:w="1562" w:type="dxa"/>
            <w:tcBorders>
              <w:top w:val="single" w:sz="5" w:space="0" w:color="000000"/>
              <w:left w:val="single" w:sz="5" w:space="0" w:color="000000"/>
              <w:bottom w:val="single" w:sz="5" w:space="0" w:color="000000"/>
              <w:right w:val="single" w:sz="5" w:space="0" w:color="000000"/>
            </w:tcBorders>
          </w:tcPr>
          <w:p w:rsidR="00AE62AF" w:rsidRDefault="00F3116E" w:rsidP="00AE62AF">
            <w:pPr>
              <w:pStyle w:val="TableParagraph"/>
              <w:ind w:right="215"/>
              <w:jc w:val="center"/>
              <w:rPr>
                <w:rFonts w:ascii="Arial" w:hAnsi="Arial" w:cs="Arial"/>
                <w:b/>
                <w:spacing w:val="1"/>
                <w:sz w:val="18"/>
              </w:rPr>
            </w:pPr>
            <w:r w:rsidRPr="007D1775">
              <w:rPr>
                <w:rFonts w:ascii="Arial" w:hAnsi="Arial" w:cs="Arial"/>
                <w:b/>
                <w:spacing w:val="-1"/>
                <w:sz w:val="18"/>
              </w:rPr>
              <w:t>SPEDRA</w:t>
            </w:r>
          </w:p>
          <w:p w:rsidR="00AE62AF" w:rsidRDefault="00633D64" w:rsidP="00AE62AF">
            <w:pPr>
              <w:pStyle w:val="TableParagraph"/>
              <w:ind w:right="215"/>
              <w:jc w:val="center"/>
              <w:rPr>
                <w:rFonts w:ascii="Arial" w:hAnsi="Arial" w:cs="Arial"/>
                <w:b/>
                <w:spacing w:val="23"/>
                <w:sz w:val="18"/>
              </w:rPr>
            </w:pPr>
            <w:r w:rsidRPr="007D1775">
              <w:rPr>
                <w:rFonts w:ascii="Arial" w:hAnsi="Arial" w:cs="Arial"/>
                <w:b/>
                <w:spacing w:val="-1"/>
                <w:sz w:val="18"/>
              </w:rPr>
              <w:t>50</w:t>
            </w:r>
            <w:r w:rsidR="00D60F2B" w:rsidRPr="007D1775">
              <w:rPr>
                <w:rFonts w:ascii="Arial" w:hAnsi="Arial" w:cs="Arial"/>
                <w:b/>
                <w:spacing w:val="-1"/>
                <w:sz w:val="18"/>
              </w:rPr>
              <w:t xml:space="preserve"> </w:t>
            </w:r>
            <w:r w:rsidR="00355613" w:rsidRPr="007D1775">
              <w:rPr>
                <w:rFonts w:ascii="Arial" w:hAnsi="Arial" w:cs="Arial"/>
                <w:b/>
                <w:spacing w:val="-1"/>
                <w:sz w:val="18"/>
              </w:rPr>
              <w:t>mg</w:t>
            </w:r>
          </w:p>
          <w:p w:rsidR="00AE62AF" w:rsidRDefault="00355613" w:rsidP="00AE62AF">
            <w:pPr>
              <w:pStyle w:val="TableParagraph"/>
              <w:ind w:right="215"/>
              <w:jc w:val="center"/>
              <w:rPr>
                <w:rFonts w:ascii="Arial" w:eastAsia="Times New Roman" w:hAnsi="Arial" w:cs="Arial"/>
                <w:sz w:val="18"/>
                <w:szCs w:val="18"/>
              </w:rPr>
            </w:pPr>
            <w:r w:rsidRPr="007D1775">
              <w:rPr>
                <w:rFonts w:ascii="Arial" w:hAnsi="Arial" w:cs="Arial"/>
                <w:b/>
                <w:spacing w:val="-1"/>
                <w:sz w:val="18"/>
              </w:rPr>
              <w:t>(N=154)</w:t>
            </w:r>
          </w:p>
        </w:tc>
        <w:tc>
          <w:tcPr>
            <w:tcW w:w="1562" w:type="dxa"/>
            <w:tcBorders>
              <w:top w:val="single" w:sz="5" w:space="0" w:color="000000"/>
              <w:left w:val="single" w:sz="5" w:space="0" w:color="000000"/>
              <w:bottom w:val="single" w:sz="5" w:space="0" w:color="000000"/>
              <w:right w:val="single" w:sz="5" w:space="0" w:color="000000"/>
            </w:tcBorders>
          </w:tcPr>
          <w:p w:rsidR="00AE62AF" w:rsidRDefault="00F3116E" w:rsidP="00AE62AF">
            <w:pPr>
              <w:pStyle w:val="TableParagraph"/>
              <w:ind w:right="192"/>
              <w:jc w:val="center"/>
              <w:rPr>
                <w:rFonts w:ascii="Arial" w:hAnsi="Arial" w:cs="Arial"/>
                <w:b/>
                <w:spacing w:val="1"/>
                <w:sz w:val="18"/>
              </w:rPr>
            </w:pPr>
            <w:r w:rsidRPr="007D1775">
              <w:rPr>
                <w:rFonts w:ascii="Arial" w:hAnsi="Arial" w:cs="Arial"/>
                <w:b/>
                <w:spacing w:val="-1"/>
                <w:sz w:val="18"/>
              </w:rPr>
              <w:t>SPEDRA</w:t>
            </w:r>
          </w:p>
          <w:p w:rsidR="00C9497A" w:rsidRPr="007D1775" w:rsidRDefault="00355613" w:rsidP="00FA272C">
            <w:pPr>
              <w:pStyle w:val="TableParagraph"/>
              <w:ind w:right="192"/>
              <w:jc w:val="center"/>
              <w:rPr>
                <w:rFonts w:ascii="Arial" w:hAnsi="Arial" w:cs="Arial"/>
                <w:b/>
                <w:spacing w:val="22"/>
                <w:sz w:val="18"/>
              </w:rPr>
            </w:pPr>
            <w:r w:rsidRPr="007D1775">
              <w:rPr>
                <w:rFonts w:ascii="Arial" w:hAnsi="Arial" w:cs="Arial"/>
                <w:b/>
                <w:spacing w:val="-1"/>
                <w:sz w:val="18"/>
              </w:rPr>
              <w:t>100</w:t>
            </w:r>
            <w:r w:rsidRPr="007D1775">
              <w:rPr>
                <w:rFonts w:ascii="Arial" w:hAnsi="Arial" w:cs="Arial"/>
                <w:b/>
                <w:sz w:val="18"/>
              </w:rPr>
              <w:t xml:space="preserve"> </w:t>
            </w:r>
            <w:r w:rsidRPr="007D1775">
              <w:rPr>
                <w:rFonts w:ascii="Arial" w:hAnsi="Arial" w:cs="Arial"/>
                <w:b/>
                <w:spacing w:val="-1"/>
                <w:sz w:val="18"/>
              </w:rPr>
              <w:t>mg</w:t>
            </w:r>
          </w:p>
          <w:p w:rsidR="00355613" w:rsidRPr="007D1775" w:rsidRDefault="00355613" w:rsidP="00FA272C">
            <w:pPr>
              <w:pStyle w:val="TableParagraph"/>
              <w:ind w:right="192"/>
              <w:jc w:val="center"/>
              <w:rPr>
                <w:rFonts w:ascii="Arial" w:eastAsia="Times New Roman" w:hAnsi="Arial" w:cs="Arial"/>
                <w:sz w:val="18"/>
                <w:szCs w:val="18"/>
              </w:rPr>
            </w:pPr>
            <w:r w:rsidRPr="007D1775">
              <w:rPr>
                <w:rFonts w:ascii="Arial" w:hAnsi="Arial" w:cs="Arial"/>
                <w:b/>
                <w:spacing w:val="-1"/>
                <w:sz w:val="18"/>
              </w:rPr>
              <w:t>(N=157)</w:t>
            </w:r>
          </w:p>
        </w:tc>
        <w:tc>
          <w:tcPr>
            <w:tcW w:w="1563" w:type="dxa"/>
            <w:tcBorders>
              <w:top w:val="single" w:sz="5" w:space="0" w:color="000000"/>
              <w:left w:val="single" w:sz="5" w:space="0" w:color="000000"/>
              <w:bottom w:val="single" w:sz="5" w:space="0" w:color="000000"/>
              <w:right w:val="single" w:sz="5" w:space="0" w:color="000000"/>
            </w:tcBorders>
          </w:tcPr>
          <w:p w:rsidR="00AE62AF" w:rsidRDefault="00F3116E" w:rsidP="00AE62AF">
            <w:pPr>
              <w:pStyle w:val="TableParagraph"/>
              <w:ind w:right="192"/>
              <w:jc w:val="center"/>
              <w:rPr>
                <w:rFonts w:ascii="Arial" w:hAnsi="Arial" w:cs="Arial"/>
                <w:b/>
                <w:spacing w:val="1"/>
                <w:sz w:val="18"/>
              </w:rPr>
            </w:pPr>
            <w:r w:rsidRPr="007D1775">
              <w:rPr>
                <w:rFonts w:ascii="Arial" w:hAnsi="Arial" w:cs="Arial"/>
                <w:b/>
                <w:spacing w:val="-1"/>
                <w:sz w:val="18"/>
              </w:rPr>
              <w:t>SPEDRA</w:t>
            </w:r>
          </w:p>
          <w:p w:rsidR="00C9497A" w:rsidRPr="007D1775" w:rsidRDefault="00355613" w:rsidP="00FA272C">
            <w:pPr>
              <w:pStyle w:val="TableParagraph"/>
              <w:ind w:right="192"/>
              <w:jc w:val="center"/>
              <w:rPr>
                <w:rFonts w:ascii="Arial" w:hAnsi="Arial" w:cs="Arial"/>
                <w:b/>
                <w:spacing w:val="22"/>
                <w:sz w:val="18"/>
              </w:rPr>
            </w:pPr>
            <w:r w:rsidRPr="007D1775">
              <w:rPr>
                <w:rFonts w:ascii="Arial" w:hAnsi="Arial" w:cs="Arial"/>
                <w:b/>
                <w:spacing w:val="-1"/>
                <w:sz w:val="18"/>
              </w:rPr>
              <w:t>200</w:t>
            </w:r>
            <w:r w:rsidRPr="007D1775">
              <w:rPr>
                <w:rFonts w:ascii="Arial" w:hAnsi="Arial" w:cs="Arial"/>
                <w:b/>
                <w:sz w:val="18"/>
              </w:rPr>
              <w:t xml:space="preserve"> </w:t>
            </w:r>
            <w:r w:rsidRPr="007D1775">
              <w:rPr>
                <w:rFonts w:ascii="Arial" w:hAnsi="Arial" w:cs="Arial"/>
                <w:b/>
                <w:spacing w:val="-1"/>
                <w:sz w:val="18"/>
              </w:rPr>
              <w:t>mg</w:t>
            </w:r>
          </w:p>
          <w:p w:rsidR="00355613" w:rsidRPr="007D1775" w:rsidRDefault="00355613" w:rsidP="00FA272C">
            <w:pPr>
              <w:pStyle w:val="TableParagraph"/>
              <w:ind w:right="192"/>
              <w:jc w:val="center"/>
              <w:rPr>
                <w:rFonts w:ascii="Arial" w:eastAsia="Times New Roman" w:hAnsi="Arial" w:cs="Arial"/>
                <w:sz w:val="18"/>
                <w:szCs w:val="18"/>
              </w:rPr>
            </w:pPr>
            <w:r w:rsidRPr="007D1775">
              <w:rPr>
                <w:rFonts w:ascii="Arial" w:hAnsi="Arial" w:cs="Arial"/>
                <w:b/>
                <w:spacing w:val="-1"/>
                <w:sz w:val="18"/>
              </w:rPr>
              <w:t>(N=156)</w:t>
            </w:r>
          </w:p>
        </w:tc>
      </w:tr>
      <w:tr w:rsidR="00355613" w:rsidRPr="007D1775" w:rsidTr="00714668">
        <w:trPr>
          <w:trHeight w:hRule="exact" w:val="339"/>
        </w:trPr>
        <w:tc>
          <w:tcPr>
            <w:tcW w:w="9072" w:type="dxa"/>
            <w:gridSpan w:val="5"/>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6" w:lineRule="exact"/>
              <w:ind w:left="102"/>
              <w:rPr>
                <w:rFonts w:ascii="Arial" w:eastAsia="Times New Roman" w:hAnsi="Arial" w:cs="Arial"/>
                <w:sz w:val="18"/>
                <w:szCs w:val="18"/>
              </w:rPr>
            </w:pPr>
            <w:r w:rsidRPr="007D1775">
              <w:rPr>
                <w:rFonts w:ascii="Arial" w:hAnsi="Arial" w:cs="Arial"/>
                <w:b/>
                <w:spacing w:val="-1"/>
                <w:sz w:val="18"/>
              </w:rPr>
              <w:t>IIEF</w:t>
            </w:r>
            <w:r w:rsidRPr="007D1775">
              <w:rPr>
                <w:rFonts w:ascii="Arial" w:hAnsi="Arial" w:cs="Arial"/>
                <w:b/>
                <w:sz w:val="18"/>
              </w:rPr>
              <w:t xml:space="preserve"> </w:t>
            </w:r>
            <w:r w:rsidRPr="007D1775">
              <w:rPr>
                <w:rFonts w:ascii="Arial" w:hAnsi="Arial" w:cs="Arial"/>
                <w:b/>
                <w:spacing w:val="-1"/>
                <w:sz w:val="18"/>
              </w:rPr>
              <w:t>EF</w:t>
            </w:r>
            <w:r w:rsidRPr="007D1775">
              <w:rPr>
                <w:rFonts w:ascii="Arial" w:hAnsi="Arial" w:cs="Arial"/>
                <w:b/>
                <w:sz w:val="18"/>
              </w:rPr>
              <w:t xml:space="preserve"> </w:t>
            </w:r>
            <w:r w:rsidRPr="007D1775">
              <w:rPr>
                <w:rFonts w:ascii="Arial" w:hAnsi="Arial" w:cs="Arial"/>
                <w:b/>
                <w:spacing w:val="-1"/>
                <w:sz w:val="18"/>
              </w:rPr>
              <w:t>Domain</w:t>
            </w:r>
            <w:r w:rsidRPr="007D1775">
              <w:rPr>
                <w:rFonts w:ascii="Arial" w:hAnsi="Arial" w:cs="Arial"/>
                <w:b/>
                <w:sz w:val="18"/>
              </w:rPr>
              <w:t xml:space="preserve"> </w:t>
            </w:r>
            <w:r w:rsidRPr="007D1775">
              <w:rPr>
                <w:rFonts w:ascii="Arial" w:hAnsi="Arial" w:cs="Arial"/>
                <w:b/>
                <w:spacing w:val="-1"/>
                <w:sz w:val="18"/>
              </w:rPr>
              <w:t>Score</w:t>
            </w:r>
          </w:p>
        </w:tc>
      </w:tr>
      <w:tr w:rsidR="00355613" w:rsidRPr="007D1775" w:rsidTr="00714668">
        <w:trPr>
          <w:trHeight w:hRule="exact" w:val="359"/>
        </w:trPr>
        <w:tc>
          <w:tcPr>
            <w:tcW w:w="28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237"/>
              <w:rPr>
                <w:rFonts w:ascii="Arial" w:eastAsia="Times New Roman" w:hAnsi="Arial" w:cs="Arial"/>
                <w:sz w:val="18"/>
                <w:szCs w:val="18"/>
              </w:rPr>
            </w:pPr>
            <w:r w:rsidRPr="007D1775">
              <w:rPr>
                <w:rFonts w:ascii="Arial" w:hAnsi="Arial" w:cs="Arial"/>
                <w:spacing w:val="-1"/>
                <w:sz w:val="18"/>
              </w:rPr>
              <w:t>Endpoint</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1"/>
              <w:jc w:val="center"/>
              <w:rPr>
                <w:rFonts w:ascii="Arial" w:eastAsia="Times New Roman" w:hAnsi="Arial" w:cs="Arial"/>
                <w:sz w:val="18"/>
                <w:szCs w:val="18"/>
              </w:rPr>
            </w:pPr>
            <w:r w:rsidRPr="007D1775">
              <w:rPr>
                <w:rFonts w:ascii="Arial" w:hAnsi="Arial" w:cs="Arial"/>
                <w:sz w:val="18"/>
              </w:rPr>
              <w:t>15.3</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1"/>
              <w:jc w:val="center"/>
              <w:rPr>
                <w:rFonts w:ascii="Arial" w:eastAsia="Times New Roman" w:hAnsi="Arial" w:cs="Arial"/>
                <w:sz w:val="18"/>
                <w:szCs w:val="18"/>
              </w:rPr>
            </w:pPr>
            <w:r w:rsidRPr="007D1775">
              <w:rPr>
                <w:rFonts w:ascii="Arial" w:hAnsi="Arial" w:cs="Arial"/>
                <w:sz w:val="18"/>
              </w:rPr>
              <w:t>18.1</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1"/>
              <w:jc w:val="center"/>
              <w:rPr>
                <w:rFonts w:ascii="Arial" w:eastAsia="Times New Roman" w:hAnsi="Arial" w:cs="Arial"/>
                <w:sz w:val="18"/>
                <w:szCs w:val="18"/>
              </w:rPr>
            </w:pPr>
            <w:r w:rsidRPr="007D1775">
              <w:rPr>
                <w:rFonts w:ascii="Arial" w:hAnsi="Arial" w:cs="Arial"/>
                <w:sz w:val="18"/>
              </w:rPr>
              <w:t>20.9</w:t>
            </w:r>
          </w:p>
        </w:tc>
        <w:tc>
          <w:tcPr>
            <w:tcW w:w="1563"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1"/>
              <w:jc w:val="center"/>
              <w:rPr>
                <w:rFonts w:ascii="Arial" w:eastAsia="Times New Roman" w:hAnsi="Arial" w:cs="Arial"/>
                <w:sz w:val="18"/>
                <w:szCs w:val="18"/>
              </w:rPr>
            </w:pPr>
            <w:r w:rsidRPr="007D1775">
              <w:rPr>
                <w:rFonts w:ascii="Arial" w:hAnsi="Arial" w:cs="Arial"/>
                <w:sz w:val="18"/>
              </w:rPr>
              <w:t>22.2</w:t>
            </w:r>
          </w:p>
        </w:tc>
      </w:tr>
      <w:tr w:rsidR="00355613" w:rsidRPr="007D1775" w:rsidTr="00714668">
        <w:trPr>
          <w:trHeight w:hRule="exact" w:val="359"/>
        </w:trPr>
        <w:tc>
          <w:tcPr>
            <w:tcW w:w="28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237"/>
              <w:rPr>
                <w:rFonts w:ascii="Arial" w:eastAsia="Times New Roman" w:hAnsi="Arial" w:cs="Arial"/>
                <w:sz w:val="18"/>
                <w:szCs w:val="18"/>
              </w:rPr>
            </w:pPr>
            <w:r w:rsidRPr="007D1775">
              <w:rPr>
                <w:rFonts w:ascii="Arial" w:eastAsia="Times New Roman" w:hAnsi="Arial" w:cs="Arial"/>
                <w:sz w:val="18"/>
                <w:szCs w:val="18"/>
              </w:rPr>
              <w:t xml:space="preserve">Change from </w:t>
            </w:r>
            <w:r w:rsidRPr="007D1775">
              <w:rPr>
                <w:rFonts w:ascii="Arial" w:eastAsia="Times New Roman" w:hAnsi="Arial" w:cs="Arial"/>
                <w:spacing w:val="-1"/>
                <w:sz w:val="18"/>
                <w:szCs w:val="18"/>
              </w:rPr>
              <w:t>baseline†</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3"/>
              <w:jc w:val="center"/>
              <w:rPr>
                <w:rFonts w:ascii="Arial" w:eastAsia="Times New Roman" w:hAnsi="Arial" w:cs="Arial"/>
                <w:sz w:val="18"/>
                <w:szCs w:val="18"/>
              </w:rPr>
            </w:pPr>
            <w:r w:rsidRPr="007D1775">
              <w:rPr>
                <w:rFonts w:ascii="Arial" w:hAnsi="Arial" w:cs="Arial"/>
                <w:sz w:val="18"/>
              </w:rPr>
              <w:t>2.9</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2"/>
              <w:jc w:val="center"/>
              <w:rPr>
                <w:rFonts w:ascii="Arial" w:eastAsia="Times New Roman" w:hAnsi="Arial" w:cs="Arial"/>
                <w:sz w:val="18"/>
                <w:szCs w:val="18"/>
              </w:rPr>
            </w:pPr>
            <w:r w:rsidRPr="007D1775">
              <w:rPr>
                <w:rFonts w:ascii="Arial" w:hAnsi="Arial" w:cs="Arial"/>
                <w:sz w:val="18"/>
              </w:rPr>
              <w:t>5.4</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1"/>
              <w:jc w:val="center"/>
              <w:rPr>
                <w:rFonts w:ascii="Arial" w:eastAsia="Times New Roman" w:hAnsi="Arial" w:cs="Arial"/>
                <w:sz w:val="18"/>
                <w:szCs w:val="18"/>
              </w:rPr>
            </w:pPr>
            <w:r w:rsidRPr="007D1775">
              <w:rPr>
                <w:rFonts w:ascii="Arial" w:hAnsi="Arial" w:cs="Arial"/>
                <w:sz w:val="18"/>
              </w:rPr>
              <w:t>8.3</w:t>
            </w:r>
          </w:p>
        </w:tc>
        <w:tc>
          <w:tcPr>
            <w:tcW w:w="1563"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9.5</w:t>
            </w:r>
          </w:p>
        </w:tc>
      </w:tr>
      <w:tr w:rsidR="00355613" w:rsidRPr="007D1775" w:rsidTr="00714668">
        <w:trPr>
          <w:trHeight w:hRule="exact" w:val="358"/>
        </w:trPr>
        <w:tc>
          <w:tcPr>
            <w:tcW w:w="28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237"/>
              <w:rPr>
                <w:rFonts w:ascii="Arial" w:eastAsia="Times New Roman" w:hAnsi="Arial" w:cs="Arial"/>
                <w:sz w:val="18"/>
                <w:szCs w:val="18"/>
              </w:rPr>
            </w:pPr>
            <w:r w:rsidRPr="007D1775">
              <w:rPr>
                <w:rFonts w:ascii="Arial" w:hAnsi="Arial" w:cs="Arial"/>
                <w:spacing w:val="-1"/>
                <w:sz w:val="18"/>
              </w:rPr>
              <w:t>p-value*</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2621C5" w:rsidP="002621C5">
            <w:pPr>
              <w:jc w:val="center"/>
              <w:rPr>
                <w:rFonts w:cs="Arial"/>
              </w:rPr>
            </w:pPr>
            <w:r w:rsidRPr="007D1775">
              <w:rPr>
                <w:rFonts w:cs="Arial"/>
              </w:rPr>
              <w:t>-</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1"/>
              <w:jc w:val="center"/>
              <w:rPr>
                <w:rFonts w:ascii="Arial" w:eastAsia="Times New Roman" w:hAnsi="Arial" w:cs="Arial"/>
                <w:sz w:val="18"/>
                <w:szCs w:val="18"/>
              </w:rPr>
            </w:pPr>
            <w:r w:rsidRPr="007D1775">
              <w:rPr>
                <w:rFonts w:ascii="Arial" w:hAnsi="Arial" w:cs="Arial"/>
                <w:sz w:val="18"/>
              </w:rPr>
              <w:t>0.0014</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&lt;0.0001</w:t>
            </w:r>
          </w:p>
        </w:tc>
        <w:tc>
          <w:tcPr>
            <w:tcW w:w="1563"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&lt;0.0001</w:t>
            </w:r>
          </w:p>
        </w:tc>
      </w:tr>
      <w:tr w:rsidR="00355613" w:rsidRPr="007D1775" w:rsidTr="00714668">
        <w:trPr>
          <w:trHeight w:hRule="exact" w:val="339"/>
        </w:trPr>
        <w:tc>
          <w:tcPr>
            <w:tcW w:w="9072" w:type="dxa"/>
            <w:gridSpan w:val="5"/>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6" w:lineRule="exact"/>
              <w:ind w:left="102"/>
              <w:rPr>
                <w:rFonts w:ascii="Arial" w:eastAsia="Times New Roman" w:hAnsi="Arial" w:cs="Arial"/>
                <w:sz w:val="18"/>
                <w:szCs w:val="18"/>
              </w:rPr>
            </w:pPr>
            <w:r w:rsidRPr="007D1775">
              <w:rPr>
                <w:rFonts w:ascii="Arial" w:hAnsi="Arial" w:cs="Arial"/>
                <w:b/>
                <w:sz w:val="18"/>
              </w:rPr>
              <w:t xml:space="preserve">Vaginal </w:t>
            </w:r>
            <w:r w:rsidRPr="007D1775">
              <w:rPr>
                <w:rFonts w:ascii="Arial" w:hAnsi="Arial" w:cs="Arial"/>
                <w:b/>
                <w:spacing w:val="-1"/>
                <w:sz w:val="18"/>
              </w:rPr>
              <w:t>Penetration</w:t>
            </w:r>
            <w:r w:rsidRPr="007D1775">
              <w:rPr>
                <w:rFonts w:ascii="Arial" w:hAnsi="Arial" w:cs="Arial"/>
                <w:b/>
                <w:sz w:val="18"/>
              </w:rPr>
              <w:t xml:space="preserve"> (SEP2)</w:t>
            </w:r>
          </w:p>
        </w:tc>
      </w:tr>
      <w:tr w:rsidR="00355613" w:rsidRPr="007D1775" w:rsidTr="00714668">
        <w:trPr>
          <w:trHeight w:hRule="exact" w:val="359"/>
        </w:trPr>
        <w:tc>
          <w:tcPr>
            <w:tcW w:w="28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237"/>
              <w:rPr>
                <w:rFonts w:ascii="Arial" w:eastAsia="Times New Roman" w:hAnsi="Arial" w:cs="Arial"/>
                <w:sz w:val="18"/>
                <w:szCs w:val="18"/>
              </w:rPr>
            </w:pPr>
            <w:r w:rsidRPr="007D1775">
              <w:rPr>
                <w:rFonts w:ascii="Arial" w:hAnsi="Arial" w:cs="Arial"/>
                <w:spacing w:val="-1"/>
                <w:sz w:val="18"/>
              </w:rPr>
              <w:t>Endpoint</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53.8%</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64.3%</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73.9%</w:t>
            </w:r>
          </w:p>
        </w:tc>
        <w:tc>
          <w:tcPr>
            <w:tcW w:w="1563"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77.3%</w:t>
            </w:r>
          </w:p>
        </w:tc>
      </w:tr>
      <w:tr w:rsidR="00355613" w:rsidRPr="007D1775" w:rsidTr="00714668">
        <w:trPr>
          <w:trHeight w:hRule="exact" w:val="358"/>
        </w:trPr>
        <w:tc>
          <w:tcPr>
            <w:tcW w:w="28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237"/>
              <w:rPr>
                <w:rFonts w:ascii="Arial" w:eastAsia="Times New Roman" w:hAnsi="Arial" w:cs="Arial"/>
                <w:sz w:val="18"/>
                <w:szCs w:val="18"/>
              </w:rPr>
            </w:pPr>
            <w:r w:rsidRPr="007D1775">
              <w:rPr>
                <w:rFonts w:ascii="Arial" w:eastAsia="Times New Roman" w:hAnsi="Arial" w:cs="Arial"/>
                <w:sz w:val="18"/>
                <w:szCs w:val="18"/>
              </w:rPr>
              <w:t xml:space="preserve">Change from </w:t>
            </w:r>
            <w:r w:rsidRPr="007D1775">
              <w:rPr>
                <w:rFonts w:ascii="Arial" w:eastAsia="Times New Roman" w:hAnsi="Arial" w:cs="Arial"/>
                <w:spacing w:val="-1"/>
                <w:sz w:val="18"/>
                <w:szCs w:val="18"/>
              </w:rPr>
              <w:t>baseline†</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3"/>
              <w:jc w:val="center"/>
              <w:rPr>
                <w:rFonts w:ascii="Arial" w:eastAsia="Times New Roman" w:hAnsi="Arial" w:cs="Arial"/>
                <w:sz w:val="18"/>
                <w:szCs w:val="18"/>
              </w:rPr>
            </w:pPr>
            <w:r w:rsidRPr="007D1775">
              <w:rPr>
                <w:rFonts w:ascii="Arial" w:hAnsi="Arial" w:cs="Arial"/>
                <w:sz w:val="18"/>
              </w:rPr>
              <w:t>7.1%</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1"/>
              <w:jc w:val="center"/>
              <w:rPr>
                <w:rFonts w:ascii="Arial" w:eastAsia="Times New Roman" w:hAnsi="Arial" w:cs="Arial"/>
                <w:sz w:val="18"/>
                <w:szCs w:val="18"/>
              </w:rPr>
            </w:pPr>
            <w:r w:rsidRPr="007D1775">
              <w:rPr>
                <w:rFonts w:ascii="Arial" w:hAnsi="Arial" w:cs="Arial"/>
                <w:sz w:val="18"/>
              </w:rPr>
              <w:t>18.2%</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27.2%</w:t>
            </w:r>
          </w:p>
        </w:tc>
        <w:tc>
          <w:tcPr>
            <w:tcW w:w="1563"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29.8%</w:t>
            </w:r>
          </w:p>
        </w:tc>
      </w:tr>
      <w:tr w:rsidR="00355613" w:rsidRPr="007D1775" w:rsidTr="00714668">
        <w:trPr>
          <w:trHeight w:hRule="exact" w:val="359"/>
        </w:trPr>
        <w:tc>
          <w:tcPr>
            <w:tcW w:w="28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237"/>
              <w:rPr>
                <w:rFonts w:ascii="Arial" w:eastAsia="Times New Roman" w:hAnsi="Arial" w:cs="Arial"/>
                <w:sz w:val="18"/>
                <w:szCs w:val="18"/>
              </w:rPr>
            </w:pPr>
            <w:r w:rsidRPr="007D1775">
              <w:rPr>
                <w:rFonts w:ascii="Arial" w:hAnsi="Arial" w:cs="Arial"/>
                <w:spacing w:val="-1"/>
                <w:sz w:val="18"/>
              </w:rPr>
              <w:t>p-value*</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jc w:val="center"/>
              <w:rPr>
                <w:rFonts w:ascii="Arial" w:eastAsia="Times New Roman" w:hAnsi="Arial" w:cs="Arial"/>
                <w:sz w:val="18"/>
                <w:szCs w:val="18"/>
              </w:rPr>
            </w:pPr>
            <w:r w:rsidRPr="007D1775">
              <w:rPr>
                <w:rFonts w:ascii="Arial" w:hAnsi="Arial" w:cs="Arial"/>
                <w:sz w:val="18"/>
              </w:rPr>
              <w:t>-</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1"/>
              <w:jc w:val="center"/>
              <w:rPr>
                <w:rFonts w:ascii="Arial" w:eastAsia="Times New Roman" w:hAnsi="Arial" w:cs="Arial"/>
                <w:sz w:val="18"/>
                <w:szCs w:val="18"/>
              </w:rPr>
            </w:pPr>
            <w:r w:rsidRPr="007D1775">
              <w:rPr>
                <w:rFonts w:ascii="Arial" w:hAnsi="Arial" w:cs="Arial"/>
                <w:sz w:val="18"/>
              </w:rPr>
              <w:t>0.0009</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jc w:val="center"/>
              <w:rPr>
                <w:rFonts w:ascii="Arial" w:eastAsia="Times New Roman" w:hAnsi="Arial" w:cs="Arial"/>
                <w:sz w:val="18"/>
                <w:szCs w:val="18"/>
              </w:rPr>
            </w:pPr>
            <w:r w:rsidRPr="007D1775">
              <w:rPr>
                <w:rFonts w:ascii="Arial" w:hAnsi="Arial" w:cs="Arial"/>
                <w:sz w:val="18"/>
              </w:rPr>
              <w:t>&lt;0.0001</w:t>
            </w:r>
          </w:p>
        </w:tc>
        <w:tc>
          <w:tcPr>
            <w:tcW w:w="1563"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jc w:val="center"/>
              <w:rPr>
                <w:rFonts w:ascii="Arial" w:eastAsia="Times New Roman" w:hAnsi="Arial" w:cs="Arial"/>
                <w:sz w:val="18"/>
                <w:szCs w:val="18"/>
              </w:rPr>
            </w:pPr>
            <w:r w:rsidRPr="007D1775">
              <w:rPr>
                <w:rFonts w:ascii="Arial" w:hAnsi="Arial" w:cs="Arial"/>
                <w:sz w:val="18"/>
              </w:rPr>
              <w:t>&lt;0.0001</w:t>
            </w:r>
          </w:p>
        </w:tc>
      </w:tr>
      <w:tr w:rsidR="00355613" w:rsidRPr="007D1775" w:rsidTr="00714668">
        <w:trPr>
          <w:trHeight w:hRule="exact" w:val="339"/>
        </w:trPr>
        <w:tc>
          <w:tcPr>
            <w:tcW w:w="9072" w:type="dxa"/>
            <w:gridSpan w:val="5"/>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5" w:lineRule="exact"/>
              <w:ind w:left="102"/>
              <w:rPr>
                <w:rFonts w:ascii="Arial" w:eastAsia="Times New Roman" w:hAnsi="Arial" w:cs="Arial"/>
                <w:sz w:val="18"/>
                <w:szCs w:val="18"/>
              </w:rPr>
            </w:pPr>
            <w:r w:rsidRPr="007D1775">
              <w:rPr>
                <w:rFonts w:ascii="Arial" w:hAnsi="Arial" w:cs="Arial"/>
                <w:b/>
                <w:spacing w:val="-1"/>
                <w:sz w:val="18"/>
              </w:rPr>
              <w:t>Successful</w:t>
            </w:r>
            <w:r w:rsidRPr="007D1775">
              <w:rPr>
                <w:rFonts w:ascii="Arial" w:hAnsi="Arial" w:cs="Arial"/>
                <w:b/>
                <w:spacing w:val="1"/>
                <w:sz w:val="18"/>
              </w:rPr>
              <w:t xml:space="preserve"> </w:t>
            </w:r>
            <w:r w:rsidRPr="007D1775">
              <w:rPr>
                <w:rFonts w:ascii="Arial" w:hAnsi="Arial" w:cs="Arial"/>
                <w:b/>
                <w:spacing w:val="-1"/>
                <w:sz w:val="18"/>
              </w:rPr>
              <w:t>Intercourse</w:t>
            </w:r>
            <w:r w:rsidRPr="007D1775">
              <w:rPr>
                <w:rFonts w:ascii="Arial" w:hAnsi="Arial" w:cs="Arial"/>
                <w:b/>
                <w:spacing w:val="1"/>
                <w:sz w:val="18"/>
              </w:rPr>
              <w:t xml:space="preserve"> </w:t>
            </w:r>
            <w:r w:rsidRPr="007D1775">
              <w:rPr>
                <w:rFonts w:ascii="Arial" w:hAnsi="Arial" w:cs="Arial"/>
                <w:b/>
                <w:spacing w:val="-1"/>
                <w:sz w:val="18"/>
              </w:rPr>
              <w:t>(SEP3)</w:t>
            </w:r>
          </w:p>
        </w:tc>
      </w:tr>
      <w:tr w:rsidR="00355613" w:rsidRPr="007D1775" w:rsidTr="00714668">
        <w:trPr>
          <w:trHeight w:hRule="exact" w:val="343"/>
        </w:trPr>
        <w:tc>
          <w:tcPr>
            <w:tcW w:w="28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237"/>
              <w:rPr>
                <w:rFonts w:ascii="Arial" w:eastAsia="Times New Roman" w:hAnsi="Arial" w:cs="Arial"/>
                <w:sz w:val="18"/>
                <w:szCs w:val="18"/>
              </w:rPr>
            </w:pPr>
            <w:r w:rsidRPr="007D1775">
              <w:rPr>
                <w:rFonts w:ascii="Arial" w:hAnsi="Arial" w:cs="Arial"/>
                <w:spacing w:val="-1"/>
                <w:sz w:val="18"/>
              </w:rPr>
              <w:t>Endpoint</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27.0%</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41.3%</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57.1%</w:t>
            </w:r>
          </w:p>
        </w:tc>
        <w:tc>
          <w:tcPr>
            <w:tcW w:w="1563"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57.0%</w:t>
            </w:r>
          </w:p>
        </w:tc>
      </w:tr>
      <w:tr w:rsidR="00355613" w:rsidRPr="007D1775" w:rsidTr="00714668">
        <w:trPr>
          <w:trHeight w:hRule="exact" w:val="345"/>
        </w:trPr>
        <w:tc>
          <w:tcPr>
            <w:tcW w:w="28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237"/>
              <w:rPr>
                <w:rFonts w:ascii="Arial" w:eastAsia="Times New Roman" w:hAnsi="Arial" w:cs="Arial"/>
                <w:sz w:val="18"/>
                <w:szCs w:val="18"/>
              </w:rPr>
            </w:pPr>
            <w:r w:rsidRPr="007D1775">
              <w:rPr>
                <w:rFonts w:ascii="Arial" w:eastAsia="Times New Roman" w:hAnsi="Arial" w:cs="Arial"/>
                <w:sz w:val="18"/>
                <w:szCs w:val="18"/>
              </w:rPr>
              <w:t xml:space="preserve">Change from </w:t>
            </w:r>
            <w:r w:rsidRPr="007D1775">
              <w:rPr>
                <w:rFonts w:ascii="Arial" w:eastAsia="Times New Roman" w:hAnsi="Arial" w:cs="Arial"/>
                <w:spacing w:val="-1"/>
                <w:sz w:val="18"/>
                <w:szCs w:val="18"/>
              </w:rPr>
              <w:t>baseline†</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2"/>
              <w:jc w:val="center"/>
              <w:rPr>
                <w:rFonts w:ascii="Arial" w:eastAsia="Times New Roman" w:hAnsi="Arial" w:cs="Arial"/>
                <w:sz w:val="18"/>
                <w:szCs w:val="18"/>
              </w:rPr>
            </w:pPr>
            <w:r w:rsidRPr="007D1775">
              <w:rPr>
                <w:rFonts w:ascii="Arial" w:hAnsi="Arial" w:cs="Arial"/>
                <w:sz w:val="18"/>
              </w:rPr>
              <w:t>14.1%</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1"/>
              <w:jc w:val="center"/>
              <w:rPr>
                <w:rFonts w:ascii="Arial" w:eastAsia="Times New Roman" w:hAnsi="Arial" w:cs="Arial"/>
                <w:sz w:val="18"/>
                <w:szCs w:val="18"/>
              </w:rPr>
            </w:pPr>
            <w:r w:rsidRPr="007D1775">
              <w:rPr>
                <w:rFonts w:ascii="Arial" w:hAnsi="Arial" w:cs="Arial"/>
                <w:sz w:val="18"/>
              </w:rPr>
              <w:t>27.8%</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1"/>
              <w:jc w:val="center"/>
              <w:rPr>
                <w:rFonts w:ascii="Arial" w:eastAsia="Times New Roman" w:hAnsi="Arial" w:cs="Arial"/>
                <w:sz w:val="18"/>
                <w:szCs w:val="18"/>
              </w:rPr>
            </w:pPr>
            <w:r w:rsidRPr="007D1775">
              <w:rPr>
                <w:rFonts w:ascii="Arial" w:hAnsi="Arial" w:cs="Arial"/>
                <w:sz w:val="18"/>
              </w:rPr>
              <w:t>43.4%</w:t>
            </w:r>
          </w:p>
        </w:tc>
        <w:tc>
          <w:tcPr>
            <w:tcW w:w="1563"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jc w:val="center"/>
              <w:rPr>
                <w:rFonts w:ascii="Arial" w:eastAsia="Times New Roman" w:hAnsi="Arial" w:cs="Arial"/>
                <w:sz w:val="18"/>
                <w:szCs w:val="18"/>
              </w:rPr>
            </w:pPr>
            <w:r w:rsidRPr="007D1775">
              <w:rPr>
                <w:rFonts w:ascii="Arial" w:hAnsi="Arial" w:cs="Arial"/>
                <w:sz w:val="18"/>
              </w:rPr>
              <w:t>44.2%</w:t>
            </w:r>
          </w:p>
        </w:tc>
      </w:tr>
      <w:tr w:rsidR="00355613" w:rsidRPr="007D1775" w:rsidTr="00714668">
        <w:trPr>
          <w:trHeight w:hRule="exact" w:val="343"/>
        </w:trPr>
        <w:tc>
          <w:tcPr>
            <w:tcW w:w="28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237"/>
              <w:rPr>
                <w:rFonts w:ascii="Arial" w:eastAsia="Times New Roman" w:hAnsi="Arial" w:cs="Arial"/>
                <w:sz w:val="18"/>
                <w:szCs w:val="18"/>
              </w:rPr>
            </w:pPr>
            <w:r w:rsidRPr="007D1775">
              <w:rPr>
                <w:rFonts w:ascii="Arial" w:hAnsi="Arial" w:cs="Arial"/>
                <w:spacing w:val="-1"/>
                <w:sz w:val="18"/>
              </w:rPr>
              <w:t>p-value*</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1"/>
              <w:jc w:val="center"/>
              <w:rPr>
                <w:rFonts w:ascii="Arial" w:eastAsia="Times New Roman" w:hAnsi="Arial" w:cs="Arial"/>
                <w:sz w:val="18"/>
                <w:szCs w:val="18"/>
              </w:rPr>
            </w:pPr>
            <w:r w:rsidRPr="007D1775">
              <w:rPr>
                <w:rFonts w:ascii="Arial" w:hAnsi="Arial" w:cs="Arial"/>
                <w:sz w:val="18"/>
              </w:rPr>
              <w:t>0.0002</w:t>
            </w:r>
          </w:p>
        </w:tc>
        <w:tc>
          <w:tcPr>
            <w:tcW w:w="156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&lt;0.0001</w:t>
            </w:r>
          </w:p>
        </w:tc>
        <w:tc>
          <w:tcPr>
            <w:tcW w:w="1563"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&lt;0.0001</w:t>
            </w:r>
          </w:p>
        </w:tc>
      </w:tr>
    </w:tbl>
    <w:p w:rsidR="00355613" w:rsidRPr="007D1775" w:rsidRDefault="00355613" w:rsidP="00355613">
      <w:pPr>
        <w:spacing w:line="201" w:lineRule="exact"/>
        <w:ind w:left="227"/>
        <w:rPr>
          <w:rFonts w:cs="Arial"/>
          <w:sz w:val="16"/>
          <w:szCs w:val="16"/>
        </w:rPr>
      </w:pPr>
      <w:r w:rsidRPr="007D1775">
        <w:rPr>
          <w:rFonts w:cs="Arial"/>
          <w:sz w:val="16"/>
          <w:szCs w:val="16"/>
        </w:rPr>
        <w:t xml:space="preserve">† Least-square </w:t>
      </w:r>
      <w:r w:rsidRPr="007D1775">
        <w:rPr>
          <w:rFonts w:cs="Arial"/>
          <w:spacing w:val="-1"/>
          <w:sz w:val="16"/>
          <w:szCs w:val="16"/>
        </w:rPr>
        <w:t>estimate</w:t>
      </w:r>
      <w:r w:rsidRPr="007D1775">
        <w:rPr>
          <w:rFonts w:cs="Arial"/>
          <w:sz w:val="16"/>
          <w:szCs w:val="16"/>
        </w:rPr>
        <w:t xml:space="preserve"> </w:t>
      </w:r>
      <w:r w:rsidRPr="007D1775">
        <w:rPr>
          <w:rFonts w:cs="Arial"/>
          <w:spacing w:val="-1"/>
          <w:sz w:val="16"/>
          <w:szCs w:val="16"/>
        </w:rPr>
        <w:t>from</w:t>
      </w:r>
      <w:r w:rsidRPr="007D1775">
        <w:rPr>
          <w:rFonts w:cs="Arial"/>
          <w:sz w:val="16"/>
          <w:szCs w:val="16"/>
        </w:rPr>
        <w:t xml:space="preserve"> </w:t>
      </w:r>
      <w:r w:rsidRPr="007D1775">
        <w:rPr>
          <w:rFonts w:cs="Arial"/>
          <w:spacing w:val="-1"/>
          <w:sz w:val="16"/>
          <w:szCs w:val="16"/>
        </w:rPr>
        <w:t>ANCOVA</w:t>
      </w:r>
      <w:r w:rsidRPr="007D1775">
        <w:rPr>
          <w:rFonts w:cs="Arial"/>
          <w:sz w:val="16"/>
          <w:szCs w:val="16"/>
        </w:rPr>
        <w:t xml:space="preserve"> </w:t>
      </w:r>
      <w:r w:rsidRPr="007D1775">
        <w:rPr>
          <w:rFonts w:cs="Arial"/>
          <w:spacing w:val="-1"/>
          <w:sz w:val="16"/>
          <w:szCs w:val="16"/>
        </w:rPr>
        <w:t>model</w:t>
      </w:r>
    </w:p>
    <w:p w:rsidR="00355613" w:rsidRPr="007D1775" w:rsidRDefault="00355613" w:rsidP="00355613">
      <w:pPr>
        <w:ind w:left="227"/>
        <w:rPr>
          <w:rFonts w:cs="Arial"/>
          <w:sz w:val="16"/>
          <w:szCs w:val="16"/>
        </w:rPr>
      </w:pPr>
      <w:r w:rsidRPr="007D1775">
        <w:rPr>
          <w:rFonts w:cs="Arial"/>
          <w:sz w:val="16"/>
          <w:szCs w:val="16"/>
        </w:rPr>
        <w:t xml:space="preserve">* </w:t>
      </w:r>
      <w:proofErr w:type="gramStart"/>
      <w:r w:rsidRPr="007D1775">
        <w:rPr>
          <w:rFonts w:cs="Arial"/>
          <w:sz w:val="16"/>
          <w:szCs w:val="16"/>
        </w:rPr>
        <w:t>comparison</w:t>
      </w:r>
      <w:proofErr w:type="gramEnd"/>
      <w:r w:rsidRPr="007D1775">
        <w:rPr>
          <w:rFonts w:cs="Arial"/>
          <w:spacing w:val="-1"/>
          <w:sz w:val="16"/>
          <w:szCs w:val="16"/>
        </w:rPr>
        <w:t xml:space="preserve"> </w:t>
      </w:r>
      <w:r w:rsidRPr="007D1775">
        <w:rPr>
          <w:rFonts w:cs="Arial"/>
          <w:sz w:val="16"/>
          <w:szCs w:val="16"/>
        </w:rPr>
        <w:t>to</w:t>
      </w:r>
      <w:r w:rsidRPr="007D1775">
        <w:rPr>
          <w:rFonts w:cs="Arial"/>
          <w:spacing w:val="-1"/>
          <w:sz w:val="16"/>
          <w:szCs w:val="16"/>
        </w:rPr>
        <w:t xml:space="preserve"> </w:t>
      </w:r>
      <w:r w:rsidRPr="007D1775">
        <w:rPr>
          <w:rFonts w:cs="Arial"/>
          <w:sz w:val="16"/>
          <w:szCs w:val="16"/>
        </w:rPr>
        <w:t>placebo for</w:t>
      </w:r>
      <w:r w:rsidRPr="007D1775">
        <w:rPr>
          <w:rFonts w:cs="Arial"/>
          <w:spacing w:val="-1"/>
          <w:sz w:val="16"/>
          <w:szCs w:val="16"/>
        </w:rPr>
        <w:t xml:space="preserve"> change</w:t>
      </w:r>
      <w:r w:rsidRPr="007D1775">
        <w:rPr>
          <w:rFonts w:cs="Arial"/>
          <w:sz w:val="16"/>
          <w:szCs w:val="16"/>
        </w:rPr>
        <w:t xml:space="preserve"> from baseline</w:t>
      </w:r>
    </w:p>
    <w:p w:rsidR="00AE62AF" w:rsidRDefault="003A6E99" w:rsidP="00AE62AF">
      <w:pPr>
        <w:numPr>
          <w:ilvl w:val="12"/>
          <w:numId w:val="0"/>
        </w:numPr>
        <w:spacing w:before="120" w:after="120"/>
        <w:rPr>
          <w:rFonts w:cs="Arial"/>
          <w:szCs w:val="22"/>
          <w:u w:val="single"/>
        </w:rPr>
      </w:pPr>
      <w:r w:rsidRPr="007D1775">
        <w:rPr>
          <w:rFonts w:cs="Arial"/>
          <w:szCs w:val="22"/>
          <w:u w:val="single"/>
        </w:rPr>
        <w:t xml:space="preserve">Efficacy </w:t>
      </w:r>
      <w:r w:rsidR="00F722EB" w:rsidRPr="007D1775">
        <w:rPr>
          <w:rFonts w:cs="Arial"/>
          <w:szCs w:val="22"/>
          <w:u w:val="single"/>
        </w:rPr>
        <w:t xml:space="preserve">in ED </w:t>
      </w:r>
      <w:r w:rsidRPr="007D1775">
        <w:rPr>
          <w:rFonts w:cs="Arial"/>
          <w:szCs w:val="22"/>
          <w:u w:val="single"/>
        </w:rPr>
        <w:t>patients</w:t>
      </w:r>
      <w:r w:rsidR="00F722EB" w:rsidRPr="007D1775">
        <w:rPr>
          <w:rFonts w:cs="Arial"/>
          <w:szCs w:val="22"/>
          <w:u w:val="single"/>
        </w:rPr>
        <w:t xml:space="preserve"> </w:t>
      </w:r>
      <w:r w:rsidR="00902713" w:rsidRPr="007D1775">
        <w:rPr>
          <w:rFonts w:cs="Arial"/>
          <w:szCs w:val="22"/>
          <w:u w:val="single"/>
        </w:rPr>
        <w:t xml:space="preserve">with Diabetes Mellitus </w:t>
      </w:r>
    </w:p>
    <w:p w:rsidR="00AE62AF" w:rsidRDefault="00F3116E" w:rsidP="00AE62AF">
      <w:pPr>
        <w:numPr>
          <w:ilvl w:val="12"/>
          <w:numId w:val="0"/>
        </w:numPr>
        <w:rPr>
          <w:rFonts w:cs="Arial"/>
          <w:u w:val="single"/>
        </w:rPr>
      </w:pPr>
      <w:r w:rsidRPr="007D1775">
        <w:rPr>
          <w:rFonts w:cs="Arial"/>
          <w:szCs w:val="22"/>
        </w:rPr>
        <w:t>SPEDRA</w:t>
      </w:r>
      <w:r w:rsidR="00F722EB" w:rsidRPr="007D1775">
        <w:rPr>
          <w:rFonts w:cs="Arial"/>
          <w:szCs w:val="22"/>
        </w:rPr>
        <w:t xml:space="preserve"> was evaluated in ED patients (n=390) with type 1 or type 2 diabetes mellitus</w:t>
      </w:r>
      <w:r w:rsidR="003A6E99" w:rsidRPr="007D1775">
        <w:rPr>
          <w:rFonts w:cs="Arial"/>
          <w:szCs w:val="22"/>
        </w:rPr>
        <w:t xml:space="preserve">. </w:t>
      </w:r>
      <w:r w:rsidR="00F722EB" w:rsidRPr="007D1775">
        <w:rPr>
          <w:rFonts w:cs="Arial"/>
          <w:szCs w:val="22"/>
        </w:rPr>
        <w:t>The mean age was 58 years (range 30 to 78 years). The population was 80.5% White, 17.2% Black, 1.5% Asian, and 0.8% of other races. The mean duration of ED was approximately 6 years. I</w:t>
      </w:r>
      <w:r w:rsidR="00D91935" w:rsidRPr="00E62494">
        <w:rPr>
          <w:rFonts w:cs="Arial"/>
          <w:szCs w:val="22"/>
        </w:rPr>
        <w:t>n this trial, SPEDRA at doses of 100 mg and 200 mg demonstrated statistically significant improvements in all 3 primary efficacy variables as measured by the erectile function domain of the IIEF questionnaire; SEP2 and SEP3 (see Table 2).</w:t>
      </w:r>
    </w:p>
    <w:p w:rsidR="00767D7A" w:rsidRPr="000A170A" w:rsidRDefault="00F722EB" w:rsidP="00415645">
      <w:pPr>
        <w:pStyle w:val="Heading3"/>
        <w:ind w:left="994" w:hanging="994"/>
        <w:jc w:val="left"/>
        <w:rPr>
          <w:rFonts w:cs="Arial"/>
          <w:b/>
          <w:sz w:val="20"/>
        </w:rPr>
      </w:pPr>
      <w:r w:rsidRPr="000A170A">
        <w:rPr>
          <w:rFonts w:cs="Arial"/>
          <w:b/>
          <w:sz w:val="20"/>
        </w:rPr>
        <w:t xml:space="preserve">Table </w:t>
      </w:r>
      <w:r w:rsidR="002424E3" w:rsidRPr="000A170A">
        <w:rPr>
          <w:rFonts w:cs="Arial"/>
          <w:b/>
          <w:sz w:val="20"/>
        </w:rPr>
        <w:t>2</w:t>
      </w:r>
      <w:r w:rsidRPr="000A170A">
        <w:rPr>
          <w:rFonts w:cs="Arial"/>
          <w:b/>
          <w:sz w:val="20"/>
        </w:rPr>
        <w:t>:</w:t>
      </w:r>
      <w:r w:rsidR="000A170A">
        <w:rPr>
          <w:rFonts w:cs="Arial"/>
          <w:b/>
          <w:sz w:val="20"/>
        </w:rPr>
        <w:tab/>
      </w:r>
      <w:r w:rsidRPr="000A170A">
        <w:rPr>
          <w:rFonts w:cs="Arial"/>
          <w:b/>
          <w:sz w:val="20"/>
        </w:rPr>
        <w:t xml:space="preserve">Mean Change </w:t>
      </w:r>
      <w:proofErr w:type="gramStart"/>
      <w:r w:rsidRPr="000A170A">
        <w:rPr>
          <w:rFonts w:cs="Arial"/>
          <w:b/>
          <w:sz w:val="20"/>
        </w:rPr>
        <w:t>From</w:t>
      </w:r>
      <w:proofErr w:type="gramEnd"/>
      <w:r w:rsidRPr="000A170A">
        <w:rPr>
          <w:rFonts w:cs="Arial"/>
          <w:b/>
          <w:sz w:val="20"/>
        </w:rPr>
        <w:t xml:space="preserve"> Baseline for Primary Efficacy Variables in ED Population with Diabetes Mellitus (Study 2)</w:t>
      </w:r>
      <w:r w:rsidR="00355613" w:rsidRPr="000A170A">
        <w:rPr>
          <w:rFonts w:cs="Arial"/>
          <w:b/>
          <w:sz w:val="20"/>
        </w:rPr>
        <w:t xml:space="preserve"> </w:t>
      </w:r>
    </w:p>
    <w:p w:rsidR="00355613" w:rsidRPr="007D1775" w:rsidRDefault="00355613" w:rsidP="00355613">
      <w:pPr>
        <w:spacing w:before="5"/>
        <w:rPr>
          <w:rFonts w:cs="Arial"/>
          <w:bCs/>
          <w:sz w:val="10"/>
          <w:szCs w:val="10"/>
        </w:rPr>
      </w:pPr>
    </w:p>
    <w:tbl>
      <w:tblPr>
        <w:tblW w:w="0" w:type="auto"/>
        <w:tblInd w:w="114" w:type="dxa"/>
        <w:tblLayout w:type="fixed"/>
        <w:tblCellMar>
          <w:left w:w="0" w:type="dxa"/>
          <w:right w:w="0" w:type="dxa"/>
        </w:tblCellMar>
        <w:tblLook w:val="01E0" w:firstRow="1" w:lastRow="1" w:firstColumn="1" w:lastColumn="1" w:noHBand="0" w:noVBand="0"/>
      </w:tblPr>
      <w:tblGrid>
        <w:gridCol w:w="3222"/>
        <w:gridCol w:w="2058"/>
        <w:gridCol w:w="1800"/>
        <w:gridCol w:w="1800"/>
      </w:tblGrid>
      <w:tr w:rsidR="00355613" w:rsidRPr="007D1775" w:rsidTr="00D60F2B">
        <w:trPr>
          <w:trHeight w:hRule="exact" w:val="669"/>
        </w:trPr>
        <w:tc>
          <w:tcPr>
            <w:tcW w:w="32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rPr>
                <w:rFonts w:cs="Arial"/>
              </w:rPr>
            </w:pPr>
          </w:p>
        </w:tc>
        <w:tc>
          <w:tcPr>
            <w:tcW w:w="2058"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ind w:left="642" w:right="642" w:firstLine="2"/>
              <w:jc w:val="center"/>
              <w:rPr>
                <w:rFonts w:ascii="Arial" w:eastAsia="Times New Roman" w:hAnsi="Arial" w:cs="Arial"/>
                <w:sz w:val="18"/>
                <w:szCs w:val="18"/>
              </w:rPr>
            </w:pPr>
            <w:r w:rsidRPr="007D1775">
              <w:rPr>
                <w:rFonts w:ascii="Arial" w:hAnsi="Arial" w:cs="Arial"/>
                <w:b/>
                <w:sz w:val="18"/>
              </w:rPr>
              <w:t xml:space="preserve">Placebo </w:t>
            </w:r>
            <w:r w:rsidRPr="007D1775">
              <w:rPr>
                <w:rFonts w:ascii="Arial" w:hAnsi="Arial" w:cs="Arial"/>
                <w:b/>
                <w:spacing w:val="-1"/>
                <w:sz w:val="18"/>
              </w:rPr>
              <w:t>(N=127)</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F3116E" w:rsidP="00652217">
            <w:pPr>
              <w:pStyle w:val="TableParagraph"/>
              <w:ind w:left="582" w:right="224" w:hanging="480"/>
              <w:rPr>
                <w:rFonts w:ascii="Arial" w:eastAsia="Times New Roman" w:hAnsi="Arial" w:cs="Arial"/>
                <w:sz w:val="18"/>
                <w:szCs w:val="18"/>
              </w:rPr>
            </w:pPr>
            <w:r w:rsidRPr="007D1775">
              <w:rPr>
                <w:rFonts w:ascii="Arial" w:hAnsi="Arial" w:cs="Arial"/>
                <w:b/>
                <w:spacing w:val="-1"/>
                <w:sz w:val="18"/>
              </w:rPr>
              <w:t>SPEDRA</w:t>
            </w:r>
            <w:r w:rsidR="00652217" w:rsidRPr="007D1775">
              <w:rPr>
                <w:rFonts w:ascii="Arial" w:hAnsi="Arial" w:cs="Arial"/>
                <w:b/>
                <w:spacing w:val="-1"/>
                <w:sz w:val="18"/>
              </w:rPr>
              <w:t xml:space="preserve"> </w:t>
            </w:r>
            <w:r w:rsidR="00355613" w:rsidRPr="007D1775">
              <w:rPr>
                <w:rFonts w:ascii="Arial" w:hAnsi="Arial" w:cs="Arial"/>
                <w:b/>
                <w:spacing w:val="-1"/>
                <w:sz w:val="18"/>
              </w:rPr>
              <w:t>100</w:t>
            </w:r>
            <w:r w:rsidR="00355613" w:rsidRPr="007D1775">
              <w:rPr>
                <w:rFonts w:ascii="Arial" w:hAnsi="Arial" w:cs="Arial"/>
                <w:b/>
                <w:sz w:val="18"/>
              </w:rPr>
              <w:t xml:space="preserve"> </w:t>
            </w:r>
            <w:r w:rsidR="00355613" w:rsidRPr="007D1775">
              <w:rPr>
                <w:rFonts w:ascii="Arial" w:hAnsi="Arial" w:cs="Arial"/>
                <w:b/>
                <w:spacing w:val="-1"/>
                <w:sz w:val="18"/>
              </w:rPr>
              <w:t>mg</w:t>
            </w:r>
            <w:r w:rsidR="00355613" w:rsidRPr="007D1775">
              <w:rPr>
                <w:rFonts w:ascii="Arial" w:hAnsi="Arial" w:cs="Arial"/>
                <w:b/>
                <w:spacing w:val="22"/>
                <w:sz w:val="18"/>
              </w:rPr>
              <w:t xml:space="preserve"> </w:t>
            </w:r>
            <w:r w:rsidR="00355613" w:rsidRPr="007D1775">
              <w:rPr>
                <w:rFonts w:ascii="Arial" w:hAnsi="Arial" w:cs="Arial"/>
                <w:b/>
                <w:spacing w:val="-1"/>
                <w:sz w:val="18"/>
              </w:rPr>
              <w:t>(N=126)</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F3116E" w:rsidP="000908E6">
            <w:pPr>
              <w:pStyle w:val="TableParagraph"/>
              <w:ind w:left="582" w:right="162" w:hanging="419"/>
              <w:rPr>
                <w:rFonts w:ascii="Arial" w:eastAsia="Times New Roman" w:hAnsi="Arial" w:cs="Arial"/>
                <w:sz w:val="18"/>
                <w:szCs w:val="18"/>
              </w:rPr>
            </w:pPr>
            <w:r w:rsidRPr="007D1775">
              <w:rPr>
                <w:rFonts w:ascii="Arial" w:hAnsi="Arial" w:cs="Arial"/>
                <w:b/>
                <w:spacing w:val="-1"/>
                <w:sz w:val="18"/>
              </w:rPr>
              <w:t>SPEDRA</w:t>
            </w:r>
            <w:r w:rsidR="00652217" w:rsidRPr="007D1775">
              <w:rPr>
                <w:rFonts w:ascii="Arial" w:hAnsi="Arial" w:cs="Arial"/>
                <w:b/>
                <w:sz w:val="18"/>
              </w:rPr>
              <w:t xml:space="preserve"> </w:t>
            </w:r>
            <w:r w:rsidR="00355613" w:rsidRPr="007D1775">
              <w:rPr>
                <w:rFonts w:ascii="Arial" w:hAnsi="Arial" w:cs="Arial"/>
                <w:b/>
                <w:spacing w:val="-1"/>
                <w:sz w:val="18"/>
              </w:rPr>
              <w:t>200</w:t>
            </w:r>
            <w:r w:rsidR="00355613" w:rsidRPr="007D1775">
              <w:rPr>
                <w:rFonts w:ascii="Arial" w:hAnsi="Arial" w:cs="Arial"/>
                <w:b/>
                <w:sz w:val="18"/>
              </w:rPr>
              <w:t xml:space="preserve"> </w:t>
            </w:r>
            <w:r w:rsidR="00355613" w:rsidRPr="007D1775">
              <w:rPr>
                <w:rFonts w:ascii="Arial" w:hAnsi="Arial" w:cs="Arial"/>
                <w:b/>
                <w:spacing w:val="-1"/>
                <w:sz w:val="18"/>
              </w:rPr>
              <w:t>mg</w:t>
            </w:r>
            <w:r w:rsidR="00355613" w:rsidRPr="007D1775">
              <w:rPr>
                <w:rFonts w:ascii="Arial" w:hAnsi="Arial" w:cs="Arial"/>
                <w:b/>
                <w:spacing w:val="22"/>
                <w:sz w:val="18"/>
              </w:rPr>
              <w:t xml:space="preserve"> </w:t>
            </w:r>
            <w:r w:rsidR="00355613" w:rsidRPr="007D1775">
              <w:rPr>
                <w:rFonts w:ascii="Arial" w:hAnsi="Arial" w:cs="Arial"/>
                <w:b/>
                <w:spacing w:val="-1"/>
                <w:sz w:val="18"/>
              </w:rPr>
              <w:t>(N=126)</w:t>
            </w:r>
          </w:p>
        </w:tc>
      </w:tr>
      <w:tr w:rsidR="00355613" w:rsidRPr="007D1775" w:rsidTr="00355613">
        <w:trPr>
          <w:trHeight w:hRule="exact" w:val="217"/>
        </w:trPr>
        <w:tc>
          <w:tcPr>
            <w:tcW w:w="8880" w:type="dxa"/>
            <w:gridSpan w:val="4"/>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6" w:lineRule="exact"/>
              <w:ind w:left="102"/>
              <w:rPr>
                <w:rFonts w:ascii="Arial" w:eastAsia="Times New Roman" w:hAnsi="Arial" w:cs="Arial"/>
                <w:sz w:val="18"/>
                <w:szCs w:val="18"/>
              </w:rPr>
            </w:pPr>
            <w:r w:rsidRPr="007D1775">
              <w:rPr>
                <w:rFonts w:ascii="Arial" w:hAnsi="Arial" w:cs="Arial"/>
                <w:b/>
                <w:spacing w:val="-1"/>
                <w:sz w:val="18"/>
              </w:rPr>
              <w:t>IIEF</w:t>
            </w:r>
            <w:r w:rsidRPr="007D1775">
              <w:rPr>
                <w:rFonts w:ascii="Arial" w:hAnsi="Arial" w:cs="Arial"/>
                <w:b/>
                <w:sz w:val="18"/>
              </w:rPr>
              <w:t xml:space="preserve"> </w:t>
            </w:r>
            <w:r w:rsidRPr="007D1775">
              <w:rPr>
                <w:rFonts w:ascii="Arial" w:hAnsi="Arial" w:cs="Arial"/>
                <w:b/>
                <w:spacing w:val="-1"/>
                <w:sz w:val="18"/>
              </w:rPr>
              <w:t>EF</w:t>
            </w:r>
            <w:r w:rsidRPr="007D1775">
              <w:rPr>
                <w:rFonts w:ascii="Arial" w:hAnsi="Arial" w:cs="Arial"/>
                <w:b/>
                <w:sz w:val="18"/>
              </w:rPr>
              <w:t xml:space="preserve"> </w:t>
            </w:r>
            <w:r w:rsidRPr="007D1775">
              <w:rPr>
                <w:rFonts w:ascii="Arial" w:hAnsi="Arial" w:cs="Arial"/>
                <w:b/>
                <w:spacing w:val="-1"/>
                <w:sz w:val="18"/>
              </w:rPr>
              <w:t>Domain</w:t>
            </w:r>
            <w:r w:rsidRPr="007D1775">
              <w:rPr>
                <w:rFonts w:ascii="Arial" w:hAnsi="Arial" w:cs="Arial"/>
                <w:b/>
                <w:sz w:val="18"/>
              </w:rPr>
              <w:t xml:space="preserve"> </w:t>
            </w:r>
            <w:r w:rsidRPr="007D1775">
              <w:rPr>
                <w:rFonts w:ascii="Arial" w:hAnsi="Arial" w:cs="Arial"/>
                <w:b/>
                <w:spacing w:val="-1"/>
                <w:sz w:val="18"/>
              </w:rPr>
              <w:t>Score</w:t>
            </w:r>
          </w:p>
        </w:tc>
      </w:tr>
      <w:tr w:rsidR="00355613" w:rsidRPr="007D1775" w:rsidTr="00D60F2B">
        <w:trPr>
          <w:trHeight w:hRule="exact" w:val="230"/>
        </w:trPr>
        <w:tc>
          <w:tcPr>
            <w:tcW w:w="32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237"/>
              <w:rPr>
                <w:rFonts w:ascii="Arial" w:eastAsia="Times New Roman" w:hAnsi="Arial" w:cs="Arial"/>
                <w:sz w:val="18"/>
                <w:szCs w:val="18"/>
              </w:rPr>
            </w:pPr>
            <w:r w:rsidRPr="007D1775">
              <w:rPr>
                <w:rFonts w:ascii="Arial" w:hAnsi="Arial" w:cs="Arial"/>
                <w:spacing w:val="-1"/>
                <w:sz w:val="18"/>
              </w:rPr>
              <w:t>Endpoint</w:t>
            </w:r>
          </w:p>
        </w:tc>
        <w:tc>
          <w:tcPr>
            <w:tcW w:w="2058"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1"/>
              <w:jc w:val="center"/>
              <w:rPr>
                <w:rFonts w:ascii="Arial" w:eastAsia="Times New Roman" w:hAnsi="Arial" w:cs="Arial"/>
                <w:sz w:val="18"/>
                <w:szCs w:val="18"/>
              </w:rPr>
            </w:pPr>
            <w:r w:rsidRPr="007D1775">
              <w:rPr>
                <w:rFonts w:ascii="Arial" w:hAnsi="Arial" w:cs="Arial"/>
                <w:sz w:val="18"/>
              </w:rPr>
              <w:t>13.2</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1"/>
              <w:jc w:val="center"/>
              <w:rPr>
                <w:rFonts w:ascii="Arial" w:eastAsia="Times New Roman" w:hAnsi="Arial" w:cs="Arial"/>
                <w:sz w:val="18"/>
                <w:szCs w:val="18"/>
              </w:rPr>
            </w:pPr>
            <w:r w:rsidRPr="007D1775">
              <w:rPr>
                <w:rFonts w:ascii="Arial" w:hAnsi="Arial" w:cs="Arial"/>
                <w:sz w:val="18"/>
              </w:rPr>
              <w:t>15.8</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1"/>
              <w:jc w:val="center"/>
              <w:rPr>
                <w:rFonts w:ascii="Arial" w:eastAsia="Times New Roman" w:hAnsi="Arial" w:cs="Arial"/>
                <w:sz w:val="18"/>
                <w:szCs w:val="18"/>
              </w:rPr>
            </w:pPr>
            <w:r w:rsidRPr="007D1775">
              <w:rPr>
                <w:rFonts w:ascii="Arial" w:hAnsi="Arial" w:cs="Arial"/>
                <w:sz w:val="18"/>
              </w:rPr>
              <w:t>17.3</w:t>
            </w:r>
          </w:p>
        </w:tc>
      </w:tr>
      <w:tr w:rsidR="00355613" w:rsidRPr="007D1775" w:rsidTr="00D60F2B">
        <w:trPr>
          <w:trHeight w:hRule="exact" w:val="229"/>
        </w:trPr>
        <w:tc>
          <w:tcPr>
            <w:tcW w:w="32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237"/>
              <w:rPr>
                <w:rFonts w:ascii="Arial" w:eastAsia="Times New Roman" w:hAnsi="Arial" w:cs="Arial"/>
                <w:sz w:val="18"/>
                <w:szCs w:val="18"/>
              </w:rPr>
            </w:pPr>
            <w:r w:rsidRPr="007D1775">
              <w:rPr>
                <w:rFonts w:ascii="Arial" w:eastAsia="Times New Roman" w:hAnsi="Arial" w:cs="Arial"/>
                <w:sz w:val="18"/>
                <w:szCs w:val="18"/>
              </w:rPr>
              <w:t xml:space="preserve">Change from </w:t>
            </w:r>
            <w:r w:rsidRPr="007D1775">
              <w:rPr>
                <w:rFonts w:ascii="Arial" w:eastAsia="Times New Roman" w:hAnsi="Arial" w:cs="Arial"/>
                <w:spacing w:val="-1"/>
                <w:sz w:val="18"/>
                <w:szCs w:val="18"/>
              </w:rPr>
              <w:t>baseline†</w:t>
            </w:r>
          </w:p>
        </w:tc>
        <w:tc>
          <w:tcPr>
            <w:tcW w:w="2058"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2"/>
              <w:jc w:val="center"/>
              <w:rPr>
                <w:rFonts w:ascii="Arial" w:eastAsia="Times New Roman" w:hAnsi="Arial" w:cs="Arial"/>
                <w:sz w:val="18"/>
                <w:szCs w:val="18"/>
              </w:rPr>
            </w:pPr>
            <w:r w:rsidRPr="007D1775">
              <w:rPr>
                <w:rFonts w:ascii="Arial" w:hAnsi="Arial" w:cs="Arial"/>
                <w:sz w:val="18"/>
              </w:rPr>
              <w:t>1.8</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1"/>
              <w:jc w:val="center"/>
              <w:rPr>
                <w:rFonts w:ascii="Arial" w:eastAsia="Times New Roman" w:hAnsi="Arial" w:cs="Arial"/>
                <w:sz w:val="18"/>
                <w:szCs w:val="18"/>
              </w:rPr>
            </w:pPr>
            <w:r w:rsidRPr="007D1775">
              <w:rPr>
                <w:rFonts w:ascii="Arial" w:hAnsi="Arial" w:cs="Arial"/>
                <w:sz w:val="18"/>
              </w:rPr>
              <w:t>4.5</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5.4</w:t>
            </w:r>
          </w:p>
        </w:tc>
      </w:tr>
      <w:tr w:rsidR="00355613" w:rsidRPr="007D1775" w:rsidTr="00D60F2B">
        <w:trPr>
          <w:trHeight w:hRule="exact" w:val="230"/>
        </w:trPr>
        <w:tc>
          <w:tcPr>
            <w:tcW w:w="32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237"/>
              <w:rPr>
                <w:rFonts w:ascii="Arial" w:eastAsia="Times New Roman" w:hAnsi="Arial" w:cs="Arial"/>
                <w:sz w:val="18"/>
                <w:szCs w:val="18"/>
              </w:rPr>
            </w:pPr>
            <w:r w:rsidRPr="007D1775">
              <w:rPr>
                <w:rFonts w:ascii="Arial" w:hAnsi="Arial" w:cs="Arial"/>
                <w:spacing w:val="-1"/>
                <w:sz w:val="18"/>
              </w:rPr>
              <w:t>p-value*</w:t>
            </w:r>
          </w:p>
        </w:tc>
        <w:tc>
          <w:tcPr>
            <w:tcW w:w="2058"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jc w:val="center"/>
              <w:rPr>
                <w:rFonts w:ascii="Arial" w:eastAsia="Times New Roman" w:hAnsi="Arial" w:cs="Arial"/>
                <w:sz w:val="18"/>
                <w:szCs w:val="18"/>
              </w:rPr>
            </w:pPr>
            <w:r w:rsidRPr="007D1775">
              <w:rPr>
                <w:rFonts w:ascii="Arial" w:hAnsi="Arial" w:cs="Arial"/>
                <w:sz w:val="18"/>
              </w:rPr>
              <w:t>-</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1"/>
              <w:jc w:val="center"/>
              <w:rPr>
                <w:rFonts w:ascii="Arial" w:eastAsia="Times New Roman" w:hAnsi="Arial" w:cs="Arial"/>
                <w:sz w:val="18"/>
                <w:szCs w:val="18"/>
              </w:rPr>
            </w:pPr>
            <w:r w:rsidRPr="007D1775">
              <w:rPr>
                <w:rFonts w:ascii="Arial" w:hAnsi="Arial" w:cs="Arial"/>
                <w:sz w:val="18"/>
              </w:rPr>
              <w:t>0.0017</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595"/>
              <w:rPr>
                <w:rFonts w:ascii="Arial" w:eastAsia="Times New Roman" w:hAnsi="Arial" w:cs="Arial"/>
                <w:sz w:val="18"/>
                <w:szCs w:val="18"/>
              </w:rPr>
            </w:pPr>
            <w:r w:rsidRPr="007D1775">
              <w:rPr>
                <w:rFonts w:ascii="Arial" w:hAnsi="Arial" w:cs="Arial"/>
                <w:sz w:val="18"/>
              </w:rPr>
              <w:t>&lt;0.0001</w:t>
            </w:r>
          </w:p>
        </w:tc>
      </w:tr>
      <w:tr w:rsidR="00355613" w:rsidRPr="007D1775" w:rsidTr="00355613">
        <w:trPr>
          <w:trHeight w:hRule="exact" w:val="217"/>
        </w:trPr>
        <w:tc>
          <w:tcPr>
            <w:tcW w:w="8880" w:type="dxa"/>
            <w:gridSpan w:val="4"/>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5" w:lineRule="exact"/>
              <w:ind w:left="102"/>
              <w:rPr>
                <w:rFonts w:ascii="Arial" w:eastAsia="Times New Roman" w:hAnsi="Arial" w:cs="Arial"/>
                <w:sz w:val="18"/>
                <w:szCs w:val="18"/>
              </w:rPr>
            </w:pPr>
            <w:r w:rsidRPr="007D1775">
              <w:rPr>
                <w:rFonts w:ascii="Arial" w:hAnsi="Arial" w:cs="Arial"/>
                <w:b/>
                <w:sz w:val="18"/>
              </w:rPr>
              <w:t xml:space="preserve">Vaginal </w:t>
            </w:r>
            <w:r w:rsidRPr="007D1775">
              <w:rPr>
                <w:rFonts w:ascii="Arial" w:hAnsi="Arial" w:cs="Arial"/>
                <w:b/>
                <w:spacing w:val="-1"/>
                <w:sz w:val="18"/>
              </w:rPr>
              <w:t>Penetration</w:t>
            </w:r>
            <w:r w:rsidRPr="007D1775">
              <w:rPr>
                <w:rFonts w:ascii="Arial" w:hAnsi="Arial" w:cs="Arial"/>
                <w:b/>
                <w:sz w:val="18"/>
              </w:rPr>
              <w:t xml:space="preserve"> (SEP2)</w:t>
            </w:r>
          </w:p>
        </w:tc>
      </w:tr>
      <w:tr w:rsidR="00355613" w:rsidRPr="007D1775" w:rsidTr="00D60F2B">
        <w:trPr>
          <w:trHeight w:hRule="exact" w:val="230"/>
        </w:trPr>
        <w:tc>
          <w:tcPr>
            <w:tcW w:w="32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237"/>
              <w:rPr>
                <w:rFonts w:ascii="Arial" w:eastAsia="Times New Roman" w:hAnsi="Arial" w:cs="Arial"/>
                <w:sz w:val="18"/>
                <w:szCs w:val="18"/>
              </w:rPr>
            </w:pPr>
            <w:r w:rsidRPr="007D1775">
              <w:rPr>
                <w:rFonts w:ascii="Arial" w:hAnsi="Arial" w:cs="Arial"/>
                <w:spacing w:val="-1"/>
                <w:sz w:val="18"/>
              </w:rPr>
              <w:t>Endpoint</w:t>
            </w:r>
          </w:p>
        </w:tc>
        <w:tc>
          <w:tcPr>
            <w:tcW w:w="2058"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42.0%</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54.0%</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63.5%</w:t>
            </w:r>
          </w:p>
        </w:tc>
      </w:tr>
      <w:tr w:rsidR="00355613" w:rsidRPr="007D1775" w:rsidTr="00D60F2B">
        <w:trPr>
          <w:trHeight w:hRule="exact" w:val="229"/>
        </w:trPr>
        <w:tc>
          <w:tcPr>
            <w:tcW w:w="32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237"/>
              <w:rPr>
                <w:rFonts w:ascii="Arial" w:eastAsia="Times New Roman" w:hAnsi="Arial" w:cs="Arial"/>
                <w:sz w:val="18"/>
                <w:szCs w:val="18"/>
              </w:rPr>
            </w:pPr>
            <w:r w:rsidRPr="007D1775">
              <w:rPr>
                <w:rFonts w:ascii="Arial" w:eastAsia="Times New Roman" w:hAnsi="Arial" w:cs="Arial"/>
                <w:sz w:val="18"/>
                <w:szCs w:val="18"/>
              </w:rPr>
              <w:t xml:space="preserve">Change from </w:t>
            </w:r>
            <w:r w:rsidRPr="007D1775">
              <w:rPr>
                <w:rFonts w:ascii="Arial" w:eastAsia="Times New Roman" w:hAnsi="Arial" w:cs="Arial"/>
                <w:spacing w:val="-1"/>
                <w:sz w:val="18"/>
                <w:szCs w:val="18"/>
              </w:rPr>
              <w:t>baseline†</w:t>
            </w:r>
          </w:p>
        </w:tc>
        <w:tc>
          <w:tcPr>
            <w:tcW w:w="2058"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3"/>
              <w:jc w:val="center"/>
              <w:rPr>
                <w:rFonts w:ascii="Arial" w:eastAsia="Times New Roman" w:hAnsi="Arial" w:cs="Arial"/>
                <w:sz w:val="18"/>
                <w:szCs w:val="18"/>
              </w:rPr>
            </w:pPr>
            <w:r w:rsidRPr="007D1775">
              <w:rPr>
                <w:rFonts w:ascii="Arial" w:hAnsi="Arial" w:cs="Arial"/>
                <w:sz w:val="18"/>
              </w:rPr>
              <w:t>7.5%</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1"/>
              <w:jc w:val="center"/>
              <w:rPr>
                <w:rFonts w:ascii="Arial" w:eastAsia="Times New Roman" w:hAnsi="Arial" w:cs="Arial"/>
                <w:sz w:val="18"/>
                <w:szCs w:val="18"/>
              </w:rPr>
            </w:pPr>
            <w:r w:rsidRPr="007D1775">
              <w:rPr>
                <w:rFonts w:ascii="Arial" w:hAnsi="Arial" w:cs="Arial"/>
                <w:sz w:val="18"/>
              </w:rPr>
              <w:t>21.5%</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25.9%</w:t>
            </w:r>
          </w:p>
        </w:tc>
      </w:tr>
      <w:tr w:rsidR="00355613" w:rsidRPr="007D1775" w:rsidTr="00D60F2B">
        <w:trPr>
          <w:trHeight w:hRule="exact" w:val="230"/>
        </w:trPr>
        <w:tc>
          <w:tcPr>
            <w:tcW w:w="32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237"/>
              <w:rPr>
                <w:rFonts w:ascii="Arial" w:eastAsia="Times New Roman" w:hAnsi="Arial" w:cs="Arial"/>
                <w:sz w:val="18"/>
                <w:szCs w:val="18"/>
              </w:rPr>
            </w:pPr>
            <w:r w:rsidRPr="007D1775">
              <w:rPr>
                <w:rFonts w:ascii="Arial" w:hAnsi="Arial" w:cs="Arial"/>
                <w:spacing w:val="-1"/>
                <w:sz w:val="18"/>
              </w:rPr>
              <w:t>p-value*</w:t>
            </w:r>
          </w:p>
        </w:tc>
        <w:tc>
          <w:tcPr>
            <w:tcW w:w="2058"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jc w:val="center"/>
              <w:rPr>
                <w:rFonts w:ascii="Arial" w:eastAsia="Times New Roman" w:hAnsi="Arial" w:cs="Arial"/>
                <w:sz w:val="18"/>
                <w:szCs w:val="18"/>
              </w:rPr>
            </w:pPr>
            <w:r w:rsidRPr="007D1775">
              <w:rPr>
                <w:rFonts w:ascii="Arial" w:hAnsi="Arial" w:cs="Arial"/>
                <w:sz w:val="18"/>
              </w:rPr>
              <w:t>-</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1"/>
              <w:jc w:val="center"/>
              <w:rPr>
                <w:rFonts w:ascii="Arial" w:eastAsia="Times New Roman" w:hAnsi="Arial" w:cs="Arial"/>
                <w:sz w:val="18"/>
                <w:szCs w:val="18"/>
              </w:rPr>
            </w:pPr>
            <w:r w:rsidRPr="007D1775">
              <w:rPr>
                <w:rFonts w:ascii="Arial" w:hAnsi="Arial" w:cs="Arial"/>
                <w:sz w:val="18"/>
              </w:rPr>
              <w:t>0.0004</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595"/>
              <w:rPr>
                <w:rFonts w:ascii="Arial" w:eastAsia="Times New Roman" w:hAnsi="Arial" w:cs="Arial"/>
                <w:sz w:val="18"/>
                <w:szCs w:val="18"/>
              </w:rPr>
            </w:pPr>
            <w:r w:rsidRPr="007D1775">
              <w:rPr>
                <w:rFonts w:ascii="Arial" w:hAnsi="Arial" w:cs="Arial"/>
                <w:sz w:val="18"/>
              </w:rPr>
              <w:t>&lt;0.0001</w:t>
            </w:r>
          </w:p>
        </w:tc>
      </w:tr>
      <w:tr w:rsidR="00355613" w:rsidRPr="007D1775" w:rsidTr="00355613">
        <w:trPr>
          <w:trHeight w:hRule="exact" w:val="217"/>
        </w:trPr>
        <w:tc>
          <w:tcPr>
            <w:tcW w:w="8880" w:type="dxa"/>
            <w:gridSpan w:val="4"/>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5" w:lineRule="exact"/>
              <w:ind w:left="102"/>
              <w:rPr>
                <w:rFonts w:ascii="Arial" w:eastAsia="Times New Roman" w:hAnsi="Arial" w:cs="Arial"/>
                <w:sz w:val="18"/>
                <w:szCs w:val="18"/>
              </w:rPr>
            </w:pPr>
            <w:r w:rsidRPr="007D1775">
              <w:rPr>
                <w:rFonts w:ascii="Arial" w:hAnsi="Arial" w:cs="Arial"/>
                <w:b/>
                <w:spacing w:val="-1"/>
                <w:sz w:val="18"/>
              </w:rPr>
              <w:t>Successful</w:t>
            </w:r>
            <w:r w:rsidRPr="007D1775">
              <w:rPr>
                <w:rFonts w:ascii="Arial" w:hAnsi="Arial" w:cs="Arial"/>
                <w:b/>
                <w:spacing w:val="1"/>
                <w:sz w:val="18"/>
              </w:rPr>
              <w:t xml:space="preserve"> </w:t>
            </w:r>
            <w:r w:rsidRPr="007D1775">
              <w:rPr>
                <w:rFonts w:ascii="Arial" w:hAnsi="Arial" w:cs="Arial"/>
                <w:b/>
                <w:spacing w:val="-1"/>
                <w:sz w:val="18"/>
              </w:rPr>
              <w:t>Intercourse</w:t>
            </w:r>
            <w:r w:rsidRPr="007D1775">
              <w:rPr>
                <w:rFonts w:ascii="Arial" w:hAnsi="Arial" w:cs="Arial"/>
                <w:b/>
                <w:spacing w:val="1"/>
                <w:sz w:val="18"/>
              </w:rPr>
              <w:t xml:space="preserve"> </w:t>
            </w:r>
            <w:r w:rsidRPr="007D1775">
              <w:rPr>
                <w:rFonts w:ascii="Arial" w:hAnsi="Arial" w:cs="Arial"/>
                <w:b/>
                <w:spacing w:val="-1"/>
                <w:sz w:val="18"/>
              </w:rPr>
              <w:t>(SEP3)</w:t>
            </w:r>
          </w:p>
        </w:tc>
      </w:tr>
      <w:tr w:rsidR="00355613" w:rsidRPr="007D1775" w:rsidTr="00D60F2B">
        <w:trPr>
          <w:trHeight w:hRule="exact" w:val="220"/>
        </w:trPr>
        <w:tc>
          <w:tcPr>
            <w:tcW w:w="32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237"/>
              <w:rPr>
                <w:rFonts w:ascii="Arial" w:eastAsia="Times New Roman" w:hAnsi="Arial" w:cs="Arial"/>
                <w:sz w:val="18"/>
                <w:szCs w:val="18"/>
              </w:rPr>
            </w:pPr>
            <w:r w:rsidRPr="007D1775">
              <w:rPr>
                <w:rFonts w:ascii="Arial" w:hAnsi="Arial" w:cs="Arial"/>
                <w:spacing w:val="-1"/>
                <w:sz w:val="18"/>
              </w:rPr>
              <w:t>Endpoint</w:t>
            </w:r>
          </w:p>
        </w:tc>
        <w:tc>
          <w:tcPr>
            <w:tcW w:w="2058"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20.5%</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34.4%</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jc w:val="center"/>
              <w:rPr>
                <w:rFonts w:ascii="Arial" w:eastAsia="Times New Roman" w:hAnsi="Arial" w:cs="Arial"/>
                <w:sz w:val="18"/>
                <w:szCs w:val="18"/>
              </w:rPr>
            </w:pPr>
            <w:r w:rsidRPr="007D1775">
              <w:rPr>
                <w:rFonts w:ascii="Arial" w:hAnsi="Arial" w:cs="Arial"/>
                <w:sz w:val="18"/>
              </w:rPr>
              <w:t>40.0%</w:t>
            </w:r>
          </w:p>
        </w:tc>
      </w:tr>
      <w:tr w:rsidR="00355613" w:rsidRPr="007D1775" w:rsidTr="00D60F2B">
        <w:trPr>
          <w:trHeight w:hRule="exact" w:val="220"/>
        </w:trPr>
        <w:tc>
          <w:tcPr>
            <w:tcW w:w="32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237"/>
              <w:rPr>
                <w:rFonts w:ascii="Arial" w:eastAsia="Times New Roman" w:hAnsi="Arial" w:cs="Arial"/>
                <w:sz w:val="18"/>
                <w:szCs w:val="18"/>
              </w:rPr>
            </w:pPr>
            <w:r w:rsidRPr="007D1775">
              <w:rPr>
                <w:rFonts w:ascii="Arial" w:eastAsia="Times New Roman" w:hAnsi="Arial" w:cs="Arial"/>
                <w:sz w:val="18"/>
                <w:szCs w:val="18"/>
              </w:rPr>
              <w:t xml:space="preserve">Change from </w:t>
            </w:r>
            <w:r w:rsidRPr="007D1775">
              <w:rPr>
                <w:rFonts w:ascii="Arial" w:eastAsia="Times New Roman" w:hAnsi="Arial" w:cs="Arial"/>
                <w:spacing w:val="-1"/>
                <w:sz w:val="18"/>
                <w:szCs w:val="18"/>
              </w:rPr>
              <w:t>baseline†</w:t>
            </w:r>
          </w:p>
        </w:tc>
        <w:tc>
          <w:tcPr>
            <w:tcW w:w="2058"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2"/>
              <w:jc w:val="center"/>
              <w:rPr>
                <w:rFonts w:ascii="Arial" w:eastAsia="Times New Roman" w:hAnsi="Arial" w:cs="Arial"/>
                <w:sz w:val="18"/>
                <w:szCs w:val="18"/>
              </w:rPr>
            </w:pPr>
            <w:r w:rsidRPr="007D1775">
              <w:rPr>
                <w:rFonts w:ascii="Arial" w:hAnsi="Arial" w:cs="Arial"/>
                <w:sz w:val="18"/>
              </w:rPr>
              <w:t>13.6%</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1"/>
              <w:jc w:val="center"/>
              <w:rPr>
                <w:rFonts w:ascii="Arial" w:eastAsia="Times New Roman" w:hAnsi="Arial" w:cs="Arial"/>
                <w:sz w:val="18"/>
                <w:szCs w:val="18"/>
              </w:rPr>
            </w:pPr>
            <w:r w:rsidRPr="007D1775">
              <w:rPr>
                <w:rFonts w:ascii="Arial" w:hAnsi="Arial" w:cs="Arial"/>
                <w:sz w:val="18"/>
              </w:rPr>
              <w:t>28.7%</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1" w:lineRule="exact"/>
              <w:ind w:left="1"/>
              <w:jc w:val="center"/>
              <w:rPr>
                <w:rFonts w:ascii="Arial" w:eastAsia="Times New Roman" w:hAnsi="Arial" w:cs="Arial"/>
                <w:sz w:val="18"/>
                <w:szCs w:val="18"/>
              </w:rPr>
            </w:pPr>
            <w:r w:rsidRPr="007D1775">
              <w:rPr>
                <w:rFonts w:ascii="Arial" w:hAnsi="Arial" w:cs="Arial"/>
                <w:sz w:val="18"/>
              </w:rPr>
              <w:t>34.0%</w:t>
            </w:r>
          </w:p>
        </w:tc>
      </w:tr>
      <w:tr w:rsidR="00355613" w:rsidRPr="007D1775" w:rsidTr="00D60F2B">
        <w:trPr>
          <w:trHeight w:hRule="exact" w:val="221"/>
        </w:trPr>
        <w:tc>
          <w:tcPr>
            <w:tcW w:w="3222"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237"/>
              <w:rPr>
                <w:rFonts w:ascii="Arial" w:eastAsia="Times New Roman" w:hAnsi="Arial" w:cs="Arial"/>
                <w:sz w:val="18"/>
                <w:szCs w:val="18"/>
              </w:rPr>
            </w:pPr>
            <w:r w:rsidRPr="007D1775">
              <w:rPr>
                <w:rFonts w:ascii="Arial" w:hAnsi="Arial" w:cs="Arial"/>
                <w:spacing w:val="-1"/>
                <w:sz w:val="18"/>
              </w:rPr>
              <w:t>p-value*</w:t>
            </w:r>
          </w:p>
        </w:tc>
        <w:tc>
          <w:tcPr>
            <w:tcW w:w="2058"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jc w:val="center"/>
              <w:rPr>
                <w:rFonts w:ascii="Arial" w:eastAsia="Times New Roman" w:hAnsi="Arial" w:cs="Arial"/>
                <w:sz w:val="18"/>
                <w:szCs w:val="18"/>
              </w:rPr>
            </w:pPr>
            <w:r w:rsidRPr="007D1775">
              <w:rPr>
                <w:rFonts w:ascii="Arial" w:hAnsi="Arial" w:cs="Arial"/>
                <w:sz w:val="18"/>
              </w:rPr>
              <w:t>-</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595"/>
              <w:rPr>
                <w:rFonts w:ascii="Arial" w:eastAsia="Times New Roman" w:hAnsi="Arial" w:cs="Arial"/>
                <w:sz w:val="18"/>
                <w:szCs w:val="18"/>
              </w:rPr>
            </w:pPr>
            <w:r w:rsidRPr="007D1775">
              <w:rPr>
                <w:rFonts w:ascii="Arial" w:hAnsi="Arial" w:cs="Arial"/>
                <w:sz w:val="18"/>
              </w:rPr>
              <w:t>&lt;0.0001</w:t>
            </w:r>
          </w:p>
        </w:tc>
        <w:tc>
          <w:tcPr>
            <w:tcW w:w="1800" w:type="dxa"/>
            <w:tcBorders>
              <w:top w:val="single" w:sz="5" w:space="0" w:color="000000"/>
              <w:left w:val="single" w:sz="5" w:space="0" w:color="000000"/>
              <w:bottom w:val="single" w:sz="5" w:space="0" w:color="000000"/>
              <w:right w:val="single" w:sz="5" w:space="0" w:color="000000"/>
            </w:tcBorders>
          </w:tcPr>
          <w:p w:rsidR="00355613" w:rsidRPr="007D1775" w:rsidRDefault="00355613" w:rsidP="00355613">
            <w:pPr>
              <w:pStyle w:val="TableParagraph"/>
              <w:spacing w:line="202" w:lineRule="exact"/>
              <w:ind w:left="595"/>
              <w:rPr>
                <w:rFonts w:ascii="Arial" w:eastAsia="Times New Roman" w:hAnsi="Arial" w:cs="Arial"/>
                <w:sz w:val="18"/>
                <w:szCs w:val="18"/>
              </w:rPr>
            </w:pPr>
            <w:r w:rsidRPr="007D1775">
              <w:rPr>
                <w:rFonts w:ascii="Arial" w:hAnsi="Arial" w:cs="Arial"/>
                <w:sz w:val="18"/>
              </w:rPr>
              <w:t>&lt;0.0001</w:t>
            </w:r>
          </w:p>
        </w:tc>
      </w:tr>
    </w:tbl>
    <w:p w:rsidR="00355613" w:rsidRPr="007D1775" w:rsidRDefault="00355613" w:rsidP="00355613">
      <w:pPr>
        <w:spacing w:line="201" w:lineRule="exact"/>
        <w:ind w:left="227"/>
        <w:rPr>
          <w:rFonts w:cs="Arial"/>
          <w:sz w:val="16"/>
          <w:szCs w:val="16"/>
        </w:rPr>
      </w:pPr>
      <w:r w:rsidRPr="007D1775">
        <w:rPr>
          <w:rFonts w:cs="Arial"/>
          <w:sz w:val="16"/>
          <w:szCs w:val="16"/>
        </w:rPr>
        <w:t xml:space="preserve">† </w:t>
      </w:r>
      <w:proofErr w:type="gramStart"/>
      <w:r w:rsidRPr="007D1775">
        <w:rPr>
          <w:rFonts w:cs="Arial"/>
          <w:spacing w:val="-1"/>
          <w:sz w:val="16"/>
          <w:szCs w:val="16"/>
        </w:rPr>
        <w:t>least-square</w:t>
      </w:r>
      <w:proofErr w:type="gramEnd"/>
      <w:r w:rsidRPr="007D1775">
        <w:rPr>
          <w:rFonts w:cs="Arial"/>
          <w:sz w:val="16"/>
          <w:szCs w:val="16"/>
        </w:rPr>
        <w:t xml:space="preserve"> </w:t>
      </w:r>
      <w:r w:rsidRPr="007D1775">
        <w:rPr>
          <w:rFonts w:cs="Arial"/>
          <w:spacing w:val="-1"/>
          <w:sz w:val="16"/>
          <w:szCs w:val="16"/>
        </w:rPr>
        <w:t>estimate</w:t>
      </w:r>
      <w:r w:rsidRPr="007D1775">
        <w:rPr>
          <w:rFonts w:cs="Arial"/>
          <w:sz w:val="16"/>
          <w:szCs w:val="16"/>
        </w:rPr>
        <w:t xml:space="preserve"> </w:t>
      </w:r>
      <w:r w:rsidRPr="007D1775">
        <w:rPr>
          <w:rFonts w:cs="Arial"/>
          <w:spacing w:val="-1"/>
          <w:sz w:val="16"/>
          <w:szCs w:val="16"/>
        </w:rPr>
        <w:t>from</w:t>
      </w:r>
      <w:r w:rsidRPr="007D1775">
        <w:rPr>
          <w:rFonts w:cs="Arial"/>
          <w:sz w:val="16"/>
          <w:szCs w:val="16"/>
        </w:rPr>
        <w:t xml:space="preserve"> </w:t>
      </w:r>
      <w:r w:rsidRPr="007D1775">
        <w:rPr>
          <w:rFonts w:cs="Arial"/>
          <w:spacing w:val="-1"/>
          <w:sz w:val="16"/>
          <w:szCs w:val="16"/>
        </w:rPr>
        <w:t>ANCOVA</w:t>
      </w:r>
      <w:r w:rsidRPr="007D1775">
        <w:rPr>
          <w:rFonts w:cs="Arial"/>
          <w:sz w:val="16"/>
          <w:szCs w:val="16"/>
        </w:rPr>
        <w:t xml:space="preserve"> </w:t>
      </w:r>
      <w:r w:rsidRPr="007D1775">
        <w:rPr>
          <w:rFonts w:cs="Arial"/>
          <w:spacing w:val="-1"/>
          <w:sz w:val="16"/>
          <w:szCs w:val="16"/>
        </w:rPr>
        <w:t>model</w:t>
      </w:r>
    </w:p>
    <w:p w:rsidR="00355613" w:rsidRPr="007D1775" w:rsidRDefault="00355613" w:rsidP="00ED1532">
      <w:pPr>
        <w:ind w:left="227"/>
        <w:rPr>
          <w:rFonts w:cs="Arial"/>
          <w:szCs w:val="22"/>
          <w:u w:val="single"/>
        </w:rPr>
      </w:pPr>
      <w:r w:rsidRPr="007D1775">
        <w:rPr>
          <w:rFonts w:cs="Arial"/>
          <w:sz w:val="16"/>
          <w:szCs w:val="16"/>
        </w:rPr>
        <w:t xml:space="preserve">* </w:t>
      </w:r>
      <w:proofErr w:type="gramStart"/>
      <w:r w:rsidRPr="007D1775">
        <w:rPr>
          <w:rFonts w:cs="Arial"/>
          <w:sz w:val="16"/>
          <w:szCs w:val="16"/>
        </w:rPr>
        <w:t>comparison</w:t>
      </w:r>
      <w:proofErr w:type="gramEnd"/>
      <w:r w:rsidRPr="007D1775">
        <w:rPr>
          <w:rFonts w:cs="Arial"/>
          <w:spacing w:val="-1"/>
          <w:sz w:val="16"/>
          <w:szCs w:val="16"/>
        </w:rPr>
        <w:t xml:space="preserve"> </w:t>
      </w:r>
      <w:r w:rsidRPr="007D1775">
        <w:rPr>
          <w:rFonts w:cs="Arial"/>
          <w:sz w:val="16"/>
          <w:szCs w:val="16"/>
        </w:rPr>
        <w:t>to</w:t>
      </w:r>
      <w:r w:rsidRPr="007D1775">
        <w:rPr>
          <w:rFonts w:cs="Arial"/>
          <w:spacing w:val="-1"/>
          <w:sz w:val="16"/>
          <w:szCs w:val="16"/>
        </w:rPr>
        <w:t xml:space="preserve"> </w:t>
      </w:r>
      <w:r w:rsidRPr="007D1775">
        <w:rPr>
          <w:rFonts w:cs="Arial"/>
          <w:sz w:val="16"/>
          <w:szCs w:val="16"/>
        </w:rPr>
        <w:t>placebo for</w:t>
      </w:r>
      <w:r w:rsidRPr="007D1775">
        <w:rPr>
          <w:rFonts w:cs="Arial"/>
          <w:spacing w:val="-1"/>
          <w:sz w:val="16"/>
          <w:szCs w:val="16"/>
        </w:rPr>
        <w:t xml:space="preserve"> change</w:t>
      </w:r>
      <w:r w:rsidRPr="007D1775">
        <w:rPr>
          <w:rFonts w:cs="Arial"/>
          <w:sz w:val="16"/>
          <w:szCs w:val="16"/>
        </w:rPr>
        <w:t xml:space="preserve"> from baseline</w:t>
      </w:r>
    </w:p>
    <w:p w:rsidR="00AE62AF" w:rsidRDefault="003A6E99" w:rsidP="00AE62AF">
      <w:pPr>
        <w:numPr>
          <w:ilvl w:val="12"/>
          <w:numId w:val="0"/>
        </w:numPr>
        <w:spacing w:before="120" w:after="120"/>
        <w:rPr>
          <w:rFonts w:cs="Arial"/>
          <w:szCs w:val="22"/>
          <w:u w:val="single"/>
        </w:rPr>
      </w:pPr>
      <w:r w:rsidRPr="007D1775">
        <w:rPr>
          <w:rFonts w:cs="Arial"/>
          <w:szCs w:val="22"/>
          <w:u w:val="single"/>
        </w:rPr>
        <w:t xml:space="preserve">Efficacy in </w:t>
      </w:r>
      <w:r w:rsidR="00894082" w:rsidRPr="007D1775">
        <w:rPr>
          <w:rFonts w:cs="Arial"/>
          <w:szCs w:val="22"/>
          <w:u w:val="single"/>
        </w:rPr>
        <w:t xml:space="preserve">ED </w:t>
      </w:r>
      <w:r w:rsidRPr="007D1775">
        <w:rPr>
          <w:rFonts w:cs="Arial"/>
          <w:szCs w:val="22"/>
          <w:u w:val="single"/>
        </w:rPr>
        <w:t>Patients foll</w:t>
      </w:r>
      <w:r w:rsidR="008648F6" w:rsidRPr="007D1775">
        <w:rPr>
          <w:rFonts w:cs="Arial"/>
          <w:szCs w:val="22"/>
          <w:u w:val="single"/>
        </w:rPr>
        <w:t xml:space="preserve">owing </w:t>
      </w:r>
      <w:r w:rsidR="00894082" w:rsidRPr="007D1775">
        <w:rPr>
          <w:rFonts w:cs="Arial"/>
          <w:szCs w:val="22"/>
          <w:u w:val="single"/>
        </w:rPr>
        <w:t xml:space="preserve">bilateral nerve-sparing radical prostatectomy </w:t>
      </w:r>
    </w:p>
    <w:p w:rsidR="00AE62AF" w:rsidRDefault="00F3116E" w:rsidP="00AE62AF">
      <w:pPr>
        <w:autoSpaceDE w:val="0"/>
        <w:autoSpaceDN w:val="0"/>
        <w:adjustRightInd w:val="0"/>
        <w:rPr>
          <w:rFonts w:cs="Arial"/>
          <w:szCs w:val="22"/>
          <w:lang w:eastAsia="en-AU"/>
        </w:rPr>
      </w:pPr>
      <w:r w:rsidRPr="007D1775">
        <w:rPr>
          <w:rFonts w:cs="Arial"/>
          <w:szCs w:val="22"/>
        </w:rPr>
        <w:t>SPEDRA</w:t>
      </w:r>
      <w:r w:rsidR="008648F6" w:rsidRPr="007D1775">
        <w:rPr>
          <w:rFonts w:cs="Arial"/>
          <w:szCs w:val="22"/>
        </w:rPr>
        <w:t xml:space="preserve"> was evaluated in ED patients (n=298) </w:t>
      </w:r>
      <w:r w:rsidR="008648F6" w:rsidRPr="007D1775">
        <w:rPr>
          <w:rFonts w:cs="Arial"/>
          <w:szCs w:val="22"/>
          <w:lang w:eastAsia="en-AU"/>
        </w:rPr>
        <w:t>following bilateral nerve-sparing radical</w:t>
      </w:r>
      <w:r w:rsidR="007D20D1" w:rsidRPr="007D1775">
        <w:rPr>
          <w:rFonts w:cs="Arial"/>
          <w:szCs w:val="22"/>
          <w:lang w:eastAsia="en-AU"/>
        </w:rPr>
        <w:t xml:space="preserve"> </w:t>
      </w:r>
      <w:r w:rsidR="0014592C" w:rsidRPr="007D1775">
        <w:rPr>
          <w:rFonts w:cs="Arial"/>
          <w:szCs w:val="22"/>
          <w:lang w:eastAsia="en-AU"/>
        </w:rPr>
        <w:t>p</w:t>
      </w:r>
      <w:r w:rsidR="008648F6" w:rsidRPr="007D1775">
        <w:rPr>
          <w:rFonts w:cs="Arial"/>
          <w:szCs w:val="22"/>
          <w:lang w:eastAsia="en-AU"/>
        </w:rPr>
        <w:t>rostatectomy</w:t>
      </w:r>
      <w:r w:rsidR="003A6E99" w:rsidRPr="007D1775">
        <w:rPr>
          <w:rFonts w:cs="Arial"/>
          <w:szCs w:val="22"/>
          <w:lang w:eastAsia="en-AU"/>
        </w:rPr>
        <w:t>. T</w:t>
      </w:r>
      <w:r w:rsidR="008648F6" w:rsidRPr="007D1775">
        <w:rPr>
          <w:rFonts w:cs="Arial"/>
          <w:szCs w:val="22"/>
        </w:rPr>
        <w:t xml:space="preserve">he mean age was 58 years (range 30 to 78 years). </w:t>
      </w:r>
      <w:r w:rsidR="002709D2" w:rsidRPr="007D1775">
        <w:rPr>
          <w:rFonts w:cs="Arial"/>
          <w:szCs w:val="22"/>
          <w:lang w:eastAsia="en-AU"/>
        </w:rPr>
        <w:t xml:space="preserve">Across all treatment groups, </w:t>
      </w:r>
      <w:r w:rsidR="002709D2" w:rsidRPr="007D1775">
        <w:rPr>
          <w:rFonts w:cs="Arial"/>
          <w:szCs w:val="22"/>
          <w:lang w:eastAsia="en-AU"/>
        </w:rPr>
        <w:lastRenderedPageBreak/>
        <w:t xml:space="preserve">the erectile dysfunction severity at baseline was mild for 9.1% of subjects, moderate for 19.5% of subjects, and severe for 71.5% of subjects. </w:t>
      </w:r>
      <w:r w:rsidR="008648F6" w:rsidRPr="007D1775">
        <w:rPr>
          <w:rFonts w:cs="Arial"/>
          <w:szCs w:val="22"/>
        </w:rPr>
        <w:t xml:space="preserve">The </w:t>
      </w:r>
      <w:r w:rsidR="002709D2" w:rsidRPr="007D1775">
        <w:rPr>
          <w:rFonts w:cs="Arial"/>
          <w:szCs w:val="22"/>
        </w:rPr>
        <w:t xml:space="preserve">majority of the subjects were </w:t>
      </w:r>
      <w:r w:rsidR="002620C7" w:rsidRPr="007D1775">
        <w:rPr>
          <w:rFonts w:cs="Arial"/>
          <w:szCs w:val="22"/>
        </w:rPr>
        <w:t>W</w:t>
      </w:r>
      <w:r w:rsidR="002709D2" w:rsidRPr="007D1775">
        <w:rPr>
          <w:rFonts w:cs="Arial"/>
          <w:szCs w:val="22"/>
        </w:rPr>
        <w:t xml:space="preserve">hite (81.5%). The mean duration </w:t>
      </w:r>
      <w:r w:rsidR="002709D2" w:rsidRPr="007D1775">
        <w:rPr>
          <w:rFonts w:cs="Arial"/>
          <w:szCs w:val="22"/>
          <w:lang w:eastAsia="en-AU"/>
        </w:rPr>
        <w:t>of post-surgery erectile dysfunc</w:t>
      </w:r>
      <w:r w:rsidR="007D20D1" w:rsidRPr="007D1775">
        <w:rPr>
          <w:rFonts w:cs="Arial"/>
          <w:szCs w:val="22"/>
          <w:lang w:eastAsia="en-AU"/>
        </w:rPr>
        <w:t xml:space="preserve">tion </w:t>
      </w:r>
      <w:r w:rsidR="002709D2" w:rsidRPr="007D1775">
        <w:rPr>
          <w:rFonts w:cs="Arial"/>
          <w:szCs w:val="22"/>
          <w:lang w:eastAsia="en-AU"/>
        </w:rPr>
        <w:t>was 18.7 months.</w:t>
      </w:r>
    </w:p>
    <w:p w:rsidR="00325A59" w:rsidRPr="007D1775" w:rsidRDefault="00661FF6">
      <w:pPr>
        <w:spacing w:after="0"/>
        <w:jc w:val="left"/>
        <w:rPr>
          <w:rFonts w:cs="Arial"/>
          <w:bCs/>
          <w:szCs w:val="22"/>
          <w:u w:val="single"/>
        </w:rPr>
      </w:pPr>
      <w:r w:rsidRPr="007D1775">
        <w:rPr>
          <w:rFonts w:cs="Arial"/>
          <w:szCs w:val="22"/>
        </w:rPr>
        <w:t>In adult male subjects with erectile dysfunction following</w:t>
      </w:r>
      <w:r w:rsidR="002424E3" w:rsidRPr="007D1775">
        <w:rPr>
          <w:rFonts w:cs="Arial"/>
          <w:szCs w:val="22"/>
        </w:rPr>
        <w:t xml:space="preserve"> bilateral nerve-sparing radical </w:t>
      </w:r>
      <w:r w:rsidRPr="007D1775">
        <w:rPr>
          <w:rFonts w:cs="Arial"/>
          <w:szCs w:val="22"/>
        </w:rPr>
        <w:t xml:space="preserve">prostatectomy, </w:t>
      </w:r>
      <w:r w:rsidR="00F3116E" w:rsidRPr="007D1775">
        <w:rPr>
          <w:rFonts w:cs="Arial"/>
          <w:szCs w:val="22"/>
        </w:rPr>
        <w:t>SPEDRA</w:t>
      </w:r>
      <w:r w:rsidR="007D20D1" w:rsidRPr="007D1775">
        <w:rPr>
          <w:rFonts w:cs="Arial"/>
          <w:szCs w:val="22"/>
        </w:rPr>
        <w:t xml:space="preserve"> </w:t>
      </w:r>
      <w:r w:rsidRPr="007D1775">
        <w:rPr>
          <w:rFonts w:cs="Arial"/>
          <w:szCs w:val="22"/>
        </w:rPr>
        <w:t xml:space="preserve">treatment at both </w:t>
      </w:r>
      <w:r w:rsidR="00D91935" w:rsidRPr="00E62494">
        <w:rPr>
          <w:rFonts w:cs="Arial"/>
          <w:szCs w:val="22"/>
        </w:rPr>
        <w:t>doses tested (100 mg and 200 mg) was associated with statistically significant improvements in all three co-primary endpoints of erectile functio</w:t>
      </w:r>
      <w:r w:rsidRPr="007D1775">
        <w:rPr>
          <w:rFonts w:cs="Arial"/>
          <w:szCs w:val="22"/>
        </w:rPr>
        <w:t xml:space="preserve">n relative to placebo. </w:t>
      </w:r>
    </w:p>
    <w:p w:rsidR="00AE62AF" w:rsidRPr="000A170A" w:rsidRDefault="00355613" w:rsidP="00415645">
      <w:pPr>
        <w:autoSpaceDE w:val="0"/>
        <w:autoSpaceDN w:val="0"/>
        <w:adjustRightInd w:val="0"/>
        <w:spacing w:before="120" w:after="120"/>
        <w:ind w:left="994" w:hanging="994"/>
        <w:jc w:val="left"/>
        <w:rPr>
          <w:rFonts w:cs="Arial"/>
          <w:b/>
          <w:sz w:val="20"/>
          <w:u w:val="single"/>
        </w:rPr>
      </w:pPr>
      <w:r w:rsidRPr="000A170A">
        <w:rPr>
          <w:rFonts w:cs="Arial"/>
          <w:b/>
          <w:sz w:val="20"/>
          <w:u w:val="single"/>
        </w:rPr>
        <w:t>Table 3:</w:t>
      </w:r>
      <w:r w:rsidR="000A170A">
        <w:rPr>
          <w:rFonts w:cs="Arial"/>
          <w:b/>
          <w:sz w:val="20"/>
          <w:u w:val="single"/>
        </w:rPr>
        <w:tab/>
      </w:r>
      <w:r w:rsidRPr="000A170A">
        <w:rPr>
          <w:rFonts w:cs="Arial"/>
          <w:b/>
          <w:sz w:val="20"/>
          <w:u w:val="single"/>
        </w:rPr>
        <w:t xml:space="preserve">Mean Change </w:t>
      </w:r>
      <w:proofErr w:type="gramStart"/>
      <w:r w:rsidRPr="000A170A">
        <w:rPr>
          <w:rFonts w:cs="Arial"/>
          <w:b/>
          <w:sz w:val="20"/>
          <w:u w:val="single"/>
        </w:rPr>
        <w:t>From</w:t>
      </w:r>
      <w:proofErr w:type="gramEnd"/>
      <w:r w:rsidRPr="000A170A">
        <w:rPr>
          <w:rFonts w:cs="Arial"/>
          <w:b/>
          <w:sz w:val="20"/>
          <w:u w:val="single"/>
        </w:rPr>
        <w:t xml:space="preserve"> Baseline for Primary Efficacy Variables in ED Population following bilateral nerve-sparring radical prostatectomy</w:t>
      </w:r>
      <w:r w:rsidR="00AE62AF" w:rsidRPr="000A170A">
        <w:rPr>
          <w:rFonts w:cs="Arial"/>
          <w:b/>
          <w:sz w:val="20"/>
          <w:u w:val="single"/>
        </w:rPr>
        <w:t xml:space="preserve">  </w:t>
      </w:r>
    </w:p>
    <w:tbl>
      <w:tblPr>
        <w:tblStyle w:val="TableGrid"/>
        <w:tblW w:w="0" w:type="auto"/>
        <w:tblLook w:val="04A0" w:firstRow="1" w:lastRow="0" w:firstColumn="1" w:lastColumn="0" w:noHBand="0" w:noVBand="1"/>
      </w:tblPr>
      <w:tblGrid>
        <w:gridCol w:w="2310"/>
        <w:gridCol w:w="2310"/>
        <w:gridCol w:w="2311"/>
        <w:gridCol w:w="2311"/>
      </w:tblGrid>
      <w:tr w:rsidR="007D20D1" w:rsidRPr="007D1775" w:rsidTr="007D20D1">
        <w:tc>
          <w:tcPr>
            <w:tcW w:w="2310" w:type="dxa"/>
          </w:tcPr>
          <w:p w:rsidR="007D20D1" w:rsidRPr="007D1775" w:rsidRDefault="007D20D1" w:rsidP="007D20D1">
            <w:pPr>
              <w:jc w:val="center"/>
              <w:rPr>
                <w:rFonts w:cs="Arial"/>
                <w:b/>
                <w:bCs/>
                <w:sz w:val="20"/>
                <w:szCs w:val="20"/>
              </w:rPr>
            </w:pPr>
            <w:r w:rsidRPr="007D1775">
              <w:rPr>
                <w:rFonts w:cs="Arial"/>
                <w:b/>
                <w:bCs/>
                <w:sz w:val="20"/>
                <w:szCs w:val="20"/>
              </w:rPr>
              <w:t>Study  TA 303</w:t>
            </w:r>
          </w:p>
        </w:tc>
        <w:tc>
          <w:tcPr>
            <w:tcW w:w="2310" w:type="dxa"/>
          </w:tcPr>
          <w:p w:rsidR="007D20D1" w:rsidRPr="007D1775" w:rsidRDefault="007D20D1" w:rsidP="007D20D1">
            <w:pPr>
              <w:jc w:val="center"/>
              <w:rPr>
                <w:rFonts w:cs="Arial"/>
                <w:b/>
                <w:bCs/>
                <w:sz w:val="20"/>
                <w:szCs w:val="20"/>
              </w:rPr>
            </w:pPr>
            <w:r w:rsidRPr="007D1775">
              <w:rPr>
                <w:rFonts w:cs="Arial"/>
                <w:b/>
                <w:bCs/>
                <w:sz w:val="20"/>
                <w:szCs w:val="20"/>
              </w:rPr>
              <w:t>Placebo</w:t>
            </w:r>
          </w:p>
          <w:p w:rsidR="007D20D1" w:rsidRPr="007D1775" w:rsidRDefault="007D20D1" w:rsidP="007D20D1">
            <w:pPr>
              <w:jc w:val="center"/>
              <w:rPr>
                <w:rFonts w:cs="Arial"/>
                <w:b/>
                <w:bCs/>
                <w:sz w:val="20"/>
                <w:szCs w:val="20"/>
              </w:rPr>
            </w:pPr>
            <w:r w:rsidRPr="007D1775">
              <w:rPr>
                <w:rFonts w:cs="Arial"/>
                <w:b/>
                <w:bCs/>
                <w:sz w:val="20"/>
                <w:szCs w:val="20"/>
              </w:rPr>
              <w:t>(n= 96)</w:t>
            </w:r>
          </w:p>
        </w:tc>
        <w:tc>
          <w:tcPr>
            <w:tcW w:w="2311" w:type="dxa"/>
          </w:tcPr>
          <w:p w:rsidR="007D20D1" w:rsidRPr="007D1775" w:rsidRDefault="00F3116E" w:rsidP="007D20D1">
            <w:pPr>
              <w:jc w:val="center"/>
              <w:rPr>
                <w:rFonts w:cs="Arial"/>
                <w:b/>
                <w:bCs/>
                <w:sz w:val="20"/>
                <w:szCs w:val="20"/>
              </w:rPr>
            </w:pPr>
            <w:r w:rsidRPr="007D1775">
              <w:rPr>
                <w:rFonts w:cs="Arial"/>
                <w:b/>
                <w:bCs/>
                <w:sz w:val="20"/>
                <w:szCs w:val="20"/>
              </w:rPr>
              <w:t>SPEDRA</w:t>
            </w:r>
            <w:r w:rsidR="007D20D1" w:rsidRPr="007D1775">
              <w:rPr>
                <w:rFonts w:cs="Arial"/>
                <w:b/>
                <w:bCs/>
                <w:sz w:val="20"/>
                <w:szCs w:val="20"/>
              </w:rPr>
              <w:t xml:space="preserve"> 100</w:t>
            </w:r>
            <w:r w:rsidR="00B22B52" w:rsidRPr="007D1775">
              <w:rPr>
                <w:rFonts w:cs="Arial"/>
                <w:b/>
                <w:bCs/>
                <w:sz w:val="20"/>
                <w:szCs w:val="20"/>
              </w:rPr>
              <w:t xml:space="preserve"> </w:t>
            </w:r>
            <w:r w:rsidR="007D20D1" w:rsidRPr="007D1775">
              <w:rPr>
                <w:rFonts w:cs="Arial"/>
                <w:b/>
                <w:bCs/>
                <w:sz w:val="20"/>
                <w:szCs w:val="20"/>
              </w:rPr>
              <w:t>mg</w:t>
            </w:r>
          </w:p>
          <w:p w:rsidR="007D20D1" w:rsidRPr="007D1775" w:rsidRDefault="007D20D1" w:rsidP="007D20D1">
            <w:pPr>
              <w:jc w:val="center"/>
              <w:rPr>
                <w:rFonts w:cs="Arial"/>
                <w:b/>
                <w:bCs/>
                <w:sz w:val="20"/>
                <w:szCs w:val="20"/>
              </w:rPr>
            </w:pPr>
            <w:r w:rsidRPr="007D1775">
              <w:rPr>
                <w:rFonts w:cs="Arial"/>
                <w:b/>
                <w:bCs/>
                <w:sz w:val="20"/>
                <w:szCs w:val="20"/>
              </w:rPr>
              <w:t>(n=94)</w:t>
            </w:r>
          </w:p>
        </w:tc>
        <w:tc>
          <w:tcPr>
            <w:tcW w:w="2311" w:type="dxa"/>
          </w:tcPr>
          <w:p w:rsidR="007D20D1" w:rsidRPr="007D1775" w:rsidRDefault="00F3116E" w:rsidP="007D20D1">
            <w:pPr>
              <w:jc w:val="center"/>
              <w:rPr>
                <w:rFonts w:cs="Arial"/>
                <w:b/>
                <w:bCs/>
                <w:sz w:val="20"/>
                <w:szCs w:val="20"/>
              </w:rPr>
            </w:pPr>
            <w:r w:rsidRPr="007D1775">
              <w:rPr>
                <w:rFonts w:cs="Arial"/>
                <w:b/>
                <w:bCs/>
                <w:sz w:val="20"/>
                <w:szCs w:val="20"/>
              </w:rPr>
              <w:t>SPEDRA</w:t>
            </w:r>
            <w:r w:rsidR="007D20D1" w:rsidRPr="007D1775">
              <w:rPr>
                <w:rFonts w:cs="Arial"/>
                <w:b/>
                <w:bCs/>
                <w:sz w:val="20"/>
                <w:szCs w:val="20"/>
              </w:rPr>
              <w:t xml:space="preserve"> 200</w:t>
            </w:r>
            <w:r w:rsidR="00B22B52" w:rsidRPr="007D1775">
              <w:rPr>
                <w:rFonts w:cs="Arial"/>
                <w:b/>
                <w:bCs/>
                <w:sz w:val="20"/>
                <w:szCs w:val="20"/>
              </w:rPr>
              <w:t xml:space="preserve"> </w:t>
            </w:r>
            <w:r w:rsidR="007D20D1" w:rsidRPr="007D1775">
              <w:rPr>
                <w:rFonts w:cs="Arial"/>
                <w:b/>
                <w:bCs/>
                <w:sz w:val="20"/>
                <w:szCs w:val="20"/>
              </w:rPr>
              <w:t>mg</w:t>
            </w:r>
          </w:p>
          <w:p w:rsidR="007D20D1" w:rsidRPr="007D1775" w:rsidRDefault="007D20D1" w:rsidP="007D20D1">
            <w:pPr>
              <w:jc w:val="center"/>
              <w:rPr>
                <w:rFonts w:cs="Arial"/>
                <w:b/>
                <w:bCs/>
                <w:sz w:val="20"/>
                <w:szCs w:val="20"/>
              </w:rPr>
            </w:pPr>
            <w:r w:rsidRPr="007D1775">
              <w:rPr>
                <w:rFonts w:cs="Arial"/>
                <w:b/>
                <w:bCs/>
                <w:sz w:val="20"/>
                <w:szCs w:val="20"/>
              </w:rPr>
              <w:t>(n=96)</w:t>
            </w:r>
          </w:p>
        </w:tc>
      </w:tr>
      <w:tr w:rsidR="007D20D1" w:rsidRPr="007D1775" w:rsidTr="007D20D1">
        <w:tc>
          <w:tcPr>
            <w:tcW w:w="2310" w:type="dxa"/>
          </w:tcPr>
          <w:p w:rsidR="007D20D1" w:rsidRPr="007D1775" w:rsidRDefault="007D20D1" w:rsidP="007D20D1">
            <w:pPr>
              <w:rPr>
                <w:rFonts w:cs="Arial"/>
                <w:sz w:val="20"/>
                <w:szCs w:val="20"/>
              </w:rPr>
            </w:pPr>
            <w:r w:rsidRPr="007D1775">
              <w:rPr>
                <w:rFonts w:cs="Arial"/>
                <w:b/>
                <w:bCs/>
                <w:sz w:val="20"/>
                <w:szCs w:val="20"/>
              </w:rPr>
              <w:t>IIEF EF Domain Score</w:t>
            </w:r>
          </w:p>
        </w:tc>
        <w:tc>
          <w:tcPr>
            <w:tcW w:w="2310" w:type="dxa"/>
          </w:tcPr>
          <w:p w:rsidR="007D20D1" w:rsidRPr="007D1775" w:rsidRDefault="007D20D1" w:rsidP="007D20D1">
            <w:pPr>
              <w:rPr>
                <w:rFonts w:cs="Arial"/>
                <w:sz w:val="20"/>
                <w:szCs w:val="20"/>
              </w:rPr>
            </w:pPr>
          </w:p>
        </w:tc>
        <w:tc>
          <w:tcPr>
            <w:tcW w:w="2311" w:type="dxa"/>
          </w:tcPr>
          <w:p w:rsidR="007D20D1" w:rsidRPr="007D1775" w:rsidRDefault="007D20D1" w:rsidP="007D20D1">
            <w:pPr>
              <w:rPr>
                <w:rFonts w:cs="Arial"/>
                <w:sz w:val="20"/>
                <w:szCs w:val="20"/>
              </w:rPr>
            </w:pPr>
          </w:p>
        </w:tc>
        <w:tc>
          <w:tcPr>
            <w:tcW w:w="2311" w:type="dxa"/>
          </w:tcPr>
          <w:p w:rsidR="007D20D1" w:rsidRPr="007D1775" w:rsidRDefault="007D20D1" w:rsidP="007D20D1">
            <w:pPr>
              <w:rPr>
                <w:rFonts w:cs="Arial"/>
                <w:sz w:val="20"/>
                <w:szCs w:val="20"/>
              </w:rPr>
            </w:pPr>
          </w:p>
        </w:tc>
      </w:tr>
      <w:tr w:rsidR="007D20D1" w:rsidRPr="007D1775" w:rsidTr="007D20D1">
        <w:tc>
          <w:tcPr>
            <w:tcW w:w="2310" w:type="dxa"/>
          </w:tcPr>
          <w:p w:rsidR="007D20D1" w:rsidRPr="007D1775" w:rsidRDefault="007D20D1" w:rsidP="007D20D1">
            <w:pPr>
              <w:rPr>
                <w:rFonts w:cs="Arial"/>
                <w:sz w:val="20"/>
                <w:szCs w:val="20"/>
              </w:rPr>
            </w:pPr>
            <w:r w:rsidRPr="007D1775">
              <w:rPr>
                <w:rFonts w:cs="Arial"/>
                <w:sz w:val="20"/>
                <w:szCs w:val="20"/>
              </w:rPr>
              <w:t xml:space="preserve">Endpoint </w:t>
            </w:r>
          </w:p>
        </w:tc>
        <w:tc>
          <w:tcPr>
            <w:tcW w:w="2310" w:type="dxa"/>
          </w:tcPr>
          <w:p w:rsidR="007D20D1" w:rsidRPr="007D1775" w:rsidRDefault="007D20D1" w:rsidP="007D20D1">
            <w:pPr>
              <w:jc w:val="center"/>
              <w:rPr>
                <w:rFonts w:cs="Arial"/>
                <w:sz w:val="20"/>
                <w:szCs w:val="20"/>
              </w:rPr>
            </w:pPr>
            <w:r w:rsidRPr="007D1775">
              <w:rPr>
                <w:rFonts w:cs="Arial"/>
                <w:sz w:val="20"/>
                <w:szCs w:val="20"/>
              </w:rPr>
              <w:t>9.3 (5.51)</w:t>
            </w:r>
          </w:p>
        </w:tc>
        <w:tc>
          <w:tcPr>
            <w:tcW w:w="2311" w:type="dxa"/>
          </w:tcPr>
          <w:p w:rsidR="007D20D1" w:rsidRPr="007D1775" w:rsidRDefault="007D20D1" w:rsidP="007D20D1">
            <w:pPr>
              <w:jc w:val="center"/>
              <w:rPr>
                <w:rFonts w:cs="Arial"/>
                <w:sz w:val="20"/>
                <w:szCs w:val="20"/>
              </w:rPr>
            </w:pPr>
            <w:r w:rsidRPr="007D1775">
              <w:rPr>
                <w:rFonts w:cs="Arial"/>
                <w:sz w:val="20"/>
                <w:szCs w:val="20"/>
              </w:rPr>
              <w:t>12.6 (8.08)</w:t>
            </w:r>
          </w:p>
        </w:tc>
        <w:tc>
          <w:tcPr>
            <w:tcW w:w="2311" w:type="dxa"/>
          </w:tcPr>
          <w:p w:rsidR="007D20D1" w:rsidRPr="007D1775" w:rsidRDefault="007D20D1" w:rsidP="007D20D1">
            <w:pPr>
              <w:jc w:val="center"/>
              <w:rPr>
                <w:rFonts w:cs="Arial"/>
                <w:sz w:val="20"/>
                <w:szCs w:val="20"/>
              </w:rPr>
            </w:pPr>
            <w:r w:rsidRPr="007D1775">
              <w:rPr>
                <w:rFonts w:cs="Arial"/>
                <w:sz w:val="20"/>
                <w:szCs w:val="20"/>
              </w:rPr>
              <w:t>14.7 (8.65)</w:t>
            </w:r>
          </w:p>
        </w:tc>
      </w:tr>
      <w:tr w:rsidR="007D20D1" w:rsidRPr="007D1775" w:rsidTr="007D20D1">
        <w:tc>
          <w:tcPr>
            <w:tcW w:w="2310" w:type="dxa"/>
          </w:tcPr>
          <w:p w:rsidR="007D20D1" w:rsidRPr="007D1775" w:rsidRDefault="007D20D1" w:rsidP="007D20D1">
            <w:pPr>
              <w:rPr>
                <w:rFonts w:cs="Arial"/>
                <w:sz w:val="20"/>
                <w:szCs w:val="20"/>
              </w:rPr>
            </w:pPr>
            <w:r w:rsidRPr="007D1775">
              <w:rPr>
                <w:rFonts w:cs="Arial"/>
                <w:sz w:val="20"/>
                <w:szCs w:val="20"/>
              </w:rPr>
              <w:t>Change from baseline</w:t>
            </w:r>
            <w:r w:rsidR="00AE62AF" w:rsidRPr="00AE62AF">
              <w:rPr>
                <w:rFonts w:cs="Arial"/>
                <w:sz w:val="18"/>
                <w:szCs w:val="18"/>
                <w:vertAlign w:val="superscript"/>
              </w:rPr>
              <w:t>†</w:t>
            </w:r>
          </w:p>
        </w:tc>
        <w:tc>
          <w:tcPr>
            <w:tcW w:w="2310" w:type="dxa"/>
          </w:tcPr>
          <w:p w:rsidR="007D20D1" w:rsidRPr="007D1775" w:rsidRDefault="007D20D1" w:rsidP="007D20D1">
            <w:pPr>
              <w:jc w:val="center"/>
              <w:rPr>
                <w:rFonts w:cs="Arial"/>
                <w:sz w:val="20"/>
                <w:szCs w:val="20"/>
              </w:rPr>
            </w:pPr>
            <w:r w:rsidRPr="007D1775">
              <w:rPr>
                <w:rFonts w:cs="Arial"/>
                <w:sz w:val="20"/>
                <w:szCs w:val="20"/>
              </w:rPr>
              <w:t>1.2 (1.16)</w:t>
            </w:r>
          </w:p>
        </w:tc>
        <w:tc>
          <w:tcPr>
            <w:tcW w:w="2311" w:type="dxa"/>
          </w:tcPr>
          <w:p w:rsidR="007D20D1" w:rsidRPr="007D1775" w:rsidRDefault="007D20D1" w:rsidP="007D20D1">
            <w:pPr>
              <w:jc w:val="center"/>
              <w:rPr>
                <w:rFonts w:cs="Arial"/>
                <w:sz w:val="20"/>
                <w:szCs w:val="20"/>
              </w:rPr>
            </w:pPr>
            <w:r w:rsidRPr="007D1775">
              <w:rPr>
                <w:rFonts w:cs="Arial"/>
                <w:sz w:val="20"/>
                <w:szCs w:val="20"/>
              </w:rPr>
              <w:t>4.7 (1.18)</w:t>
            </w:r>
          </w:p>
        </w:tc>
        <w:tc>
          <w:tcPr>
            <w:tcW w:w="2311" w:type="dxa"/>
          </w:tcPr>
          <w:p w:rsidR="007D20D1" w:rsidRPr="007D1775" w:rsidRDefault="007D20D1" w:rsidP="007D20D1">
            <w:pPr>
              <w:jc w:val="center"/>
              <w:rPr>
                <w:rFonts w:cs="Arial"/>
                <w:sz w:val="20"/>
                <w:szCs w:val="20"/>
              </w:rPr>
            </w:pPr>
            <w:r w:rsidRPr="007D1775">
              <w:rPr>
                <w:rFonts w:cs="Arial"/>
                <w:sz w:val="20"/>
                <w:szCs w:val="20"/>
              </w:rPr>
              <w:t>6.2 (1.11)</w:t>
            </w:r>
          </w:p>
        </w:tc>
      </w:tr>
      <w:tr w:rsidR="007D20D1" w:rsidRPr="007D1775" w:rsidTr="007D20D1">
        <w:tc>
          <w:tcPr>
            <w:tcW w:w="2310" w:type="dxa"/>
          </w:tcPr>
          <w:p w:rsidR="007D20D1" w:rsidRPr="007D1775" w:rsidRDefault="007D20D1" w:rsidP="007D20D1">
            <w:pPr>
              <w:rPr>
                <w:rFonts w:cs="Arial"/>
                <w:sz w:val="20"/>
                <w:szCs w:val="20"/>
              </w:rPr>
            </w:pPr>
            <w:r w:rsidRPr="007D1775">
              <w:rPr>
                <w:rFonts w:cs="Arial"/>
                <w:sz w:val="20"/>
                <w:szCs w:val="20"/>
              </w:rPr>
              <w:t>p-value*</w:t>
            </w:r>
          </w:p>
        </w:tc>
        <w:tc>
          <w:tcPr>
            <w:tcW w:w="2310" w:type="dxa"/>
          </w:tcPr>
          <w:p w:rsidR="007D20D1" w:rsidRPr="007D1775" w:rsidRDefault="007D20D1" w:rsidP="007D20D1">
            <w:pPr>
              <w:jc w:val="center"/>
              <w:rPr>
                <w:rFonts w:cs="Arial"/>
                <w:sz w:val="20"/>
                <w:szCs w:val="20"/>
              </w:rPr>
            </w:pPr>
            <w:r w:rsidRPr="007D1775">
              <w:rPr>
                <w:rFonts w:cs="Arial"/>
                <w:sz w:val="20"/>
                <w:szCs w:val="20"/>
              </w:rPr>
              <w:t>0.2964</w:t>
            </w:r>
          </w:p>
        </w:tc>
        <w:tc>
          <w:tcPr>
            <w:tcW w:w="2311" w:type="dxa"/>
          </w:tcPr>
          <w:p w:rsidR="007D20D1" w:rsidRPr="007D1775" w:rsidRDefault="007D20D1" w:rsidP="007D20D1">
            <w:pPr>
              <w:jc w:val="center"/>
              <w:rPr>
                <w:rFonts w:cs="Arial"/>
                <w:sz w:val="20"/>
                <w:szCs w:val="20"/>
              </w:rPr>
            </w:pPr>
            <w:r w:rsidRPr="007D1775">
              <w:rPr>
                <w:rFonts w:cs="Arial"/>
                <w:sz w:val="20"/>
                <w:szCs w:val="20"/>
              </w:rPr>
              <w:t>&lt;0.0001</w:t>
            </w:r>
          </w:p>
        </w:tc>
        <w:tc>
          <w:tcPr>
            <w:tcW w:w="2311" w:type="dxa"/>
          </w:tcPr>
          <w:p w:rsidR="007D20D1" w:rsidRPr="007D1775" w:rsidRDefault="007D20D1" w:rsidP="007D20D1">
            <w:pPr>
              <w:jc w:val="center"/>
              <w:rPr>
                <w:rFonts w:cs="Arial"/>
                <w:sz w:val="20"/>
                <w:szCs w:val="20"/>
              </w:rPr>
            </w:pPr>
            <w:r w:rsidRPr="007D1775">
              <w:rPr>
                <w:rFonts w:cs="Arial"/>
                <w:sz w:val="20"/>
                <w:szCs w:val="20"/>
              </w:rPr>
              <w:t>&lt;0.0001</w:t>
            </w:r>
          </w:p>
        </w:tc>
      </w:tr>
      <w:tr w:rsidR="007D20D1" w:rsidRPr="007D1775" w:rsidTr="007D20D1">
        <w:tc>
          <w:tcPr>
            <w:tcW w:w="2310" w:type="dxa"/>
          </w:tcPr>
          <w:p w:rsidR="007D20D1" w:rsidRPr="007D1775" w:rsidRDefault="007D20D1" w:rsidP="007D20D1">
            <w:pPr>
              <w:rPr>
                <w:rFonts w:cs="Arial"/>
                <w:sz w:val="20"/>
                <w:szCs w:val="20"/>
              </w:rPr>
            </w:pPr>
            <w:r w:rsidRPr="007D1775">
              <w:rPr>
                <w:rFonts w:cs="Arial"/>
                <w:b/>
                <w:bCs/>
                <w:sz w:val="20"/>
                <w:szCs w:val="20"/>
              </w:rPr>
              <w:t>Vaginal Penetration (SEP2)</w:t>
            </w:r>
          </w:p>
        </w:tc>
        <w:tc>
          <w:tcPr>
            <w:tcW w:w="2310" w:type="dxa"/>
          </w:tcPr>
          <w:p w:rsidR="007D20D1" w:rsidRPr="007D1775" w:rsidRDefault="007D20D1" w:rsidP="007D20D1">
            <w:pPr>
              <w:jc w:val="center"/>
              <w:rPr>
                <w:rFonts w:cs="Arial"/>
                <w:sz w:val="20"/>
                <w:szCs w:val="20"/>
              </w:rPr>
            </w:pPr>
          </w:p>
        </w:tc>
        <w:tc>
          <w:tcPr>
            <w:tcW w:w="2311" w:type="dxa"/>
          </w:tcPr>
          <w:p w:rsidR="007D20D1" w:rsidRPr="007D1775" w:rsidRDefault="007D20D1" w:rsidP="007D20D1">
            <w:pPr>
              <w:jc w:val="center"/>
              <w:rPr>
                <w:rFonts w:cs="Arial"/>
                <w:sz w:val="20"/>
                <w:szCs w:val="20"/>
              </w:rPr>
            </w:pPr>
          </w:p>
        </w:tc>
        <w:tc>
          <w:tcPr>
            <w:tcW w:w="2311" w:type="dxa"/>
          </w:tcPr>
          <w:p w:rsidR="007D20D1" w:rsidRPr="007D1775" w:rsidRDefault="007D20D1" w:rsidP="007D20D1">
            <w:pPr>
              <w:jc w:val="center"/>
              <w:rPr>
                <w:rFonts w:cs="Arial"/>
                <w:sz w:val="20"/>
                <w:szCs w:val="20"/>
              </w:rPr>
            </w:pPr>
          </w:p>
        </w:tc>
      </w:tr>
      <w:tr w:rsidR="007D20D1" w:rsidRPr="007D1775" w:rsidTr="007D20D1">
        <w:tc>
          <w:tcPr>
            <w:tcW w:w="2310" w:type="dxa"/>
          </w:tcPr>
          <w:p w:rsidR="007D20D1" w:rsidRPr="007D1775" w:rsidRDefault="007D20D1" w:rsidP="007D20D1">
            <w:pPr>
              <w:rPr>
                <w:rFonts w:cs="Arial"/>
                <w:sz w:val="20"/>
                <w:szCs w:val="20"/>
              </w:rPr>
            </w:pPr>
            <w:r w:rsidRPr="007D1775">
              <w:rPr>
                <w:rFonts w:cs="Arial"/>
                <w:sz w:val="20"/>
                <w:szCs w:val="20"/>
              </w:rPr>
              <w:t xml:space="preserve">Endpoint </w:t>
            </w:r>
          </w:p>
        </w:tc>
        <w:tc>
          <w:tcPr>
            <w:tcW w:w="2310" w:type="dxa"/>
          </w:tcPr>
          <w:p w:rsidR="007D20D1" w:rsidRPr="007D1775" w:rsidRDefault="007D20D1" w:rsidP="007D20D1">
            <w:pPr>
              <w:jc w:val="center"/>
              <w:rPr>
                <w:rFonts w:cs="Arial"/>
                <w:sz w:val="20"/>
                <w:szCs w:val="20"/>
              </w:rPr>
            </w:pPr>
            <w:r w:rsidRPr="007D1775">
              <w:rPr>
                <w:rFonts w:cs="Arial"/>
                <w:sz w:val="20"/>
                <w:szCs w:val="20"/>
              </w:rPr>
              <w:t>19.7 (32.58)</w:t>
            </w:r>
          </w:p>
        </w:tc>
        <w:tc>
          <w:tcPr>
            <w:tcW w:w="2311" w:type="dxa"/>
          </w:tcPr>
          <w:p w:rsidR="007D20D1" w:rsidRPr="007D1775" w:rsidRDefault="007D20D1" w:rsidP="007D20D1">
            <w:pPr>
              <w:jc w:val="center"/>
              <w:rPr>
                <w:rFonts w:cs="Arial"/>
                <w:sz w:val="20"/>
                <w:szCs w:val="20"/>
              </w:rPr>
            </w:pPr>
            <w:r w:rsidRPr="007D1775">
              <w:rPr>
                <w:rFonts w:cs="Arial"/>
                <w:sz w:val="20"/>
                <w:szCs w:val="20"/>
              </w:rPr>
              <w:t>32.5 (38.74)</w:t>
            </w:r>
          </w:p>
        </w:tc>
        <w:tc>
          <w:tcPr>
            <w:tcW w:w="2311" w:type="dxa"/>
          </w:tcPr>
          <w:p w:rsidR="007D20D1" w:rsidRPr="007D1775" w:rsidRDefault="007D20D1" w:rsidP="007D20D1">
            <w:pPr>
              <w:jc w:val="center"/>
              <w:rPr>
                <w:rFonts w:cs="Arial"/>
                <w:sz w:val="20"/>
                <w:szCs w:val="20"/>
              </w:rPr>
            </w:pPr>
            <w:r w:rsidRPr="007D1775">
              <w:rPr>
                <w:rFonts w:cs="Arial"/>
                <w:sz w:val="20"/>
                <w:szCs w:val="20"/>
              </w:rPr>
              <w:t>40.8 (40.79)</w:t>
            </w:r>
          </w:p>
        </w:tc>
      </w:tr>
      <w:tr w:rsidR="007D20D1" w:rsidRPr="007D1775" w:rsidTr="007D20D1">
        <w:tc>
          <w:tcPr>
            <w:tcW w:w="2310" w:type="dxa"/>
          </w:tcPr>
          <w:p w:rsidR="007D20D1" w:rsidRPr="007D1775" w:rsidRDefault="007D20D1" w:rsidP="007D20D1">
            <w:pPr>
              <w:rPr>
                <w:rFonts w:cs="Arial"/>
                <w:sz w:val="20"/>
                <w:szCs w:val="20"/>
              </w:rPr>
            </w:pPr>
            <w:r w:rsidRPr="007D1775">
              <w:rPr>
                <w:rFonts w:cs="Arial"/>
                <w:sz w:val="20"/>
                <w:szCs w:val="20"/>
              </w:rPr>
              <w:t>Change from baseline</w:t>
            </w:r>
            <w:r w:rsidR="00AE62AF" w:rsidRPr="00AE62AF">
              <w:rPr>
                <w:rFonts w:cs="Arial"/>
                <w:sz w:val="18"/>
                <w:szCs w:val="18"/>
                <w:vertAlign w:val="superscript"/>
              </w:rPr>
              <w:t>†</w:t>
            </w:r>
          </w:p>
        </w:tc>
        <w:tc>
          <w:tcPr>
            <w:tcW w:w="2310" w:type="dxa"/>
          </w:tcPr>
          <w:p w:rsidR="007D20D1" w:rsidRPr="007D1775" w:rsidRDefault="007D20D1" w:rsidP="007D20D1">
            <w:pPr>
              <w:jc w:val="center"/>
              <w:rPr>
                <w:rFonts w:cs="Arial"/>
                <w:sz w:val="20"/>
                <w:szCs w:val="20"/>
              </w:rPr>
            </w:pPr>
            <w:r w:rsidRPr="007D1775">
              <w:rPr>
                <w:rFonts w:cs="Arial"/>
                <w:sz w:val="20"/>
                <w:szCs w:val="20"/>
              </w:rPr>
              <w:t>7.5 (3.68)</w:t>
            </w:r>
          </w:p>
        </w:tc>
        <w:tc>
          <w:tcPr>
            <w:tcW w:w="2311" w:type="dxa"/>
          </w:tcPr>
          <w:p w:rsidR="007D20D1" w:rsidRPr="007D1775" w:rsidRDefault="007D20D1" w:rsidP="007D20D1">
            <w:pPr>
              <w:jc w:val="center"/>
              <w:rPr>
                <w:rFonts w:cs="Arial"/>
                <w:sz w:val="20"/>
                <w:szCs w:val="20"/>
              </w:rPr>
            </w:pPr>
            <w:r w:rsidRPr="007D1775">
              <w:rPr>
                <w:rFonts w:cs="Arial"/>
                <w:sz w:val="20"/>
                <w:szCs w:val="20"/>
              </w:rPr>
              <w:t>22.3 (3.66)</w:t>
            </w:r>
          </w:p>
        </w:tc>
        <w:tc>
          <w:tcPr>
            <w:tcW w:w="2311" w:type="dxa"/>
          </w:tcPr>
          <w:p w:rsidR="007D20D1" w:rsidRPr="007D1775" w:rsidRDefault="007D20D1" w:rsidP="007D20D1">
            <w:pPr>
              <w:jc w:val="center"/>
              <w:rPr>
                <w:rFonts w:cs="Arial"/>
                <w:sz w:val="20"/>
                <w:szCs w:val="20"/>
              </w:rPr>
            </w:pPr>
            <w:r w:rsidRPr="007D1775">
              <w:rPr>
                <w:rFonts w:cs="Arial"/>
                <w:sz w:val="20"/>
                <w:szCs w:val="20"/>
              </w:rPr>
              <w:t>27.7 (3.48)</w:t>
            </w:r>
          </w:p>
        </w:tc>
      </w:tr>
      <w:tr w:rsidR="007D20D1" w:rsidRPr="007D1775" w:rsidTr="007D20D1">
        <w:tc>
          <w:tcPr>
            <w:tcW w:w="2310" w:type="dxa"/>
          </w:tcPr>
          <w:p w:rsidR="007D20D1" w:rsidRPr="007D1775" w:rsidRDefault="007D20D1" w:rsidP="007D20D1">
            <w:pPr>
              <w:rPr>
                <w:rFonts w:cs="Arial"/>
                <w:sz w:val="20"/>
                <w:szCs w:val="20"/>
              </w:rPr>
            </w:pPr>
            <w:r w:rsidRPr="007D1775">
              <w:rPr>
                <w:rFonts w:cs="Arial"/>
                <w:sz w:val="20"/>
                <w:szCs w:val="20"/>
              </w:rPr>
              <w:t>p-value*</w:t>
            </w:r>
          </w:p>
        </w:tc>
        <w:tc>
          <w:tcPr>
            <w:tcW w:w="2310" w:type="dxa"/>
          </w:tcPr>
          <w:p w:rsidR="007D20D1" w:rsidRPr="007D1775" w:rsidRDefault="007D20D1" w:rsidP="007D20D1">
            <w:pPr>
              <w:jc w:val="center"/>
              <w:rPr>
                <w:rFonts w:cs="Arial"/>
                <w:sz w:val="20"/>
                <w:szCs w:val="20"/>
              </w:rPr>
            </w:pPr>
            <w:r w:rsidRPr="007D1775">
              <w:rPr>
                <w:rFonts w:cs="Arial"/>
                <w:sz w:val="20"/>
                <w:szCs w:val="20"/>
              </w:rPr>
              <w:t>0.0417</w:t>
            </w:r>
          </w:p>
        </w:tc>
        <w:tc>
          <w:tcPr>
            <w:tcW w:w="2311" w:type="dxa"/>
          </w:tcPr>
          <w:p w:rsidR="007D20D1" w:rsidRPr="007D1775" w:rsidRDefault="007D20D1" w:rsidP="007D20D1">
            <w:pPr>
              <w:jc w:val="center"/>
              <w:rPr>
                <w:rFonts w:cs="Arial"/>
                <w:sz w:val="20"/>
                <w:szCs w:val="20"/>
              </w:rPr>
            </w:pPr>
            <w:r w:rsidRPr="007D1775">
              <w:rPr>
                <w:rFonts w:cs="Arial"/>
                <w:sz w:val="20"/>
                <w:szCs w:val="20"/>
              </w:rPr>
              <w:t>&lt;0.0001</w:t>
            </w:r>
          </w:p>
        </w:tc>
        <w:tc>
          <w:tcPr>
            <w:tcW w:w="2311" w:type="dxa"/>
          </w:tcPr>
          <w:p w:rsidR="007D20D1" w:rsidRPr="007D1775" w:rsidRDefault="007D20D1" w:rsidP="007D20D1">
            <w:pPr>
              <w:jc w:val="center"/>
              <w:rPr>
                <w:rFonts w:cs="Arial"/>
                <w:sz w:val="20"/>
                <w:szCs w:val="20"/>
              </w:rPr>
            </w:pPr>
            <w:r w:rsidRPr="007D1775">
              <w:rPr>
                <w:rFonts w:cs="Arial"/>
                <w:sz w:val="20"/>
                <w:szCs w:val="20"/>
              </w:rPr>
              <w:t>&lt;0.0001</w:t>
            </w:r>
          </w:p>
        </w:tc>
      </w:tr>
      <w:tr w:rsidR="007D20D1" w:rsidRPr="007D1775" w:rsidTr="007D20D1">
        <w:tc>
          <w:tcPr>
            <w:tcW w:w="2310" w:type="dxa"/>
          </w:tcPr>
          <w:p w:rsidR="007D20D1" w:rsidRPr="007D1775" w:rsidRDefault="007D20D1" w:rsidP="007D20D1">
            <w:pPr>
              <w:rPr>
                <w:rFonts w:cs="Arial"/>
                <w:sz w:val="20"/>
                <w:szCs w:val="20"/>
              </w:rPr>
            </w:pPr>
            <w:r w:rsidRPr="007D1775">
              <w:rPr>
                <w:rFonts w:cs="Arial"/>
                <w:b/>
                <w:bCs/>
                <w:sz w:val="20"/>
                <w:szCs w:val="20"/>
              </w:rPr>
              <w:t>Successful Intercourse (SEP3)</w:t>
            </w:r>
          </w:p>
        </w:tc>
        <w:tc>
          <w:tcPr>
            <w:tcW w:w="2310" w:type="dxa"/>
          </w:tcPr>
          <w:p w:rsidR="007D20D1" w:rsidRPr="007D1775" w:rsidRDefault="007D20D1" w:rsidP="007D20D1">
            <w:pPr>
              <w:jc w:val="center"/>
              <w:rPr>
                <w:rFonts w:cs="Arial"/>
                <w:sz w:val="20"/>
                <w:szCs w:val="20"/>
              </w:rPr>
            </w:pPr>
          </w:p>
        </w:tc>
        <w:tc>
          <w:tcPr>
            <w:tcW w:w="2311" w:type="dxa"/>
          </w:tcPr>
          <w:p w:rsidR="007D20D1" w:rsidRPr="007D1775" w:rsidRDefault="007D20D1" w:rsidP="007D20D1">
            <w:pPr>
              <w:jc w:val="center"/>
              <w:rPr>
                <w:rFonts w:cs="Arial"/>
                <w:sz w:val="20"/>
                <w:szCs w:val="20"/>
              </w:rPr>
            </w:pPr>
          </w:p>
        </w:tc>
        <w:tc>
          <w:tcPr>
            <w:tcW w:w="2311" w:type="dxa"/>
          </w:tcPr>
          <w:p w:rsidR="007D20D1" w:rsidRPr="007D1775" w:rsidRDefault="007D20D1" w:rsidP="007D20D1">
            <w:pPr>
              <w:jc w:val="center"/>
              <w:rPr>
                <w:rFonts w:cs="Arial"/>
                <w:sz w:val="20"/>
                <w:szCs w:val="20"/>
              </w:rPr>
            </w:pPr>
          </w:p>
        </w:tc>
      </w:tr>
      <w:tr w:rsidR="007D20D1" w:rsidRPr="007D1775" w:rsidTr="007D20D1">
        <w:tc>
          <w:tcPr>
            <w:tcW w:w="2310" w:type="dxa"/>
          </w:tcPr>
          <w:p w:rsidR="007D20D1" w:rsidRPr="007D1775" w:rsidRDefault="007D20D1" w:rsidP="007D20D1">
            <w:pPr>
              <w:rPr>
                <w:rFonts w:cs="Arial"/>
                <w:sz w:val="20"/>
                <w:szCs w:val="20"/>
              </w:rPr>
            </w:pPr>
            <w:r w:rsidRPr="007D1775">
              <w:rPr>
                <w:rFonts w:cs="Arial"/>
                <w:sz w:val="20"/>
                <w:szCs w:val="20"/>
              </w:rPr>
              <w:t xml:space="preserve">Endpoint </w:t>
            </w:r>
          </w:p>
        </w:tc>
        <w:tc>
          <w:tcPr>
            <w:tcW w:w="2310" w:type="dxa"/>
          </w:tcPr>
          <w:p w:rsidR="007D20D1" w:rsidRPr="007D1775" w:rsidRDefault="007D20D1" w:rsidP="007D20D1">
            <w:pPr>
              <w:jc w:val="center"/>
              <w:rPr>
                <w:rFonts w:cs="Arial"/>
                <w:sz w:val="20"/>
                <w:szCs w:val="20"/>
              </w:rPr>
            </w:pPr>
            <w:r w:rsidRPr="007D1775">
              <w:rPr>
                <w:rFonts w:cs="Arial"/>
                <w:sz w:val="20"/>
                <w:szCs w:val="20"/>
              </w:rPr>
              <w:t>8.9 (20.54)</w:t>
            </w:r>
          </w:p>
        </w:tc>
        <w:tc>
          <w:tcPr>
            <w:tcW w:w="2311" w:type="dxa"/>
          </w:tcPr>
          <w:p w:rsidR="007D20D1" w:rsidRPr="007D1775" w:rsidRDefault="007D20D1" w:rsidP="007D20D1">
            <w:pPr>
              <w:jc w:val="center"/>
              <w:rPr>
                <w:rFonts w:cs="Arial"/>
                <w:sz w:val="20"/>
                <w:szCs w:val="20"/>
              </w:rPr>
            </w:pPr>
            <w:r w:rsidRPr="007D1775">
              <w:rPr>
                <w:rFonts w:cs="Arial"/>
                <w:sz w:val="20"/>
                <w:szCs w:val="20"/>
              </w:rPr>
              <w:t>23.4 (35.03)</w:t>
            </w:r>
          </w:p>
        </w:tc>
        <w:tc>
          <w:tcPr>
            <w:tcW w:w="2311" w:type="dxa"/>
          </w:tcPr>
          <w:p w:rsidR="007D20D1" w:rsidRPr="007D1775" w:rsidRDefault="007D20D1" w:rsidP="007D20D1">
            <w:pPr>
              <w:jc w:val="center"/>
              <w:rPr>
                <w:rFonts w:cs="Arial"/>
                <w:sz w:val="20"/>
                <w:szCs w:val="20"/>
              </w:rPr>
            </w:pPr>
            <w:r w:rsidRPr="007D1775">
              <w:rPr>
                <w:rFonts w:cs="Arial"/>
                <w:sz w:val="20"/>
                <w:szCs w:val="20"/>
              </w:rPr>
              <w:t>26.4 (35.03)</w:t>
            </w:r>
          </w:p>
        </w:tc>
      </w:tr>
      <w:tr w:rsidR="007D20D1" w:rsidRPr="007D1775" w:rsidTr="007D20D1">
        <w:tc>
          <w:tcPr>
            <w:tcW w:w="2310" w:type="dxa"/>
          </w:tcPr>
          <w:p w:rsidR="007D20D1" w:rsidRPr="007D1775" w:rsidRDefault="007D20D1" w:rsidP="007D20D1">
            <w:pPr>
              <w:rPr>
                <w:rFonts w:cs="Arial"/>
                <w:sz w:val="20"/>
                <w:szCs w:val="20"/>
              </w:rPr>
            </w:pPr>
            <w:r w:rsidRPr="007D1775">
              <w:rPr>
                <w:rFonts w:cs="Arial"/>
                <w:sz w:val="20"/>
                <w:szCs w:val="20"/>
              </w:rPr>
              <w:t>Change from baseline</w:t>
            </w:r>
            <w:r w:rsidR="00AE62AF" w:rsidRPr="00AE62AF">
              <w:rPr>
                <w:rFonts w:cs="Arial"/>
                <w:sz w:val="18"/>
                <w:szCs w:val="18"/>
                <w:vertAlign w:val="superscript"/>
              </w:rPr>
              <w:t>†</w:t>
            </w:r>
          </w:p>
        </w:tc>
        <w:tc>
          <w:tcPr>
            <w:tcW w:w="2310" w:type="dxa"/>
          </w:tcPr>
          <w:p w:rsidR="007D20D1" w:rsidRPr="007D1775" w:rsidRDefault="007D20D1" w:rsidP="007D20D1">
            <w:pPr>
              <w:jc w:val="center"/>
              <w:rPr>
                <w:rFonts w:cs="Arial"/>
                <w:sz w:val="20"/>
                <w:szCs w:val="20"/>
              </w:rPr>
            </w:pPr>
            <w:r w:rsidRPr="007D1775">
              <w:rPr>
                <w:rFonts w:cs="Arial"/>
                <w:sz w:val="20"/>
                <w:szCs w:val="20"/>
              </w:rPr>
              <w:t>13.9 (3.42)</w:t>
            </w:r>
          </w:p>
        </w:tc>
        <w:tc>
          <w:tcPr>
            <w:tcW w:w="2311" w:type="dxa"/>
          </w:tcPr>
          <w:p w:rsidR="007D20D1" w:rsidRPr="007D1775" w:rsidRDefault="007D20D1" w:rsidP="007D20D1">
            <w:pPr>
              <w:jc w:val="center"/>
              <w:rPr>
                <w:rFonts w:cs="Arial"/>
                <w:sz w:val="20"/>
                <w:szCs w:val="20"/>
              </w:rPr>
            </w:pPr>
            <w:r w:rsidRPr="007D1775">
              <w:rPr>
                <w:rFonts w:cs="Arial"/>
                <w:sz w:val="20"/>
                <w:szCs w:val="20"/>
              </w:rPr>
              <w:t>28.0 (3.54)</w:t>
            </w:r>
          </w:p>
        </w:tc>
        <w:tc>
          <w:tcPr>
            <w:tcW w:w="2311" w:type="dxa"/>
          </w:tcPr>
          <w:p w:rsidR="007D20D1" w:rsidRPr="007D1775" w:rsidRDefault="007D20D1" w:rsidP="007D20D1">
            <w:pPr>
              <w:jc w:val="center"/>
              <w:rPr>
                <w:rFonts w:cs="Arial"/>
                <w:sz w:val="20"/>
                <w:szCs w:val="20"/>
              </w:rPr>
            </w:pPr>
            <w:r w:rsidRPr="007D1775">
              <w:rPr>
                <w:rFonts w:cs="Arial"/>
                <w:sz w:val="20"/>
                <w:szCs w:val="20"/>
              </w:rPr>
              <w:t>29.4 (3.33)</w:t>
            </w:r>
          </w:p>
        </w:tc>
      </w:tr>
      <w:tr w:rsidR="007D20D1" w:rsidRPr="007D1775" w:rsidTr="007D20D1">
        <w:tc>
          <w:tcPr>
            <w:tcW w:w="2310" w:type="dxa"/>
          </w:tcPr>
          <w:p w:rsidR="007D20D1" w:rsidRPr="007D1775" w:rsidRDefault="007D20D1" w:rsidP="007D20D1">
            <w:pPr>
              <w:rPr>
                <w:rFonts w:cs="Arial"/>
                <w:sz w:val="20"/>
                <w:szCs w:val="20"/>
              </w:rPr>
            </w:pPr>
            <w:r w:rsidRPr="007D1775">
              <w:rPr>
                <w:rFonts w:cs="Arial"/>
                <w:sz w:val="20"/>
                <w:szCs w:val="20"/>
              </w:rPr>
              <w:t>p-value*</w:t>
            </w:r>
          </w:p>
        </w:tc>
        <w:tc>
          <w:tcPr>
            <w:tcW w:w="2310" w:type="dxa"/>
          </w:tcPr>
          <w:p w:rsidR="007D20D1" w:rsidRPr="007D1775" w:rsidRDefault="007D20D1" w:rsidP="007D20D1">
            <w:pPr>
              <w:jc w:val="center"/>
              <w:rPr>
                <w:rFonts w:cs="Arial"/>
                <w:sz w:val="20"/>
                <w:szCs w:val="20"/>
              </w:rPr>
            </w:pPr>
            <w:r w:rsidRPr="007D1775">
              <w:rPr>
                <w:rFonts w:cs="Arial"/>
                <w:sz w:val="20"/>
                <w:szCs w:val="20"/>
              </w:rPr>
              <w:t>&lt;0.0001</w:t>
            </w:r>
          </w:p>
        </w:tc>
        <w:tc>
          <w:tcPr>
            <w:tcW w:w="2311" w:type="dxa"/>
          </w:tcPr>
          <w:p w:rsidR="007D20D1" w:rsidRPr="007D1775" w:rsidRDefault="007D20D1" w:rsidP="007D20D1">
            <w:pPr>
              <w:jc w:val="center"/>
              <w:rPr>
                <w:rFonts w:cs="Arial"/>
                <w:sz w:val="20"/>
                <w:szCs w:val="20"/>
              </w:rPr>
            </w:pPr>
            <w:r w:rsidRPr="007D1775">
              <w:rPr>
                <w:rFonts w:cs="Arial"/>
                <w:sz w:val="20"/>
                <w:szCs w:val="20"/>
              </w:rPr>
              <w:t>&lt;0.0001</w:t>
            </w:r>
          </w:p>
        </w:tc>
        <w:tc>
          <w:tcPr>
            <w:tcW w:w="2311" w:type="dxa"/>
          </w:tcPr>
          <w:p w:rsidR="007D20D1" w:rsidRPr="007D1775" w:rsidRDefault="007D20D1" w:rsidP="007D20D1">
            <w:pPr>
              <w:jc w:val="center"/>
              <w:rPr>
                <w:rFonts w:cs="Arial"/>
                <w:b/>
                <w:sz w:val="20"/>
                <w:szCs w:val="20"/>
              </w:rPr>
            </w:pPr>
            <w:r w:rsidRPr="007D1775">
              <w:rPr>
                <w:rFonts w:cs="Arial"/>
                <w:sz w:val="20"/>
                <w:szCs w:val="20"/>
              </w:rPr>
              <w:t>&lt;0.0001</w:t>
            </w:r>
          </w:p>
        </w:tc>
      </w:tr>
    </w:tbl>
    <w:p w:rsidR="007D20D1" w:rsidRPr="007D1775" w:rsidRDefault="007D20D1" w:rsidP="007D20D1">
      <w:pPr>
        <w:autoSpaceDE w:val="0"/>
        <w:autoSpaceDN w:val="0"/>
        <w:adjustRightInd w:val="0"/>
        <w:spacing w:after="0"/>
        <w:rPr>
          <w:rFonts w:cs="Arial"/>
          <w:sz w:val="16"/>
          <w:szCs w:val="16"/>
        </w:rPr>
      </w:pPr>
      <w:r w:rsidRPr="007D1775">
        <w:rPr>
          <w:rFonts w:cs="Arial"/>
          <w:sz w:val="16"/>
          <w:szCs w:val="16"/>
        </w:rPr>
        <w:t xml:space="preserve">† </w:t>
      </w:r>
      <w:proofErr w:type="gramStart"/>
      <w:r w:rsidRPr="007D1775">
        <w:rPr>
          <w:rFonts w:cs="Arial"/>
          <w:sz w:val="16"/>
          <w:szCs w:val="16"/>
        </w:rPr>
        <w:t>least-square</w:t>
      </w:r>
      <w:proofErr w:type="gramEnd"/>
      <w:r w:rsidRPr="007D1775">
        <w:rPr>
          <w:rFonts w:cs="Arial"/>
          <w:sz w:val="16"/>
          <w:szCs w:val="16"/>
        </w:rPr>
        <w:t xml:space="preserve"> estimate from ANCOVA model</w:t>
      </w:r>
    </w:p>
    <w:p w:rsidR="00AE62AF" w:rsidRDefault="007D20D1" w:rsidP="00AE62AF">
      <w:pPr>
        <w:rPr>
          <w:rFonts w:cs="Arial"/>
          <w:szCs w:val="22"/>
          <w:u w:val="single"/>
        </w:rPr>
      </w:pPr>
      <w:r w:rsidRPr="007D1775">
        <w:rPr>
          <w:rFonts w:cs="Arial"/>
          <w:sz w:val="16"/>
          <w:szCs w:val="16"/>
        </w:rPr>
        <w:t xml:space="preserve">* </w:t>
      </w:r>
      <w:proofErr w:type="gramStart"/>
      <w:r w:rsidRPr="007D1775">
        <w:rPr>
          <w:rFonts w:cs="Arial"/>
          <w:sz w:val="16"/>
          <w:szCs w:val="16"/>
        </w:rPr>
        <w:t>comparison</w:t>
      </w:r>
      <w:proofErr w:type="gramEnd"/>
      <w:r w:rsidRPr="007D1775">
        <w:rPr>
          <w:rFonts w:cs="Arial"/>
          <w:sz w:val="16"/>
          <w:szCs w:val="16"/>
        </w:rPr>
        <w:t xml:space="preserve"> to placebo for change from baseline</w:t>
      </w:r>
    </w:p>
    <w:p w:rsidR="00AE62AF" w:rsidRDefault="00215599" w:rsidP="00AE62AF">
      <w:pPr>
        <w:numPr>
          <w:ilvl w:val="12"/>
          <w:numId w:val="0"/>
        </w:numPr>
        <w:spacing w:before="120" w:after="120"/>
        <w:rPr>
          <w:rFonts w:cs="Arial"/>
          <w:szCs w:val="22"/>
        </w:rPr>
      </w:pPr>
      <w:r w:rsidRPr="007D1775">
        <w:rPr>
          <w:rFonts w:cs="Arial"/>
          <w:szCs w:val="22"/>
          <w:u w:val="single"/>
        </w:rPr>
        <w:t xml:space="preserve">Phase 4 </w:t>
      </w:r>
      <w:proofErr w:type="gramStart"/>
      <w:r w:rsidRPr="007D1775">
        <w:rPr>
          <w:rFonts w:cs="Arial"/>
          <w:szCs w:val="22"/>
          <w:u w:val="single"/>
        </w:rPr>
        <w:t>study</w:t>
      </w:r>
      <w:proofErr w:type="gramEnd"/>
      <w:r w:rsidRPr="007D1775">
        <w:rPr>
          <w:rFonts w:cs="Arial"/>
          <w:szCs w:val="22"/>
          <w:u w:val="single"/>
        </w:rPr>
        <w:t xml:space="preserve"> - </w:t>
      </w:r>
      <w:r w:rsidR="00CD5BB9" w:rsidRPr="007D1775">
        <w:rPr>
          <w:rFonts w:cs="Arial"/>
          <w:szCs w:val="22"/>
          <w:u w:val="single"/>
        </w:rPr>
        <w:t>Time to Onset Study in the ED Population</w:t>
      </w:r>
      <w:r w:rsidRPr="007D1775">
        <w:rPr>
          <w:rFonts w:cs="Arial"/>
          <w:szCs w:val="22"/>
          <w:u w:val="single"/>
        </w:rPr>
        <w:t xml:space="preserve"> </w:t>
      </w:r>
    </w:p>
    <w:p w:rsidR="00AE62AF" w:rsidRDefault="00F3116E" w:rsidP="003E668F">
      <w:pPr>
        <w:autoSpaceDE w:val="0"/>
        <w:autoSpaceDN w:val="0"/>
        <w:adjustRightInd w:val="0"/>
        <w:rPr>
          <w:rFonts w:cs="Arial"/>
          <w:szCs w:val="22"/>
          <w:lang w:eastAsia="en-AU"/>
        </w:rPr>
      </w:pPr>
      <w:r w:rsidRPr="007D1775">
        <w:rPr>
          <w:rFonts w:cs="Arial"/>
          <w:szCs w:val="22"/>
          <w:lang w:eastAsia="en-AU"/>
        </w:rPr>
        <w:t>SPEDRA</w:t>
      </w:r>
      <w:r w:rsidR="00896A85" w:rsidRPr="007D1775">
        <w:rPr>
          <w:rFonts w:cs="Arial"/>
          <w:szCs w:val="22"/>
          <w:lang w:eastAsia="en-AU"/>
        </w:rPr>
        <w:t xml:space="preserve"> was evaluated in 440 subjects with ED including diabetics (16.4%) and subjects with severe ED (41.4%) in a randomi</w:t>
      </w:r>
      <w:r w:rsidR="00B22B52" w:rsidRPr="007D1775">
        <w:rPr>
          <w:rFonts w:cs="Arial"/>
          <w:szCs w:val="22"/>
          <w:lang w:eastAsia="en-AU"/>
        </w:rPr>
        <w:t>s</w:t>
      </w:r>
      <w:r w:rsidR="00896A85" w:rsidRPr="007D1775">
        <w:rPr>
          <w:rFonts w:cs="Arial"/>
          <w:szCs w:val="22"/>
          <w:lang w:eastAsia="en-AU"/>
        </w:rPr>
        <w:t>ed, double-blind, parallel, placebo-controlled study of 2 months</w:t>
      </w:r>
      <w:r w:rsidR="00B22B52" w:rsidRPr="007D1775">
        <w:rPr>
          <w:rFonts w:cs="Arial"/>
          <w:szCs w:val="22"/>
          <w:lang w:eastAsia="en-AU"/>
        </w:rPr>
        <w:t>’</w:t>
      </w:r>
      <w:r w:rsidR="00896A85" w:rsidRPr="007D1775">
        <w:rPr>
          <w:rFonts w:cs="Arial"/>
          <w:szCs w:val="22"/>
          <w:lang w:eastAsia="en-AU"/>
        </w:rPr>
        <w:t xml:space="preserve"> duration. The mean age was 58.2 years (range 24 to 86 years). The population was 75.7% White, 21.4% Black, 1.6% Asian, and 1.4% of other races. Subjects were encouraged to attempt intercourse approximately 15 minutes after dosing and used a stopwatch for measurement of time to onset of </w:t>
      </w:r>
      <w:r w:rsidR="0039758F" w:rsidRPr="007D1775">
        <w:rPr>
          <w:rFonts w:cs="Arial"/>
          <w:szCs w:val="22"/>
          <w:lang w:eastAsia="en-AU"/>
        </w:rPr>
        <w:t>erection</w:t>
      </w:r>
      <w:r w:rsidR="00896A85" w:rsidRPr="007D1775">
        <w:rPr>
          <w:rFonts w:cs="Arial"/>
          <w:szCs w:val="22"/>
          <w:lang w:eastAsia="en-AU"/>
        </w:rPr>
        <w:t>, defined as the time to the first occurrence of an erection sufficient for vaginal penetration.</w:t>
      </w:r>
    </w:p>
    <w:p w:rsidR="00AE62AF" w:rsidRDefault="00D91935" w:rsidP="003E668F">
      <w:pPr>
        <w:autoSpaceDE w:val="0"/>
        <w:autoSpaceDN w:val="0"/>
        <w:adjustRightInd w:val="0"/>
        <w:rPr>
          <w:rFonts w:cs="Arial"/>
          <w:strike/>
          <w:szCs w:val="22"/>
          <w:lang w:eastAsia="en-AU"/>
        </w:rPr>
      </w:pPr>
      <w:r w:rsidRPr="00E62494">
        <w:rPr>
          <w:rFonts w:cs="Arial"/>
          <w:color w:val="000000"/>
          <w:szCs w:val="22"/>
          <w:lang w:eastAsia="en-AU"/>
        </w:rPr>
        <w:t>SPEDRA 100 mg and 200 mg demonstrated statistically significant improvements relative to placebo in the primary efficacy variable, percentage of all attempts resulting in an erection</w:t>
      </w:r>
      <w:r w:rsidR="00E3087E" w:rsidRPr="007D1775">
        <w:rPr>
          <w:rFonts w:cs="Arial"/>
          <w:color w:val="000000"/>
          <w:szCs w:val="22"/>
          <w:lang w:eastAsia="en-AU"/>
        </w:rPr>
        <w:t xml:space="preserve"> sufficient for penetration at approximately 15 minutes after dosing followed by successful intercourse (SEP3). Refer to </w:t>
      </w:r>
      <w:r w:rsidR="00AE62AF" w:rsidRPr="00AE62AF">
        <w:rPr>
          <w:rFonts w:cs="Arial"/>
          <w:color w:val="000000"/>
          <w:szCs w:val="22"/>
          <w:lang w:eastAsia="en-AU"/>
        </w:rPr>
        <w:t>Table 4 below</w:t>
      </w:r>
      <w:r w:rsidR="00E3087E" w:rsidRPr="007D1775">
        <w:rPr>
          <w:rFonts w:cs="Arial"/>
          <w:color w:val="0000FF"/>
          <w:szCs w:val="22"/>
          <w:lang w:eastAsia="en-AU"/>
        </w:rPr>
        <w:t>.</w:t>
      </w:r>
    </w:p>
    <w:p w:rsidR="00AE62AF" w:rsidRPr="000A170A" w:rsidRDefault="00E3087E" w:rsidP="00415645">
      <w:pPr>
        <w:autoSpaceDE w:val="0"/>
        <w:autoSpaceDN w:val="0"/>
        <w:adjustRightInd w:val="0"/>
        <w:spacing w:before="120" w:after="120"/>
        <w:ind w:left="994" w:hanging="994"/>
        <w:jc w:val="left"/>
        <w:rPr>
          <w:rFonts w:cs="Arial"/>
          <w:b/>
          <w:sz w:val="20"/>
          <w:u w:val="single"/>
        </w:rPr>
      </w:pPr>
      <w:r w:rsidRPr="000A170A">
        <w:rPr>
          <w:rFonts w:cs="Arial"/>
          <w:b/>
          <w:sz w:val="20"/>
          <w:u w:val="single"/>
        </w:rPr>
        <w:t>Table 4</w:t>
      </w:r>
      <w:r w:rsidR="000A170A">
        <w:rPr>
          <w:rFonts w:cs="Arial"/>
          <w:b/>
          <w:sz w:val="20"/>
          <w:u w:val="single"/>
        </w:rPr>
        <w:t>:</w:t>
      </w:r>
      <w:r w:rsidR="000A170A">
        <w:rPr>
          <w:rFonts w:cs="Arial"/>
          <w:b/>
          <w:sz w:val="20"/>
          <w:u w:val="single"/>
        </w:rPr>
        <w:tab/>
      </w:r>
      <w:r w:rsidRPr="000A170A">
        <w:rPr>
          <w:rFonts w:cs="Arial"/>
          <w:b/>
          <w:sz w:val="20"/>
          <w:u w:val="single"/>
        </w:rPr>
        <w:t>Percentage of All Attempts Resulting in an Erection Sufficient for Penetration at Approximately 15 Minutes After Dosing Followed by Successful Intercourse (SEP3) During the 8-Week Treatment Period in the Time to Onset of Effect</w:t>
      </w:r>
    </w:p>
    <w:tbl>
      <w:tblPr>
        <w:tblStyle w:val="TableGrid"/>
        <w:tblW w:w="0" w:type="auto"/>
        <w:tblLook w:val="04A0" w:firstRow="1" w:lastRow="0" w:firstColumn="1" w:lastColumn="0" w:noHBand="0" w:noVBand="1"/>
      </w:tblPr>
      <w:tblGrid>
        <w:gridCol w:w="4786"/>
        <w:gridCol w:w="1418"/>
        <w:gridCol w:w="1701"/>
        <w:gridCol w:w="1949"/>
      </w:tblGrid>
      <w:tr w:rsidR="00E3087E" w:rsidRPr="007D1775" w:rsidTr="00D9502B">
        <w:tc>
          <w:tcPr>
            <w:tcW w:w="4786" w:type="dxa"/>
          </w:tcPr>
          <w:p w:rsidR="00E3087E" w:rsidRPr="007D1775" w:rsidRDefault="00E3087E" w:rsidP="00E3087E">
            <w:pPr>
              <w:autoSpaceDE w:val="0"/>
              <w:autoSpaceDN w:val="0"/>
              <w:adjustRightInd w:val="0"/>
              <w:spacing w:after="0"/>
              <w:jc w:val="center"/>
              <w:rPr>
                <w:rFonts w:cs="Arial"/>
                <w:strike/>
                <w:lang w:eastAsia="en-AU"/>
              </w:rPr>
            </w:pPr>
          </w:p>
        </w:tc>
        <w:tc>
          <w:tcPr>
            <w:tcW w:w="1418" w:type="dxa"/>
          </w:tcPr>
          <w:p w:rsidR="00E3087E" w:rsidRPr="007D1775" w:rsidRDefault="00E3087E" w:rsidP="00E3087E">
            <w:pPr>
              <w:autoSpaceDE w:val="0"/>
              <w:autoSpaceDN w:val="0"/>
              <w:adjustRightInd w:val="0"/>
              <w:spacing w:after="0"/>
              <w:jc w:val="center"/>
              <w:rPr>
                <w:rFonts w:cs="Arial"/>
                <w:b/>
                <w:bCs/>
                <w:lang w:eastAsia="en-AU"/>
              </w:rPr>
            </w:pPr>
            <w:r w:rsidRPr="007D1775">
              <w:rPr>
                <w:rFonts w:cs="Arial"/>
                <w:b/>
                <w:bCs/>
                <w:lang w:eastAsia="en-AU"/>
              </w:rPr>
              <w:t>Placebo</w:t>
            </w:r>
          </w:p>
          <w:p w:rsidR="00E3087E" w:rsidRPr="007D1775" w:rsidRDefault="00E3087E" w:rsidP="00E3087E">
            <w:pPr>
              <w:autoSpaceDE w:val="0"/>
              <w:autoSpaceDN w:val="0"/>
              <w:adjustRightInd w:val="0"/>
              <w:spacing w:after="0"/>
              <w:jc w:val="center"/>
              <w:rPr>
                <w:rFonts w:cs="Arial"/>
                <w:strike/>
                <w:lang w:eastAsia="en-AU"/>
              </w:rPr>
            </w:pPr>
            <w:r w:rsidRPr="007D1775">
              <w:rPr>
                <w:rFonts w:cs="Arial"/>
                <w:b/>
                <w:bCs/>
                <w:lang w:eastAsia="en-AU"/>
              </w:rPr>
              <w:t>(N=136)</w:t>
            </w:r>
          </w:p>
        </w:tc>
        <w:tc>
          <w:tcPr>
            <w:tcW w:w="1701" w:type="dxa"/>
          </w:tcPr>
          <w:p w:rsidR="00E3087E" w:rsidRPr="007D1775" w:rsidRDefault="00EC38DC" w:rsidP="00E3087E">
            <w:pPr>
              <w:autoSpaceDE w:val="0"/>
              <w:autoSpaceDN w:val="0"/>
              <w:adjustRightInd w:val="0"/>
              <w:spacing w:after="0"/>
              <w:jc w:val="center"/>
              <w:rPr>
                <w:rFonts w:cs="Arial"/>
                <w:b/>
                <w:bCs/>
                <w:lang w:eastAsia="en-AU"/>
              </w:rPr>
            </w:pPr>
            <w:r w:rsidRPr="007D1775">
              <w:rPr>
                <w:rFonts w:cs="Arial"/>
                <w:b/>
                <w:bCs/>
                <w:lang w:eastAsia="en-AU"/>
              </w:rPr>
              <w:t>SPEDRA</w:t>
            </w:r>
            <w:r w:rsidR="00E3087E" w:rsidRPr="007D1775">
              <w:rPr>
                <w:rFonts w:cs="Arial"/>
                <w:b/>
                <w:bCs/>
                <w:lang w:eastAsia="en-AU"/>
              </w:rPr>
              <w:t xml:space="preserve"> 100mg</w:t>
            </w:r>
          </w:p>
          <w:p w:rsidR="00E3087E" w:rsidRPr="007D1775" w:rsidRDefault="00E3087E" w:rsidP="00E3087E">
            <w:pPr>
              <w:autoSpaceDE w:val="0"/>
              <w:autoSpaceDN w:val="0"/>
              <w:adjustRightInd w:val="0"/>
              <w:spacing w:after="0"/>
              <w:jc w:val="center"/>
              <w:rPr>
                <w:rFonts w:cs="Arial"/>
                <w:strike/>
                <w:lang w:eastAsia="en-AU"/>
              </w:rPr>
            </w:pPr>
            <w:r w:rsidRPr="007D1775">
              <w:rPr>
                <w:rFonts w:cs="Arial"/>
                <w:b/>
                <w:bCs/>
                <w:lang w:eastAsia="en-AU"/>
              </w:rPr>
              <w:t>(N=139)</w:t>
            </w:r>
          </w:p>
        </w:tc>
        <w:tc>
          <w:tcPr>
            <w:tcW w:w="1949" w:type="dxa"/>
          </w:tcPr>
          <w:p w:rsidR="00FA272C" w:rsidRPr="007D1775" w:rsidRDefault="00EC38DC" w:rsidP="00E3087E">
            <w:pPr>
              <w:autoSpaceDE w:val="0"/>
              <w:autoSpaceDN w:val="0"/>
              <w:adjustRightInd w:val="0"/>
              <w:spacing w:after="0"/>
              <w:jc w:val="center"/>
              <w:rPr>
                <w:rFonts w:cs="Arial"/>
                <w:b/>
                <w:bCs/>
                <w:lang w:eastAsia="en-AU"/>
              </w:rPr>
            </w:pPr>
            <w:r w:rsidRPr="007D1775">
              <w:rPr>
                <w:rFonts w:cs="Arial"/>
                <w:b/>
                <w:bCs/>
                <w:lang w:eastAsia="en-AU"/>
              </w:rPr>
              <w:t>SPEDRA</w:t>
            </w:r>
            <w:r w:rsidR="00E3087E" w:rsidRPr="007D1775">
              <w:rPr>
                <w:rFonts w:cs="Arial"/>
                <w:b/>
                <w:bCs/>
                <w:lang w:eastAsia="en-AU"/>
              </w:rPr>
              <w:t xml:space="preserve"> </w:t>
            </w:r>
          </w:p>
          <w:p w:rsidR="00E3087E" w:rsidRPr="007D1775" w:rsidRDefault="00E3087E" w:rsidP="00E3087E">
            <w:pPr>
              <w:autoSpaceDE w:val="0"/>
              <w:autoSpaceDN w:val="0"/>
              <w:adjustRightInd w:val="0"/>
              <w:spacing w:after="0"/>
              <w:jc w:val="center"/>
              <w:rPr>
                <w:rFonts w:cs="Arial"/>
                <w:b/>
                <w:bCs/>
                <w:lang w:eastAsia="en-AU"/>
              </w:rPr>
            </w:pPr>
            <w:r w:rsidRPr="007D1775">
              <w:rPr>
                <w:rFonts w:cs="Arial"/>
                <w:b/>
                <w:bCs/>
                <w:lang w:eastAsia="en-AU"/>
              </w:rPr>
              <w:t>200mg</w:t>
            </w:r>
          </w:p>
          <w:p w:rsidR="00E3087E" w:rsidRPr="007D1775" w:rsidRDefault="00E3087E" w:rsidP="00E3087E">
            <w:pPr>
              <w:autoSpaceDE w:val="0"/>
              <w:autoSpaceDN w:val="0"/>
              <w:adjustRightInd w:val="0"/>
              <w:spacing w:after="0"/>
              <w:jc w:val="center"/>
              <w:rPr>
                <w:rFonts w:cs="Arial"/>
                <w:strike/>
                <w:lang w:eastAsia="en-AU"/>
              </w:rPr>
            </w:pPr>
            <w:r w:rsidRPr="007D1775">
              <w:rPr>
                <w:rFonts w:cs="Arial"/>
                <w:b/>
                <w:bCs/>
                <w:lang w:eastAsia="en-AU"/>
              </w:rPr>
              <w:t>(N=139)</w:t>
            </w:r>
          </w:p>
        </w:tc>
      </w:tr>
      <w:tr w:rsidR="00E3087E" w:rsidRPr="007D1775" w:rsidTr="00D9502B">
        <w:tc>
          <w:tcPr>
            <w:tcW w:w="4786" w:type="dxa"/>
          </w:tcPr>
          <w:p w:rsidR="00E3087E" w:rsidRPr="007D1775" w:rsidRDefault="00E3087E" w:rsidP="00E3087E">
            <w:pPr>
              <w:autoSpaceDE w:val="0"/>
              <w:autoSpaceDN w:val="0"/>
              <w:adjustRightInd w:val="0"/>
              <w:spacing w:after="0"/>
              <w:jc w:val="left"/>
              <w:rPr>
                <w:rFonts w:cs="Arial"/>
                <w:lang w:eastAsia="en-AU"/>
              </w:rPr>
            </w:pPr>
            <w:r w:rsidRPr="007D1775">
              <w:rPr>
                <w:rFonts w:cs="Arial"/>
                <w:lang w:eastAsia="en-AU"/>
              </w:rPr>
              <w:t>Percentage of Successful Intercourse (SEP3)</w:t>
            </w:r>
          </w:p>
        </w:tc>
        <w:tc>
          <w:tcPr>
            <w:tcW w:w="1418" w:type="dxa"/>
          </w:tcPr>
          <w:p w:rsidR="00E3087E" w:rsidRPr="007D1775" w:rsidRDefault="00E3087E" w:rsidP="00E3087E">
            <w:pPr>
              <w:autoSpaceDE w:val="0"/>
              <w:autoSpaceDN w:val="0"/>
              <w:adjustRightInd w:val="0"/>
              <w:spacing w:after="0"/>
              <w:jc w:val="center"/>
              <w:rPr>
                <w:rFonts w:cs="Arial"/>
                <w:lang w:eastAsia="en-AU"/>
              </w:rPr>
            </w:pPr>
            <w:r w:rsidRPr="007D1775">
              <w:rPr>
                <w:rFonts w:cs="Arial"/>
                <w:lang w:eastAsia="en-AU"/>
              </w:rPr>
              <w:t xml:space="preserve"> </w:t>
            </w:r>
          </w:p>
        </w:tc>
        <w:tc>
          <w:tcPr>
            <w:tcW w:w="1701" w:type="dxa"/>
          </w:tcPr>
          <w:p w:rsidR="00E3087E" w:rsidRPr="007D1775" w:rsidRDefault="00E3087E" w:rsidP="00E3087E">
            <w:pPr>
              <w:autoSpaceDE w:val="0"/>
              <w:autoSpaceDN w:val="0"/>
              <w:adjustRightInd w:val="0"/>
              <w:spacing w:after="0"/>
              <w:jc w:val="center"/>
              <w:rPr>
                <w:rFonts w:cs="Arial"/>
                <w:lang w:eastAsia="en-AU"/>
              </w:rPr>
            </w:pPr>
            <w:r w:rsidRPr="007D1775">
              <w:rPr>
                <w:rFonts w:cs="Arial"/>
                <w:lang w:eastAsia="en-AU"/>
              </w:rPr>
              <w:t xml:space="preserve"> </w:t>
            </w:r>
          </w:p>
        </w:tc>
        <w:tc>
          <w:tcPr>
            <w:tcW w:w="1949" w:type="dxa"/>
          </w:tcPr>
          <w:p w:rsidR="00E3087E" w:rsidRPr="007D1775" w:rsidRDefault="00E3087E" w:rsidP="00E3087E">
            <w:pPr>
              <w:autoSpaceDE w:val="0"/>
              <w:autoSpaceDN w:val="0"/>
              <w:adjustRightInd w:val="0"/>
              <w:spacing w:after="0"/>
              <w:jc w:val="center"/>
              <w:rPr>
                <w:rFonts w:cs="Arial"/>
                <w:lang w:eastAsia="en-AU"/>
              </w:rPr>
            </w:pPr>
            <w:r w:rsidRPr="007D1775">
              <w:rPr>
                <w:rFonts w:cs="Arial"/>
                <w:lang w:eastAsia="en-AU"/>
              </w:rPr>
              <w:t xml:space="preserve"> </w:t>
            </w:r>
          </w:p>
        </w:tc>
      </w:tr>
      <w:tr w:rsidR="00E3087E" w:rsidRPr="007D1775" w:rsidTr="00D9502B">
        <w:tc>
          <w:tcPr>
            <w:tcW w:w="4786" w:type="dxa"/>
          </w:tcPr>
          <w:p w:rsidR="00AE62AF" w:rsidRDefault="009A2A04" w:rsidP="00AE62AF">
            <w:pPr>
              <w:keepNext/>
              <w:keepLines/>
              <w:autoSpaceDE w:val="0"/>
              <w:autoSpaceDN w:val="0"/>
              <w:adjustRightInd w:val="0"/>
              <w:spacing w:after="0"/>
              <w:jc w:val="left"/>
              <w:rPr>
                <w:rFonts w:eastAsia="Times New Roman" w:cs="Arial"/>
                <w:szCs w:val="20"/>
                <w:lang w:eastAsia="en-AU"/>
              </w:rPr>
            </w:pPr>
            <w:r w:rsidRPr="007D1775">
              <w:rPr>
                <w:rFonts w:cs="Arial"/>
                <w:lang w:eastAsia="en-AU"/>
              </w:rPr>
              <w:t>Mean</w:t>
            </w:r>
          </w:p>
        </w:tc>
        <w:tc>
          <w:tcPr>
            <w:tcW w:w="1418" w:type="dxa"/>
          </w:tcPr>
          <w:p w:rsidR="00E3087E" w:rsidRPr="007D1775" w:rsidRDefault="00E3087E" w:rsidP="00E3087E">
            <w:pPr>
              <w:autoSpaceDE w:val="0"/>
              <w:autoSpaceDN w:val="0"/>
              <w:adjustRightInd w:val="0"/>
              <w:spacing w:after="0"/>
              <w:jc w:val="center"/>
              <w:rPr>
                <w:rFonts w:cs="Arial"/>
                <w:lang w:eastAsia="en-AU"/>
              </w:rPr>
            </w:pPr>
            <w:r w:rsidRPr="007D1775">
              <w:rPr>
                <w:rFonts w:cs="Arial"/>
                <w:lang w:eastAsia="en-AU"/>
              </w:rPr>
              <w:t>14.9</w:t>
            </w:r>
          </w:p>
        </w:tc>
        <w:tc>
          <w:tcPr>
            <w:tcW w:w="1701" w:type="dxa"/>
          </w:tcPr>
          <w:p w:rsidR="00E3087E" w:rsidRPr="007D1775" w:rsidRDefault="00E3087E" w:rsidP="00E3087E">
            <w:pPr>
              <w:autoSpaceDE w:val="0"/>
              <w:autoSpaceDN w:val="0"/>
              <w:adjustRightInd w:val="0"/>
              <w:spacing w:after="0"/>
              <w:jc w:val="center"/>
              <w:rPr>
                <w:rFonts w:cs="Arial"/>
                <w:lang w:eastAsia="en-AU"/>
              </w:rPr>
            </w:pPr>
            <w:r w:rsidRPr="007D1775">
              <w:rPr>
                <w:rFonts w:cs="Arial"/>
                <w:lang w:eastAsia="en-AU"/>
              </w:rPr>
              <w:t>25.9</w:t>
            </w:r>
          </w:p>
        </w:tc>
        <w:tc>
          <w:tcPr>
            <w:tcW w:w="1949" w:type="dxa"/>
          </w:tcPr>
          <w:p w:rsidR="00E3087E" w:rsidRPr="007D1775" w:rsidRDefault="00E3087E" w:rsidP="00E3087E">
            <w:pPr>
              <w:autoSpaceDE w:val="0"/>
              <w:autoSpaceDN w:val="0"/>
              <w:adjustRightInd w:val="0"/>
              <w:spacing w:after="0"/>
              <w:jc w:val="center"/>
              <w:rPr>
                <w:rFonts w:cs="Arial"/>
                <w:lang w:eastAsia="en-AU"/>
              </w:rPr>
            </w:pPr>
            <w:r w:rsidRPr="007D1775">
              <w:rPr>
                <w:rFonts w:cs="Arial"/>
                <w:lang w:eastAsia="en-AU"/>
              </w:rPr>
              <w:t>29.1</w:t>
            </w:r>
          </w:p>
        </w:tc>
      </w:tr>
      <w:tr w:rsidR="00E3087E" w:rsidRPr="007D1775" w:rsidTr="00D9502B">
        <w:tc>
          <w:tcPr>
            <w:tcW w:w="4786" w:type="dxa"/>
          </w:tcPr>
          <w:p w:rsidR="00E3087E" w:rsidRPr="007D1775" w:rsidRDefault="00E3087E" w:rsidP="00E3087E">
            <w:pPr>
              <w:autoSpaceDE w:val="0"/>
              <w:autoSpaceDN w:val="0"/>
              <w:adjustRightInd w:val="0"/>
              <w:spacing w:after="0"/>
              <w:jc w:val="left"/>
              <w:rPr>
                <w:rFonts w:cs="Arial"/>
                <w:lang w:eastAsia="en-AU"/>
              </w:rPr>
            </w:pPr>
            <w:r w:rsidRPr="007D1775">
              <w:rPr>
                <w:rFonts w:cs="Arial"/>
                <w:lang w:eastAsia="en-AU"/>
              </w:rPr>
              <w:t>Median</w:t>
            </w:r>
          </w:p>
        </w:tc>
        <w:tc>
          <w:tcPr>
            <w:tcW w:w="1418" w:type="dxa"/>
          </w:tcPr>
          <w:p w:rsidR="00E3087E" w:rsidRPr="007D1775" w:rsidRDefault="00E3087E" w:rsidP="00E3087E">
            <w:pPr>
              <w:autoSpaceDE w:val="0"/>
              <w:autoSpaceDN w:val="0"/>
              <w:adjustRightInd w:val="0"/>
              <w:spacing w:after="0"/>
              <w:jc w:val="center"/>
              <w:rPr>
                <w:rFonts w:cs="Arial"/>
                <w:lang w:eastAsia="en-AU"/>
              </w:rPr>
            </w:pPr>
            <w:r w:rsidRPr="007D1775">
              <w:rPr>
                <w:rFonts w:cs="Arial"/>
                <w:lang w:eastAsia="en-AU"/>
              </w:rPr>
              <w:t>0.0</w:t>
            </w:r>
          </w:p>
        </w:tc>
        <w:tc>
          <w:tcPr>
            <w:tcW w:w="1701" w:type="dxa"/>
          </w:tcPr>
          <w:p w:rsidR="00E3087E" w:rsidRPr="007D1775" w:rsidRDefault="00E3087E" w:rsidP="00E3087E">
            <w:pPr>
              <w:autoSpaceDE w:val="0"/>
              <w:autoSpaceDN w:val="0"/>
              <w:adjustRightInd w:val="0"/>
              <w:spacing w:after="0"/>
              <w:jc w:val="center"/>
              <w:rPr>
                <w:rFonts w:cs="Arial"/>
                <w:lang w:eastAsia="en-AU"/>
              </w:rPr>
            </w:pPr>
            <w:r w:rsidRPr="007D1775">
              <w:rPr>
                <w:rFonts w:cs="Arial"/>
                <w:lang w:eastAsia="en-AU"/>
              </w:rPr>
              <w:t>11.1</w:t>
            </w:r>
          </w:p>
        </w:tc>
        <w:tc>
          <w:tcPr>
            <w:tcW w:w="1949" w:type="dxa"/>
          </w:tcPr>
          <w:p w:rsidR="00E3087E" w:rsidRPr="007D1775" w:rsidRDefault="00E3087E" w:rsidP="00E3087E">
            <w:pPr>
              <w:autoSpaceDE w:val="0"/>
              <w:autoSpaceDN w:val="0"/>
              <w:adjustRightInd w:val="0"/>
              <w:spacing w:after="0"/>
              <w:jc w:val="center"/>
              <w:rPr>
                <w:rFonts w:cs="Arial"/>
                <w:lang w:eastAsia="en-AU"/>
              </w:rPr>
            </w:pPr>
            <w:r w:rsidRPr="007D1775">
              <w:rPr>
                <w:rFonts w:cs="Arial"/>
                <w:lang w:eastAsia="en-AU"/>
              </w:rPr>
              <w:t>13.3</w:t>
            </w:r>
          </w:p>
        </w:tc>
      </w:tr>
      <w:tr w:rsidR="00E3087E" w:rsidRPr="007D1775" w:rsidTr="00D9502B">
        <w:tc>
          <w:tcPr>
            <w:tcW w:w="4786" w:type="dxa"/>
          </w:tcPr>
          <w:p w:rsidR="00E3087E" w:rsidRPr="007D1775" w:rsidRDefault="00E3087E" w:rsidP="00E3087E">
            <w:pPr>
              <w:autoSpaceDE w:val="0"/>
              <w:autoSpaceDN w:val="0"/>
              <w:adjustRightInd w:val="0"/>
              <w:spacing w:after="0"/>
              <w:jc w:val="left"/>
              <w:rPr>
                <w:rFonts w:cs="Arial"/>
                <w:lang w:eastAsia="en-AU"/>
              </w:rPr>
            </w:pPr>
            <w:r w:rsidRPr="007D1775">
              <w:rPr>
                <w:rFonts w:cs="Arial"/>
                <w:lang w:eastAsia="en-AU"/>
              </w:rPr>
              <w:t>p-value</w:t>
            </w:r>
            <w:r w:rsidRPr="007D1775">
              <w:rPr>
                <w:rFonts w:cs="Arial"/>
                <w:vertAlign w:val="superscript"/>
                <w:lang w:eastAsia="en-AU"/>
              </w:rPr>
              <w:t>*</w:t>
            </w:r>
          </w:p>
        </w:tc>
        <w:tc>
          <w:tcPr>
            <w:tcW w:w="1418" w:type="dxa"/>
          </w:tcPr>
          <w:p w:rsidR="00E3087E" w:rsidRPr="007D1775" w:rsidRDefault="00E3087E" w:rsidP="00E3087E">
            <w:pPr>
              <w:autoSpaceDE w:val="0"/>
              <w:autoSpaceDN w:val="0"/>
              <w:adjustRightInd w:val="0"/>
              <w:spacing w:after="0"/>
              <w:jc w:val="center"/>
              <w:rPr>
                <w:rFonts w:cs="Arial"/>
                <w:lang w:eastAsia="en-AU"/>
              </w:rPr>
            </w:pPr>
            <w:r w:rsidRPr="007D1775">
              <w:rPr>
                <w:rFonts w:cs="Arial"/>
                <w:lang w:eastAsia="en-AU"/>
              </w:rPr>
              <w:t>-</w:t>
            </w:r>
          </w:p>
        </w:tc>
        <w:tc>
          <w:tcPr>
            <w:tcW w:w="1701" w:type="dxa"/>
          </w:tcPr>
          <w:p w:rsidR="00E3087E" w:rsidRPr="007D1775" w:rsidRDefault="00E3087E" w:rsidP="00E3087E">
            <w:pPr>
              <w:autoSpaceDE w:val="0"/>
              <w:autoSpaceDN w:val="0"/>
              <w:adjustRightInd w:val="0"/>
              <w:spacing w:after="0"/>
              <w:jc w:val="center"/>
              <w:rPr>
                <w:rFonts w:cs="Arial"/>
                <w:lang w:eastAsia="en-AU"/>
              </w:rPr>
            </w:pPr>
            <w:r w:rsidRPr="007D1775">
              <w:rPr>
                <w:rFonts w:cs="Arial"/>
                <w:lang w:eastAsia="en-AU"/>
              </w:rPr>
              <w:t>0.001</w:t>
            </w:r>
          </w:p>
        </w:tc>
        <w:tc>
          <w:tcPr>
            <w:tcW w:w="1949" w:type="dxa"/>
          </w:tcPr>
          <w:p w:rsidR="00E3087E" w:rsidRPr="007D1775" w:rsidRDefault="00E3087E" w:rsidP="00E3087E">
            <w:pPr>
              <w:autoSpaceDE w:val="0"/>
              <w:autoSpaceDN w:val="0"/>
              <w:adjustRightInd w:val="0"/>
              <w:spacing w:after="0"/>
              <w:jc w:val="center"/>
              <w:rPr>
                <w:rFonts w:cs="Arial"/>
                <w:lang w:eastAsia="en-AU"/>
              </w:rPr>
            </w:pPr>
            <w:r w:rsidRPr="007D1775">
              <w:rPr>
                <w:rFonts w:cs="Arial"/>
                <w:lang w:eastAsia="en-AU"/>
              </w:rPr>
              <w:t>˂ 0.001</w:t>
            </w:r>
          </w:p>
        </w:tc>
      </w:tr>
    </w:tbl>
    <w:p w:rsidR="00AE62AF" w:rsidRDefault="00E3087E" w:rsidP="00AE62AF">
      <w:pPr>
        <w:autoSpaceDE w:val="0"/>
        <w:autoSpaceDN w:val="0"/>
        <w:adjustRightInd w:val="0"/>
        <w:spacing w:after="0"/>
        <w:jc w:val="left"/>
        <w:rPr>
          <w:rFonts w:cs="Arial"/>
          <w:highlight w:val="yellow"/>
        </w:rPr>
      </w:pPr>
      <w:r w:rsidRPr="007D1775">
        <w:rPr>
          <w:rFonts w:cs="Arial"/>
          <w:sz w:val="18"/>
          <w:szCs w:val="18"/>
          <w:vertAlign w:val="superscript"/>
          <w:lang w:eastAsia="en-AU"/>
        </w:rPr>
        <w:t>*</w:t>
      </w:r>
      <w:r w:rsidRPr="007D1775">
        <w:rPr>
          <w:rFonts w:cs="Arial"/>
          <w:sz w:val="18"/>
          <w:szCs w:val="18"/>
          <w:lang w:eastAsia="en-AU"/>
        </w:rPr>
        <w:t>comparison to placebo using rank-ANCOVA model</w:t>
      </w:r>
    </w:p>
    <w:p w:rsidR="00415645" w:rsidRDefault="00415645">
      <w:pPr>
        <w:spacing w:after="0"/>
        <w:jc w:val="left"/>
        <w:rPr>
          <w:rFonts w:cs="Arial"/>
          <w:b/>
          <w:caps/>
          <w:sz w:val="24"/>
        </w:rPr>
      </w:pPr>
    </w:p>
    <w:p w:rsidR="00B541CE" w:rsidRPr="007D1775" w:rsidRDefault="00B541CE" w:rsidP="007D20D1">
      <w:pPr>
        <w:pStyle w:val="Heading1"/>
        <w:rPr>
          <w:rFonts w:cs="Arial"/>
        </w:rPr>
      </w:pPr>
      <w:r w:rsidRPr="007D1775">
        <w:rPr>
          <w:rFonts w:cs="Arial"/>
        </w:rPr>
        <w:t>Indications</w:t>
      </w:r>
    </w:p>
    <w:p w:rsidR="00B3164F" w:rsidRPr="007D1775" w:rsidRDefault="00B3164F" w:rsidP="007D20D1">
      <w:pPr>
        <w:rPr>
          <w:rFonts w:cs="Arial"/>
        </w:rPr>
      </w:pPr>
      <w:proofErr w:type="gramStart"/>
      <w:r w:rsidRPr="007D1775">
        <w:rPr>
          <w:rFonts w:cs="Arial"/>
        </w:rPr>
        <w:t>Treatment of erectile dysfunction in adult m</w:t>
      </w:r>
      <w:r w:rsidR="005B16E1" w:rsidRPr="007D1775">
        <w:rPr>
          <w:rFonts w:cs="Arial"/>
        </w:rPr>
        <w:t>ales.</w:t>
      </w:r>
      <w:proofErr w:type="gramEnd"/>
      <w:r w:rsidR="005B16E1" w:rsidRPr="007D1775">
        <w:rPr>
          <w:rFonts w:cs="Arial"/>
        </w:rPr>
        <w:t xml:space="preserve"> </w:t>
      </w:r>
    </w:p>
    <w:p w:rsidR="00AE62AF" w:rsidRDefault="00B541CE" w:rsidP="00AE62AF">
      <w:pPr>
        <w:pStyle w:val="Heading1"/>
        <w:rPr>
          <w:rFonts w:cs="Arial"/>
        </w:rPr>
      </w:pPr>
      <w:r w:rsidRPr="007D1775">
        <w:rPr>
          <w:rFonts w:cs="Arial"/>
        </w:rPr>
        <w:t>Contraindications</w:t>
      </w:r>
    </w:p>
    <w:p w:rsidR="00AE62AF" w:rsidRDefault="002D607F" w:rsidP="00AE62AF">
      <w:pPr>
        <w:pStyle w:val="ListParagraph"/>
        <w:numPr>
          <w:ilvl w:val="0"/>
          <w:numId w:val="36"/>
        </w:numPr>
        <w:autoSpaceDE w:val="0"/>
        <w:autoSpaceDN w:val="0"/>
        <w:adjustRightInd w:val="0"/>
        <w:contextualSpacing w:val="0"/>
        <w:rPr>
          <w:rFonts w:cs="Arial"/>
          <w:szCs w:val="22"/>
        </w:rPr>
      </w:pPr>
      <w:r w:rsidRPr="007D1775">
        <w:rPr>
          <w:rFonts w:cs="Arial"/>
          <w:szCs w:val="22"/>
          <w:lang w:eastAsia="en-AU"/>
        </w:rPr>
        <w:t xml:space="preserve">Co-administration with nitrates, nitric oxide donors, or organic nitrites in any form either regularly or intermittently. Drugs which must not be used concomitantly include, but are not limited to, glyceryl trinitrate (injection, tablets, sprays or patches), isosorbide salts, sodium nitroprusside, amyl nitrite, </w:t>
      </w:r>
      <w:proofErr w:type="spellStart"/>
      <w:r w:rsidRPr="007D1775">
        <w:rPr>
          <w:rFonts w:cs="Arial"/>
          <w:szCs w:val="22"/>
          <w:lang w:eastAsia="en-AU"/>
        </w:rPr>
        <w:t>nicorandil</w:t>
      </w:r>
      <w:proofErr w:type="spellEnd"/>
      <w:r w:rsidRPr="007D1775">
        <w:rPr>
          <w:rFonts w:cs="Arial"/>
          <w:szCs w:val="22"/>
          <w:lang w:eastAsia="en-AU"/>
        </w:rPr>
        <w:t xml:space="preserve"> or organic nitrates in any form. Consistent with the effects of PDE inhibition on the nitric oxide / cGMP–pathway, PDE5 inhibitors may potentiate the hypotensive effects of nitrates.</w:t>
      </w:r>
    </w:p>
    <w:p w:rsidR="00AE62AF" w:rsidRDefault="00000BBC" w:rsidP="00AE62AF">
      <w:pPr>
        <w:pStyle w:val="ListParagraph"/>
        <w:numPr>
          <w:ilvl w:val="0"/>
          <w:numId w:val="36"/>
        </w:numPr>
        <w:autoSpaceDE w:val="0"/>
        <w:autoSpaceDN w:val="0"/>
        <w:adjustRightInd w:val="0"/>
        <w:contextualSpacing w:val="0"/>
        <w:rPr>
          <w:rFonts w:cs="Arial"/>
          <w:szCs w:val="22"/>
        </w:rPr>
      </w:pPr>
      <w:r w:rsidRPr="007D1775">
        <w:rPr>
          <w:rFonts w:cs="Arial"/>
          <w:szCs w:val="22"/>
        </w:rPr>
        <w:t>Patients i</w:t>
      </w:r>
      <w:r w:rsidR="00D121A1" w:rsidRPr="007D1775">
        <w:rPr>
          <w:rFonts w:cs="Arial"/>
          <w:szCs w:val="22"/>
        </w:rPr>
        <w:t xml:space="preserve">n </w:t>
      </w:r>
      <w:r w:rsidRPr="007D1775">
        <w:rPr>
          <w:rFonts w:cs="Arial"/>
          <w:szCs w:val="22"/>
        </w:rPr>
        <w:t>whom s</w:t>
      </w:r>
      <w:r w:rsidR="00D121A1" w:rsidRPr="007D1775">
        <w:rPr>
          <w:rFonts w:cs="Arial"/>
          <w:szCs w:val="22"/>
        </w:rPr>
        <w:t xml:space="preserve">exual intercourse is inadvisable due to cardiovascular </w:t>
      </w:r>
      <w:r w:rsidRPr="007D1775">
        <w:rPr>
          <w:rFonts w:cs="Arial"/>
          <w:szCs w:val="22"/>
        </w:rPr>
        <w:t xml:space="preserve">risk factors (see </w:t>
      </w:r>
      <w:r w:rsidR="00C9497A" w:rsidRPr="007D1775">
        <w:rPr>
          <w:rFonts w:cs="Arial"/>
          <w:szCs w:val="22"/>
        </w:rPr>
        <w:t>PRECAUTIONS</w:t>
      </w:r>
      <w:r w:rsidRPr="007D1775">
        <w:rPr>
          <w:rFonts w:cs="Arial"/>
          <w:szCs w:val="22"/>
        </w:rPr>
        <w:t xml:space="preserve">). </w:t>
      </w:r>
      <w:r w:rsidR="00D121A1" w:rsidRPr="007D1775">
        <w:rPr>
          <w:rFonts w:cs="Arial"/>
          <w:szCs w:val="22"/>
        </w:rPr>
        <w:t xml:space="preserve">The possibility of undiagnosed cardiovascular disorders in men with erectile dysfunction should be considered before prescribing </w:t>
      </w:r>
      <w:r w:rsidRPr="007D1775">
        <w:rPr>
          <w:rFonts w:cs="Arial"/>
          <w:szCs w:val="22"/>
        </w:rPr>
        <w:t>this medicine</w:t>
      </w:r>
      <w:r w:rsidR="00D121A1" w:rsidRPr="007D1775">
        <w:rPr>
          <w:rFonts w:cs="Arial"/>
          <w:szCs w:val="22"/>
        </w:rPr>
        <w:t xml:space="preserve">. </w:t>
      </w:r>
    </w:p>
    <w:p w:rsidR="006C21E3" w:rsidRDefault="006C21E3" w:rsidP="00AE62AF">
      <w:pPr>
        <w:pStyle w:val="ListParagraph"/>
        <w:numPr>
          <w:ilvl w:val="0"/>
          <w:numId w:val="36"/>
        </w:numPr>
        <w:autoSpaceDE w:val="0"/>
        <w:autoSpaceDN w:val="0"/>
        <w:adjustRightInd w:val="0"/>
        <w:contextualSpacing w:val="0"/>
        <w:rPr>
          <w:rFonts w:cs="Arial"/>
          <w:szCs w:val="22"/>
        </w:rPr>
      </w:pPr>
      <w:r>
        <w:rPr>
          <w:rFonts w:cs="Arial"/>
          <w:szCs w:val="22"/>
        </w:rPr>
        <w:t>Co</w:t>
      </w:r>
      <w:r w:rsidR="00162D9A">
        <w:rPr>
          <w:rFonts w:cs="Arial"/>
          <w:szCs w:val="22"/>
        </w:rPr>
        <w:t>-</w:t>
      </w:r>
      <w:r>
        <w:rPr>
          <w:rFonts w:cs="Arial"/>
          <w:szCs w:val="22"/>
        </w:rPr>
        <w:t xml:space="preserve">administration with </w:t>
      </w:r>
      <w:r>
        <w:t>guanylate cycla</w:t>
      </w:r>
      <w:r w:rsidRPr="002A0CFA">
        <w:t xml:space="preserve">se stimulators such as </w:t>
      </w:r>
      <w:proofErr w:type="spellStart"/>
      <w:r w:rsidRPr="002A0CFA">
        <w:t>riociguat</w:t>
      </w:r>
      <w:proofErr w:type="spellEnd"/>
      <w:r w:rsidR="00803BE5">
        <w:t xml:space="preserve"> as it may lead to potentially life-threatening symptomatic hypotension. </w:t>
      </w:r>
    </w:p>
    <w:p w:rsidR="00AE62AF" w:rsidRPr="00AE62AF" w:rsidRDefault="00AE62AF" w:rsidP="00AE62AF">
      <w:pPr>
        <w:pStyle w:val="Default"/>
        <w:numPr>
          <w:ilvl w:val="0"/>
          <w:numId w:val="36"/>
        </w:numPr>
        <w:spacing w:after="60"/>
        <w:rPr>
          <w:rFonts w:ascii="Arial" w:hAnsi="Arial" w:cs="Arial"/>
          <w:sz w:val="22"/>
          <w:szCs w:val="22"/>
        </w:rPr>
      </w:pPr>
      <w:r w:rsidRPr="00AE62AF">
        <w:rPr>
          <w:rFonts w:ascii="Arial" w:hAnsi="Arial" w:cs="Arial"/>
          <w:sz w:val="22"/>
          <w:szCs w:val="22"/>
        </w:rPr>
        <w:t>Patients with the following cardiac conditions:</w:t>
      </w:r>
    </w:p>
    <w:p w:rsidR="00AE62AF" w:rsidRDefault="0010523D">
      <w:pPr>
        <w:pStyle w:val="ListParagraph"/>
        <w:numPr>
          <w:ilvl w:val="1"/>
          <w:numId w:val="36"/>
        </w:numPr>
        <w:contextualSpacing w:val="0"/>
        <w:rPr>
          <w:rFonts w:cs="Arial"/>
        </w:rPr>
      </w:pPr>
      <w:r w:rsidRPr="007D1775">
        <w:rPr>
          <w:rFonts w:cs="Arial"/>
        </w:rPr>
        <w:t xml:space="preserve">unstable angina, angina with sexual intercourse, or congestive heart failure categorised as New York Heart Association </w:t>
      </w:r>
      <w:r w:rsidRPr="007D1775">
        <w:rPr>
          <w:rFonts w:cs="Arial"/>
        </w:rPr>
        <w:tab/>
        <w:t>Class 2 or greater</w:t>
      </w:r>
    </w:p>
    <w:p w:rsidR="00AE62AF" w:rsidRDefault="00000BBC">
      <w:pPr>
        <w:pStyle w:val="ListParagraph"/>
        <w:numPr>
          <w:ilvl w:val="1"/>
          <w:numId w:val="36"/>
        </w:numPr>
        <w:contextualSpacing w:val="0"/>
        <w:rPr>
          <w:rFonts w:cs="Arial"/>
        </w:rPr>
      </w:pPr>
      <w:r w:rsidRPr="007D1775">
        <w:rPr>
          <w:rFonts w:cs="Arial"/>
        </w:rPr>
        <w:t>in the last 6 months have suffered from a myocardial infarction, stroke, or life-threatening arrhythmia or coronary revasculari</w:t>
      </w:r>
      <w:r w:rsidR="00CD39DE" w:rsidRPr="007D1775">
        <w:rPr>
          <w:rFonts w:cs="Arial"/>
        </w:rPr>
        <w:t>s</w:t>
      </w:r>
      <w:r w:rsidRPr="007D1775">
        <w:rPr>
          <w:rFonts w:cs="Arial"/>
        </w:rPr>
        <w:t>ation</w:t>
      </w:r>
    </w:p>
    <w:p w:rsidR="00AE62AF" w:rsidRDefault="00000BBC" w:rsidP="00AE62AF">
      <w:pPr>
        <w:pStyle w:val="ListParagraph"/>
        <w:numPr>
          <w:ilvl w:val="1"/>
          <w:numId w:val="36"/>
        </w:numPr>
        <w:contextualSpacing w:val="0"/>
        <w:rPr>
          <w:rFonts w:cs="Arial"/>
        </w:rPr>
      </w:pPr>
      <w:proofErr w:type="gramStart"/>
      <w:r w:rsidRPr="007D1775">
        <w:rPr>
          <w:rFonts w:cs="Arial"/>
        </w:rPr>
        <w:t>have</w:t>
      </w:r>
      <w:proofErr w:type="gramEnd"/>
      <w:r w:rsidRPr="007D1775">
        <w:rPr>
          <w:rFonts w:cs="Arial"/>
        </w:rPr>
        <w:t xml:space="preserve"> resting hypotension (blood pressure &lt; 90/50 mmHg) or hypertension (blood pressure &gt; 170/100 mmHg)</w:t>
      </w:r>
      <w:r w:rsidR="00CD39DE" w:rsidRPr="007D1775">
        <w:rPr>
          <w:rFonts w:cs="Arial"/>
        </w:rPr>
        <w:t>.</w:t>
      </w:r>
    </w:p>
    <w:p w:rsidR="00AE62AF" w:rsidRDefault="009A54F0" w:rsidP="00AE62AF">
      <w:pPr>
        <w:pStyle w:val="ListParagraph"/>
        <w:numPr>
          <w:ilvl w:val="0"/>
          <w:numId w:val="38"/>
        </w:numPr>
        <w:contextualSpacing w:val="0"/>
        <w:rPr>
          <w:rFonts w:cs="Arial"/>
        </w:rPr>
      </w:pPr>
      <w:r w:rsidRPr="007D1775">
        <w:rPr>
          <w:rFonts w:cs="Arial"/>
        </w:rPr>
        <w:t>Patients with severe hepatic impairment (Child-Pugh C).</w:t>
      </w:r>
    </w:p>
    <w:p w:rsidR="000959F3" w:rsidRPr="000959F3" w:rsidRDefault="004E6DBD" w:rsidP="00AE62AF">
      <w:pPr>
        <w:pStyle w:val="ListParagraph"/>
        <w:numPr>
          <w:ilvl w:val="0"/>
          <w:numId w:val="38"/>
        </w:numPr>
        <w:contextualSpacing w:val="0"/>
        <w:rPr>
          <w:rFonts w:cs="Arial"/>
          <w:szCs w:val="22"/>
        </w:rPr>
      </w:pPr>
      <w:r w:rsidRPr="00E750EF">
        <w:rPr>
          <w:rFonts w:cs="Arial"/>
        </w:rPr>
        <w:t xml:space="preserve">Patients with severe renal impairment (creatinine clearance &lt; 30 mL/min) - CKD stage </w:t>
      </w:r>
      <w:r w:rsidR="00D91935" w:rsidRPr="00E750EF">
        <w:rPr>
          <w:rFonts w:cs="Arial"/>
        </w:rPr>
        <w:t>4</w:t>
      </w:r>
      <w:r w:rsidR="000908E6">
        <w:rPr>
          <w:rFonts w:cs="Arial"/>
        </w:rPr>
        <w:t xml:space="preserve"> </w:t>
      </w:r>
      <w:r w:rsidR="0052650C" w:rsidRPr="00E750EF">
        <w:rPr>
          <w:rFonts w:cs="Arial"/>
        </w:rPr>
        <w:t xml:space="preserve">or </w:t>
      </w:r>
      <w:r w:rsidR="00617739" w:rsidRPr="00E750EF">
        <w:rPr>
          <w:rFonts w:cs="Arial"/>
        </w:rPr>
        <w:t>end stage renal f</w:t>
      </w:r>
      <w:r w:rsidR="00EF5FD7" w:rsidRPr="00E750EF">
        <w:rPr>
          <w:rFonts w:cs="Arial"/>
        </w:rPr>
        <w:t>ailure</w:t>
      </w:r>
      <w:r w:rsidR="007D459F" w:rsidRPr="00E750EF">
        <w:rPr>
          <w:rFonts w:cs="Arial"/>
        </w:rPr>
        <w:t xml:space="preserve"> (CKD Stage 5)</w:t>
      </w:r>
      <w:r w:rsidR="00617739" w:rsidRPr="00E750EF">
        <w:rPr>
          <w:rFonts w:cs="Arial"/>
        </w:rPr>
        <w:t xml:space="preserve">. </w:t>
      </w:r>
      <w:r w:rsidR="0052650C" w:rsidRPr="00E750EF">
        <w:rPr>
          <w:rFonts w:cs="Arial"/>
        </w:rPr>
        <w:t xml:space="preserve"> </w:t>
      </w:r>
    </w:p>
    <w:p w:rsidR="00AE62AF" w:rsidRPr="002E0773" w:rsidRDefault="00BB49B2" w:rsidP="00AE62AF">
      <w:pPr>
        <w:pStyle w:val="ListParagraph"/>
        <w:numPr>
          <w:ilvl w:val="0"/>
          <w:numId w:val="38"/>
        </w:numPr>
        <w:contextualSpacing w:val="0"/>
        <w:rPr>
          <w:rFonts w:cs="Arial"/>
          <w:szCs w:val="22"/>
        </w:rPr>
      </w:pPr>
      <w:r w:rsidRPr="002E0773">
        <w:rPr>
          <w:rFonts w:cs="Arial"/>
          <w:szCs w:val="22"/>
        </w:rPr>
        <w:t>P</w:t>
      </w:r>
      <w:r w:rsidR="00DE6961" w:rsidRPr="002E0773">
        <w:rPr>
          <w:rFonts w:cs="Arial"/>
          <w:szCs w:val="22"/>
        </w:rPr>
        <w:t>atients who have loss of vision in one eye because of non-</w:t>
      </w:r>
      <w:proofErr w:type="spellStart"/>
      <w:r w:rsidR="00DE6961" w:rsidRPr="002E0773">
        <w:rPr>
          <w:rFonts w:cs="Arial"/>
          <w:szCs w:val="22"/>
        </w:rPr>
        <w:t>arteritic</w:t>
      </w:r>
      <w:proofErr w:type="spellEnd"/>
      <w:r w:rsidR="00DE6961" w:rsidRPr="002E0773">
        <w:rPr>
          <w:rFonts w:cs="Arial"/>
          <w:szCs w:val="22"/>
        </w:rPr>
        <w:t xml:space="preserve"> anterior ischaemic </w:t>
      </w:r>
      <w:r w:rsidR="00060134">
        <w:rPr>
          <w:rFonts w:cs="Arial"/>
          <w:szCs w:val="22"/>
        </w:rPr>
        <w:t>optic neuropathy (NAION), regardless of whether this episode was in connection with previous exposure to a PDE5 inhibitor (see PRECAUTIONS).</w:t>
      </w:r>
    </w:p>
    <w:p w:rsidR="00AE62AF" w:rsidRPr="0052650C" w:rsidRDefault="00060134" w:rsidP="00AE62AF">
      <w:pPr>
        <w:pStyle w:val="ListParagraph"/>
        <w:numPr>
          <w:ilvl w:val="0"/>
          <w:numId w:val="38"/>
        </w:numPr>
        <w:contextualSpacing w:val="0"/>
        <w:rPr>
          <w:rFonts w:cs="Arial"/>
          <w:szCs w:val="22"/>
        </w:rPr>
      </w:pPr>
      <w:r w:rsidRPr="00060134">
        <w:rPr>
          <w:rFonts w:cs="Arial"/>
          <w:szCs w:val="22"/>
        </w:rPr>
        <w:t>Patients with known hereditary degenerative retinal disorders.</w:t>
      </w:r>
    </w:p>
    <w:p w:rsidR="00AE62AF" w:rsidRDefault="00060134" w:rsidP="00AE62AF">
      <w:pPr>
        <w:pStyle w:val="ListParagraph"/>
        <w:numPr>
          <w:ilvl w:val="0"/>
          <w:numId w:val="38"/>
        </w:numPr>
        <w:contextualSpacing w:val="0"/>
        <w:rPr>
          <w:rFonts w:cs="Arial"/>
        </w:rPr>
      </w:pPr>
      <w:r w:rsidRPr="00060134">
        <w:rPr>
          <w:rFonts w:cs="Arial"/>
          <w:szCs w:val="22"/>
        </w:rPr>
        <w:t>Patients who are using po</w:t>
      </w:r>
      <w:r w:rsidR="0050122E" w:rsidRPr="007D1775">
        <w:rPr>
          <w:rFonts w:cs="Arial"/>
        </w:rPr>
        <w:t xml:space="preserve">tent CYP3A4 inhibitors (including ketoconazole, ritonavir, </w:t>
      </w:r>
      <w:proofErr w:type="spellStart"/>
      <w:r w:rsidR="0050122E" w:rsidRPr="007D1775">
        <w:rPr>
          <w:rFonts w:cs="Arial"/>
        </w:rPr>
        <w:t>atazanavir</w:t>
      </w:r>
      <w:proofErr w:type="spellEnd"/>
      <w:r w:rsidR="0050122E" w:rsidRPr="007D1775">
        <w:rPr>
          <w:rFonts w:cs="Arial"/>
        </w:rPr>
        <w:t xml:space="preserve">, clarithromycin, </w:t>
      </w:r>
      <w:proofErr w:type="spellStart"/>
      <w:r w:rsidR="0050122E" w:rsidRPr="007D1775">
        <w:rPr>
          <w:rFonts w:cs="Arial"/>
        </w:rPr>
        <w:t>indinavir</w:t>
      </w:r>
      <w:proofErr w:type="spellEnd"/>
      <w:r w:rsidR="0050122E" w:rsidRPr="007D1775">
        <w:rPr>
          <w:rFonts w:cs="Arial"/>
        </w:rPr>
        <w:t xml:space="preserve">, </w:t>
      </w:r>
      <w:proofErr w:type="spellStart"/>
      <w:r w:rsidR="0050122E" w:rsidRPr="007D1775">
        <w:rPr>
          <w:rFonts w:cs="Arial"/>
        </w:rPr>
        <w:t>itraconazole</w:t>
      </w:r>
      <w:proofErr w:type="spellEnd"/>
      <w:r w:rsidR="0050122E" w:rsidRPr="007D1775">
        <w:rPr>
          <w:rFonts w:cs="Arial"/>
        </w:rPr>
        <w:t xml:space="preserve">, </w:t>
      </w:r>
      <w:proofErr w:type="spellStart"/>
      <w:r w:rsidR="0050122E" w:rsidRPr="007D1775">
        <w:rPr>
          <w:rFonts w:cs="Arial"/>
        </w:rPr>
        <w:t>nefazodone</w:t>
      </w:r>
      <w:proofErr w:type="spellEnd"/>
      <w:r w:rsidR="0050122E" w:rsidRPr="007D1775">
        <w:rPr>
          <w:rFonts w:cs="Arial"/>
        </w:rPr>
        <w:t xml:space="preserve">, nelfinavir, </w:t>
      </w:r>
      <w:proofErr w:type="spellStart"/>
      <w:r w:rsidR="0050122E" w:rsidRPr="007D1775">
        <w:rPr>
          <w:rFonts w:cs="Arial"/>
        </w:rPr>
        <w:t>saquinavir</w:t>
      </w:r>
      <w:proofErr w:type="spellEnd"/>
      <w:r w:rsidR="0050122E" w:rsidRPr="007D1775">
        <w:rPr>
          <w:rFonts w:cs="Arial"/>
        </w:rPr>
        <w:t xml:space="preserve"> and </w:t>
      </w:r>
      <w:proofErr w:type="spellStart"/>
      <w:r w:rsidR="0050122E" w:rsidRPr="007D1775">
        <w:rPr>
          <w:rFonts w:cs="Arial"/>
        </w:rPr>
        <w:t>telithromycin</w:t>
      </w:r>
      <w:proofErr w:type="spellEnd"/>
      <w:r w:rsidR="0050122E" w:rsidRPr="007D1775">
        <w:rPr>
          <w:rFonts w:cs="Arial"/>
        </w:rPr>
        <w:t xml:space="preserve">, see </w:t>
      </w:r>
      <w:r w:rsidR="00C9497A" w:rsidRPr="007D1775">
        <w:rPr>
          <w:rFonts w:cs="Arial"/>
        </w:rPr>
        <w:t>INTERACTIONS</w:t>
      </w:r>
      <w:r w:rsidR="0050122E" w:rsidRPr="007D1775">
        <w:rPr>
          <w:rFonts w:cs="Arial"/>
        </w:rPr>
        <w:t>).</w:t>
      </w:r>
    </w:p>
    <w:p w:rsidR="00AE62AF" w:rsidRDefault="00BB49B2">
      <w:pPr>
        <w:pStyle w:val="ListParagraph"/>
        <w:numPr>
          <w:ilvl w:val="0"/>
          <w:numId w:val="38"/>
        </w:numPr>
        <w:contextualSpacing w:val="0"/>
        <w:rPr>
          <w:rFonts w:cs="Arial"/>
        </w:rPr>
      </w:pPr>
      <w:r w:rsidRPr="007D1775">
        <w:rPr>
          <w:rFonts w:cs="Arial"/>
          <w:szCs w:val="22"/>
        </w:rPr>
        <w:t>P</w:t>
      </w:r>
      <w:r w:rsidR="00E96FD1" w:rsidRPr="007D1775">
        <w:rPr>
          <w:rFonts w:cs="Arial"/>
          <w:szCs w:val="22"/>
        </w:rPr>
        <w:t xml:space="preserve">atients with a known hypersensitivity to </w:t>
      </w:r>
      <w:proofErr w:type="spellStart"/>
      <w:r w:rsidR="0023536C">
        <w:rPr>
          <w:rFonts w:cs="Arial"/>
          <w:szCs w:val="22"/>
        </w:rPr>
        <w:t>avanafil</w:t>
      </w:r>
      <w:proofErr w:type="spellEnd"/>
      <w:r w:rsidR="0023536C" w:rsidRPr="007D1775">
        <w:rPr>
          <w:rFonts w:cs="Arial"/>
          <w:szCs w:val="22"/>
        </w:rPr>
        <w:t xml:space="preserve"> </w:t>
      </w:r>
      <w:r w:rsidR="00E96FD1" w:rsidRPr="007D1775">
        <w:rPr>
          <w:rFonts w:cs="Arial"/>
          <w:szCs w:val="22"/>
        </w:rPr>
        <w:t>or to any ingredient of the tablet.</w:t>
      </w:r>
    </w:p>
    <w:p w:rsidR="00B541CE" w:rsidRPr="007D1775" w:rsidRDefault="00B541CE" w:rsidP="00B042C5">
      <w:pPr>
        <w:pStyle w:val="Heading1"/>
        <w:rPr>
          <w:rFonts w:cs="Arial"/>
        </w:rPr>
      </w:pPr>
      <w:r w:rsidRPr="007D1775">
        <w:rPr>
          <w:rFonts w:cs="Arial"/>
        </w:rPr>
        <w:t>Precautions</w:t>
      </w:r>
    </w:p>
    <w:p w:rsidR="00AE62AF" w:rsidRDefault="00FF2D11" w:rsidP="00AE62AF">
      <w:pPr>
        <w:spacing w:before="120" w:after="120"/>
        <w:rPr>
          <w:rFonts w:cs="Arial"/>
          <w:u w:val="single"/>
        </w:rPr>
      </w:pPr>
      <w:r w:rsidRPr="007D1775">
        <w:rPr>
          <w:rFonts w:cs="Arial"/>
          <w:u w:val="single"/>
        </w:rPr>
        <w:t xml:space="preserve">Before treatment with </w:t>
      </w:r>
      <w:r w:rsidR="00F3116E" w:rsidRPr="007D1775">
        <w:rPr>
          <w:rFonts w:cs="Arial"/>
          <w:u w:val="single"/>
        </w:rPr>
        <w:t>SPEDRA</w:t>
      </w:r>
      <w:r w:rsidRPr="007D1775">
        <w:rPr>
          <w:rFonts w:cs="Arial"/>
          <w:u w:val="single"/>
        </w:rPr>
        <w:t xml:space="preserve"> </w:t>
      </w:r>
    </w:p>
    <w:p w:rsidR="00AE62AF" w:rsidRPr="00415645" w:rsidRDefault="00AE62AF" w:rsidP="00AE62AF">
      <w:pPr>
        <w:pStyle w:val="Default"/>
        <w:jc w:val="both"/>
        <w:rPr>
          <w:rFonts w:ascii="Arial" w:hAnsi="Arial" w:cs="Arial"/>
          <w:color w:val="auto"/>
          <w:sz w:val="22"/>
          <w:szCs w:val="20"/>
          <w:lang w:val="en-US" w:eastAsia="en-US"/>
        </w:rPr>
      </w:pPr>
      <w:r w:rsidRPr="00415645">
        <w:rPr>
          <w:rFonts w:ascii="Arial" w:hAnsi="Arial" w:cs="Arial"/>
          <w:color w:val="auto"/>
          <w:sz w:val="22"/>
          <w:szCs w:val="20"/>
          <w:lang w:val="en-US" w:eastAsia="en-US"/>
        </w:rPr>
        <w:t xml:space="preserve">A medical history and physical examination should be undertaken to diagnose erectile dysfunction and determine potential underlying causes, before pharmacological treatment is considered. </w:t>
      </w:r>
    </w:p>
    <w:p w:rsidR="00AE62AF" w:rsidRDefault="00F82D1D" w:rsidP="00AE62AF">
      <w:pPr>
        <w:spacing w:before="120" w:after="120"/>
        <w:outlineLvl w:val="0"/>
        <w:rPr>
          <w:rFonts w:cs="Arial"/>
          <w:u w:val="single"/>
          <w:lang w:val="en-US"/>
        </w:rPr>
      </w:pPr>
      <w:r w:rsidRPr="007D1775">
        <w:rPr>
          <w:rFonts w:cs="Arial"/>
          <w:u w:val="single"/>
          <w:lang w:val="en-US"/>
        </w:rPr>
        <w:t>Cardiovascular status</w:t>
      </w:r>
    </w:p>
    <w:p w:rsidR="00826DBB" w:rsidRPr="007D1775" w:rsidRDefault="006621C3" w:rsidP="00E37FA1">
      <w:pPr>
        <w:outlineLvl w:val="0"/>
        <w:rPr>
          <w:rFonts w:cs="Arial"/>
          <w:lang w:val="en-US"/>
        </w:rPr>
      </w:pPr>
      <w:r w:rsidRPr="007D1775">
        <w:rPr>
          <w:rFonts w:cs="Arial"/>
          <w:lang w:val="en-US"/>
        </w:rPr>
        <w:t>Prior to initiating any treatment for erectile dysfunction, physicians should consider the cardiovascular status of their patients: t</w:t>
      </w:r>
      <w:r w:rsidR="00D47763" w:rsidRPr="007D1775">
        <w:rPr>
          <w:rFonts w:cs="Arial"/>
          <w:lang w:val="en-US"/>
        </w:rPr>
        <w:t xml:space="preserve">here is a potential for cardiac risk during sexual activity in patients with pre-existing cardiovascular disease. Therefore treatments for ED, including </w:t>
      </w:r>
      <w:r w:rsidR="00F3116E" w:rsidRPr="007D1775">
        <w:rPr>
          <w:rFonts w:cs="Arial"/>
          <w:lang w:val="en-US"/>
        </w:rPr>
        <w:t>SPEDRA</w:t>
      </w:r>
      <w:r w:rsidR="00993EF6" w:rsidRPr="007D1775">
        <w:rPr>
          <w:rFonts w:cs="Arial"/>
          <w:lang w:val="en-US"/>
        </w:rPr>
        <w:t>,</w:t>
      </w:r>
      <w:r w:rsidR="00D47763" w:rsidRPr="007D1775">
        <w:rPr>
          <w:rFonts w:cs="Arial"/>
          <w:lang w:val="en-US"/>
        </w:rPr>
        <w:t xml:space="preserve"> should not be used in men for </w:t>
      </w:r>
      <w:proofErr w:type="gramStart"/>
      <w:r w:rsidR="00D47763" w:rsidRPr="007D1775">
        <w:rPr>
          <w:rFonts w:cs="Arial"/>
          <w:lang w:val="en-US"/>
        </w:rPr>
        <w:t>whom</w:t>
      </w:r>
      <w:proofErr w:type="gramEnd"/>
      <w:r w:rsidR="00D47763" w:rsidRPr="007D1775">
        <w:rPr>
          <w:rFonts w:cs="Arial"/>
          <w:lang w:val="en-US"/>
        </w:rPr>
        <w:t xml:space="preserve"> sexual activity is inadvisable because of their underlying cardiovascular status (see </w:t>
      </w:r>
      <w:r w:rsidR="002620C7" w:rsidRPr="007D1775">
        <w:rPr>
          <w:rFonts w:cs="Arial"/>
          <w:lang w:val="en-US"/>
        </w:rPr>
        <w:t>CONTRAINDICATIONS</w:t>
      </w:r>
      <w:r w:rsidR="00D47763" w:rsidRPr="007D1775">
        <w:rPr>
          <w:rFonts w:cs="Arial"/>
          <w:lang w:val="en-US"/>
        </w:rPr>
        <w:t xml:space="preserve">). </w:t>
      </w:r>
    </w:p>
    <w:p w:rsidR="00D47763" w:rsidRPr="007D1775" w:rsidRDefault="00D47763" w:rsidP="00E37FA1">
      <w:pPr>
        <w:outlineLvl w:val="0"/>
        <w:rPr>
          <w:rFonts w:cs="Arial"/>
          <w:lang w:val="en-US"/>
        </w:rPr>
      </w:pPr>
      <w:r w:rsidRPr="007D1775">
        <w:rPr>
          <w:rFonts w:cs="Arial"/>
          <w:lang w:val="en-US"/>
        </w:rPr>
        <w:lastRenderedPageBreak/>
        <w:t xml:space="preserve">Patients with left ventricular outflow obstruction, e.g. aortic stenosis and idiopathic hypertrophic </w:t>
      </w:r>
      <w:proofErr w:type="spellStart"/>
      <w:r w:rsidRPr="007D1775">
        <w:rPr>
          <w:rFonts w:cs="Arial"/>
          <w:lang w:val="en-US"/>
        </w:rPr>
        <w:t>subaortic</w:t>
      </w:r>
      <w:proofErr w:type="spellEnd"/>
      <w:r w:rsidRPr="007D1775">
        <w:rPr>
          <w:rFonts w:cs="Arial"/>
          <w:lang w:val="en-US"/>
        </w:rPr>
        <w:t xml:space="preserve"> stenosis, and those with severely impaired autonomic control of blood pressure can be particularly sensitive to the action of vasodilators, including </w:t>
      </w:r>
      <w:r w:rsidR="00F3116E" w:rsidRPr="007D1775">
        <w:rPr>
          <w:rFonts w:cs="Arial"/>
          <w:lang w:val="en-US"/>
        </w:rPr>
        <w:t>SPEDRA</w:t>
      </w:r>
      <w:r w:rsidRPr="007D1775">
        <w:rPr>
          <w:rFonts w:cs="Arial"/>
          <w:lang w:val="en-US"/>
        </w:rPr>
        <w:t xml:space="preserve">. </w:t>
      </w:r>
    </w:p>
    <w:p w:rsidR="00497429" w:rsidRPr="007D1775" w:rsidRDefault="00826DBB" w:rsidP="00E37FA1">
      <w:pPr>
        <w:outlineLvl w:val="0"/>
        <w:rPr>
          <w:rFonts w:cs="Arial"/>
          <w:lang w:val="en-US"/>
        </w:rPr>
      </w:pPr>
      <w:r w:rsidRPr="007D1775">
        <w:rPr>
          <w:rFonts w:cs="Arial"/>
          <w:lang w:val="en-US"/>
        </w:rPr>
        <w:t>As with other PDE5 inhibitors</w:t>
      </w:r>
      <w:r w:rsidR="006621C3" w:rsidRPr="007D1775">
        <w:rPr>
          <w:rFonts w:cs="Arial"/>
          <w:lang w:val="en-US"/>
        </w:rPr>
        <w:t>,</w:t>
      </w:r>
      <w:r w:rsidRPr="007D1775">
        <w:rPr>
          <w:rFonts w:cs="Arial"/>
          <w:lang w:val="en-US"/>
        </w:rPr>
        <w:t xml:space="preserve"> </w:t>
      </w:r>
      <w:r w:rsidR="00F3116E" w:rsidRPr="007D1775">
        <w:rPr>
          <w:rFonts w:cs="Arial"/>
          <w:lang w:val="en-US"/>
        </w:rPr>
        <w:t>SPEDRA</w:t>
      </w:r>
      <w:r w:rsidRPr="007D1775">
        <w:rPr>
          <w:rFonts w:cs="Arial"/>
          <w:lang w:val="en-US"/>
        </w:rPr>
        <w:t xml:space="preserve"> </w:t>
      </w:r>
      <w:r w:rsidR="00646E87" w:rsidRPr="007D1775">
        <w:rPr>
          <w:rFonts w:cs="Arial"/>
          <w:lang w:val="en-US"/>
        </w:rPr>
        <w:t xml:space="preserve">has </w:t>
      </w:r>
      <w:r w:rsidR="006621C3" w:rsidRPr="007D1775">
        <w:rPr>
          <w:rFonts w:cs="Arial"/>
          <w:lang w:val="en-US"/>
        </w:rPr>
        <w:t>vasodilator properties, resulting in mild and transient decreases in blood pressure</w:t>
      </w:r>
      <w:r w:rsidRPr="007D1775">
        <w:rPr>
          <w:rFonts w:cs="Arial"/>
          <w:lang w:val="en-US"/>
        </w:rPr>
        <w:t xml:space="preserve"> and may augment the blood pressure-lowering effect of other anti-hypertensive medications. </w:t>
      </w:r>
      <w:r w:rsidR="00F3116E" w:rsidRPr="007D1775">
        <w:rPr>
          <w:rFonts w:cs="Arial"/>
          <w:lang w:val="en-US"/>
        </w:rPr>
        <w:t>SPEDRA</w:t>
      </w:r>
      <w:r w:rsidRPr="007D1775">
        <w:rPr>
          <w:rFonts w:cs="Arial"/>
          <w:lang w:val="en-US"/>
        </w:rPr>
        <w:t xml:space="preserve"> 200 mg resulted in transient decreases in sitting blood pressure in healthy volunteers of 8.0 mmHg </w:t>
      </w:r>
      <w:r w:rsidR="00EB6ED9" w:rsidRPr="007D1775">
        <w:rPr>
          <w:rFonts w:cs="Arial"/>
          <w:lang w:val="en-US"/>
        </w:rPr>
        <w:t>systolic and 3.3 mmHg diastolic</w:t>
      </w:r>
      <w:r w:rsidRPr="007D1775">
        <w:rPr>
          <w:rFonts w:cs="Arial"/>
          <w:lang w:val="en-US"/>
        </w:rPr>
        <w:t xml:space="preserve">, with the maximum decrease observed at 1 hour after dosing. While this normally would be expected to be of little consequence in most patients, prior to prescribing </w:t>
      </w:r>
      <w:r w:rsidR="00F3116E" w:rsidRPr="007D1775">
        <w:rPr>
          <w:rFonts w:cs="Arial"/>
          <w:lang w:val="en-US"/>
        </w:rPr>
        <w:t>SPEDRA</w:t>
      </w:r>
      <w:r w:rsidRPr="007D1775">
        <w:rPr>
          <w:rFonts w:cs="Arial"/>
          <w:lang w:val="en-US"/>
        </w:rPr>
        <w:t xml:space="preserve">, physicians should carefully consider whether patients with underlying cardiovascular disease could be affected adversely by such vasodilatory effects, especially in combination with sexual activity. </w:t>
      </w:r>
    </w:p>
    <w:p w:rsidR="00AE62AF" w:rsidRDefault="00F3116E" w:rsidP="00AE62AF">
      <w:pPr>
        <w:outlineLvl w:val="0"/>
        <w:rPr>
          <w:rFonts w:cs="Arial"/>
          <w:lang w:val="en-US"/>
        </w:rPr>
      </w:pPr>
      <w:r w:rsidRPr="007D1775">
        <w:rPr>
          <w:rFonts w:cs="Arial"/>
          <w:lang w:val="en-US"/>
        </w:rPr>
        <w:t>SPEDRA</w:t>
      </w:r>
      <w:r w:rsidR="00DD229E" w:rsidRPr="007D1775">
        <w:rPr>
          <w:rFonts w:cs="Arial"/>
          <w:lang w:val="en-US"/>
        </w:rPr>
        <w:t xml:space="preserve"> potentiates the hypotensive effect of nitrates. Therefore co</w:t>
      </w:r>
      <w:r w:rsidR="00C9497A" w:rsidRPr="007D1775">
        <w:rPr>
          <w:rFonts w:cs="Arial"/>
          <w:lang w:val="en-US"/>
        </w:rPr>
        <w:t>-</w:t>
      </w:r>
      <w:r w:rsidR="00DD229E" w:rsidRPr="007D1775">
        <w:rPr>
          <w:rFonts w:cs="Arial"/>
          <w:lang w:val="en-US"/>
        </w:rPr>
        <w:t xml:space="preserve">administration of </w:t>
      </w:r>
      <w:r w:rsidRPr="007D1775">
        <w:rPr>
          <w:rFonts w:cs="Arial"/>
          <w:lang w:val="en-US"/>
        </w:rPr>
        <w:t>SPEDRA</w:t>
      </w:r>
      <w:r w:rsidR="00DD229E" w:rsidRPr="007D1775">
        <w:rPr>
          <w:rFonts w:cs="Arial"/>
          <w:lang w:val="en-US"/>
        </w:rPr>
        <w:t xml:space="preserve"> </w:t>
      </w:r>
      <w:r w:rsidR="00504C46" w:rsidRPr="007D1775">
        <w:rPr>
          <w:rFonts w:cs="Arial"/>
          <w:lang w:val="en-US"/>
        </w:rPr>
        <w:t>and</w:t>
      </w:r>
      <w:r w:rsidR="00DD229E" w:rsidRPr="007D1775">
        <w:rPr>
          <w:rFonts w:cs="Arial"/>
          <w:lang w:val="en-US"/>
        </w:rPr>
        <w:t xml:space="preserve"> nitrates</w:t>
      </w:r>
      <w:r w:rsidR="00334464" w:rsidRPr="007D1775">
        <w:rPr>
          <w:rFonts w:cs="Arial"/>
          <w:lang w:val="en-US"/>
        </w:rPr>
        <w:t xml:space="preserve">, </w:t>
      </w:r>
      <w:r w:rsidR="00334464" w:rsidRPr="007D1775">
        <w:rPr>
          <w:rFonts w:cs="Arial"/>
          <w:szCs w:val="22"/>
          <w:lang w:eastAsia="en-AU"/>
        </w:rPr>
        <w:t>nitric oxide donors, or organic nitrites</w:t>
      </w:r>
      <w:r w:rsidR="00DD229E" w:rsidRPr="007D1775">
        <w:rPr>
          <w:rFonts w:cs="Arial"/>
          <w:lang w:val="en-US"/>
        </w:rPr>
        <w:t xml:space="preserve"> is contraindicated</w:t>
      </w:r>
      <w:r w:rsidR="00E37FA1" w:rsidRPr="007D1775">
        <w:rPr>
          <w:rFonts w:cs="Arial"/>
          <w:lang w:val="en-US"/>
        </w:rPr>
        <w:t xml:space="preserve"> </w:t>
      </w:r>
      <w:r w:rsidR="00DD229E" w:rsidRPr="007D1775">
        <w:rPr>
          <w:rFonts w:cs="Arial"/>
          <w:lang w:val="en-US"/>
        </w:rPr>
        <w:t>(see</w:t>
      </w:r>
      <w:r w:rsidR="00E37FA1" w:rsidRPr="007D1775">
        <w:rPr>
          <w:rFonts w:cs="Arial"/>
          <w:lang w:val="en-US"/>
        </w:rPr>
        <w:t xml:space="preserve"> </w:t>
      </w:r>
      <w:r w:rsidR="002620C7" w:rsidRPr="007D1775">
        <w:rPr>
          <w:rFonts w:cs="Arial"/>
          <w:lang w:val="en-US"/>
        </w:rPr>
        <w:t>CONTRAINDICATIONS</w:t>
      </w:r>
      <w:r w:rsidR="00DD229E" w:rsidRPr="007D1775">
        <w:rPr>
          <w:rFonts w:cs="Arial"/>
          <w:lang w:val="en-US"/>
        </w:rPr>
        <w:t xml:space="preserve">). </w:t>
      </w:r>
    </w:p>
    <w:p w:rsidR="00AE62AF" w:rsidRDefault="001D3B9E" w:rsidP="00AE62AF">
      <w:pPr>
        <w:spacing w:before="120" w:after="120"/>
        <w:outlineLvl w:val="0"/>
        <w:rPr>
          <w:rFonts w:cs="Arial"/>
          <w:u w:val="single"/>
          <w:lang w:val="en-US"/>
        </w:rPr>
      </w:pPr>
      <w:r w:rsidRPr="007D1775">
        <w:rPr>
          <w:rFonts w:cs="Arial"/>
          <w:u w:val="single"/>
          <w:lang w:val="en-US"/>
        </w:rPr>
        <w:t>Concomitant use of alpha-blockers</w:t>
      </w:r>
    </w:p>
    <w:p w:rsidR="00AE62AF" w:rsidRDefault="001D3B9E" w:rsidP="00AE62AF">
      <w:pPr>
        <w:outlineLvl w:val="0"/>
        <w:rPr>
          <w:rFonts w:cs="Arial"/>
          <w:lang w:val="en-US"/>
        </w:rPr>
      </w:pPr>
      <w:r w:rsidRPr="007D1775">
        <w:rPr>
          <w:rFonts w:cs="Arial"/>
          <w:lang w:val="en-US"/>
        </w:rPr>
        <w:t xml:space="preserve">Physicians should discuss with patients the potential for </w:t>
      </w:r>
      <w:r w:rsidR="00F3116E" w:rsidRPr="007D1775">
        <w:rPr>
          <w:rFonts w:cs="Arial"/>
          <w:lang w:val="en-US"/>
        </w:rPr>
        <w:t>SPEDRA</w:t>
      </w:r>
      <w:r w:rsidRPr="007D1775">
        <w:rPr>
          <w:rFonts w:cs="Arial"/>
          <w:lang w:val="en-US"/>
        </w:rPr>
        <w:t xml:space="preserve"> to augment the blood–pressure lowering effect of alpha blockers</w:t>
      </w:r>
      <w:r w:rsidR="00AF038F">
        <w:rPr>
          <w:rFonts w:cs="Arial"/>
          <w:lang w:val="en-US"/>
        </w:rPr>
        <w:t xml:space="preserve"> (e</w:t>
      </w:r>
      <w:r w:rsidR="00030139">
        <w:rPr>
          <w:rFonts w:cs="Arial"/>
          <w:lang w:val="en-US"/>
        </w:rPr>
        <w:t>.</w:t>
      </w:r>
      <w:r w:rsidR="00AF038F">
        <w:rPr>
          <w:rFonts w:cs="Arial"/>
          <w:lang w:val="en-US"/>
        </w:rPr>
        <w:t>g</w:t>
      </w:r>
      <w:r w:rsidR="00030139">
        <w:rPr>
          <w:rFonts w:cs="Arial"/>
          <w:lang w:val="en-US"/>
        </w:rPr>
        <w:t>.</w:t>
      </w:r>
      <w:r w:rsidR="00AF038F">
        <w:rPr>
          <w:rFonts w:cs="Arial"/>
          <w:lang w:val="en-US"/>
        </w:rPr>
        <w:t xml:space="preserve"> prazosin, </w:t>
      </w:r>
      <w:proofErr w:type="spellStart"/>
      <w:r w:rsidR="00AF038F">
        <w:rPr>
          <w:rFonts w:cs="Arial"/>
          <w:lang w:val="en-US"/>
        </w:rPr>
        <w:t>tamsulosin</w:t>
      </w:r>
      <w:proofErr w:type="spellEnd"/>
      <w:r w:rsidR="00AF038F">
        <w:rPr>
          <w:rFonts w:cs="Arial"/>
          <w:lang w:val="en-US"/>
        </w:rPr>
        <w:t>, terazosin)</w:t>
      </w:r>
      <w:r w:rsidRPr="007D1775">
        <w:rPr>
          <w:rFonts w:cs="Arial"/>
          <w:lang w:val="en-US"/>
        </w:rPr>
        <w:t xml:space="preserve"> and other antihypertensive medications</w:t>
      </w:r>
      <w:r w:rsidR="00EB6ED9" w:rsidRPr="007D1775">
        <w:rPr>
          <w:rFonts w:cs="Arial"/>
          <w:lang w:val="en-US"/>
        </w:rPr>
        <w:t xml:space="preserve"> (see</w:t>
      </w:r>
      <w:r w:rsidR="00EB6ED9" w:rsidRPr="007D1775">
        <w:rPr>
          <w:rFonts w:cs="Arial"/>
          <w:szCs w:val="22"/>
        </w:rPr>
        <w:t xml:space="preserve"> </w:t>
      </w:r>
      <w:r w:rsidR="00C9497A" w:rsidRPr="007D1775">
        <w:rPr>
          <w:rFonts w:cs="Arial"/>
          <w:szCs w:val="22"/>
        </w:rPr>
        <w:t>PRECAUTIONS</w:t>
      </w:r>
      <w:r w:rsidR="00EB6ED9" w:rsidRPr="007D1775">
        <w:rPr>
          <w:rFonts w:cs="Arial"/>
          <w:szCs w:val="22"/>
        </w:rPr>
        <w:t xml:space="preserve"> </w:t>
      </w:r>
      <w:r w:rsidR="00AC01BA" w:rsidRPr="007D1775">
        <w:rPr>
          <w:rFonts w:cs="Arial"/>
          <w:lang w:val="en-US"/>
        </w:rPr>
        <w:t>and</w:t>
      </w:r>
      <w:r w:rsidR="00A46867" w:rsidRPr="007D1775">
        <w:rPr>
          <w:rFonts w:cs="Arial"/>
          <w:lang w:val="en-US"/>
        </w:rPr>
        <w:t xml:space="preserve"> </w:t>
      </w:r>
      <w:r w:rsidR="00C9497A" w:rsidRPr="007D1775">
        <w:rPr>
          <w:rFonts w:cs="Arial"/>
          <w:lang w:val="en-US"/>
        </w:rPr>
        <w:t>PHARMACOLOGY</w:t>
      </w:r>
      <w:r w:rsidR="00AC01BA" w:rsidRPr="007D1775">
        <w:rPr>
          <w:rFonts w:cs="Arial"/>
          <w:lang w:val="en-US"/>
        </w:rPr>
        <w:t>)</w:t>
      </w:r>
      <w:r w:rsidRPr="007D1775">
        <w:rPr>
          <w:rFonts w:cs="Arial"/>
          <w:lang w:val="en-US"/>
        </w:rPr>
        <w:t xml:space="preserve">. Caution is advised when PDE5 inhibitors are co-administered with alpha-blockers. </w:t>
      </w:r>
      <w:proofErr w:type="gramStart"/>
      <w:r w:rsidRPr="007D1775">
        <w:rPr>
          <w:rFonts w:cs="Arial"/>
          <w:lang w:val="en-US"/>
        </w:rPr>
        <w:t>PDE</w:t>
      </w:r>
      <w:r w:rsidR="0023536C">
        <w:rPr>
          <w:rFonts w:cs="Arial"/>
          <w:lang w:val="en-US"/>
        </w:rPr>
        <w:t xml:space="preserve">5 </w:t>
      </w:r>
      <w:r w:rsidRPr="007D1775">
        <w:rPr>
          <w:rFonts w:cs="Arial"/>
          <w:lang w:val="en-US"/>
        </w:rPr>
        <w:t xml:space="preserve"> inhibitors</w:t>
      </w:r>
      <w:proofErr w:type="gramEnd"/>
      <w:r w:rsidRPr="007D1775">
        <w:rPr>
          <w:rFonts w:cs="Arial"/>
          <w:lang w:val="en-US"/>
        </w:rPr>
        <w:t xml:space="preserve">, including </w:t>
      </w:r>
      <w:r w:rsidR="00F3116E" w:rsidRPr="007D1775">
        <w:rPr>
          <w:rFonts w:cs="Arial"/>
          <w:lang w:val="en-US"/>
        </w:rPr>
        <w:t>SPEDRA</w:t>
      </w:r>
      <w:r w:rsidRPr="007D1775">
        <w:rPr>
          <w:rFonts w:cs="Arial"/>
          <w:lang w:val="en-US"/>
        </w:rPr>
        <w:t>, and alpha-adrenergic blocking agents are both vasodilators with blo</w:t>
      </w:r>
      <w:r w:rsidR="00AC01BA" w:rsidRPr="007D1775">
        <w:rPr>
          <w:rFonts w:cs="Arial"/>
          <w:lang w:val="en-US"/>
        </w:rPr>
        <w:t>o</w:t>
      </w:r>
      <w:r w:rsidRPr="007D1775">
        <w:rPr>
          <w:rFonts w:cs="Arial"/>
          <w:lang w:val="en-US"/>
        </w:rPr>
        <w:t>d pressure lowering effects. When vasod</w:t>
      </w:r>
      <w:r w:rsidR="00AC01BA" w:rsidRPr="007D1775">
        <w:rPr>
          <w:rFonts w:cs="Arial"/>
          <w:lang w:val="en-US"/>
        </w:rPr>
        <w:t>ilators are used in combination</w:t>
      </w:r>
      <w:r w:rsidRPr="007D1775">
        <w:rPr>
          <w:rFonts w:cs="Arial"/>
          <w:lang w:val="en-US"/>
        </w:rPr>
        <w:t>, an additive effect on blood p</w:t>
      </w:r>
      <w:r w:rsidR="00AC01BA" w:rsidRPr="007D1775">
        <w:rPr>
          <w:rFonts w:cs="Arial"/>
          <w:lang w:val="en-US"/>
        </w:rPr>
        <w:t>ressure may be anticipated. I</w:t>
      </w:r>
      <w:r w:rsidRPr="007D1775">
        <w:rPr>
          <w:rFonts w:cs="Arial"/>
          <w:lang w:val="en-US"/>
        </w:rPr>
        <w:t>n some patients concomitant use of these two classes can lower blood pressure significantly leading to symptomatic hypotension (</w:t>
      </w:r>
      <w:r w:rsidR="004D0F15" w:rsidRPr="007D1775">
        <w:rPr>
          <w:rFonts w:cs="Arial"/>
          <w:lang w:val="en-US"/>
        </w:rPr>
        <w:t>e.g.</w:t>
      </w:r>
      <w:r w:rsidRPr="007D1775">
        <w:rPr>
          <w:rFonts w:cs="Arial"/>
          <w:lang w:val="en-US"/>
        </w:rPr>
        <w:t xml:space="preserve"> dizziness, lightheadedness, fainting). </w:t>
      </w:r>
    </w:p>
    <w:p w:rsidR="001D3B9E" w:rsidRPr="007D1775" w:rsidRDefault="001D3B9E" w:rsidP="00EB6ED9">
      <w:pPr>
        <w:outlineLvl w:val="0"/>
        <w:rPr>
          <w:rFonts w:cs="Arial"/>
          <w:lang w:val="en-US"/>
        </w:rPr>
      </w:pPr>
      <w:r w:rsidRPr="007D1775">
        <w:rPr>
          <w:rFonts w:cs="Arial"/>
          <w:lang w:val="en-US"/>
        </w:rPr>
        <w:t>Consideration should be given to the following:</w:t>
      </w:r>
    </w:p>
    <w:p w:rsidR="00AE62AF" w:rsidRDefault="001D3B9E" w:rsidP="00AE62AF">
      <w:pPr>
        <w:numPr>
          <w:ilvl w:val="0"/>
          <w:numId w:val="34"/>
        </w:numPr>
        <w:tabs>
          <w:tab w:val="clear" w:pos="448"/>
        </w:tabs>
        <w:ind w:left="567" w:hanging="567"/>
        <w:outlineLvl w:val="0"/>
        <w:rPr>
          <w:rFonts w:cs="Arial"/>
          <w:lang w:val="en-US"/>
        </w:rPr>
      </w:pPr>
      <w:r w:rsidRPr="007D1775">
        <w:rPr>
          <w:rFonts w:cs="Arial"/>
          <w:lang w:val="en-US"/>
        </w:rPr>
        <w:t xml:space="preserve">Patients should be stable on alpha-blocker therapy prior to initiating </w:t>
      </w:r>
      <w:r w:rsidR="00D90153" w:rsidRPr="007D1775">
        <w:rPr>
          <w:rFonts w:cs="Arial"/>
          <w:lang w:val="en-US"/>
        </w:rPr>
        <w:t xml:space="preserve">treatment with </w:t>
      </w:r>
      <w:r w:rsidR="00F3116E" w:rsidRPr="007D1775">
        <w:rPr>
          <w:rFonts w:cs="Arial"/>
          <w:lang w:val="en-US"/>
        </w:rPr>
        <w:t>SPEDRA</w:t>
      </w:r>
      <w:r w:rsidRPr="007D1775">
        <w:rPr>
          <w:rFonts w:cs="Arial"/>
          <w:lang w:val="en-US"/>
        </w:rPr>
        <w:t xml:space="preserve">. Patients who demonstrate </w:t>
      </w:r>
      <w:proofErr w:type="spellStart"/>
      <w:r w:rsidRPr="007D1775">
        <w:rPr>
          <w:rFonts w:cs="Arial"/>
          <w:lang w:val="en-US"/>
        </w:rPr>
        <w:t>haemodynamic</w:t>
      </w:r>
      <w:proofErr w:type="spellEnd"/>
      <w:r w:rsidRPr="007D1775">
        <w:rPr>
          <w:rFonts w:cs="Arial"/>
          <w:lang w:val="en-US"/>
        </w:rPr>
        <w:t xml:space="preserve"> instability on alpha-blocker therapy alone are at increased risk of symptomatic hypotension with concomitant use of </w:t>
      </w:r>
      <w:r w:rsidR="00F3116E" w:rsidRPr="007D1775">
        <w:rPr>
          <w:rFonts w:cs="Arial"/>
          <w:lang w:val="en-US"/>
        </w:rPr>
        <w:t>SPEDRA</w:t>
      </w:r>
      <w:r w:rsidR="00D90153" w:rsidRPr="007D1775">
        <w:rPr>
          <w:rFonts w:cs="Arial"/>
          <w:lang w:val="en-US"/>
        </w:rPr>
        <w:t xml:space="preserve">. </w:t>
      </w:r>
    </w:p>
    <w:p w:rsidR="00AE62AF" w:rsidRDefault="001D3B9E" w:rsidP="00AE62AF">
      <w:pPr>
        <w:numPr>
          <w:ilvl w:val="0"/>
          <w:numId w:val="34"/>
        </w:numPr>
        <w:tabs>
          <w:tab w:val="clear" w:pos="448"/>
        </w:tabs>
        <w:ind w:left="567" w:hanging="567"/>
        <w:outlineLvl w:val="0"/>
        <w:rPr>
          <w:rFonts w:cs="Arial"/>
          <w:lang w:val="en-US"/>
        </w:rPr>
      </w:pPr>
      <w:r w:rsidRPr="007D1775">
        <w:rPr>
          <w:rFonts w:cs="Arial"/>
          <w:lang w:val="en-US"/>
        </w:rPr>
        <w:t xml:space="preserve">In those patients who are stable on alpha-blocker therapy, </w:t>
      </w:r>
      <w:r w:rsidR="00F3116E" w:rsidRPr="007D1775">
        <w:rPr>
          <w:rFonts w:cs="Arial"/>
          <w:lang w:val="en-US"/>
        </w:rPr>
        <w:t>SPEDRA</w:t>
      </w:r>
      <w:r w:rsidR="00D90153" w:rsidRPr="007D1775">
        <w:rPr>
          <w:rFonts w:cs="Arial"/>
          <w:lang w:val="en-US"/>
        </w:rPr>
        <w:t xml:space="preserve"> </w:t>
      </w:r>
      <w:r w:rsidRPr="007D1775">
        <w:rPr>
          <w:rFonts w:cs="Arial"/>
          <w:lang w:val="en-US"/>
        </w:rPr>
        <w:t>should be initiated at the lowest dose of 50 mg.</w:t>
      </w:r>
    </w:p>
    <w:p w:rsidR="00AE62AF" w:rsidRDefault="001D3B9E" w:rsidP="00AE62AF">
      <w:pPr>
        <w:numPr>
          <w:ilvl w:val="0"/>
          <w:numId w:val="34"/>
        </w:numPr>
        <w:tabs>
          <w:tab w:val="clear" w:pos="448"/>
        </w:tabs>
        <w:ind w:left="567" w:hanging="567"/>
        <w:outlineLvl w:val="0"/>
        <w:rPr>
          <w:rFonts w:cs="Arial"/>
          <w:lang w:val="en-US"/>
        </w:rPr>
      </w:pPr>
      <w:r w:rsidRPr="007D1775">
        <w:rPr>
          <w:rFonts w:cs="Arial"/>
          <w:lang w:val="en-US"/>
        </w:rPr>
        <w:t xml:space="preserve">In those patients already taking an </w:t>
      </w:r>
      <w:proofErr w:type="spellStart"/>
      <w:r w:rsidRPr="007D1775">
        <w:rPr>
          <w:rFonts w:cs="Arial"/>
          <w:lang w:val="en-US"/>
        </w:rPr>
        <w:t>optimised</w:t>
      </w:r>
      <w:proofErr w:type="spellEnd"/>
      <w:r w:rsidRPr="007D1775">
        <w:rPr>
          <w:rFonts w:cs="Arial"/>
          <w:lang w:val="en-US"/>
        </w:rPr>
        <w:t xml:space="preserve"> dose of </w:t>
      </w:r>
      <w:r w:rsidR="00F3116E" w:rsidRPr="007D1775">
        <w:rPr>
          <w:rFonts w:cs="Arial"/>
          <w:lang w:val="en-US"/>
        </w:rPr>
        <w:t>SPEDRA</w:t>
      </w:r>
      <w:r w:rsidRPr="007D1775">
        <w:rPr>
          <w:rFonts w:cs="Arial"/>
          <w:lang w:val="en-US"/>
        </w:rPr>
        <w:t xml:space="preserve">, alpha-blocker therapy should be initiated at the lowest dose. Stepwise increase in alpha-blocker dose may be associated with further lowering of blood pressure when taking </w:t>
      </w:r>
      <w:r w:rsidR="00F3116E" w:rsidRPr="007D1775">
        <w:rPr>
          <w:rFonts w:cs="Arial"/>
          <w:lang w:val="en-US"/>
        </w:rPr>
        <w:t>SPEDRA</w:t>
      </w:r>
      <w:r w:rsidRPr="007D1775">
        <w:rPr>
          <w:rFonts w:cs="Arial"/>
          <w:lang w:val="en-US"/>
        </w:rPr>
        <w:t>.</w:t>
      </w:r>
      <w:r w:rsidR="00D90153" w:rsidRPr="007D1775">
        <w:rPr>
          <w:rFonts w:cs="Arial"/>
          <w:lang w:val="en-US"/>
        </w:rPr>
        <w:t xml:space="preserve"> </w:t>
      </w:r>
    </w:p>
    <w:p w:rsidR="005A4F80" w:rsidRPr="007D1775" w:rsidRDefault="001D3B9E" w:rsidP="00EB6ED9">
      <w:pPr>
        <w:outlineLvl w:val="0"/>
        <w:rPr>
          <w:rFonts w:cs="Arial"/>
          <w:u w:val="single"/>
          <w:lang w:val="en-US"/>
        </w:rPr>
      </w:pPr>
      <w:r w:rsidRPr="007D1775">
        <w:rPr>
          <w:rFonts w:cs="Arial"/>
          <w:lang w:val="en-US"/>
        </w:rPr>
        <w:t xml:space="preserve">The safety of combined use of </w:t>
      </w:r>
      <w:r w:rsidR="00F3116E" w:rsidRPr="007D1775">
        <w:rPr>
          <w:rFonts w:cs="Arial"/>
          <w:lang w:val="en-US"/>
        </w:rPr>
        <w:t>SPEDRA</w:t>
      </w:r>
      <w:r w:rsidR="00AC01BA" w:rsidRPr="007D1775">
        <w:rPr>
          <w:rFonts w:cs="Arial"/>
          <w:lang w:val="en-US"/>
        </w:rPr>
        <w:t xml:space="preserve"> </w:t>
      </w:r>
      <w:r w:rsidRPr="007D1775">
        <w:rPr>
          <w:rFonts w:cs="Arial"/>
          <w:lang w:val="en-US"/>
        </w:rPr>
        <w:t>and alpha-blockers may be affected by other variables, including intravascular volume depletion and other anti-</w:t>
      </w:r>
      <w:r w:rsidR="00D90153" w:rsidRPr="007D1775">
        <w:rPr>
          <w:rFonts w:cs="Arial"/>
          <w:lang w:val="en-US"/>
        </w:rPr>
        <w:t xml:space="preserve">hypertensive medicinal products (see </w:t>
      </w:r>
      <w:r w:rsidR="00C9497A" w:rsidRPr="007D1775">
        <w:rPr>
          <w:rFonts w:cs="Arial"/>
          <w:lang w:val="en-US"/>
        </w:rPr>
        <w:t xml:space="preserve">DOSAGE </w:t>
      </w:r>
      <w:r w:rsidR="00FE0C05" w:rsidRPr="007D1775">
        <w:rPr>
          <w:rFonts w:cs="Arial"/>
          <w:lang w:val="en-US"/>
        </w:rPr>
        <w:t xml:space="preserve">AND </w:t>
      </w:r>
      <w:r w:rsidR="00C9497A" w:rsidRPr="007D1775">
        <w:rPr>
          <w:rFonts w:cs="Arial"/>
          <w:lang w:val="en-US"/>
        </w:rPr>
        <w:t xml:space="preserve">ADMINISTRATION </w:t>
      </w:r>
      <w:r w:rsidR="00D90153" w:rsidRPr="007D1775">
        <w:rPr>
          <w:rFonts w:cs="Arial"/>
          <w:lang w:val="en-US"/>
        </w:rPr>
        <w:t xml:space="preserve">and </w:t>
      </w:r>
      <w:r w:rsidR="00C9497A" w:rsidRPr="007D1775">
        <w:rPr>
          <w:rFonts w:cs="Arial"/>
          <w:lang w:val="en-US"/>
        </w:rPr>
        <w:t>PRECAUTIONS</w:t>
      </w:r>
      <w:r w:rsidR="00EB6ED9" w:rsidRPr="007D1775">
        <w:rPr>
          <w:rFonts w:cs="Arial"/>
          <w:szCs w:val="22"/>
        </w:rPr>
        <w:t xml:space="preserve">). </w:t>
      </w:r>
      <w:r w:rsidR="00EB6ED9" w:rsidRPr="007D1775">
        <w:rPr>
          <w:rFonts w:cs="Arial"/>
          <w:lang w:val="en-US"/>
        </w:rPr>
        <w:t xml:space="preserve"> </w:t>
      </w:r>
    </w:p>
    <w:p w:rsidR="00AE62AF" w:rsidRDefault="00A526D4" w:rsidP="00AE62AF">
      <w:pPr>
        <w:spacing w:before="120" w:after="120"/>
        <w:outlineLvl w:val="0"/>
        <w:rPr>
          <w:rFonts w:cs="Arial"/>
          <w:u w:val="single"/>
          <w:lang w:val="en-US"/>
        </w:rPr>
      </w:pPr>
      <w:r w:rsidRPr="007D1775">
        <w:rPr>
          <w:rFonts w:cs="Arial"/>
          <w:u w:val="single"/>
          <w:lang w:val="en-US"/>
        </w:rPr>
        <w:t xml:space="preserve">Decreased or </w:t>
      </w:r>
      <w:r w:rsidR="00AC01BA" w:rsidRPr="007D1775">
        <w:rPr>
          <w:rFonts w:cs="Arial"/>
          <w:u w:val="single"/>
          <w:lang w:val="en-US"/>
        </w:rPr>
        <w:t>S</w:t>
      </w:r>
      <w:r w:rsidR="006F1C83" w:rsidRPr="007D1775">
        <w:rPr>
          <w:rFonts w:cs="Arial"/>
          <w:u w:val="single"/>
          <w:lang w:val="en-US"/>
        </w:rPr>
        <w:t xml:space="preserve">udden </w:t>
      </w:r>
      <w:r w:rsidR="0014592C" w:rsidRPr="007D1775">
        <w:rPr>
          <w:rFonts w:cs="Arial"/>
          <w:u w:val="single"/>
          <w:lang w:val="en-US"/>
        </w:rPr>
        <w:t>H</w:t>
      </w:r>
      <w:r w:rsidR="006F1C83" w:rsidRPr="007D1775">
        <w:rPr>
          <w:rFonts w:cs="Arial"/>
          <w:u w:val="single"/>
          <w:lang w:val="en-US"/>
        </w:rPr>
        <w:t>earing</w:t>
      </w:r>
      <w:r w:rsidR="00AC01BA" w:rsidRPr="007D1775">
        <w:rPr>
          <w:rFonts w:cs="Arial"/>
          <w:u w:val="single"/>
          <w:lang w:val="en-US"/>
        </w:rPr>
        <w:t xml:space="preserve"> </w:t>
      </w:r>
      <w:r w:rsidR="0014592C" w:rsidRPr="007D1775">
        <w:rPr>
          <w:rFonts w:cs="Arial"/>
          <w:u w:val="single"/>
          <w:lang w:val="en-US"/>
        </w:rPr>
        <w:t>L</w:t>
      </w:r>
      <w:r w:rsidR="00AC01BA" w:rsidRPr="007D1775">
        <w:rPr>
          <w:rFonts w:cs="Arial"/>
          <w:u w:val="single"/>
          <w:lang w:val="en-US"/>
        </w:rPr>
        <w:t>oss</w:t>
      </w:r>
    </w:p>
    <w:p w:rsidR="00F82D1D" w:rsidRPr="007D1775" w:rsidRDefault="006F1C83" w:rsidP="00F82D1D">
      <w:pPr>
        <w:outlineLvl w:val="0"/>
        <w:rPr>
          <w:rFonts w:cs="Arial"/>
          <w:lang w:val="en-US"/>
        </w:rPr>
      </w:pPr>
      <w:r w:rsidRPr="007D1775">
        <w:rPr>
          <w:rFonts w:cs="Arial"/>
          <w:lang w:val="en-US"/>
        </w:rPr>
        <w:t xml:space="preserve">Patients should be advised to stop taking PDE5 inhibitors, including </w:t>
      </w:r>
      <w:r w:rsidR="00F3116E" w:rsidRPr="007D1775">
        <w:rPr>
          <w:rFonts w:cs="Arial"/>
          <w:lang w:val="en-US"/>
        </w:rPr>
        <w:t>SPEDRA</w:t>
      </w:r>
      <w:r w:rsidRPr="007D1775">
        <w:rPr>
          <w:rFonts w:cs="Arial"/>
          <w:lang w:val="en-US"/>
        </w:rPr>
        <w:t xml:space="preserve">, and seek prompt medical attention in the event of sudden decrease or loss of hearing. These events, which may be accompanied by tinnitus and dizziness, have been reported in association </w:t>
      </w:r>
      <w:r w:rsidR="0065414D" w:rsidRPr="007D1775">
        <w:rPr>
          <w:rFonts w:cs="Arial"/>
          <w:lang w:val="en-US"/>
        </w:rPr>
        <w:t xml:space="preserve">with </w:t>
      </w:r>
      <w:r w:rsidRPr="007D1775">
        <w:rPr>
          <w:rFonts w:cs="Arial"/>
          <w:lang w:val="en-US"/>
        </w:rPr>
        <w:t>the intake of PDE5 inhibitors. It is not possible to determine whether these events are related directly to the use of PDE5</w:t>
      </w:r>
      <w:r w:rsidR="00BE7398" w:rsidRPr="007D1775">
        <w:rPr>
          <w:rFonts w:cs="Arial"/>
          <w:lang w:val="en-US"/>
        </w:rPr>
        <w:t xml:space="preserve"> inhibitors or to other factors (see </w:t>
      </w:r>
      <w:r w:rsidR="0065414D" w:rsidRPr="007D1775">
        <w:rPr>
          <w:rFonts w:cs="Arial"/>
          <w:lang w:val="en-US"/>
        </w:rPr>
        <w:t>ADVERSE EFFECTS</w:t>
      </w:r>
      <w:r w:rsidR="00BE7398" w:rsidRPr="007D1775">
        <w:rPr>
          <w:rFonts w:cs="Arial"/>
          <w:lang w:val="en-US"/>
        </w:rPr>
        <w:t xml:space="preserve">). </w:t>
      </w:r>
    </w:p>
    <w:p w:rsidR="00AE62AF" w:rsidRDefault="00F82D1D" w:rsidP="00AE62AF">
      <w:pPr>
        <w:spacing w:before="120" w:after="120"/>
        <w:outlineLvl w:val="0"/>
        <w:rPr>
          <w:rFonts w:cs="Arial"/>
          <w:u w:val="single"/>
          <w:lang w:val="en-US"/>
        </w:rPr>
      </w:pPr>
      <w:r w:rsidRPr="007D1775">
        <w:rPr>
          <w:rFonts w:cs="Arial"/>
          <w:u w:val="single"/>
          <w:lang w:val="en-US"/>
        </w:rPr>
        <w:t>Visual problems</w:t>
      </w:r>
    </w:p>
    <w:p w:rsidR="00880848" w:rsidRPr="007D1775" w:rsidRDefault="00A64834" w:rsidP="00F82D1D">
      <w:pPr>
        <w:outlineLvl w:val="0"/>
        <w:rPr>
          <w:rFonts w:cs="Arial"/>
          <w:lang w:val="en-US"/>
        </w:rPr>
      </w:pPr>
      <w:r w:rsidRPr="007D1775">
        <w:rPr>
          <w:rFonts w:cs="Arial"/>
          <w:lang w:val="en-US"/>
        </w:rPr>
        <w:t>Visual defects and cases of non-</w:t>
      </w:r>
      <w:proofErr w:type="spellStart"/>
      <w:r w:rsidRPr="007D1775">
        <w:rPr>
          <w:rFonts w:cs="Arial"/>
          <w:lang w:val="en-US"/>
        </w:rPr>
        <w:t>arteritic</w:t>
      </w:r>
      <w:proofErr w:type="spellEnd"/>
      <w:r w:rsidRPr="007D1775">
        <w:rPr>
          <w:rFonts w:cs="Arial"/>
          <w:lang w:val="en-US"/>
        </w:rPr>
        <w:t xml:space="preserve"> anterior </w:t>
      </w:r>
      <w:proofErr w:type="spellStart"/>
      <w:r w:rsidRPr="007D1775">
        <w:rPr>
          <w:rFonts w:cs="Arial"/>
          <w:lang w:val="en-US"/>
        </w:rPr>
        <w:t>ischaemic</w:t>
      </w:r>
      <w:proofErr w:type="spellEnd"/>
      <w:r w:rsidRPr="007D1775">
        <w:rPr>
          <w:rFonts w:cs="Arial"/>
          <w:lang w:val="en-US"/>
        </w:rPr>
        <w:t xml:space="preserve"> optic neuropathy (NAION) have been reported in connection with the intake of PDE5 inhibitors. </w:t>
      </w:r>
      <w:r w:rsidR="00BE7398" w:rsidRPr="007D1775">
        <w:rPr>
          <w:rFonts w:cs="Arial"/>
          <w:lang w:val="en-US"/>
        </w:rPr>
        <w:t xml:space="preserve">Physicians should advise patients to stop use of all PDE5 inhibitors, including </w:t>
      </w:r>
      <w:r w:rsidR="00F3116E" w:rsidRPr="007D1775">
        <w:rPr>
          <w:rFonts w:cs="Arial"/>
          <w:lang w:val="en-US"/>
        </w:rPr>
        <w:t>SPEDRA</w:t>
      </w:r>
      <w:r w:rsidR="004D0F15" w:rsidRPr="007D1775">
        <w:rPr>
          <w:rFonts w:cs="Arial"/>
          <w:lang w:val="en-US"/>
        </w:rPr>
        <w:t>,</w:t>
      </w:r>
      <w:r w:rsidR="00BE7398" w:rsidRPr="007D1775">
        <w:rPr>
          <w:rFonts w:cs="Arial"/>
          <w:lang w:val="en-US"/>
        </w:rPr>
        <w:t xml:space="preserve"> and seek medical attention in the event of a sudden loss of vision in one or both eyes. Such an event may be a sign of non-</w:t>
      </w:r>
      <w:proofErr w:type="spellStart"/>
      <w:r w:rsidR="00BE7398" w:rsidRPr="007D1775">
        <w:rPr>
          <w:rFonts w:cs="Arial"/>
          <w:lang w:val="en-US"/>
        </w:rPr>
        <w:t>arteritic</w:t>
      </w:r>
      <w:proofErr w:type="spellEnd"/>
      <w:r w:rsidR="00BE7398" w:rsidRPr="007D1775">
        <w:rPr>
          <w:rFonts w:cs="Arial"/>
          <w:lang w:val="en-US"/>
        </w:rPr>
        <w:t xml:space="preserve"> anterior ischemic optic neuropathy (NAION), a cause of decreased vision including permanent loss of vision that has been reported rarely post</w:t>
      </w:r>
      <w:r w:rsidR="0023536C">
        <w:rPr>
          <w:rFonts w:cs="Arial"/>
          <w:lang w:val="en-US"/>
        </w:rPr>
        <w:t>-</w:t>
      </w:r>
      <w:r w:rsidR="00BE7398" w:rsidRPr="007D1775">
        <w:rPr>
          <w:rFonts w:cs="Arial"/>
          <w:lang w:val="en-US"/>
        </w:rPr>
        <w:t>marketing in association with the use of all PDE5 inhibitors. It is not possible to determine whether these events are related directly to the use of PDE5 inhibitors or to other factors.</w:t>
      </w:r>
      <w:r w:rsidRPr="007D1775">
        <w:rPr>
          <w:rFonts w:cs="Arial"/>
          <w:lang w:val="en-US"/>
        </w:rPr>
        <w:t xml:space="preserve"> </w:t>
      </w:r>
      <w:r w:rsidR="004D0F15" w:rsidRPr="007D1775">
        <w:rPr>
          <w:rFonts w:cs="Arial"/>
          <w:lang w:val="en-US"/>
        </w:rPr>
        <w:t xml:space="preserve">Use of </w:t>
      </w:r>
      <w:r w:rsidR="00F3116E" w:rsidRPr="007D1775">
        <w:rPr>
          <w:rFonts w:cs="Arial"/>
          <w:lang w:val="en-US"/>
        </w:rPr>
        <w:t>SPEDRA</w:t>
      </w:r>
      <w:r w:rsidRPr="007D1775">
        <w:rPr>
          <w:rFonts w:cs="Arial"/>
          <w:lang w:val="en-US"/>
        </w:rPr>
        <w:t xml:space="preserve"> is contraindicated in </w:t>
      </w:r>
      <w:r w:rsidR="00E37FA1" w:rsidRPr="007D1775">
        <w:rPr>
          <w:rFonts w:cs="Arial"/>
          <w:szCs w:val="22"/>
        </w:rPr>
        <w:t>patients</w:t>
      </w:r>
      <w:r w:rsidRPr="007D1775">
        <w:rPr>
          <w:rFonts w:cs="Arial"/>
          <w:szCs w:val="22"/>
        </w:rPr>
        <w:t xml:space="preserve"> who have loss of vision in one eye </w:t>
      </w:r>
      <w:r w:rsidRPr="007D1775">
        <w:rPr>
          <w:rFonts w:cs="Arial"/>
          <w:szCs w:val="22"/>
        </w:rPr>
        <w:lastRenderedPageBreak/>
        <w:t xml:space="preserve">because of NAION, regardless of whether this episode was in connection with previous exposure to </w:t>
      </w:r>
      <w:r w:rsidR="004D0F15" w:rsidRPr="007D1775">
        <w:rPr>
          <w:rFonts w:cs="Arial"/>
          <w:szCs w:val="22"/>
        </w:rPr>
        <w:t xml:space="preserve">a </w:t>
      </w:r>
      <w:r w:rsidRPr="007D1775">
        <w:rPr>
          <w:rFonts w:cs="Arial"/>
          <w:szCs w:val="22"/>
        </w:rPr>
        <w:t>PDE5 inhibitor (see CONTRAINDICATIONS)</w:t>
      </w:r>
      <w:r w:rsidR="00BE7398" w:rsidRPr="007D1775">
        <w:rPr>
          <w:rFonts w:cs="Arial"/>
          <w:lang w:val="en-US"/>
        </w:rPr>
        <w:t xml:space="preserve">. </w:t>
      </w:r>
    </w:p>
    <w:p w:rsidR="00AE62AF" w:rsidRDefault="006F1C83" w:rsidP="00AE62AF">
      <w:pPr>
        <w:spacing w:before="120" w:after="120"/>
        <w:outlineLvl w:val="0"/>
        <w:rPr>
          <w:rFonts w:cs="Arial"/>
          <w:u w:val="single"/>
          <w:lang w:val="en-US"/>
        </w:rPr>
      </w:pPr>
      <w:r w:rsidRPr="007D1775">
        <w:rPr>
          <w:rFonts w:cs="Arial"/>
          <w:u w:val="single"/>
          <w:lang w:val="en-US"/>
        </w:rPr>
        <w:t xml:space="preserve">Concomitant use of other treatments for erectile dysfunction </w:t>
      </w:r>
    </w:p>
    <w:p w:rsidR="00A46867" w:rsidRPr="007D1775" w:rsidRDefault="006F1C83" w:rsidP="00F82D1D">
      <w:pPr>
        <w:outlineLvl w:val="0"/>
        <w:rPr>
          <w:rFonts w:cs="Arial"/>
          <w:lang w:val="en-US"/>
        </w:rPr>
      </w:pPr>
      <w:r w:rsidRPr="007D1775">
        <w:rPr>
          <w:rFonts w:cs="Arial"/>
          <w:lang w:val="en-US"/>
        </w:rPr>
        <w:t xml:space="preserve">The safety and efficacy of combinations of </w:t>
      </w:r>
      <w:r w:rsidR="00F3116E" w:rsidRPr="007D1775">
        <w:rPr>
          <w:rFonts w:cs="Arial"/>
          <w:lang w:val="en-US"/>
        </w:rPr>
        <w:t>SPEDRA</w:t>
      </w:r>
      <w:r w:rsidRPr="007D1775">
        <w:rPr>
          <w:rFonts w:cs="Arial"/>
          <w:lang w:val="en-US"/>
        </w:rPr>
        <w:t xml:space="preserve"> and other PDE5 inhibitors or other treatments for erectile dysfunction have not been studied. </w:t>
      </w:r>
      <w:r w:rsidR="00A526D4" w:rsidRPr="007D1775">
        <w:rPr>
          <w:rFonts w:cs="Arial"/>
          <w:lang w:val="en-US"/>
        </w:rPr>
        <w:t xml:space="preserve">Patients should be informed not to take </w:t>
      </w:r>
      <w:r w:rsidR="00633D64" w:rsidRPr="007D1775">
        <w:rPr>
          <w:rFonts w:cs="Arial"/>
          <w:lang w:val="en-US"/>
        </w:rPr>
        <w:t xml:space="preserve">SPEDRA </w:t>
      </w:r>
      <w:r w:rsidR="00A526D4" w:rsidRPr="007D1775">
        <w:rPr>
          <w:rFonts w:cs="Arial"/>
          <w:lang w:val="en-US"/>
        </w:rPr>
        <w:t>in such combinations.</w:t>
      </w:r>
    </w:p>
    <w:p w:rsidR="00415645" w:rsidRDefault="00415645">
      <w:pPr>
        <w:spacing w:after="0"/>
        <w:jc w:val="left"/>
        <w:rPr>
          <w:rFonts w:cs="Arial"/>
          <w:u w:val="single"/>
          <w:lang w:val="en-US"/>
        </w:rPr>
      </w:pPr>
      <w:r>
        <w:rPr>
          <w:rFonts w:cs="Arial"/>
          <w:u w:val="single"/>
          <w:lang w:val="en-US"/>
        </w:rPr>
        <w:br w:type="page"/>
      </w:r>
    </w:p>
    <w:p w:rsidR="00AE62AF" w:rsidRDefault="006F1C83" w:rsidP="00AE62AF">
      <w:pPr>
        <w:spacing w:before="120" w:after="120"/>
        <w:outlineLvl w:val="0"/>
        <w:rPr>
          <w:rFonts w:cs="Arial"/>
          <w:u w:val="single"/>
          <w:lang w:val="en-US"/>
        </w:rPr>
      </w:pPr>
      <w:r w:rsidRPr="007D1775">
        <w:rPr>
          <w:rFonts w:cs="Arial"/>
          <w:u w:val="single"/>
          <w:lang w:val="en-US"/>
        </w:rPr>
        <w:lastRenderedPageBreak/>
        <w:t>Priapism</w:t>
      </w:r>
    </w:p>
    <w:p w:rsidR="00BE7398" w:rsidRPr="007D1775" w:rsidRDefault="00BE7398" w:rsidP="006F1C83">
      <w:pPr>
        <w:outlineLvl w:val="0"/>
        <w:rPr>
          <w:rFonts w:cs="Arial"/>
          <w:lang w:val="en-US"/>
        </w:rPr>
      </w:pPr>
      <w:r w:rsidRPr="007D1775">
        <w:rPr>
          <w:rFonts w:cs="Arial"/>
          <w:lang w:val="en-US"/>
        </w:rPr>
        <w:t xml:space="preserve">Prolonged erection </w:t>
      </w:r>
      <w:r w:rsidR="003D2522" w:rsidRPr="007D1775">
        <w:rPr>
          <w:rFonts w:cs="Arial"/>
          <w:lang w:val="en-US"/>
        </w:rPr>
        <w:t>lasting</w:t>
      </w:r>
      <w:r w:rsidRPr="007D1775">
        <w:rPr>
          <w:rFonts w:cs="Arial"/>
          <w:lang w:val="en-US"/>
        </w:rPr>
        <w:t xml:space="preserve"> 4 hours </w:t>
      </w:r>
      <w:r w:rsidR="003D2522" w:rsidRPr="007D1775">
        <w:rPr>
          <w:rFonts w:cs="Arial"/>
          <w:lang w:val="en-US"/>
        </w:rPr>
        <w:t>or more (</w:t>
      </w:r>
      <w:r w:rsidRPr="007D1775">
        <w:rPr>
          <w:rFonts w:cs="Arial"/>
          <w:lang w:val="en-US"/>
        </w:rPr>
        <w:t>priapism</w:t>
      </w:r>
      <w:r w:rsidR="003D2522" w:rsidRPr="007D1775">
        <w:rPr>
          <w:rFonts w:cs="Arial"/>
          <w:lang w:val="en-US"/>
        </w:rPr>
        <w:t>)</w:t>
      </w:r>
      <w:r w:rsidRPr="007D1775">
        <w:rPr>
          <w:rFonts w:cs="Arial"/>
          <w:lang w:val="en-US"/>
        </w:rPr>
        <w:t xml:space="preserve"> </w:t>
      </w:r>
      <w:r w:rsidR="00E37FA1" w:rsidRPr="007D1775">
        <w:rPr>
          <w:rFonts w:cs="Arial"/>
          <w:lang w:val="en-US"/>
        </w:rPr>
        <w:t xml:space="preserve">has </w:t>
      </w:r>
      <w:r w:rsidRPr="007D1775">
        <w:rPr>
          <w:rFonts w:cs="Arial"/>
          <w:lang w:val="en-US"/>
        </w:rPr>
        <w:t>been reported with other PDE5 inhibitors. In the event of an erection th</w:t>
      </w:r>
      <w:r w:rsidR="00EB6ED9" w:rsidRPr="007D1775">
        <w:rPr>
          <w:rFonts w:cs="Arial"/>
          <w:lang w:val="en-US"/>
        </w:rPr>
        <w:t>at persists longer than 4 hours</w:t>
      </w:r>
      <w:r w:rsidRPr="007D1775">
        <w:rPr>
          <w:rFonts w:cs="Arial"/>
          <w:lang w:val="en-US"/>
        </w:rPr>
        <w:t xml:space="preserve">, the patient should </w:t>
      </w:r>
      <w:r w:rsidR="006F1C83" w:rsidRPr="007D1775">
        <w:rPr>
          <w:rFonts w:cs="Arial"/>
          <w:lang w:val="en-US"/>
        </w:rPr>
        <w:t xml:space="preserve">seek immediate medical assistance. If </w:t>
      </w:r>
      <w:r w:rsidR="003D2522" w:rsidRPr="007D1775">
        <w:rPr>
          <w:rFonts w:cs="Arial"/>
          <w:lang w:val="en-US"/>
        </w:rPr>
        <w:t xml:space="preserve">priapism is </w:t>
      </w:r>
      <w:r w:rsidR="006F1C83" w:rsidRPr="007D1775">
        <w:rPr>
          <w:rFonts w:cs="Arial"/>
          <w:lang w:val="en-US"/>
        </w:rPr>
        <w:t xml:space="preserve">not treated immediately, penile tissue damage and permanent loss of potency may result. </w:t>
      </w:r>
    </w:p>
    <w:p w:rsidR="00EB6ED9" w:rsidRPr="007D1775" w:rsidRDefault="00F3116E" w:rsidP="00F82D1D">
      <w:pPr>
        <w:outlineLvl w:val="0"/>
        <w:rPr>
          <w:rFonts w:cs="Arial"/>
          <w:u w:val="single"/>
          <w:lang w:val="en-US"/>
        </w:rPr>
      </w:pPr>
      <w:r w:rsidRPr="007D1775">
        <w:rPr>
          <w:rFonts w:cs="Arial"/>
          <w:lang w:val="en-US"/>
        </w:rPr>
        <w:t>SPEDRA</w:t>
      </w:r>
      <w:r w:rsidR="0045078F" w:rsidRPr="007D1775">
        <w:rPr>
          <w:rFonts w:cs="Arial"/>
          <w:lang w:val="en-US"/>
        </w:rPr>
        <w:t xml:space="preserve"> </w:t>
      </w:r>
      <w:r w:rsidR="006F1C83" w:rsidRPr="007D1775">
        <w:rPr>
          <w:rFonts w:cs="Arial"/>
          <w:lang w:val="en-US"/>
        </w:rPr>
        <w:t xml:space="preserve">should be used with caution in patients with anatomical deformation of the penis (such as angulation, </w:t>
      </w:r>
      <w:proofErr w:type="spellStart"/>
      <w:r w:rsidR="006F1C83" w:rsidRPr="007D1775">
        <w:rPr>
          <w:rFonts w:cs="Arial"/>
          <w:lang w:val="en-US"/>
        </w:rPr>
        <w:t>cavernosal</w:t>
      </w:r>
      <w:proofErr w:type="spellEnd"/>
      <w:r w:rsidR="006F1C83" w:rsidRPr="007D1775">
        <w:rPr>
          <w:rFonts w:cs="Arial"/>
          <w:lang w:val="en-US"/>
        </w:rPr>
        <w:t xml:space="preserve"> fibrosis, or </w:t>
      </w:r>
      <w:proofErr w:type="spellStart"/>
      <w:r w:rsidR="006F1C83" w:rsidRPr="007D1775">
        <w:rPr>
          <w:rFonts w:cs="Arial"/>
          <w:lang w:val="en-US"/>
        </w:rPr>
        <w:t>Peyronie's</w:t>
      </w:r>
      <w:proofErr w:type="spellEnd"/>
      <w:r w:rsidR="006F1C83" w:rsidRPr="007D1775">
        <w:rPr>
          <w:rFonts w:cs="Arial"/>
          <w:lang w:val="en-US"/>
        </w:rPr>
        <w:t xml:space="preserve"> disease), or in patients who have conditions which may predispose them to priapism (such as sickle cell </w:t>
      </w:r>
      <w:proofErr w:type="spellStart"/>
      <w:r w:rsidR="006F1C83" w:rsidRPr="007D1775">
        <w:rPr>
          <w:rFonts w:cs="Arial"/>
          <w:lang w:val="en-US"/>
        </w:rPr>
        <w:t>anaemia</w:t>
      </w:r>
      <w:proofErr w:type="spellEnd"/>
      <w:r w:rsidR="006F1C83" w:rsidRPr="007D1775">
        <w:rPr>
          <w:rFonts w:cs="Arial"/>
          <w:lang w:val="en-US"/>
        </w:rPr>
        <w:t xml:space="preserve">, multiple myeloma or </w:t>
      </w:r>
      <w:proofErr w:type="spellStart"/>
      <w:r w:rsidR="006F1C83" w:rsidRPr="007D1775">
        <w:rPr>
          <w:rFonts w:cs="Arial"/>
          <w:lang w:val="en-US"/>
        </w:rPr>
        <w:t>leukaemia</w:t>
      </w:r>
      <w:proofErr w:type="spellEnd"/>
      <w:r w:rsidR="006F1C83" w:rsidRPr="007D1775">
        <w:rPr>
          <w:rFonts w:cs="Arial"/>
          <w:lang w:val="en-US"/>
        </w:rPr>
        <w:t>).</w:t>
      </w:r>
    </w:p>
    <w:p w:rsidR="00AE62AF" w:rsidRDefault="00F82D1D" w:rsidP="00AE62AF">
      <w:pPr>
        <w:spacing w:before="120" w:after="120"/>
        <w:outlineLvl w:val="0"/>
        <w:rPr>
          <w:rFonts w:cs="Arial"/>
          <w:u w:val="single"/>
          <w:lang w:val="en-US"/>
        </w:rPr>
      </w:pPr>
      <w:r w:rsidRPr="007D1775">
        <w:rPr>
          <w:rFonts w:cs="Arial"/>
          <w:u w:val="single"/>
          <w:lang w:val="en-US"/>
        </w:rPr>
        <w:t>Effect on bleeding</w:t>
      </w:r>
    </w:p>
    <w:p w:rsidR="006A3A1F" w:rsidRPr="007D1775" w:rsidRDefault="006A3A1F" w:rsidP="006A3A1F">
      <w:pPr>
        <w:outlineLvl w:val="0"/>
        <w:rPr>
          <w:rFonts w:cs="Arial"/>
          <w:lang w:val="en-US"/>
        </w:rPr>
      </w:pPr>
      <w:r w:rsidRPr="007D1775">
        <w:rPr>
          <w:rFonts w:cs="Arial"/>
          <w:i/>
          <w:lang w:val="en-US"/>
        </w:rPr>
        <w:t>In vitro</w:t>
      </w:r>
      <w:r w:rsidRPr="007D1775">
        <w:rPr>
          <w:rFonts w:cs="Arial"/>
          <w:lang w:val="en-US"/>
        </w:rPr>
        <w:t xml:space="preserve"> studies with human platelets indicate that PDE5 inhibitors </w:t>
      </w:r>
      <w:r w:rsidR="00AC27C7" w:rsidRPr="007D1775">
        <w:rPr>
          <w:rFonts w:cs="Arial"/>
          <w:lang w:val="en-US"/>
        </w:rPr>
        <w:t xml:space="preserve">including </w:t>
      </w:r>
      <w:proofErr w:type="spellStart"/>
      <w:r w:rsidR="00AC27C7" w:rsidRPr="007D1775">
        <w:rPr>
          <w:rFonts w:cs="Arial"/>
          <w:lang w:val="en-US"/>
        </w:rPr>
        <w:t>avanafil</w:t>
      </w:r>
      <w:proofErr w:type="spellEnd"/>
      <w:r w:rsidR="00AC27C7" w:rsidRPr="007D1775">
        <w:rPr>
          <w:rFonts w:cs="Arial"/>
          <w:lang w:val="en-US"/>
        </w:rPr>
        <w:t xml:space="preserve"> </w:t>
      </w:r>
      <w:r w:rsidRPr="007D1775">
        <w:rPr>
          <w:rFonts w:cs="Arial"/>
          <w:lang w:val="en-US"/>
        </w:rPr>
        <w:t xml:space="preserve">do not have an effect on platelet aggregation on their own, but at </w:t>
      </w:r>
      <w:proofErr w:type="spellStart"/>
      <w:r w:rsidRPr="007D1775">
        <w:rPr>
          <w:rFonts w:cs="Arial"/>
          <w:lang w:val="en-US"/>
        </w:rPr>
        <w:t>supratherapeutic</w:t>
      </w:r>
      <w:proofErr w:type="spellEnd"/>
      <w:r w:rsidRPr="007D1775">
        <w:rPr>
          <w:rFonts w:cs="Arial"/>
          <w:lang w:val="en-US"/>
        </w:rPr>
        <w:t xml:space="preserve"> doses they potentiate the anti-</w:t>
      </w:r>
      <w:proofErr w:type="spellStart"/>
      <w:r w:rsidRPr="007D1775">
        <w:rPr>
          <w:rFonts w:cs="Arial"/>
          <w:lang w:val="en-US"/>
        </w:rPr>
        <w:t>aggregatory</w:t>
      </w:r>
      <w:proofErr w:type="spellEnd"/>
      <w:r w:rsidRPr="007D1775">
        <w:rPr>
          <w:rFonts w:cs="Arial"/>
          <w:lang w:val="en-US"/>
        </w:rPr>
        <w:t xml:space="preserve"> effect of the nitric oxide donor sodium nitroprusside. In humans, PDE5 inhibitors do not appear to affect bleeding time alone or in combination with acetylsalicylic acid.</w:t>
      </w:r>
    </w:p>
    <w:p w:rsidR="00AE62AF" w:rsidRDefault="006A3A1F" w:rsidP="00AE62AF">
      <w:pPr>
        <w:outlineLvl w:val="0"/>
        <w:rPr>
          <w:rFonts w:cs="Arial"/>
          <w:lang w:val="en-US"/>
        </w:rPr>
      </w:pPr>
      <w:r w:rsidRPr="007D1775">
        <w:rPr>
          <w:rFonts w:cs="Arial"/>
          <w:lang w:val="en-US"/>
        </w:rPr>
        <w:t xml:space="preserve">There is no safety information on the administration of </w:t>
      </w:r>
      <w:r w:rsidR="00F3116E" w:rsidRPr="007D1775">
        <w:rPr>
          <w:rFonts w:cs="Arial"/>
          <w:lang w:val="en-US"/>
        </w:rPr>
        <w:t>SPEDRA</w:t>
      </w:r>
      <w:r w:rsidRPr="007D1775">
        <w:rPr>
          <w:rFonts w:cs="Arial"/>
          <w:lang w:val="en-US"/>
        </w:rPr>
        <w:t xml:space="preserve"> to patients with bleeding disorders or active peptic ulceration. Therefore, </w:t>
      </w:r>
      <w:r w:rsidR="00F3116E" w:rsidRPr="007D1775">
        <w:rPr>
          <w:rFonts w:cs="Arial"/>
          <w:lang w:val="en-US"/>
        </w:rPr>
        <w:t>SPEDRA</w:t>
      </w:r>
      <w:r w:rsidRPr="007D1775">
        <w:rPr>
          <w:rFonts w:cs="Arial"/>
          <w:lang w:val="en-US"/>
        </w:rPr>
        <w:t xml:space="preserve"> should be administered to such patients only after careful benefit-risk assessment.</w:t>
      </w:r>
    </w:p>
    <w:p w:rsidR="00AE62AF" w:rsidRDefault="00F92EF9" w:rsidP="00AE62AF">
      <w:pPr>
        <w:spacing w:before="120" w:after="120"/>
        <w:outlineLvl w:val="0"/>
        <w:rPr>
          <w:rFonts w:cs="Arial"/>
          <w:u w:val="single"/>
          <w:lang w:val="en-US"/>
        </w:rPr>
      </w:pPr>
      <w:r w:rsidRPr="007D1775">
        <w:rPr>
          <w:rFonts w:cs="Arial"/>
          <w:u w:val="single"/>
          <w:lang w:val="en-US"/>
        </w:rPr>
        <w:t>Concomitant use of CYP3A4 inhibitors</w:t>
      </w:r>
    </w:p>
    <w:p w:rsidR="00A46867" w:rsidRPr="007D1775" w:rsidRDefault="00F3116E" w:rsidP="00F92EF9">
      <w:pPr>
        <w:outlineLvl w:val="0"/>
        <w:rPr>
          <w:rFonts w:cs="Arial"/>
          <w:lang w:val="en-US"/>
        </w:rPr>
      </w:pPr>
      <w:r w:rsidRPr="007D1775">
        <w:rPr>
          <w:rFonts w:cs="Arial"/>
          <w:lang w:val="en-US"/>
        </w:rPr>
        <w:t>SPEDRA</w:t>
      </w:r>
      <w:r w:rsidR="0045078F" w:rsidRPr="007D1775">
        <w:rPr>
          <w:rFonts w:cs="Arial"/>
          <w:lang w:val="en-US"/>
        </w:rPr>
        <w:t xml:space="preserve"> metabolism is principally mediated by the CYP450 isoform 3A4 (CYP3A4). Inhibitors of CYP3A4 may reduce </w:t>
      </w:r>
      <w:r w:rsidRPr="007D1775">
        <w:rPr>
          <w:rFonts w:cs="Arial"/>
          <w:lang w:val="en-US"/>
        </w:rPr>
        <w:t>SPEDRA</w:t>
      </w:r>
      <w:r w:rsidR="002755E4" w:rsidRPr="007D1775">
        <w:rPr>
          <w:rFonts w:cs="Arial"/>
          <w:lang w:val="en-US"/>
        </w:rPr>
        <w:t xml:space="preserve"> </w:t>
      </w:r>
      <w:r w:rsidR="0045078F" w:rsidRPr="007D1775">
        <w:rPr>
          <w:rFonts w:cs="Arial"/>
          <w:lang w:val="en-US"/>
        </w:rPr>
        <w:t xml:space="preserve">clearance and increase plasma concentrations of </w:t>
      </w:r>
      <w:r w:rsidRPr="007D1775">
        <w:rPr>
          <w:rFonts w:cs="Arial"/>
          <w:lang w:val="en-US"/>
        </w:rPr>
        <w:t>SPEDRA</w:t>
      </w:r>
      <w:r w:rsidR="0045078F" w:rsidRPr="007D1775">
        <w:rPr>
          <w:rFonts w:cs="Arial"/>
          <w:lang w:val="en-US"/>
        </w:rPr>
        <w:t xml:space="preserve">. For patients taking concomitant strong CYP3A4 inhibitors (including ketoconazole, ritonavir, </w:t>
      </w:r>
      <w:proofErr w:type="spellStart"/>
      <w:r w:rsidR="0045078F" w:rsidRPr="007D1775">
        <w:rPr>
          <w:rFonts w:cs="Arial"/>
          <w:lang w:val="en-US"/>
        </w:rPr>
        <w:t>atazanavir</w:t>
      </w:r>
      <w:proofErr w:type="spellEnd"/>
      <w:r w:rsidR="0045078F" w:rsidRPr="007D1775">
        <w:rPr>
          <w:rFonts w:cs="Arial"/>
          <w:lang w:val="en-US"/>
        </w:rPr>
        <w:t xml:space="preserve">, clarithromycin, </w:t>
      </w:r>
      <w:proofErr w:type="spellStart"/>
      <w:r w:rsidR="0045078F" w:rsidRPr="007D1775">
        <w:rPr>
          <w:rFonts w:cs="Arial"/>
          <w:lang w:val="en-US"/>
        </w:rPr>
        <w:t>indinavir</w:t>
      </w:r>
      <w:proofErr w:type="spellEnd"/>
      <w:r w:rsidR="0045078F" w:rsidRPr="007D1775">
        <w:rPr>
          <w:rFonts w:cs="Arial"/>
          <w:lang w:val="en-US"/>
        </w:rPr>
        <w:t xml:space="preserve">, </w:t>
      </w:r>
      <w:proofErr w:type="spellStart"/>
      <w:r w:rsidR="0045078F" w:rsidRPr="007D1775">
        <w:rPr>
          <w:rFonts w:cs="Arial"/>
          <w:lang w:val="en-US"/>
        </w:rPr>
        <w:t>itraconazole</w:t>
      </w:r>
      <w:proofErr w:type="spellEnd"/>
      <w:r w:rsidR="0045078F" w:rsidRPr="007D1775">
        <w:rPr>
          <w:rFonts w:cs="Arial"/>
          <w:lang w:val="en-US"/>
        </w:rPr>
        <w:t>,</w:t>
      </w:r>
      <w:r w:rsidR="002F0BA7" w:rsidRPr="007D1775">
        <w:rPr>
          <w:rFonts w:cs="Arial"/>
          <w:lang w:val="en-US"/>
        </w:rPr>
        <w:t xml:space="preserve"> </w:t>
      </w:r>
      <w:proofErr w:type="spellStart"/>
      <w:r w:rsidR="002F0BA7" w:rsidRPr="007D1775">
        <w:rPr>
          <w:rFonts w:cs="Arial"/>
          <w:lang w:val="en-US"/>
        </w:rPr>
        <w:t>voriconazole</w:t>
      </w:r>
      <w:proofErr w:type="spellEnd"/>
      <w:r w:rsidR="002F0BA7" w:rsidRPr="007D1775">
        <w:rPr>
          <w:rFonts w:cs="Arial"/>
          <w:lang w:val="en-US"/>
        </w:rPr>
        <w:t>,</w:t>
      </w:r>
      <w:r w:rsidR="0045078F" w:rsidRPr="007D1775">
        <w:rPr>
          <w:rFonts w:cs="Arial"/>
          <w:lang w:val="en-US"/>
        </w:rPr>
        <w:t xml:space="preserve"> </w:t>
      </w:r>
      <w:proofErr w:type="spellStart"/>
      <w:r w:rsidR="0045078F" w:rsidRPr="007D1775">
        <w:rPr>
          <w:rFonts w:cs="Arial"/>
          <w:lang w:val="en-US"/>
        </w:rPr>
        <w:t>nefazodone</w:t>
      </w:r>
      <w:proofErr w:type="spellEnd"/>
      <w:r w:rsidR="0045078F" w:rsidRPr="007D1775">
        <w:rPr>
          <w:rFonts w:cs="Arial"/>
          <w:lang w:val="en-US"/>
        </w:rPr>
        <w:t xml:space="preserve">, nelfinavir, </w:t>
      </w:r>
      <w:proofErr w:type="spellStart"/>
      <w:r w:rsidR="0045078F" w:rsidRPr="007D1775">
        <w:rPr>
          <w:rFonts w:cs="Arial"/>
          <w:lang w:val="en-US"/>
        </w:rPr>
        <w:t>saquinavir</w:t>
      </w:r>
      <w:proofErr w:type="spellEnd"/>
      <w:r w:rsidR="0045078F" w:rsidRPr="007D1775">
        <w:rPr>
          <w:rFonts w:cs="Arial"/>
          <w:lang w:val="en-US"/>
        </w:rPr>
        <w:t xml:space="preserve"> and </w:t>
      </w:r>
      <w:proofErr w:type="spellStart"/>
      <w:r w:rsidR="0045078F" w:rsidRPr="007D1775">
        <w:rPr>
          <w:rFonts w:cs="Arial"/>
          <w:lang w:val="en-US"/>
        </w:rPr>
        <w:t>telithromycin</w:t>
      </w:r>
      <w:proofErr w:type="spellEnd"/>
      <w:r w:rsidR="0045078F" w:rsidRPr="007D1775">
        <w:rPr>
          <w:rFonts w:cs="Arial"/>
          <w:lang w:val="en-US"/>
        </w:rPr>
        <w:t xml:space="preserve">), </w:t>
      </w:r>
      <w:r w:rsidRPr="007D1775">
        <w:rPr>
          <w:rFonts w:cs="Arial"/>
          <w:lang w:val="en-US"/>
        </w:rPr>
        <w:t>SPEDRA</w:t>
      </w:r>
      <w:r w:rsidR="00C737D7" w:rsidRPr="007D1775">
        <w:rPr>
          <w:rFonts w:cs="Arial"/>
          <w:lang w:val="en-US"/>
        </w:rPr>
        <w:t xml:space="preserve"> is </w:t>
      </w:r>
      <w:r w:rsidR="0050122E" w:rsidRPr="007D1775">
        <w:rPr>
          <w:rFonts w:cs="Arial"/>
          <w:lang w:val="en-US"/>
        </w:rPr>
        <w:t>contraindicated</w:t>
      </w:r>
      <w:r w:rsidR="002755E4" w:rsidRPr="007D1775">
        <w:rPr>
          <w:rFonts w:cs="Arial"/>
          <w:lang w:val="en-US"/>
        </w:rPr>
        <w:t xml:space="preserve"> (</w:t>
      </w:r>
      <w:r w:rsidR="00EB6ED9" w:rsidRPr="007D1775">
        <w:rPr>
          <w:rFonts w:cs="Arial"/>
          <w:szCs w:val="22"/>
        </w:rPr>
        <w:t xml:space="preserve">see </w:t>
      </w:r>
      <w:r w:rsidR="002620C7" w:rsidRPr="007D1775">
        <w:rPr>
          <w:rFonts w:cs="Arial"/>
          <w:lang w:val="en-US"/>
        </w:rPr>
        <w:t>CONTRAINDICATIONS</w:t>
      </w:r>
      <w:r w:rsidR="002755E4" w:rsidRPr="007D1775">
        <w:rPr>
          <w:rFonts w:cs="Arial"/>
          <w:lang w:val="en-US"/>
        </w:rPr>
        <w:t>).</w:t>
      </w:r>
      <w:r w:rsidR="0045078F" w:rsidRPr="007D1775">
        <w:rPr>
          <w:rFonts w:cs="Arial"/>
          <w:lang w:val="en-US"/>
        </w:rPr>
        <w:t xml:space="preserve"> </w:t>
      </w:r>
    </w:p>
    <w:p w:rsidR="00F82D1D" w:rsidRPr="007D1775" w:rsidRDefault="0045078F" w:rsidP="00F82D1D">
      <w:pPr>
        <w:outlineLvl w:val="0"/>
        <w:rPr>
          <w:rFonts w:cs="Arial"/>
          <w:lang w:val="en-US"/>
        </w:rPr>
      </w:pPr>
      <w:r w:rsidRPr="007D1775">
        <w:rPr>
          <w:rFonts w:cs="Arial"/>
          <w:lang w:val="en-US"/>
        </w:rPr>
        <w:t xml:space="preserve">For patients taking concomitant moderate CYP3A4 inhibitors (including erythromycin, </w:t>
      </w:r>
      <w:proofErr w:type="spellStart"/>
      <w:r w:rsidRPr="007D1775">
        <w:rPr>
          <w:rFonts w:cs="Arial"/>
          <w:lang w:val="en-US"/>
        </w:rPr>
        <w:t>amprenavir</w:t>
      </w:r>
      <w:proofErr w:type="spellEnd"/>
      <w:r w:rsidRPr="007D1775">
        <w:rPr>
          <w:rFonts w:cs="Arial"/>
          <w:lang w:val="en-US"/>
        </w:rPr>
        <w:t xml:space="preserve">, </w:t>
      </w:r>
      <w:proofErr w:type="spellStart"/>
      <w:r w:rsidRPr="007D1775">
        <w:rPr>
          <w:rFonts w:cs="Arial"/>
          <w:lang w:val="en-US"/>
        </w:rPr>
        <w:t>aprepitant</w:t>
      </w:r>
      <w:proofErr w:type="spellEnd"/>
      <w:r w:rsidRPr="007D1775">
        <w:rPr>
          <w:rFonts w:cs="Arial"/>
          <w:lang w:val="en-US"/>
        </w:rPr>
        <w:t xml:space="preserve">, diltiazem, fluconazole, </w:t>
      </w:r>
      <w:proofErr w:type="spellStart"/>
      <w:r w:rsidRPr="007D1775">
        <w:rPr>
          <w:rFonts w:cs="Arial"/>
          <w:lang w:val="en-US"/>
        </w:rPr>
        <w:t>fosamprenavir</w:t>
      </w:r>
      <w:proofErr w:type="spellEnd"/>
      <w:r w:rsidRPr="007D1775">
        <w:rPr>
          <w:rFonts w:cs="Arial"/>
          <w:lang w:val="en-US"/>
        </w:rPr>
        <w:t xml:space="preserve">, and verapamil), the maximum recommended dose of </w:t>
      </w:r>
      <w:r w:rsidR="00F3116E" w:rsidRPr="007D1775">
        <w:rPr>
          <w:rFonts w:cs="Arial"/>
          <w:lang w:val="en-US"/>
        </w:rPr>
        <w:t>SPEDRA</w:t>
      </w:r>
      <w:r w:rsidR="002755E4" w:rsidRPr="007D1775">
        <w:rPr>
          <w:rFonts w:cs="Arial"/>
          <w:lang w:val="en-US"/>
        </w:rPr>
        <w:t xml:space="preserve"> </w:t>
      </w:r>
      <w:r w:rsidRPr="007D1775">
        <w:rPr>
          <w:rFonts w:cs="Arial"/>
          <w:lang w:val="en-US"/>
        </w:rPr>
        <w:t xml:space="preserve">is </w:t>
      </w:r>
      <w:r w:rsidR="00D87D3A" w:rsidRPr="007D1775">
        <w:rPr>
          <w:rFonts w:cs="Arial"/>
          <w:lang w:val="en-US"/>
        </w:rPr>
        <w:t>10</w:t>
      </w:r>
      <w:r w:rsidRPr="007D1775">
        <w:rPr>
          <w:rFonts w:cs="Arial"/>
          <w:lang w:val="en-US"/>
        </w:rPr>
        <w:t xml:space="preserve">0 mg, </w:t>
      </w:r>
      <w:r w:rsidR="002755E4" w:rsidRPr="007D1775">
        <w:rPr>
          <w:rFonts w:cs="Arial"/>
          <w:lang w:val="en-US"/>
        </w:rPr>
        <w:t xml:space="preserve">and </w:t>
      </w:r>
      <w:r w:rsidRPr="007D1775">
        <w:rPr>
          <w:rFonts w:cs="Arial"/>
          <w:lang w:val="en-US"/>
        </w:rPr>
        <w:t xml:space="preserve">not to exceed once every </w:t>
      </w:r>
      <w:r w:rsidR="00D87D3A" w:rsidRPr="007D1775">
        <w:rPr>
          <w:rFonts w:cs="Arial"/>
          <w:lang w:val="en-US"/>
        </w:rPr>
        <w:t xml:space="preserve">48 </w:t>
      </w:r>
      <w:r w:rsidRPr="007D1775">
        <w:rPr>
          <w:rFonts w:cs="Arial"/>
          <w:lang w:val="en-US"/>
        </w:rPr>
        <w:t xml:space="preserve">hours </w:t>
      </w:r>
      <w:r w:rsidR="002755E4" w:rsidRPr="007D1775">
        <w:rPr>
          <w:rFonts w:cs="Arial"/>
          <w:lang w:val="en-US"/>
        </w:rPr>
        <w:t>(</w:t>
      </w:r>
      <w:r w:rsidR="00EB6ED9" w:rsidRPr="007D1775">
        <w:rPr>
          <w:rFonts w:cs="Arial"/>
          <w:szCs w:val="22"/>
        </w:rPr>
        <w:t xml:space="preserve">see </w:t>
      </w:r>
      <w:r w:rsidR="0065414D" w:rsidRPr="007D1775">
        <w:rPr>
          <w:rFonts w:cs="Arial"/>
          <w:szCs w:val="22"/>
        </w:rPr>
        <w:t>INTERACTIONS WITH OTHER MEDICINES</w:t>
      </w:r>
      <w:r w:rsidR="00EB6ED9" w:rsidRPr="007D1775">
        <w:rPr>
          <w:rFonts w:cs="Arial"/>
          <w:szCs w:val="22"/>
        </w:rPr>
        <w:t xml:space="preserve">). </w:t>
      </w:r>
    </w:p>
    <w:p w:rsidR="005C5C4D" w:rsidRPr="007D1775" w:rsidRDefault="008B2178" w:rsidP="00D859E7">
      <w:pPr>
        <w:outlineLvl w:val="0"/>
        <w:rPr>
          <w:rFonts w:cs="Arial"/>
          <w:lang w:val="en-US"/>
        </w:rPr>
      </w:pPr>
      <w:r w:rsidRPr="007D1775">
        <w:rPr>
          <w:rFonts w:cs="Arial"/>
          <w:lang w:val="en-US"/>
        </w:rPr>
        <w:t xml:space="preserve">Although specific interactions have not been studied, other CYP3A4 inhibitors, including grapefruit juice are likely to increase </w:t>
      </w:r>
      <w:r w:rsidR="00FB0148" w:rsidRPr="007D1775">
        <w:rPr>
          <w:rFonts w:cs="Arial"/>
          <w:lang w:val="en-US"/>
        </w:rPr>
        <w:t>SPEDRA</w:t>
      </w:r>
      <w:r w:rsidRPr="007D1775">
        <w:rPr>
          <w:rFonts w:cs="Arial"/>
          <w:lang w:val="en-US"/>
        </w:rPr>
        <w:t xml:space="preserve"> exposure.</w:t>
      </w:r>
    </w:p>
    <w:p w:rsidR="00AE62AF" w:rsidRPr="00AE62AF" w:rsidRDefault="00AE62AF" w:rsidP="00AE62AF">
      <w:pPr>
        <w:spacing w:before="120" w:after="120"/>
        <w:outlineLvl w:val="0"/>
        <w:rPr>
          <w:rFonts w:cs="Arial"/>
          <w:u w:val="single"/>
          <w:lang w:val="en-US"/>
        </w:rPr>
      </w:pPr>
      <w:r w:rsidRPr="00AE62AF">
        <w:rPr>
          <w:rFonts w:cs="Arial"/>
          <w:u w:val="single"/>
          <w:lang w:val="en-US"/>
        </w:rPr>
        <w:t xml:space="preserve">Illicit drugs </w:t>
      </w:r>
    </w:p>
    <w:p w:rsidR="005C5C4D" w:rsidRPr="007D1775" w:rsidRDefault="005C5C4D" w:rsidP="00F82D1D">
      <w:pPr>
        <w:outlineLvl w:val="0"/>
        <w:rPr>
          <w:rFonts w:cs="Arial"/>
          <w:u w:val="single"/>
          <w:lang w:val="en-US"/>
        </w:rPr>
      </w:pPr>
      <w:r w:rsidRPr="007D1775">
        <w:rPr>
          <w:rFonts w:cs="Arial"/>
          <w:lang w:val="en-US"/>
        </w:rPr>
        <w:t xml:space="preserve">The use of </w:t>
      </w:r>
      <w:proofErr w:type="spellStart"/>
      <w:r w:rsidRPr="007D1775">
        <w:rPr>
          <w:rFonts w:cs="Arial"/>
          <w:lang w:val="en-US"/>
        </w:rPr>
        <w:t>avanafil</w:t>
      </w:r>
      <w:proofErr w:type="spellEnd"/>
      <w:r w:rsidRPr="007D1775">
        <w:rPr>
          <w:rFonts w:cs="Arial"/>
          <w:lang w:val="en-US"/>
        </w:rPr>
        <w:t xml:space="preserve"> with illicit drugs has not been studied. </w:t>
      </w:r>
    </w:p>
    <w:p w:rsidR="00AE62AF" w:rsidRDefault="00BC7808" w:rsidP="00AE62AF">
      <w:pPr>
        <w:spacing w:before="120" w:after="120"/>
        <w:outlineLvl w:val="0"/>
        <w:rPr>
          <w:rFonts w:cs="Arial"/>
          <w:u w:val="single"/>
          <w:lang w:val="en-US"/>
        </w:rPr>
      </w:pPr>
      <w:r w:rsidRPr="007D1775">
        <w:rPr>
          <w:rFonts w:cs="Arial"/>
          <w:u w:val="single"/>
          <w:lang w:val="en-US"/>
        </w:rPr>
        <w:t>Renal Impairment</w:t>
      </w:r>
    </w:p>
    <w:p w:rsidR="00880848" w:rsidRPr="007D1775" w:rsidRDefault="003447A8" w:rsidP="00F82D1D">
      <w:pPr>
        <w:outlineLvl w:val="0"/>
        <w:rPr>
          <w:rFonts w:cs="Arial"/>
          <w:lang w:val="en-US"/>
        </w:rPr>
      </w:pPr>
      <w:r w:rsidRPr="007D1775">
        <w:rPr>
          <w:rFonts w:cs="Arial"/>
          <w:lang w:val="en-US"/>
        </w:rPr>
        <w:t xml:space="preserve">No dose adjustment is necessary for patients with mild to moderate renal impairment (creatinine clearance </w:t>
      </w:r>
      <w:r w:rsidR="00EB031E" w:rsidRPr="007D1775">
        <w:rPr>
          <w:rFonts w:cs="Arial"/>
          <w:lang w:val="en-US"/>
        </w:rPr>
        <w:t xml:space="preserve">≥ </w:t>
      </w:r>
      <w:r w:rsidRPr="007D1775">
        <w:rPr>
          <w:rFonts w:cs="Arial"/>
          <w:lang w:val="en-US"/>
        </w:rPr>
        <w:t xml:space="preserve">30 to </w:t>
      </w:r>
      <w:r w:rsidR="00D52A21" w:rsidRPr="007D1775">
        <w:rPr>
          <w:rFonts w:cs="Arial"/>
          <w:lang w:val="en-US"/>
        </w:rPr>
        <w:t>&lt;</w:t>
      </w:r>
      <w:r w:rsidRPr="007D1775">
        <w:rPr>
          <w:rFonts w:cs="Arial"/>
          <w:lang w:val="en-US"/>
        </w:rPr>
        <w:t xml:space="preserve"> </w:t>
      </w:r>
      <w:r w:rsidR="003B1C2F" w:rsidRPr="007D1775">
        <w:rPr>
          <w:rFonts w:cs="Arial"/>
          <w:lang w:val="en-US"/>
        </w:rPr>
        <w:t xml:space="preserve">80 </w:t>
      </w:r>
      <w:r w:rsidRPr="007D1775">
        <w:rPr>
          <w:rFonts w:cs="Arial"/>
          <w:lang w:val="en-US"/>
        </w:rPr>
        <w:t>mL/min</w:t>
      </w:r>
      <w:r w:rsidR="00A0504F" w:rsidRPr="007D1775">
        <w:rPr>
          <w:rFonts w:cs="Arial"/>
          <w:lang w:val="en-US"/>
        </w:rPr>
        <w:t>) -</w:t>
      </w:r>
      <w:r w:rsidRPr="007D1775">
        <w:rPr>
          <w:rFonts w:cs="Arial"/>
          <w:lang w:val="en-US"/>
        </w:rPr>
        <w:t xml:space="preserve"> CKD stage 2-3.  </w:t>
      </w:r>
      <w:r w:rsidR="003630F7" w:rsidRPr="007D1775">
        <w:rPr>
          <w:rFonts w:cs="Arial"/>
          <w:lang w:val="en-US"/>
        </w:rPr>
        <w:t xml:space="preserve">However patients </w:t>
      </w:r>
      <w:r w:rsidR="003C6F86" w:rsidRPr="007D1775">
        <w:rPr>
          <w:rFonts w:cs="Arial"/>
          <w:lang w:val="en-US"/>
        </w:rPr>
        <w:t xml:space="preserve">in this group </w:t>
      </w:r>
      <w:r w:rsidR="003630F7" w:rsidRPr="007D1775">
        <w:rPr>
          <w:rFonts w:cs="Arial"/>
          <w:lang w:val="en-US"/>
        </w:rPr>
        <w:t xml:space="preserve">enrolled in phase 3 studies </w:t>
      </w:r>
      <w:r w:rsidR="003C6F86" w:rsidRPr="007D1775">
        <w:rPr>
          <w:rFonts w:cs="Arial"/>
          <w:lang w:val="en-US"/>
        </w:rPr>
        <w:t xml:space="preserve">showed decreased efficacy compared to those with normal renal function. </w:t>
      </w:r>
      <w:r w:rsidR="00F417C5" w:rsidRPr="007D459F">
        <w:rPr>
          <w:rFonts w:cs="Arial"/>
          <w:lang w:val="en-US"/>
        </w:rPr>
        <w:t xml:space="preserve">The pharmacokinetics of SPEDRA in </w:t>
      </w:r>
      <w:r w:rsidR="00F417C5" w:rsidRPr="00E750EF">
        <w:rPr>
          <w:rFonts w:cs="Arial"/>
          <w:lang w:val="en-US"/>
        </w:rPr>
        <w:t xml:space="preserve">patients with severe renal disease or </w:t>
      </w:r>
      <w:r w:rsidR="00617739" w:rsidRPr="00E750EF">
        <w:rPr>
          <w:rFonts w:cs="Arial"/>
          <w:lang w:val="en-US"/>
        </w:rPr>
        <w:t xml:space="preserve">end stage renal failure </w:t>
      </w:r>
      <w:r w:rsidR="00030139" w:rsidRPr="00E750EF">
        <w:rPr>
          <w:rFonts w:cs="Arial"/>
          <w:lang w:val="en-US"/>
        </w:rPr>
        <w:t xml:space="preserve">(CKD stage 5) </w:t>
      </w:r>
      <w:r w:rsidR="00F417C5" w:rsidRPr="00E750EF">
        <w:rPr>
          <w:rFonts w:cs="Arial"/>
          <w:lang w:val="en-US"/>
        </w:rPr>
        <w:t xml:space="preserve">has not been </w:t>
      </w:r>
      <w:proofErr w:type="spellStart"/>
      <w:r w:rsidR="00F417C5" w:rsidRPr="00E750EF">
        <w:rPr>
          <w:rFonts w:cs="Arial"/>
          <w:lang w:val="en-US"/>
        </w:rPr>
        <w:t>studied.Hence</w:t>
      </w:r>
      <w:proofErr w:type="spellEnd"/>
      <w:r w:rsidR="0023536C">
        <w:rPr>
          <w:rFonts w:cs="Arial"/>
          <w:lang w:val="en-US"/>
        </w:rPr>
        <w:t>,</w:t>
      </w:r>
      <w:r w:rsidR="00F417C5" w:rsidRPr="00E750EF">
        <w:rPr>
          <w:rFonts w:cs="Arial"/>
          <w:lang w:val="en-US"/>
        </w:rPr>
        <w:t xml:space="preserve"> SPEDRA is contraindicated in patients with severe renal impairment (creatinine clearance &lt; 30 mL/min</w:t>
      </w:r>
      <w:r w:rsidR="0023536C">
        <w:rPr>
          <w:rFonts w:cs="Arial"/>
          <w:lang w:val="en-US"/>
        </w:rPr>
        <w:t>,</w:t>
      </w:r>
      <w:r w:rsidR="00F417C5" w:rsidRPr="00E750EF">
        <w:rPr>
          <w:rFonts w:cs="Arial"/>
          <w:lang w:val="en-US"/>
        </w:rPr>
        <w:t xml:space="preserve"> CKD stage 4</w:t>
      </w:r>
      <w:r w:rsidR="0023536C">
        <w:rPr>
          <w:rFonts w:cs="Arial"/>
          <w:lang w:val="en-US"/>
        </w:rPr>
        <w:t>)</w:t>
      </w:r>
      <w:r w:rsidR="00EF5FD7" w:rsidRPr="00E750EF">
        <w:rPr>
          <w:rFonts w:cs="Arial"/>
          <w:lang w:val="en-US"/>
        </w:rPr>
        <w:t xml:space="preserve"> </w:t>
      </w:r>
      <w:r w:rsidR="00617739" w:rsidRPr="00E750EF">
        <w:rPr>
          <w:rFonts w:cs="Arial"/>
          <w:lang w:val="en-US"/>
        </w:rPr>
        <w:t>and end stage renal failure</w:t>
      </w:r>
      <w:r w:rsidR="00030139" w:rsidRPr="00E750EF">
        <w:rPr>
          <w:rFonts w:cs="Arial"/>
          <w:lang w:val="en-US"/>
        </w:rPr>
        <w:t xml:space="preserve"> (CKD Stage 5) </w:t>
      </w:r>
      <w:r w:rsidR="00A54448" w:rsidRPr="00E750EF">
        <w:rPr>
          <w:rFonts w:cs="Arial"/>
          <w:lang w:val="en-US"/>
        </w:rPr>
        <w:t>(</w:t>
      </w:r>
      <w:r w:rsidR="00F417C5" w:rsidRPr="00E750EF">
        <w:rPr>
          <w:rFonts w:cs="Arial"/>
          <w:lang w:val="en-US"/>
        </w:rPr>
        <w:t xml:space="preserve">See CONTRAINDICATIONS and </w:t>
      </w:r>
      <w:r w:rsidR="00F417C5" w:rsidRPr="00E750EF">
        <w:rPr>
          <w:rFonts w:cs="Arial"/>
          <w:lang w:val="en-GB"/>
        </w:rPr>
        <w:t>PHARMACOKINETICS</w:t>
      </w:r>
      <w:r w:rsidR="00A54448" w:rsidRPr="00E750EF">
        <w:rPr>
          <w:rFonts w:cs="Arial"/>
          <w:lang w:val="en-GB"/>
        </w:rPr>
        <w:t>)</w:t>
      </w:r>
      <w:r w:rsidR="00F417C5" w:rsidRPr="00E750EF">
        <w:rPr>
          <w:rFonts w:cs="Arial"/>
          <w:lang w:val="en-US"/>
        </w:rPr>
        <w:t>.</w:t>
      </w:r>
      <w:r w:rsidR="00012ED4" w:rsidRPr="007D1775">
        <w:rPr>
          <w:rFonts w:cs="Arial"/>
          <w:lang w:val="en-US"/>
        </w:rPr>
        <w:t xml:space="preserve"> </w:t>
      </w:r>
    </w:p>
    <w:p w:rsidR="00AE62AF" w:rsidRDefault="00BC7808" w:rsidP="00AE62AF">
      <w:pPr>
        <w:spacing w:before="120" w:after="120"/>
        <w:outlineLvl w:val="0"/>
        <w:rPr>
          <w:rFonts w:cs="Arial"/>
          <w:u w:val="single"/>
          <w:lang w:val="en-US"/>
        </w:rPr>
      </w:pPr>
      <w:r w:rsidRPr="007D1775">
        <w:rPr>
          <w:rFonts w:cs="Arial"/>
          <w:u w:val="single"/>
          <w:lang w:val="en-US"/>
        </w:rPr>
        <w:t xml:space="preserve">Hepatic Impairment </w:t>
      </w:r>
    </w:p>
    <w:p w:rsidR="005F5DA0" w:rsidRPr="007D1775" w:rsidRDefault="005F5DA0" w:rsidP="0028125B">
      <w:pPr>
        <w:rPr>
          <w:rFonts w:cs="Arial"/>
        </w:rPr>
      </w:pPr>
      <w:r w:rsidRPr="007D1775">
        <w:rPr>
          <w:rFonts w:cs="Arial"/>
        </w:rPr>
        <w:t xml:space="preserve">Patients with mild to moderate hepatic impairment (Child-Pugh class A or B) should initiate treatment with the minimum efficacious dose and adjust </w:t>
      </w:r>
      <w:r w:rsidR="0014592C" w:rsidRPr="007D1775">
        <w:rPr>
          <w:rFonts w:cs="Arial"/>
        </w:rPr>
        <w:t xml:space="preserve">dosage </w:t>
      </w:r>
      <w:r w:rsidRPr="007D1775">
        <w:rPr>
          <w:rFonts w:cs="Arial"/>
        </w:rPr>
        <w:t>based on tolerance.</w:t>
      </w:r>
    </w:p>
    <w:p w:rsidR="00A46867" w:rsidRPr="007D1775" w:rsidRDefault="00E11C32" w:rsidP="003B7620">
      <w:pPr>
        <w:outlineLvl w:val="0"/>
        <w:rPr>
          <w:rFonts w:cs="Arial"/>
          <w:u w:val="single"/>
          <w:lang w:val="en-US"/>
        </w:rPr>
      </w:pPr>
      <w:r w:rsidRPr="007D1775">
        <w:rPr>
          <w:rFonts w:cs="Arial"/>
        </w:rPr>
        <w:t xml:space="preserve">The pharmacokinetics of </w:t>
      </w:r>
      <w:r w:rsidR="00F3116E" w:rsidRPr="007D1775">
        <w:rPr>
          <w:rFonts w:cs="Arial"/>
          <w:lang w:val="en-US"/>
        </w:rPr>
        <w:t>SPEDRA</w:t>
      </w:r>
      <w:r w:rsidRPr="007D1775">
        <w:rPr>
          <w:rFonts w:cs="Arial"/>
          <w:lang w:val="en-US"/>
        </w:rPr>
        <w:t xml:space="preserve"> </w:t>
      </w:r>
      <w:r w:rsidRPr="007D1775">
        <w:rPr>
          <w:rFonts w:cs="Arial"/>
        </w:rPr>
        <w:t xml:space="preserve">in patients with severe hepatic disease </w:t>
      </w:r>
      <w:r w:rsidR="005F5DA0" w:rsidRPr="007D1775">
        <w:rPr>
          <w:rFonts w:cs="Arial"/>
        </w:rPr>
        <w:t xml:space="preserve">(Child Pugh class C) </w:t>
      </w:r>
      <w:r w:rsidRPr="007D1775">
        <w:rPr>
          <w:rFonts w:cs="Arial"/>
        </w:rPr>
        <w:t xml:space="preserve">has not been studied; do not use SPEDRA in such patients (see </w:t>
      </w:r>
      <w:r w:rsidR="002620C7" w:rsidRPr="007D1775">
        <w:rPr>
          <w:rFonts w:cs="Arial"/>
          <w:lang w:val="en-US"/>
        </w:rPr>
        <w:t>CONTRAINDICATIONS and</w:t>
      </w:r>
      <w:r w:rsidR="00F64373" w:rsidRPr="007D1775">
        <w:rPr>
          <w:rFonts w:cs="Arial"/>
          <w:lang w:val="en-US"/>
        </w:rPr>
        <w:t xml:space="preserve"> </w:t>
      </w:r>
      <w:r w:rsidR="002620C7" w:rsidRPr="007D1775">
        <w:rPr>
          <w:rFonts w:cs="Arial"/>
          <w:lang w:val="en-GB"/>
        </w:rPr>
        <w:t>PHARMACOKINETICS</w:t>
      </w:r>
      <w:r w:rsidRPr="007D1775">
        <w:rPr>
          <w:rFonts w:cs="Arial"/>
        </w:rPr>
        <w:t>).</w:t>
      </w:r>
    </w:p>
    <w:p w:rsidR="00AE62AF" w:rsidRDefault="003B7620" w:rsidP="00AE62AF">
      <w:pPr>
        <w:spacing w:before="120" w:after="120"/>
        <w:outlineLvl w:val="0"/>
        <w:rPr>
          <w:rFonts w:cs="Arial"/>
          <w:lang w:val="en-US"/>
        </w:rPr>
      </w:pPr>
      <w:r w:rsidRPr="007D1775">
        <w:rPr>
          <w:rFonts w:cs="Arial"/>
          <w:u w:val="single"/>
          <w:lang w:val="en-US"/>
        </w:rPr>
        <w:t>Concomitant use of alcohol</w:t>
      </w:r>
    </w:p>
    <w:p w:rsidR="00E0159A" w:rsidRPr="007D1775" w:rsidRDefault="003B7620" w:rsidP="00E0159A">
      <w:pPr>
        <w:outlineLvl w:val="0"/>
        <w:rPr>
          <w:rFonts w:cs="Arial"/>
        </w:rPr>
      </w:pPr>
      <w:r w:rsidRPr="007D1775">
        <w:rPr>
          <w:rFonts w:cs="Arial"/>
          <w:lang w:val="en-US"/>
        </w:rPr>
        <w:t xml:space="preserve">Consumption of alcohol in combination with </w:t>
      </w:r>
      <w:r w:rsidR="001F4013" w:rsidRPr="007D1775">
        <w:rPr>
          <w:rFonts w:cs="Arial"/>
          <w:lang w:val="en-US"/>
        </w:rPr>
        <w:t xml:space="preserve">SPEDRA </w:t>
      </w:r>
      <w:r w:rsidRPr="007D1775">
        <w:rPr>
          <w:rFonts w:cs="Arial"/>
          <w:lang w:val="en-US"/>
        </w:rPr>
        <w:t>can increase the potential for symptomatic hypotension (</w:t>
      </w:r>
      <w:r w:rsidR="0014592C" w:rsidRPr="007D1775">
        <w:rPr>
          <w:rFonts w:cs="Arial"/>
          <w:lang w:val="en-US"/>
        </w:rPr>
        <w:t>see PHARMACODYNAMICS and INTERACTIONS WITH OTHER MEDICINES</w:t>
      </w:r>
      <w:r w:rsidRPr="007D1775">
        <w:rPr>
          <w:rFonts w:cs="Arial"/>
          <w:lang w:val="en-US"/>
        </w:rPr>
        <w:t xml:space="preserve">). </w:t>
      </w:r>
      <w:r w:rsidRPr="007D1775">
        <w:rPr>
          <w:rFonts w:cs="Arial"/>
          <w:lang w:val="en-US"/>
        </w:rPr>
        <w:lastRenderedPageBreak/>
        <w:t xml:space="preserve">Patients should be advised that </w:t>
      </w:r>
      <w:r w:rsidR="001F4013" w:rsidRPr="007D1775">
        <w:rPr>
          <w:rFonts w:cs="Arial"/>
          <w:lang w:val="en-US"/>
        </w:rPr>
        <w:t>substantial consumption of alcohol in combination with SPEDRA</w:t>
      </w:r>
      <w:r w:rsidRPr="007D1775">
        <w:rPr>
          <w:rFonts w:cs="Arial"/>
          <w:lang w:val="en-US"/>
        </w:rPr>
        <w:t xml:space="preserve"> may increase the likelihood of hypotension, dizziness, or syncope. Physicians should also advise patients on what to do in the event of postural hypotensive symptoms.</w:t>
      </w:r>
    </w:p>
    <w:p w:rsidR="009042DD" w:rsidRDefault="00DD5639">
      <w:pPr>
        <w:spacing w:after="0"/>
        <w:jc w:val="left"/>
        <w:rPr>
          <w:rFonts w:cs="Arial"/>
          <w:u w:val="single"/>
          <w:lang w:val="en-US"/>
        </w:rPr>
      </w:pPr>
      <w:r w:rsidRPr="007D1775">
        <w:rPr>
          <w:rFonts w:cs="Arial"/>
          <w:u w:val="single"/>
          <w:lang w:val="en-US"/>
        </w:rPr>
        <w:t>Neurological disorders</w:t>
      </w:r>
    </w:p>
    <w:p w:rsidR="00325A59" w:rsidRPr="007D1775" w:rsidRDefault="002E30BC">
      <w:pPr>
        <w:spacing w:after="0"/>
        <w:jc w:val="left"/>
        <w:rPr>
          <w:rFonts w:cs="Arial"/>
          <w:u w:val="single"/>
          <w:lang w:val="en-US"/>
        </w:rPr>
      </w:pPr>
      <w:r w:rsidRPr="002E30BC">
        <w:rPr>
          <w:rFonts w:cs="Arial"/>
          <w:lang w:val="en-US"/>
        </w:rPr>
        <w:t>SPEDRA has not been evaluated in patients with erectile dysfunction due to spinal cord injury or other neurological disorders.</w:t>
      </w:r>
    </w:p>
    <w:p w:rsidR="00AE62AF" w:rsidRDefault="00AE62AF" w:rsidP="00AE62AF">
      <w:pPr>
        <w:spacing w:before="120" w:after="120"/>
        <w:outlineLvl w:val="0"/>
        <w:rPr>
          <w:rFonts w:cs="Arial"/>
        </w:rPr>
      </w:pPr>
      <w:r w:rsidRPr="00AE62AF">
        <w:rPr>
          <w:rFonts w:cs="Arial"/>
          <w:u w:val="single"/>
        </w:rPr>
        <w:t>Effects on Fertility</w:t>
      </w:r>
    </w:p>
    <w:p w:rsidR="008F28D7" w:rsidRPr="007D1775" w:rsidRDefault="006A3582" w:rsidP="00B3164F">
      <w:pPr>
        <w:outlineLvl w:val="0"/>
        <w:rPr>
          <w:rFonts w:cs="Arial"/>
        </w:rPr>
      </w:pPr>
      <w:r w:rsidRPr="007D1775">
        <w:rPr>
          <w:rFonts w:cs="Arial"/>
        </w:rPr>
        <w:t xml:space="preserve">There was no effect on sperm motility or morphology after single 200 mg oral doses of </w:t>
      </w:r>
      <w:r w:rsidR="00F3116E" w:rsidRPr="007D1775">
        <w:rPr>
          <w:rFonts w:cs="Arial"/>
          <w:lang w:val="en-US"/>
        </w:rPr>
        <w:t>SPEDRA</w:t>
      </w:r>
      <w:r w:rsidRPr="007D1775">
        <w:rPr>
          <w:rFonts w:cs="Arial"/>
        </w:rPr>
        <w:t xml:space="preserve"> in healthy volunteers.</w:t>
      </w:r>
      <w:r w:rsidR="0014592C" w:rsidRPr="007D1775">
        <w:rPr>
          <w:rFonts w:cs="Arial"/>
        </w:rPr>
        <w:t xml:space="preserve"> </w:t>
      </w:r>
      <w:r w:rsidR="00BA1327" w:rsidRPr="007D1775">
        <w:rPr>
          <w:rFonts w:cs="Arial"/>
          <w:lang w:val="en-US"/>
        </w:rPr>
        <w:t xml:space="preserve">Currently, no data on spermatogenesis on healthy adult males </w:t>
      </w:r>
      <w:r w:rsidR="002105F8">
        <w:rPr>
          <w:rFonts w:cs="Arial"/>
          <w:lang w:val="en-US"/>
        </w:rPr>
        <w:t>or</w:t>
      </w:r>
      <w:r w:rsidR="002105F8" w:rsidRPr="007D1775">
        <w:rPr>
          <w:rFonts w:cs="Arial"/>
          <w:lang w:val="en-US"/>
        </w:rPr>
        <w:t xml:space="preserve"> </w:t>
      </w:r>
      <w:r w:rsidR="00BA1327" w:rsidRPr="007D1775">
        <w:rPr>
          <w:rFonts w:cs="Arial"/>
          <w:lang w:val="en-US"/>
        </w:rPr>
        <w:t>adult males with mild ED are available.</w:t>
      </w:r>
    </w:p>
    <w:p w:rsidR="00AE62AF" w:rsidRDefault="008F28D7" w:rsidP="00AE62AF">
      <w:pPr>
        <w:numPr>
          <w:ilvl w:val="12"/>
          <w:numId w:val="0"/>
        </w:numPr>
        <w:rPr>
          <w:rFonts w:cs="Arial"/>
        </w:rPr>
      </w:pPr>
      <w:r w:rsidRPr="007D1775">
        <w:rPr>
          <w:rFonts w:cs="Arial"/>
          <w:lang w:val="en-US"/>
        </w:rPr>
        <w:t xml:space="preserve">There were no effects on fertility or sperm parameters in </w:t>
      </w:r>
      <w:r w:rsidR="00FF378D" w:rsidRPr="007D1775">
        <w:rPr>
          <w:rFonts w:cs="Arial"/>
          <w:lang w:val="en-US"/>
        </w:rPr>
        <w:t xml:space="preserve">male rats </w:t>
      </w:r>
      <w:r w:rsidRPr="007D1775">
        <w:rPr>
          <w:rFonts w:cs="Arial"/>
          <w:lang w:val="en-US"/>
        </w:rPr>
        <w:t xml:space="preserve">at doses of </w:t>
      </w:r>
      <w:r w:rsidR="00F3116E" w:rsidRPr="007D1775">
        <w:rPr>
          <w:rFonts w:cs="Arial"/>
          <w:lang w:val="en-US"/>
        </w:rPr>
        <w:t>SPEDRA</w:t>
      </w:r>
      <w:r w:rsidRPr="007D1775">
        <w:rPr>
          <w:rFonts w:cs="Arial"/>
          <w:lang w:val="en-US"/>
        </w:rPr>
        <w:t xml:space="preserve"> up to 300 mg/kg/day (in male rats</w:t>
      </w:r>
      <w:r w:rsidR="00B80DC6">
        <w:rPr>
          <w:rFonts w:cs="Arial"/>
          <w:lang w:val="en-US"/>
        </w:rPr>
        <w:t xml:space="preserve"> </w:t>
      </w:r>
      <w:r w:rsidR="00D7444D" w:rsidRPr="007D1775">
        <w:rPr>
          <w:rFonts w:cs="Arial"/>
          <w:lang w:val="en-US"/>
        </w:rPr>
        <w:t xml:space="preserve">17 </w:t>
      </w:r>
      <w:r w:rsidRPr="007D1775">
        <w:rPr>
          <w:rFonts w:cs="Arial"/>
          <w:lang w:val="en-US"/>
        </w:rPr>
        <w:t xml:space="preserve">times human exposure based on unbound AUC at a dose of 200 mg). </w:t>
      </w:r>
      <w:r w:rsidR="00BE7D49" w:rsidRPr="007D1775">
        <w:rPr>
          <w:rFonts w:cs="Arial"/>
          <w:lang w:val="en-US"/>
        </w:rPr>
        <w:t xml:space="preserve">There was a </w:t>
      </w:r>
      <w:r w:rsidRPr="007D1775">
        <w:rPr>
          <w:rFonts w:cs="Arial"/>
          <w:lang w:val="en-US"/>
        </w:rPr>
        <w:t xml:space="preserve">decrease in fertility and sperm motility, altered estrous cycles, and an increased percentage of abnormal sperm at </w:t>
      </w:r>
      <w:r w:rsidR="00BE7D49" w:rsidRPr="007D1775">
        <w:rPr>
          <w:rFonts w:cs="Arial"/>
          <w:lang w:val="en-US"/>
        </w:rPr>
        <w:t xml:space="preserve">doses of </w:t>
      </w:r>
      <w:r w:rsidRPr="007D1775">
        <w:rPr>
          <w:rFonts w:cs="Arial"/>
          <w:lang w:val="en-US"/>
        </w:rPr>
        <w:t>1000 mg/kg/day, a dose which also caused parental toxicity in the treated males and females.</w:t>
      </w:r>
      <w:r w:rsidR="0014592C" w:rsidRPr="007D1775">
        <w:rPr>
          <w:rFonts w:cs="Arial"/>
          <w:lang w:val="en-US"/>
        </w:rPr>
        <w:t xml:space="preserve"> </w:t>
      </w:r>
      <w:r w:rsidRPr="007D1775">
        <w:rPr>
          <w:rFonts w:cs="Arial"/>
          <w:lang w:val="en-US"/>
        </w:rPr>
        <w:t xml:space="preserve">There were no </w:t>
      </w:r>
      <w:r w:rsidR="0069676A" w:rsidRPr="007D1775">
        <w:rPr>
          <w:rFonts w:cs="Arial"/>
          <w:lang w:val="en-US"/>
        </w:rPr>
        <w:t xml:space="preserve">clinically relevant </w:t>
      </w:r>
      <w:r w:rsidRPr="007D1775">
        <w:rPr>
          <w:rFonts w:cs="Arial"/>
          <w:lang w:val="en-US"/>
        </w:rPr>
        <w:t xml:space="preserve">treatment-related testicular findings in mice or rats treated with doses up to 600 or 1000 mg/kg/day for 2 years, and no testicular findings in dogs treated with </w:t>
      </w:r>
      <w:r w:rsidR="00F3116E" w:rsidRPr="007D1775">
        <w:rPr>
          <w:rFonts w:cs="Arial"/>
          <w:lang w:val="en-US"/>
        </w:rPr>
        <w:t>SPEDRA</w:t>
      </w:r>
      <w:r w:rsidRPr="007D1775">
        <w:rPr>
          <w:rFonts w:cs="Arial"/>
          <w:lang w:val="en-US"/>
        </w:rPr>
        <w:t xml:space="preserve"> for 9 months at exposures </w:t>
      </w:r>
      <w:r w:rsidR="0069676A" w:rsidRPr="007D1775">
        <w:rPr>
          <w:rFonts w:cs="Arial"/>
          <w:lang w:val="en-US"/>
        </w:rPr>
        <w:t xml:space="preserve">127 </w:t>
      </w:r>
      <w:r w:rsidRPr="007D1775">
        <w:rPr>
          <w:rFonts w:cs="Arial"/>
          <w:lang w:val="en-US"/>
        </w:rPr>
        <w:t>times human exposure at the Maximum Recommended Human Dose (MRHD).</w:t>
      </w:r>
    </w:p>
    <w:p w:rsidR="00B541CE" w:rsidRPr="007D1775" w:rsidRDefault="00B541CE" w:rsidP="00596ADA">
      <w:pPr>
        <w:pStyle w:val="Heading2"/>
        <w:rPr>
          <w:rFonts w:cs="Arial"/>
        </w:rPr>
      </w:pPr>
      <w:r w:rsidRPr="007D1775">
        <w:rPr>
          <w:rFonts w:cs="Arial"/>
        </w:rPr>
        <w:t>Use in Pregnancy</w:t>
      </w:r>
    </w:p>
    <w:p w:rsidR="00F67CCB" w:rsidRPr="007D1775" w:rsidRDefault="00F67CCB" w:rsidP="00B3164F">
      <w:pPr>
        <w:outlineLvl w:val="0"/>
        <w:rPr>
          <w:rFonts w:cs="Arial"/>
          <w:lang w:val="en-US"/>
        </w:rPr>
      </w:pPr>
      <w:r w:rsidRPr="007D1775">
        <w:rPr>
          <w:rFonts w:cs="Arial"/>
          <w:lang w:val="en-US"/>
        </w:rPr>
        <w:t>Pregnancy Category B</w:t>
      </w:r>
      <w:r w:rsidR="00D7444D" w:rsidRPr="007D1775">
        <w:rPr>
          <w:rFonts w:cs="Arial"/>
          <w:lang w:val="en-US"/>
        </w:rPr>
        <w:t>3</w:t>
      </w:r>
    </w:p>
    <w:p w:rsidR="00AE62AF" w:rsidRDefault="00F3116E" w:rsidP="00AE62AF">
      <w:pPr>
        <w:outlineLvl w:val="0"/>
        <w:rPr>
          <w:rFonts w:cs="Arial"/>
        </w:rPr>
      </w:pPr>
      <w:r w:rsidRPr="007D1775">
        <w:rPr>
          <w:rFonts w:cs="Arial"/>
          <w:lang w:val="en-US"/>
        </w:rPr>
        <w:t>SPEDRA</w:t>
      </w:r>
      <w:r w:rsidR="00B3164F" w:rsidRPr="007D1775">
        <w:rPr>
          <w:rFonts w:cs="Arial"/>
          <w:lang w:val="en-US"/>
        </w:rPr>
        <w:t xml:space="preserve"> is not indicated for use </w:t>
      </w:r>
      <w:r w:rsidR="00F67CCB" w:rsidRPr="007D1775">
        <w:rPr>
          <w:rFonts w:cs="Arial"/>
          <w:lang w:val="en-US"/>
        </w:rPr>
        <w:t>by</w:t>
      </w:r>
      <w:r w:rsidR="00B3164F" w:rsidRPr="007D1775">
        <w:rPr>
          <w:rFonts w:cs="Arial"/>
          <w:lang w:val="en-US"/>
        </w:rPr>
        <w:t xml:space="preserve"> women.</w:t>
      </w:r>
      <w:r w:rsidR="00322280" w:rsidRPr="007D1775">
        <w:rPr>
          <w:rFonts w:cs="Arial"/>
          <w:lang w:val="en-US"/>
        </w:rPr>
        <w:t xml:space="preserve"> </w:t>
      </w:r>
      <w:r w:rsidR="00B3164F" w:rsidRPr="007D1775">
        <w:rPr>
          <w:rFonts w:cs="Arial"/>
          <w:lang w:val="en-US"/>
        </w:rPr>
        <w:t xml:space="preserve">There are no data from the use of </w:t>
      </w:r>
      <w:r w:rsidRPr="007D1775">
        <w:rPr>
          <w:rFonts w:cs="Arial"/>
          <w:lang w:val="en-US"/>
        </w:rPr>
        <w:t>SPEDRA</w:t>
      </w:r>
      <w:r w:rsidR="00B3164F" w:rsidRPr="007D1775">
        <w:rPr>
          <w:rFonts w:cs="Arial"/>
          <w:lang w:val="en-US"/>
        </w:rPr>
        <w:t xml:space="preserve"> in pregnant women. </w:t>
      </w:r>
      <w:r w:rsidR="0069676A" w:rsidRPr="007D1775">
        <w:rPr>
          <w:rFonts w:cs="Arial"/>
          <w:lang w:val="en-US"/>
        </w:rPr>
        <w:t xml:space="preserve">Rat </w:t>
      </w:r>
      <w:r w:rsidR="006A3582" w:rsidRPr="007D1775">
        <w:rPr>
          <w:rFonts w:cs="Arial"/>
          <w:lang w:val="en-US"/>
        </w:rPr>
        <w:t>studies do not indicate direct harmful effects with respect to pregnancy, embryo/</w:t>
      </w:r>
      <w:proofErr w:type="spellStart"/>
      <w:r w:rsidR="006A3582" w:rsidRPr="007D1775">
        <w:rPr>
          <w:rFonts w:cs="Arial"/>
          <w:lang w:val="en-US"/>
        </w:rPr>
        <w:t>foetal</w:t>
      </w:r>
      <w:proofErr w:type="spellEnd"/>
      <w:r w:rsidR="006A3582" w:rsidRPr="007D1775">
        <w:rPr>
          <w:rFonts w:cs="Arial"/>
          <w:lang w:val="en-US"/>
        </w:rPr>
        <w:t xml:space="preserve"> development, parturition, or postnatal development</w:t>
      </w:r>
      <w:r w:rsidR="0069676A" w:rsidRPr="007D1775">
        <w:rPr>
          <w:rFonts w:cs="Arial"/>
          <w:lang w:val="en-US"/>
        </w:rPr>
        <w:t xml:space="preserve"> </w:t>
      </w:r>
      <w:r w:rsidR="0069676A" w:rsidRPr="007D1775">
        <w:rPr>
          <w:rFonts w:cs="Arial"/>
          <w:szCs w:val="22"/>
          <w:lang w:val="en-US"/>
        </w:rPr>
        <w:t xml:space="preserve">at doses </w:t>
      </w:r>
      <w:r w:rsidR="00EA6E9B" w:rsidRPr="007D1775">
        <w:rPr>
          <w:rFonts w:cs="Arial"/>
          <w:color w:val="000000"/>
          <w:szCs w:val="22"/>
        </w:rPr>
        <w:t xml:space="preserve">up to 300 mg/kg/day in rats (relative exposure at least 138 </w:t>
      </w:r>
      <w:r w:rsidR="0078780F" w:rsidRPr="007D1775">
        <w:rPr>
          <w:rFonts w:cs="Arial"/>
          <w:color w:val="000000"/>
          <w:szCs w:val="22"/>
        </w:rPr>
        <w:t xml:space="preserve">times </w:t>
      </w:r>
      <w:r w:rsidR="00EA6E9B" w:rsidRPr="007D1775">
        <w:rPr>
          <w:rFonts w:cs="Arial"/>
          <w:color w:val="000000"/>
          <w:szCs w:val="22"/>
        </w:rPr>
        <w:t xml:space="preserve">based on unbound AUC). Foetal and pup weight was reduced in rats that received at least 600 mg/kg/day during organogenesis, and remained decreased after weaning (relative exposure at least 435 </w:t>
      </w:r>
      <w:r w:rsidR="0078780F" w:rsidRPr="007D1775">
        <w:rPr>
          <w:rFonts w:cs="Arial"/>
          <w:color w:val="000000"/>
          <w:szCs w:val="22"/>
        </w:rPr>
        <w:t xml:space="preserve">times </w:t>
      </w:r>
      <w:r w:rsidR="00EA6E9B" w:rsidRPr="007D1775">
        <w:rPr>
          <w:rFonts w:cs="Arial"/>
          <w:color w:val="000000"/>
          <w:szCs w:val="22"/>
        </w:rPr>
        <w:t xml:space="preserve">based on unbound AUC). Similarly, </w:t>
      </w:r>
      <w:proofErr w:type="spellStart"/>
      <w:r w:rsidR="00EA6E9B" w:rsidRPr="007D1775">
        <w:rPr>
          <w:rFonts w:cs="Arial"/>
          <w:color w:val="000000"/>
          <w:szCs w:val="22"/>
        </w:rPr>
        <w:t>maternotoxic</w:t>
      </w:r>
      <w:proofErr w:type="spellEnd"/>
      <w:r w:rsidR="00EA6E9B" w:rsidRPr="007D1775">
        <w:rPr>
          <w:rFonts w:cs="Arial"/>
          <w:color w:val="000000"/>
          <w:szCs w:val="22"/>
        </w:rPr>
        <w:t xml:space="preserve"> doses of </w:t>
      </w:r>
      <w:proofErr w:type="spellStart"/>
      <w:r w:rsidR="00EA6E9B" w:rsidRPr="007D1775">
        <w:rPr>
          <w:rFonts w:cs="Arial"/>
          <w:color w:val="000000"/>
          <w:szCs w:val="22"/>
        </w:rPr>
        <w:t>avanafil</w:t>
      </w:r>
      <w:proofErr w:type="spellEnd"/>
      <w:r w:rsidR="00EA6E9B" w:rsidRPr="007D1775">
        <w:rPr>
          <w:rFonts w:cs="Arial"/>
          <w:color w:val="000000"/>
          <w:szCs w:val="22"/>
        </w:rPr>
        <w:t xml:space="preserve"> in pregnant rabbits (240 mg/kg/day during organogenesis; relative exposure 44 </w:t>
      </w:r>
      <w:r w:rsidR="0078780F" w:rsidRPr="007D1775">
        <w:rPr>
          <w:rFonts w:cs="Arial"/>
          <w:color w:val="000000"/>
          <w:szCs w:val="22"/>
        </w:rPr>
        <w:t xml:space="preserve">times </w:t>
      </w:r>
      <w:r w:rsidR="00EA6E9B" w:rsidRPr="007D1775">
        <w:rPr>
          <w:rFonts w:cs="Arial"/>
          <w:color w:val="000000"/>
          <w:szCs w:val="22"/>
        </w:rPr>
        <w:t xml:space="preserve">based on unbound AUC) elicited an increase in late resorptions. Furthermore, there was an increased incidence of visceral variations (extra subclavian artery) in the offspring of rabbits that received at least 60 mg/kg/day </w:t>
      </w:r>
      <w:proofErr w:type="spellStart"/>
      <w:r w:rsidR="00EA6E9B" w:rsidRPr="007D1775">
        <w:rPr>
          <w:rFonts w:cs="Arial"/>
          <w:color w:val="000000"/>
          <w:szCs w:val="22"/>
        </w:rPr>
        <w:t>avanafil</w:t>
      </w:r>
      <w:proofErr w:type="spellEnd"/>
      <w:r w:rsidR="00EA6E9B" w:rsidRPr="007D1775">
        <w:rPr>
          <w:rFonts w:cs="Arial"/>
          <w:color w:val="000000"/>
          <w:szCs w:val="22"/>
        </w:rPr>
        <w:t xml:space="preserve"> (relative exposure approximately 7 </w:t>
      </w:r>
      <w:r w:rsidR="0078780F" w:rsidRPr="007D1775">
        <w:rPr>
          <w:rFonts w:cs="Arial"/>
          <w:color w:val="000000"/>
          <w:szCs w:val="22"/>
        </w:rPr>
        <w:t xml:space="preserve">times </w:t>
      </w:r>
      <w:r w:rsidR="00EA6E9B" w:rsidRPr="007D1775">
        <w:rPr>
          <w:rFonts w:cs="Arial"/>
          <w:color w:val="000000"/>
          <w:szCs w:val="22"/>
        </w:rPr>
        <w:t>based on mg/m</w:t>
      </w:r>
      <w:r w:rsidR="00EA6E9B" w:rsidRPr="007D1775">
        <w:rPr>
          <w:rFonts w:cs="Arial"/>
          <w:color w:val="000000"/>
          <w:szCs w:val="22"/>
          <w:vertAlign w:val="superscript"/>
        </w:rPr>
        <w:t>2</w:t>
      </w:r>
      <w:r w:rsidR="00EA6E9B" w:rsidRPr="007D1775">
        <w:rPr>
          <w:rFonts w:cs="Arial"/>
          <w:color w:val="000000"/>
          <w:szCs w:val="22"/>
        </w:rPr>
        <w:t>).</w:t>
      </w:r>
    </w:p>
    <w:p w:rsidR="00B541CE" w:rsidRPr="007D1775" w:rsidRDefault="00B541CE" w:rsidP="00596ADA">
      <w:pPr>
        <w:pStyle w:val="Heading2"/>
        <w:rPr>
          <w:rFonts w:cs="Arial"/>
        </w:rPr>
      </w:pPr>
      <w:r w:rsidRPr="007D1775">
        <w:rPr>
          <w:rFonts w:cs="Arial"/>
        </w:rPr>
        <w:t>Use in Lactation</w:t>
      </w:r>
    </w:p>
    <w:p w:rsidR="00AE62AF" w:rsidRDefault="00F3116E" w:rsidP="00AE62AF">
      <w:pPr>
        <w:outlineLvl w:val="0"/>
        <w:rPr>
          <w:rFonts w:cs="Arial"/>
        </w:rPr>
      </w:pPr>
      <w:r w:rsidRPr="007D1775">
        <w:rPr>
          <w:rFonts w:cs="Arial"/>
          <w:lang w:val="en-US"/>
        </w:rPr>
        <w:t>SPEDRA</w:t>
      </w:r>
      <w:r w:rsidR="007222C4" w:rsidRPr="007D1775">
        <w:rPr>
          <w:rFonts w:cs="Arial"/>
          <w:lang w:val="en-US"/>
        </w:rPr>
        <w:t xml:space="preserve"> is not indicated for use in women. </w:t>
      </w:r>
      <w:r w:rsidR="00B3164F" w:rsidRPr="007D1775">
        <w:rPr>
          <w:rFonts w:cs="Arial"/>
          <w:lang w:val="en-US"/>
        </w:rPr>
        <w:t xml:space="preserve">There are no data on the use of </w:t>
      </w:r>
      <w:r w:rsidRPr="007D1775">
        <w:rPr>
          <w:rFonts w:cs="Arial"/>
        </w:rPr>
        <w:t>SPEDRA</w:t>
      </w:r>
      <w:r w:rsidR="00385B55" w:rsidRPr="007D1775">
        <w:rPr>
          <w:rFonts w:cs="Arial"/>
        </w:rPr>
        <w:t xml:space="preserve"> </w:t>
      </w:r>
      <w:r w:rsidR="00B3164F" w:rsidRPr="007D1775">
        <w:rPr>
          <w:rFonts w:cs="Arial"/>
          <w:lang w:val="en-US"/>
        </w:rPr>
        <w:t>during breastfeeding.</w:t>
      </w:r>
    </w:p>
    <w:p w:rsidR="00B541CE" w:rsidRPr="007D1775" w:rsidRDefault="00B541CE" w:rsidP="00596ADA">
      <w:pPr>
        <w:pStyle w:val="Heading2"/>
        <w:rPr>
          <w:rFonts w:cs="Arial"/>
        </w:rPr>
      </w:pPr>
      <w:r w:rsidRPr="007D1775">
        <w:rPr>
          <w:rFonts w:cs="Arial"/>
        </w:rPr>
        <w:t>Paediatric Use</w:t>
      </w:r>
    </w:p>
    <w:p w:rsidR="00F97613" w:rsidRPr="007D1775" w:rsidRDefault="00385B55" w:rsidP="00385B55">
      <w:pPr>
        <w:rPr>
          <w:rFonts w:cs="Arial"/>
        </w:rPr>
      </w:pPr>
      <w:r w:rsidRPr="007D1775">
        <w:rPr>
          <w:rFonts w:cs="Arial"/>
        </w:rPr>
        <w:t>No data available</w:t>
      </w:r>
      <w:r w:rsidR="00D647BD" w:rsidRPr="007D1775">
        <w:rPr>
          <w:rFonts w:cs="Arial"/>
        </w:rPr>
        <w:t>.</w:t>
      </w:r>
    </w:p>
    <w:p w:rsidR="00B541CE" w:rsidRPr="007D1775" w:rsidRDefault="00B541CE" w:rsidP="00596ADA">
      <w:pPr>
        <w:pStyle w:val="Heading2"/>
        <w:rPr>
          <w:rFonts w:cs="Arial"/>
        </w:rPr>
      </w:pPr>
      <w:r w:rsidRPr="007D1775">
        <w:rPr>
          <w:rFonts w:cs="Arial"/>
        </w:rPr>
        <w:t>Use in the Elderly</w:t>
      </w:r>
    </w:p>
    <w:p w:rsidR="00AE62AF" w:rsidRDefault="00385B55" w:rsidP="00AE62AF">
      <w:pPr>
        <w:rPr>
          <w:rFonts w:cs="Arial"/>
        </w:rPr>
      </w:pPr>
      <w:r w:rsidRPr="007D1775">
        <w:rPr>
          <w:rFonts w:cs="Arial"/>
          <w:lang w:val="en-US"/>
        </w:rPr>
        <w:t xml:space="preserve">Of the total number of subjects in clinical studies of </w:t>
      </w:r>
      <w:r w:rsidR="00F3116E" w:rsidRPr="007D1775">
        <w:rPr>
          <w:rFonts w:cs="Arial"/>
          <w:lang w:val="en-US"/>
        </w:rPr>
        <w:t>SPEDRA</w:t>
      </w:r>
      <w:r w:rsidR="00F97613" w:rsidRPr="007D1775">
        <w:rPr>
          <w:rFonts w:cs="Arial"/>
          <w:lang w:val="en-US"/>
        </w:rPr>
        <w:t>, approximately 23% were 65 and over. No overall differences in safety and efficacy were observed between subjects over 65 years of ag</w:t>
      </w:r>
      <w:r w:rsidR="00322280" w:rsidRPr="007D1775">
        <w:rPr>
          <w:rFonts w:cs="Arial"/>
          <w:lang w:val="en-US"/>
        </w:rPr>
        <w:t xml:space="preserve">e compared to younger subjects. </w:t>
      </w:r>
      <w:r w:rsidR="00AA35CB" w:rsidRPr="007D1775">
        <w:rPr>
          <w:rFonts w:cs="Arial"/>
          <w:lang w:val="en-US"/>
        </w:rPr>
        <w:t>Data on patients older than 70 years is limited</w:t>
      </w:r>
      <w:r w:rsidR="00AF038F">
        <w:rPr>
          <w:rFonts w:cs="Arial"/>
          <w:lang w:val="en-US"/>
        </w:rPr>
        <w:t xml:space="preserve"> as there were few patients in this age group included in the trials</w:t>
      </w:r>
      <w:r w:rsidR="00AA35CB" w:rsidRPr="007D1775">
        <w:rPr>
          <w:rFonts w:cs="Arial"/>
          <w:lang w:val="en-US"/>
        </w:rPr>
        <w:t xml:space="preserve">. </w:t>
      </w:r>
      <w:r w:rsidR="00CC5ED0" w:rsidRPr="007D1775">
        <w:rPr>
          <w:rFonts w:cs="Arial"/>
          <w:lang w:val="en-US"/>
        </w:rPr>
        <w:t>D</w:t>
      </w:r>
      <w:proofErr w:type="spellStart"/>
      <w:r w:rsidR="00CC5ED0" w:rsidRPr="007D1775">
        <w:rPr>
          <w:rFonts w:cs="Arial"/>
          <w:szCs w:val="22"/>
          <w:lang w:eastAsia="en-AU"/>
        </w:rPr>
        <w:t>ose</w:t>
      </w:r>
      <w:proofErr w:type="spellEnd"/>
      <w:r w:rsidR="00CC5ED0" w:rsidRPr="007D1775">
        <w:rPr>
          <w:rFonts w:cs="Arial"/>
          <w:szCs w:val="22"/>
          <w:lang w:eastAsia="en-AU"/>
        </w:rPr>
        <w:t xml:space="preserve"> adjustment is not warranted based on age alone</w:t>
      </w:r>
      <w:r w:rsidR="00AA35CB" w:rsidRPr="007D1775">
        <w:rPr>
          <w:rFonts w:cs="Arial"/>
          <w:szCs w:val="22"/>
          <w:lang w:eastAsia="en-AU"/>
        </w:rPr>
        <w:t>, however a greater sensitivity to medication should be considered in some older individuals</w:t>
      </w:r>
      <w:r w:rsidR="00B80DC6">
        <w:rPr>
          <w:rFonts w:cs="Arial"/>
          <w:szCs w:val="22"/>
          <w:lang w:eastAsia="en-AU"/>
        </w:rPr>
        <w:t>.</w:t>
      </w:r>
    </w:p>
    <w:p w:rsidR="00767D7A" w:rsidRPr="007D1775" w:rsidRDefault="00B541CE">
      <w:pPr>
        <w:pStyle w:val="Heading2"/>
        <w:rPr>
          <w:rFonts w:cs="Arial"/>
        </w:rPr>
      </w:pPr>
      <w:r w:rsidRPr="007D1775">
        <w:rPr>
          <w:rFonts w:cs="Arial"/>
        </w:rPr>
        <w:t>Genotoxicity</w:t>
      </w:r>
    </w:p>
    <w:p w:rsidR="00AE62AF" w:rsidRDefault="00F3116E" w:rsidP="00AE62AF">
      <w:pPr>
        <w:rPr>
          <w:rFonts w:cs="Arial"/>
        </w:rPr>
      </w:pPr>
      <w:r w:rsidRPr="007D1775">
        <w:rPr>
          <w:rFonts w:cs="Arial"/>
          <w:lang w:val="en-US"/>
        </w:rPr>
        <w:t>SPEDRA</w:t>
      </w:r>
      <w:r w:rsidR="00987F92" w:rsidRPr="007D1775">
        <w:rPr>
          <w:rFonts w:cs="Arial"/>
        </w:rPr>
        <w:t xml:space="preserve"> was not mutagenic in </w:t>
      </w:r>
      <w:r w:rsidR="00DC1996" w:rsidRPr="007D1775">
        <w:rPr>
          <w:rFonts w:cs="Arial"/>
        </w:rPr>
        <w:t>bacterial revers</w:t>
      </w:r>
      <w:r w:rsidR="000E2996" w:rsidRPr="007D1775">
        <w:rPr>
          <w:rFonts w:cs="Arial"/>
        </w:rPr>
        <w:t>e</w:t>
      </w:r>
      <w:r w:rsidR="00DC1996" w:rsidRPr="007D1775">
        <w:rPr>
          <w:rFonts w:cs="Arial"/>
        </w:rPr>
        <w:t xml:space="preserve"> mutagenesis</w:t>
      </w:r>
      <w:r w:rsidR="00987F92" w:rsidRPr="007D1775">
        <w:rPr>
          <w:rFonts w:cs="Arial"/>
        </w:rPr>
        <w:t xml:space="preserve"> assays</w:t>
      </w:r>
      <w:r w:rsidR="00DC1996" w:rsidRPr="007D1775">
        <w:rPr>
          <w:rFonts w:cs="Arial"/>
        </w:rPr>
        <w:t xml:space="preserve"> and </w:t>
      </w:r>
      <w:r w:rsidR="00987F92" w:rsidRPr="007D1775">
        <w:rPr>
          <w:rFonts w:cs="Arial"/>
        </w:rPr>
        <w:t>was</w:t>
      </w:r>
      <w:r w:rsidR="000E2996" w:rsidRPr="007D1775">
        <w:rPr>
          <w:rFonts w:cs="Arial"/>
        </w:rPr>
        <w:t xml:space="preserve"> </w:t>
      </w:r>
      <w:r w:rsidR="00987F92" w:rsidRPr="007D1775">
        <w:rPr>
          <w:rFonts w:cs="Arial"/>
        </w:rPr>
        <w:t xml:space="preserve">not </w:t>
      </w:r>
      <w:proofErr w:type="spellStart"/>
      <w:r w:rsidR="00987F92" w:rsidRPr="007D1775">
        <w:rPr>
          <w:rFonts w:cs="Arial"/>
        </w:rPr>
        <w:t>clastogenic</w:t>
      </w:r>
      <w:proofErr w:type="spellEnd"/>
      <w:r w:rsidR="00987F92" w:rsidRPr="007D1775">
        <w:rPr>
          <w:rFonts w:cs="Arial"/>
        </w:rPr>
        <w:t xml:space="preserve"> in chromosome aberration assays using Chinese </w:t>
      </w:r>
      <w:r w:rsidR="002105F8">
        <w:rPr>
          <w:rFonts w:cs="Arial"/>
        </w:rPr>
        <w:t>H</w:t>
      </w:r>
      <w:r w:rsidR="00987F92" w:rsidRPr="007D1775">
        <w:rPr>
          <w:rFonts w:cs="Arial"/>
        </w:rPr>
        <w:t xml:space="preserve">amster </w:t>
      </w:r>
      <w:r w:rsidR="002105F8">
        <w:rPr>
          <w:rFonts w:cs="Arial"/>
        </w:rPr>
        <w:t>O</w:t>
      </w:r>
      <w:r w:rsidR="00987F92" w:rsidRPr="007D1775">
        <w:rPr>
          <w:rFonts w:cs="Arial"/>
        </w:rPr>
        <w:t xml:space="preserve">vary and lung cells, </w:t>
      </w:r>
      <w:r w:rsidR="00DC1996" w:rsidRPr="007D1775">
        <w:rPr>
          <w:rFonts w:cs="Arial"/>
        </w:rPr>
        <w:t>but was positive in the mouse lymphoma mutagenesis assay</w:t>
      </w:r>
      <w:r w:rsidR="009270E5" w:rsidRPr="007D1775">
        <w:rPr>
          <w:rFonts w:cs="Arial"/>
        </w:rPr>
        <w:t xml:space="preserve"> in the presence of metabolic activation</w:t>
      </w:r>
      <w:r w:rsidR="00DC1996" w:rsidRPr="007D1775">
        <w:rPr>
          <w:rFonts w:cs="Arial"/>
        </w:rPr>
        <w:t>. How</w:t>
      </w:r>
      <w:r w:rsidR="000E2996" w:rsidRPr="007D1775">
        <w:rPr>
          <w:rFonts w:cs="Arial"/>
        </w:rPr>
        <w:t>e</w:t>
      </w:r>
      <w:r w:rsidR="00DC1996" w:rsidRPr="007D1775">
        <w:rPr>
          <w:rFonts w:cs="Arial"/>
        </w:rPr>
        <w:t xml:space="preserve">ver </w:t>
      </w:r>
      <w:proofErr w:type="spellStart"/>
      <w:r w:rsidR="00DC1996" w:rsidRPr="007D1775">
        <w:rPr>
          <w:rFonts w:cs="Arial"/>
        </w:rPr>
        <w:t>avanafil</w:t>
      </w:r>
      <w:proofErr w:type="spellEnd"/>
      <w:r w:rsidR="00DC1996" w:rsidRPr="007D1775">
        <w:rPr>
          <w:rFonts w:cs="Arial"/>
        </w:rPr>
        <w:t xml:space="preserve"> was negative in the</w:t>
      </w:r>
      <w:r w:rsidR="00987F92" w:rsidRPr="007D1775">
        <w:rPr>
          <w:rFonts w:cs="Arial"/>
        </w:rPr>
        <w:t xml:space="preserve"> </w:t>
      </w:r>
      <w:r w:rsidR="00E0159A" w:rsidRPr="007D1775">
        <w:rPr>
          <w:rFonts w:cs="Arial"/>
          <w:i/>
        </w:rPr>
        <w:t>in-vivo</w:t>
      </w:r>
      <w:r w:rsidR="00987F92" w:rsidRPr="007D1775">
        <w:rPr>
          <w:rFonts w:cs="Arial"/>
        </w:rPr>
        <w:t xml:space="preserve"> mouse micronucleus assay</w:t>
      </w:r>
      <w:r w:rsidR="00DC1996" w:rsidRPr="007D1775">
        <w:rPr>
          <w:rFonts w:cs="Arial"/>
        </w:rPr>
        <w:t xml:space="preserve"> and </w:t>
      </w:r>
      <w:r w:rsidR="00987F92" w:rsidRPr="007D1775">
        <w:rPr>
          <w:rFonts w:cs="Arial"/>
        </w:rPr>
        <w:t xml:space="preserve">did not affect DNA repair when </w:t>
      </w:r>
      <w:r w:rsidR="00987F92" w:rsidRPr="007D1775">
        <w:rPr>
          <w:rFonts w:cs="Arial"/>
        </w:rPr>
        <w:lastRenderedPageBreak/>
        <w:t>tested in the rat unscheduled DNA synthesis assay.</w:t>
      </w:r>
      <w:r w:rsidR="00DC1996" w:rsidRPr="007D1775">
        <w:rPr>
          <w:rFonts w:cs="Arial"/>
        </w:rPr>
        <w:t xml:space="preserve"> The weight of evidence indicates that </w:t>
      </w:r>
      <w:proofErr w:type="spellStart"/>
      <w:r w:rsidR="00DC1996" w:rsidRPr="007D1775">
        <w:rPr>
          <w:rFonts w:cs="Arial"/>
        </w:rPr>
        <w:t>avanafil</w:t>
      </w:r>
      <w:proofErr w:type="spellEnd"/>
      <w:r w:rsidR="00DC1996" w:rsidRPr="007D1775">
        <w:rPr>
          <w:rFonts w:cs="Arial"/>
        </w:rPr>
        <w:t xml:space="preserve"> is unlikely to be genotoxic. </w:t>
      </w:r>
    </w:p>
    <w:p w:rsidR="00767D7A" w:rsidRPr="007D1775" w:rsidRDefault="0028125B">
      <w:pPr>
        <w:pStyle w:val="Heading2"/>
        <w:rPr>
          <w:rFonts w:cs="Arial"/>
        </w:rPr>
      </w:pPr>
      <w:r w:rsidRPr="007D1775">
        <w:rPr>
          <w:rFonts w:cs="Arial"/>
        </w:rPr>
        <w:t>Carcinogenicity</w:t>
      </w:r>
    </w:p>
    <w:p w:rsidR="00AE62AF" w:rsidRDefault="00F3116E" w:rsidP="00AE62AF">
      <w:pPr>
        <w:rPr>
          <w:rFonts w:cs="Arial"/>
          <w:u w:val="single"/>
          <w:lang w:val="en-US"/>
        </w:rPr>
      </w:pPr>
      <w:r w:rsidRPr="007D1775">
        <w:rPr>
          <w:rFonts w:cs="Arial"/>
          <w:lang w:val="en-US"/>
        </w:rPr>
        <w:t>SPEDRA</w:t>
      </w:r>
      <w:r w:rsidR="006931C9" w:rsidRPr="007D1775">
        <w:rPr>
          <w:rFonts w:cs="Arial"/>
        </w:rPr>
        <w:t xml:space="preserve"> was not carcinogenic to CD-1 mice when administered daily at doses of 100, 200, or 600 mg/kg/day orally by gavage for </w:t>
      </w:r>
      <w:r w:rsidR="00DC1996" w:rsidRPr="007D1775">
        <w:rPr>
          <w:rFonts w:cs="Arial"/>
        </w:rPr>
        <w:t>up to 91</w:t>
      </w:r>
      <w:r w:rsidR="006931C9" w:rsidRPr="007D1775">
        <w:rPr>
          <w:rFonts w:cs="Arial"/>
        </w:rPr>
        <w:t xml:space="preserve"> weeks (approximately 11 times the MRHD on an AUC basis) or to Sprague Dawley rats when administered daily at doses of 100, 300, or 1000 mg/kg/day orally by gavage for at least 100 weeks (approximately </w:t>
      </w:r>
      <w:r w:rsidR="008A5450" w:rsidRPr="007D1775">
        <w:rPr>
          <w:rFonts w:cs="Arial"/>
        </w:rPr>
        <w:t xml:space="preserve">142 </w:t>
      </w:r>
      <w:r w:rsidR="006931C9" w:rsidRPr="007D1775">
        <w:rPr>
          <w:rFonts w:cs="Arial"/>
        </w:rPr>
        <w:t xml:space="preserve">times for males and </w:t>
      </w:r>
      <w:r w:rsidR="008A5450" w:rsidRPr="007D1775">
        <w:rPr>
          <w:rFonts w:cs="Arial"/>
        </w:rPr>
        <w:t>589</w:t>
      </w:r>
      <w:r w:rsidR="006931C9" w:rsidRPr="007D1775">
        <w:rPr>
          <w:rFonts w:cs="Arial"/>
        </w:rPr>
        <w:t xml:space="preserve"> times for females above the MRHD </w:t>
      </w:r>
      <w:r w:rsidR="008A5450" w:rsidRPr="007D1775">
        <w:rPr>
          <w:rFonts w:cs="Arial"/>
        </w:rPr>
        <w:t xml:space="preserve">for the high dose group </w:t>
      </w:r>
      <w:r w:rsidR="006931C9" w:rsidRPr="007D1775">
        <w:rPr>
          <w:rFonts w:cs="Arial"/>
        </w:rPr>
        <w:t>on an</w:t>
      </w:r>
      <w:r w:rsidR="008A5450" w:rsidRPr="007D1775">
        <w:rPr>
          <w:rFonts w:cs="Arial"/>
        </w:rPr>
        <w:t xml:space="preserve"> unbound</w:t>
      </w:r>
      <w:r w:rsidR="006931C9" w:rsidRPr="007D1775">
        <w:rPr>
          <w:rFonts w:cs="Arial"/>
        </w:rPr>
        <w:t xml:space="preserve"> AUC basis).</w:t>
      </w:r>
    </w:p>
    <w:p w:rsidR="00AE62AF" w:rsidRDefault="004B4DA0" w:rsidP="00AE62AF">
      <w:pPr>
        <w:spacing w:before="120" w:after="120"/>
        <w:outlineLvl w:val="0"/>
        <w:rPr>
          <w:rFonts w:cs="Arial"/>
          <w:u w:val="single"/>
          <w:lang w:val="en-US"/>
        </w:rPr>
      </w:pPr>
      <w:r w:rsidRPr="007D1775">
        <w:rPr>
          <w:rFonts w:cs="Arial"/>
          <w:u w:val="single"/>
          <w:lang w:val="en-US"/>
        </w:rPr>
        <w:t>Effects on ability to drive and operate machinery</w:t>
      </w:r>
    </w:p>
    <w:p w:rsidR="004B4DA0" w:rsidRPr="007D1775" w:rsidRDefault="004B4DA0" w:rsidP="004B4DA0">
      <w:pPr>
        <w:outlineLvl w:val="0"/>
        <w:rPr>
          <w:rFonts w:cs="Arial"/>
        </w:rPr>
      </w:pPr>
      <w:r w:rsidRPr="007D1775">
        <w:rPr>
          <w:rFonts w:cs="Arial"/>
          <w:lang w:val="en-US"/>
        </w:rPr>
        <w:t xml:space="preserve">As dizziness and visual disturbances were reported in clinical trials with </w:t>
      </w:r>
      <w:r w:rsidR="00F3116E" w:rsidRPr="007D1775">
        <w:rPr>
          <w:rFonts w:cs="Arial"/>
          <w:lang w:val="en-US"/>
        </w:rPr>
        <w:t>SPEDRA</w:t>
      </w:r>
      <w:r w:rsidRPr="007D1775">
        <w:rPr>
          <w:rFonts w:cs="Arial"/>
          <w:lang w:val="en-US"/>
        </w:rPr>
        <w:t xml:space="preserve">, patients should be aware of how they react to </w:t>
      </w:r>
      <w:r w:rsidR="00F3116E" w:rsidRPr="007D1775">
        <w:rPr>
          <w:rFonts w:cs="Arial"/>
          <w:lang w:val="en-US"/>
        </w:rPr>
        <w:t>SPEDRA</w:t>
      </w:r>
      <w:r w:rsidRPr="007D1775">
        <w:rPr>
          <w:rFonts w:cs="Arial"/>
          <w:lang w:val="en-US"/>
        </w:rPr>
        <w:t xml:space="preserve"> before driving or operating machinery. </w:t>
      </w:r>
    </w:p>
    <w:p w:rsidR="00B541CE" w:rsidRPr="007D1775" w:rsidRDefault="00B541CE" w:rsidP="00B042C5">
      <w:pPr>
        <w:pStyle w:val="Heading1"/>
        <w:rPr>
          <w:rFonts w:cs="Arial"/>
        </w:rPr>
      </w:pPr>
      <w:r w:rsidRPr="007D1775">
        <w:rPr>
          <w:rFonts w:cs="Arial"/>
        </w:rPr>
        <w:t>Interactions with other Medicines</w:t>
      </w:r>
    </w:p>
    <w:p w:rsidR="00AE62AF" w:rsidRDefault="00AD0315" w:rsidP="00AE62AF">
      <w:pPr>
        <w:spacing w:before="120" w:after="120"/>
        <w:outlineLvl w:val="0"/>
        <w:rPr>
          <w:rFonts w:cs="Arial"/>
          <w:u w:val="single"/>
          <w:lang w:val="en-US"/>
        </w:rPr>
      </w:pPr>
      <w:r w:rsidRPr="007D1775">
        <w:rPr>
          <w:rFonts w:cs="Arial"/>
          <w:u w:val="single"/>
          <w:lang w:val="en-US"/>
        </w:rPr>
        <w:t xml:space="preserve">Potential for </w:t>
      </w:r>
      <w:proofErr w:type="spellStart"/>
      <w:r w:rsidRPr="007D1775">
        <w:rPr>
          <w:rFonts w:cs="Arial"/>
          <w:u w:val="single"/>
          <w:lang w:val="en-US"/>
        </w:rPr>
        <w:t>Pharmacodynamic</w:t>
      </w:r>
      <w:proofErr w:type="spellEnd"/>
      <w:r w:rsidRPr="007D1775">
        <w:rPr>
          <w:rFonts w:cs="Arial"/>
          <w:u w:val="single"/>
          <w:lang w:val="en-US"/>
        </w:rPr>
        <w:t xml:space="preserve"> Interactions with </w:t>
      </w:r>
      <w:r w:rsidR="00F3116E" w:rsidRPr="007D1775">
        <w:rPr>
          <w:rFonts w:cs="Arial"/>
          <w:u w:val="single"/>
          <w:lang w:val="en-US"/>
        </w:rPr>
        <w:t>SPEDRA</w:t>
      </w:r>
      <w:r w:rsidRPr="007D1775">
        <w:rPr>
          <w:rFonts w:cs="Arial"/>
          <w:u w:val="single"/>
          <w:lang w:val="en-US"/>
        </w:rPr>
        <w:t xml:space="preserve"> </w:t>
      </w:r>
    </w:p>
    <w:p w:rsidR="00AE62AF" w:rsidRDefault="00C83F7E" w:rsidP="00AE62AF">
      <w:pPr>
        <w:spacing w:before="120" w:after="120"/>
        <w:outlineLvl w:val="0"/>
        <w:rPr>
          <w:rFonts w:cs="Arial"/>
          <w:u w:val="single"/>
          <w:lang w:val="en-US"/>
        </w:rPr>
      </w:pPr>
      <w:r w:rsidRPr="007D1775">
        <w:rPr>
          <w:rFonts w:cs="Arial"/>
          <w:u w:val="single"/>
          <w:lang w:val="en-US"/>
        </w:rPr>
        <w:t>Nitrates</w:t>
      </w:r>
    </w:p>
    <w:p w:rsidR="008F0C7E" w:rsidRPr="007D1775" w:rsidRDefault="00E57D65" w:rsidP="00415645">
      <w:pPr>
        <w:outlineLvl w:val="0"/>
        <w:rPr>
          <w:rFonts w:cs="Arial"/>
          <w:lang w:val="en-US"/>
        </w:rPr>
      </w:pPr>
      <w:proofErr w:type="gramStart"/>
      <w:r w:rsidRPr="007D1775">
        <w:rPr>
          <w:rFonts w:cs="Arial"/>
          <w:lang w:val="en-US"/>
        </w:rPr>
        <w:t xml:space="preserve">Administration of </w:t>
      </w:r>
      <w:r w:rsidR="00F3116E" w:rsidRPr="007D1775">
        <w:rPr>
          <w:rFonts w:cs="Arial"/>
          <w:lang w:val="en-US"/>
        </w:rPr>
        <w:t>SPEDRA</w:t>
      </w:r>
      <w:r w:rsidRPr="007D1775">
        <w:rPr>
          <w:rFonts w:cs="Arial"/>
          <w:lang w:val="en-US"/>
        </w:rPr>
        <w:t xml:space="preserve"> to patients who are using any form of organic nitrate</w:t>
      </w:r>
      <w:r w:rsidR="0054683B" w:rsidRPr="007D1775">
        <w:rPr>
          <w:rFonts w:cs="Arial"/>
          <w:lang w:val="en-US"/>
        </w:rPr>
        <w:t xml:space="preserve"> or nitric oxide donor (such as amyl nitrite),</w:t>
      </w:r>
      <w:r w:rsidRPr="007D1775">
        <w:rPr>
          <w:rFonts w:cs="Arial"/>
          <w:lang w:val="en-US"/>
        </w:rPr>
        <w:t xml:space="preserve"> is contraindicated.</w:t>
      </w:r>
      <w:proofErr w:type="gramEnd"/>
      <w:r w:rsidRPr="007D1775">
        <w:rPr>
          <w:rFonts w:cs="Arial"/>
          <w:lang w:val="en-US"/>
        </w:rPr>
        <w:t xml:space="preserve"> In a clinical pharmacology trial, </w:t>
      </w:r>
      <w:r w:rsidR="00F3116E" w:rsidRPr="007D1775">
        <w:rPr>
          <w:rFonts w:cs="Arial"/>
          <w:lang w:val="en-US"/>
        </w:rPr>
        <w:t>SPEDRA</w:t>
      </w:r>
      <w:r w:rsidRPr="007D1775">
        <w:rPr>
          <w:rFonts w:cs="Arial"/>
          <w:lang w:val="en-US"/>
        </w:rPr>
        <w:t xml:space="preserve"> was shown to potentiate the hypotensive effect of nitrates. </w:t>
      </w:r>
      <w:r w:rsidR="0054683B" w:rsidRPr="007D1775">
        <w:rPr>
          <w:rFonts w:cs="Arial"/>
          <w:lang w:val="en-US"/>
        </w:rPr>
        <w:t xml:space="preserve">This is thought to result from the combined effects of nitrates and </w:t>
      </w:r>
      <w:r w:rsidR="00F3116E" w:rsidRPr="007D1775">
        <w:rPr>
          <w:rFonts w:cs="Arial"/>
          <w:lang w:val="en-US"/>
        </w:rPr>
        <w:t>SPEDRA</w:t>
      </w:r>
      <w:r w:rsidR="0054683B" w:rsidRPr="007D1775">
        <w:rPr>
          <w:rFonts w:cs="Arial"/>
          <w:lang w:val="en-US"/>
        </w:rPr>
        <w:t xml:space="preserve"> on the nitric oxide/cGMP pathway.</w:t>
      </w:r>
    </w:p>
    <w:p w:rsidR="00A46867" w:rsidRPr="007D1775" w:rsidRDefault="00E57D65" w:rsidP="00415645">
      <w:pPr>
        <w:outlineLvl w:val="0"/>
        <w:rPr>
          <w:rFonts w:cs="Arial"/>
          <w:u w:val="single"/>
          <w:lang w:val="en-US"/>
        </w:rPr>
      </w:pPr>
      <w:r w:rsidRPr="007D1775">
        <w:rPr>
          <w:rFonts w:cs="Arial"/>
          <w:lang w:val="en-US"/>
        </w:rPr>
        <w:t xml:space="preserve">In a patient who has taken </w:t>
      </w:r>
      <w:r w:rsidR="00F3116E" w:rsidRPr="007D1775">
        <w:rPr>
          <w:rFonts w:cs="Arial"/>
          <w:lang w:val="en-US"/>
        </w:rPr>
        <w:t>SPEDRA</w:t>
      </w:r>
      <w:r w:rsidRPr="007D1775">
        <w:rPr>
          <w:rFonts w:cs="Arial"/>
          <w:lang w:val="en-US"/>
        </w:rPr>
        <w:t xml:space="preserve">, where nitrate administration is deemed medically necessary in a life-threatening situation, at least 12 hours should elapse after the last dose of </w:t>
      </w:r>
      <w:r w:rsidR="00F3116E" w:rsidRPr="007D1775">
        <w:rPr>
          <w:rFonts w:cs="Arial"/>
          <w:lang w:val="en-US"/>
        </w:rPr>
        <w:t>SPEDRA</w:t>
      </w:r>
      <w:r w:rsidRPr="007D1775">
        <w:rPr>
          <w:rFonts w:cs="Arial"/>
          <w:lang w:val="en-US"/>
        </w:rPr>
        <w:t xml:space="preserve"> before nitrate administration is considered.</w:t>
      </w:r>
      <w:r w:rsidR="003635FB" w:rsidRPr="007D1775">
        <w:rPr>
          <w:rFonts w:cs="Arial"/>
          <w:lang w:val="en-US"/>
        </w:rPr>
        <w:t xml:space="preserve"> T</w:t>
      </w:r>
      <w:r w:rsidR="003635FB" w:rsidRPr="007D1775">
        <w:rPr>
          <w:rFonts w:cs="Arial"/>
        </w:rPr>
        <w:t>he likelihood of a significant and potentially dangerous drop in blood pressure is increased.</w:t>
      </w:r>
      <w:r w:rsidR="003635FB" w:rsidRPr="007D1775">
        <w:rPr>
          <w:rFonts w:cs="Arial"/>
          <w:lang w:val="en-US"/>
        </w:rPr>
        <w:t xml:space="preserve"> </w:t>
      </w:r>
      <w:r w:rsidRPr="007D1775">
        <w:rPr>
          <w:rFonts w:cs="Arial"/>
          <w:lang w:val="en-US"/>
        </w:rPr>
        <w:t xml:space="preserve">In such circumstances, nitrates should only be administered under close medical supervision with appropriate </w:t>
      </w:r>
      <w:proofErr w:type="spellStart"/>
      <w:r w:rsidRPr="007D1775">
        <w:rPr>
          <w:rFonts w:cs="Arial"/>
          <w:lang w:val="en-US"/>
        </w:rPr>
        <w:t>h</w:t>
      </w:r>
      <w:r w:rsidR="0014592C" w:rsidRPr="007D1775">
        <w:rPr>
          <w:rFonts w:cs="Arial"/>
          <w:lang w:val="en-US"/>
        </w:rPr>
        <w:t>a</w:t>
      </w:r>
      <w:r w:rsidRPr="007D1775">
        <w:rPr>
          <w:rFonts w:cs="Arial"/>
          <w:lang w:val="en-US"/>
        </w:rPr>
        <w:t>emodynamic</w:t>
      </w:r>
      <w:proofErr w:type="spellEnd"/>
      <w:r w:rsidRPr="007D1775">
        <w:rPr>
          <w:rFonts w:cs="Arial"/>
          <w:lang w:val="en-US"/>
        </w:rPr>
        <w:t xml:space="preserve"> monitoring</w:t>
      </w:r>
      <w:r w:rsidR="002620C7" w:rsidRPr="007D1775">
        <w:rPr>
          <w:rFonts w:cs="Arial"/>
        </w:rPr>
        <w:t xml:space="preserve"> </w:t>
      </w:r>
      <w:r w:rsidRPr="007D1775">
        <w:rPr>
          <w:rFonts w:cs="Arial"/>
          <w:lang w:val="en-US"/>
        </w:rPr>
        <w:t xml:space="preserve">(see </w:t>
      </w:r>
      <w:r w:rsidR="002620C7" w:rsidRPr="007D1775">
        <w:rPr>
          <w:rFonts w:cs="Arial"/>
          <w:lang w:val="en-US"/>
        </w:rPr>
        <w:t>CONTRAINDICATIONS</w:t>
      </w:r>
      <w:r w:rsidR="00C83F7E" w:rsidRPr="007D1775">
        <w:rPr>
          <w:rFonts w:cs="Arial"/>
          <w:lang w:val="en-US"/>
        </w:rPr>
        <w:t>).</w:t>
      </w:r>
    </w:p>
    <w:p w:rsidR="00AE62AF" w:rsidRDefault="00C83F7E" w:rsidP="00415645">
      <w:pPr>
        <w:spacing w:before="120" w:after="120"/>
        <w:outlineLvl w:val="0"/>
        <w:rPr>
          <w:rFonts w:cs="Arial"/>
          <w:u w:val="single"/>
          <w:lang w:val="en-US"/>
        </w:rPr>
      </w:pPr>
      <w:r w:rsidRPr="007D1775">
        <w:rPr>
          <w:rFonts w:cs="Arial"/>
          <w:u w:val="single"/>
          <w:lang w:val="en-US"/>
        </w:rPr>
        <w:t>Medicinal products reducing systemic blood pressure</w:t>
      </w:r>
    </w:p>
    <w:p w:rsidR="00C83F7E" w:rsidRPr="007D1775" w:rsidRDefault="00C83F7E" w:rsidP="00C83F7E">
      <w:pPr>
        <w:outlineLvl w:val="0"/>
        <w:rPr>
          <w:rFonts w:cs="Arial"/>
          <w:lang w:val="en-US"/>
        </w:rPr>
      </w:pPr>
      <w:r w:rsidRPr="007D1775">
        <w:rPr>
          <w:rFonts w:cs="Arial"/>
          <w:lang w:val="en-US"/>
        </w:rPr>
        <w:t xml:space="preserve">As a vasodilator, </w:t>
      </w:r>
      <w:r w:rsidR="00F3116E" w:rsidRPr="007D1775">
        <w:rPr>
          <w:rFonts w:cs="Arial"/>
          <w:lang w:val="en-US"/>
        </w:rPr>
        <w:t>SPEDRA</w:t>
      </w:r>
      <w:r w:rsidR="00CD6C23" w:rsidRPr="007D1775">
        <w:rPr>
          <w:rFonts w:cs="Arial"/>
          <w:lang w:val="en-US"/>
        </w:rPr>
        <w:t xml:space="preserve"> </w:t>
      </w:r>
      <w:r w:rsidRPr="007D1775">
        <w:rPr>
          <w:rFonts w:cs="Arial"/>
          <w:lang w:val="en-US"/>
        </w:rPr>
        <w:t xml:space="preserve">may reduce systemic blood pressure. If </w:t>
      </w:r>
      <w:r w:rsidR="00F3116E" w:rsidRPr="007D1775">
        <w:rPr>
          <w:rFonts w:cs="Arial"/>
          <w:lang w:val="en-US"/>
        </w:rPr>
        <w:t>SPEDRA</w:t>
      </w:r>
      <w:r w:rsidRPr="007D1775">
        <w:rPr>
          <w:rFonts w:cs="Arial"/>
          <w:lang w:val="en-US"/>
        </w:rPr>
        <w:t xml:space="preserve"> is used in combination with another medicin</w:t>
      </w:r>
      <w:r w:rsidR="00CD6C23" w:rsidRPr="007D1775">
        <w:rPr>
          <w:rFonts w:cs="Arial"/>
          <w:lang w:val="en-US"/>
        </w:rPr>
        <w:t>e which reduce</w:t>
      </w:r>
      <w:r w:rsidR="002105F8">
        <w:rPr>
          <w:rFonts w:cs="Arial"/>
          <w:lang w:val="en-US"/>
        </w:rPr>
        <w:t>s</w:t>
      </w:r>
      <w:r w:rsidRPr="007D1775">
        <w:rPr>
          <w:rFonts w:cs="Arial"/>
          <w:lang w:val="en-US"/>
        </w:rPr>
        <w:t xml:space="preserve"> systemic blood pressure, the additive effects may result in symptomatic hypotension (e.g. dizziness, light-headedness, syncope or near-syncope). In phase </w:t>
      </w:r>
      <w:r w:rsidR="00561810" w:rsidRPr="007D1775">
        <w:rPr>
          <w:rFonts w:cs="Arial"/>
          <w:lang w:val="en-US"/>
        </w:rPr>
        <w:t>3</w:t>
      </w:r>
      <w:r w:rsidRPr="007D1775">
        <w:rPr>
          <w:rFonts w:cs="Arial"/>
          <w:lang w:val="en-US"/>
        </w:rPr>
        <w:t xml:space="preserve"> clinical </w:t>
      </w:r>
      <w:proofErr w:type="spellStart"/>
      <w:r w:rsidRPr="007D1775">
        <w:rPr>
          <w:rFonts w:cs="Arial"/>
          <w:lang w:val="en-US"/>
        </w:rPr>
        <w:t>trialsno</w:t>
      </w:r>
      <w:proofErr w:type="spellEnd"/>
      <w:r w:rsidRPr="007D1775">
        <w:rPr>
          <w:rFonts w:cs="Arial"/>
          <w:lang w:val="en-US"/>
        </w:rPr>
        <w:t xml:space="preserve"> events of “hypotension” but occasional episodes of “dizziness” were observed (see </w:t>
      </w:r>
      <w:r w:rsidR="002620C7" w:rsidRPr="007D1775">
        <w:rPr>
          <w:rFonts w:cs="Arial"/>
          <w:lang w:val="en-US"/>
        </w:rPr>
        <w:t>ADVERSE EFFECTS</w:t>
      </w:r>
      <w:r w:rsidR="00CD6C23" w:rsidRPr="007D1775">
        <w:rPr>
          <w:rFonts w:cs="Arial"/>
          <w:lang w:val="en-US"/>
        </w:rPr>
        <w:t>)</w:t>
      </w:r>
      <w:r w:rsidRPr="007D1775">
        <w:rPr>
          <w:rFonts w:cs="Arial"/>
          <w:lang w:val="en-US"/>
        </w:rPr>
        <w:t xml:space="preserve">. One episode of “syncope” was observed </w:t>
      </w:r>
      <w:r w:rsidR="009D04A9" w:rsidRPr="007D1775">
        <w:rPr>
          <w:rFonts w:cs="Arial"/>
          <w:lang w:val="en-US"/>
        </w:rPr>
        <w:t>o</w:t>
      </w:r>
      <w:r w:rsidRPr="007D1775">
        <w:rPr>
          <w:rFonts w:cs="Arial"/>
          <w:lang w:val="en-US"/>
        </w:rPr>
        <w:t xml:space="preserve">n placebo and one episode on 100 mg of </w:t>
      </w:r>
      <w:r w:rsidR="00F3116E" w:rsidRPr="007D1775">
        <w:rPr>
          <w:rFonts w:cs="Arial"/>
          <w:lang w:val="en-US"/>
        </w:rPr>
        <w:t>SPEDRA</w:t>
      </w:r>
      <w:r w:rsidR="00317B9F" w:rsidRPr="007D1775">
        <w:rPr>
          <w:rFonts w:cs="Arial"/>
          <w:lang w:val="en-US"/>
        </w:rPr>
        <w:t xml:space="preserve"> </w:t>
      </w:r>
      <w:r w:rsidRPr="007D1775">
        <w:rPr>
          <w:rFonts w:cs="Arial"/>
          <w:lang w:val="en-US"/>
        </w:rPr>
        <w:t xml:space="preserve">in phase </w:t>
      </w:r>
      <w:r w:rsidR="00561810" w:rsidRPr="007D1775">
        <w:rPr>
          <w:rFonts w:cs="Arial"/>
          <w:lang w:val="en-US"/>
        </w:rPr>
        <w:t>3</w:t>
      </w:r>
      <w:r w:rsidRPr="007D1775">
        <w:rPr>
          <w:rFonts w:cs="Arial"/>
          <w:lang w:val="en-US"/>
        </w:rPr>
        <w:t xml:space="preserve"> clinical trials.</w:t>
      </w:r>
    </w:p>
    <w:p w:rsidR="000454B2" w:rsidRPr="007D1775" w:rsidRDefault="00C83F7E" w:rsidP="000454B2">
      <w:pPr>
        <w:outlineLvl w:val="0"/>
        <w:rPr>
          <w:rFonts w:cs="Arial"/>
          <w:i/>
          <w:lang w:val="en-US"/>
        </w:rPr>
      </w:pPr>
      <w:r w:rsidRPr="007D1775">
        <w:rPr>
          <w:rFonts w:cs="Arial"/>
          <w:lang w:val="en-US"/>
        </w:rPr>
        <w:t xml:space="preserve">Patients with left ventricular outflow obstruction (e.g. aortic stenosis, idiopathic hypertrophic </w:t>
      </w:r>
      <w:proofErr w:type="spellStart"/>
      <w:r w:rsidRPr="007D1775">
        <w:rPr>
          <w:rFonts w:cs="Arial"/>
          <w:lang w:val="en-US"/>
        </w:rPr>
        <w:t>subaortic</w:t>
      </w:r>
      <w:proofErr w:type="spellEnd"/>
      <w:r w:rsidRPr="007D1775">
        <w:rPr>
          <w:rFonts w:cs="Arial"/>
          <w:lang w:val="en-US"/>
        </w:rPr>
        <w:t xml:space="preserve"> stenosis) and those with severely impaired autonomic control of blood pressure </w:t>
      </w:r>
      <w:r w:rsidRPr="007D1775">
        <w:rPr>
          <w:rFonts w:cs="Arial"/>
        </w:rPr>
        <w:t>can</w:t>
      </w:r>
      <w:r w:rsidRPr="007D1775">
        <w:rPr>
          <w:rFonts w:cs="Arial"/>
          <w:lang w:val="en-US"/>
        </w:rPr>
        <w:t xml:space="preserve"> be particularly sensitive to the actions of vasodilators including </w:t>
      </w:r>
      <w:r w:rsidR="00F3116E" w:rsidRPr="007D1775">
        <w:rPr>
          <w:rFonts w:cs="Arial"/>
          <w:lang w:val="en-US"/>
        </w:rPr>
        <w:t>SPEDRA</w:t>
      </w:r>
      <w:r w:rsidRPr="007D1775">
        <w:rPr>
          <w:rFonts w:cs="Arial"/>
          <w:lang w:val="en-US"/>
        </w:rPr>
        <w:t>.</w:t>
      </w:r>
    </w:p>
    <w:p w:rsidR="00AE62AF" w:rsidRDefault="00F92EF9" w:rsidP="00AE62AF">
      <w:pPr>
        <w:spacing w:before="120" w:after="120"/>
        <w:outlineLvl w:val="0"/>
        <w:rPr>
          <w:rFonts w:cs="Arial"/>
          <w:u w:val="single"/>
          <w:lang w:val="en-US"/>
        </w:rPr>
      </w:pPr>
      <w:r w:rsidRPr="007D1775">
        <w:rPr>
          <w:rFonts w:cs="Arial"/>
          <w:u w:val="single"/>
          <w:lang w:val="en-US"/>
        </w:rPr>
        <w:t xml:space="preserve">Alpha-blockers </w:t>
      </w:r>
      <w:r w:rsidR="000454B2" w:rsidRPr="007D1775">
        <w:rPr>
          <w:rFonts w:cs="Arial"/>
          <w:u w:val="single"/>
          <w:lang w:val="en-US"/>
        </w:rPr>
        <w:t xml:space="preserve"> </w:t>
      </w:r>
    </w:p>
    <w:p w:rsidR="000454B2" w:rsidRPr="007D1775" w:rsidRDefault="00A46867" w:rsidP="000454B2">
      <w:pPr>
        <w:outlineLvl w:val="0"/>
        <w:rPr>
          <w:rFonts w:cs="Arial"/>
          <w:lang w:val="en-US"/>
        </w:rPr>
      </w:pPr>
      <w:r w:rsidRPr="007D1775">
        <w:rPr>
          <w:rFonts w:cs="Arial"/>
          <w:lang w:val="en-US"/>
        </w:rPr>
        <w:t>Caution</w:t>
      </w:r>
      <w:r w:rsidR="00E57D65" w:rsidRPr="007D1775">
        <w:rPr>
          <w:rFonts w:cs="Arial"/>
          <w:lang w:val="en-US"/>
        </w:rPr>
        <w:t xml:space="preserve"> is advised when </w:t>
      </w:r>
      <w:r w:rsidR="00CD6C23" w:rsidRPr="007D1775">
        <w:rPr>
          <w:rFonts w:cs="Arial"/>
          <w:lang w:val="en-US"/>
        </w:rPr>
        <w:t xml:space="preserve">PDE5 inhibitors are </w:t>
      </w:r>
      <w:r w:rsidR="00E57D65" w:rsidRPr="007D1775">
        <w:rPr>
          <w:rFonts w:cs="Arial"/>
          <w:lang w:val="en-US"/>
        </w:rPr>
        <w:t>co-ad</w:t>
      </w:r>
      <w:r w:rsidR="00C737D7" w:rsidRPr="007D1775">
        <w:rPr>
          <w:rFonts w:cs="Arial"/>
          <w:lang w:val="en-US"/>
        </w:rPr>
        <w:t>ministered with alpha-blockers</w:t>
      </w:r>
      <w:r w:rsidR="00CD6C23" w:rsidRPr="007D1775">
        <w:rPr>
          <w:rFonts w:cs="Arial"/>
          <w:lang w:val="en-US"/>
        </w:rPr>
        <w:t xml:space="preserve">. </w:t>
      </w:r>
      <w:proofErr w:type="spellStart"/>
      <w:r w:rsidR="000454B2" w:rsidRPr="007D1775">
        <w:rPr>
          <w:rFonts w:cs="Arial"/>
          <w:lang w:val="en-US"/>
        </w:rPr>
        <w:t>Haemodynamic</w:t>
      </w:r>
      <w:proofErr w:type="spellEnd"/>
      <w:r w:rsidR="000454B2" w:rsidRPr="007D1775">
        <w:rPr>
          <w:rFonts w:cs="Arial"/>
          <w:lang w:val="en-US"/>
        </w:rPr>
        <w:t xml:space="preserve"> interactions with doxazosin and </w:t>
      </w:r>
      <w:proofErr w:type="spellStart"/>
      <w:r w:rsidR="000454B2" w:rsidRPr="007D1775">
        <w:rPr>
          <w:rFonts w:cs="Arial"/>
          <w:lang w:val="en-US"/>
        </w:rPr>
        <w:t>tamsulosin</w:t>
      </w:r>
      <w:proofErr w:type="spellEnd"/>
      <w:r w:rsidR="000454B2" w:rsidRPr="007D1775">
        <w:rPr>
          <w:rFonts w:cs="Arial"/>
          <w:lang w:val="en-US"/>
        </w:rPr>
        <w:t xml:space="preserve"> were studied in healthy subjects in a two-period crossover-design trial. In patients receiving stable doxazosin treatment, the placebo-subtracted mean maximum decreases in standing and supine systolic blood pressure following </w:t>
      </w:r>
      <w:r w:rsidR="00F3116E" w:rsidRPr="007D1775">
        <w:rPr>
          <w:rFonts w:cs="Arial"/>
          <w:lang w:val="en-US"/>
        </w:rPr>
        <w:t>SPEDRA</w:t>
      </w:r>
      <w:r w:rsidR="000454B2" w:rsidRPr="007D1775">
        <w:rPr>
          <w:rFonts w:cs="Arial"/>
          <w:lang w:val="en-US"/>
        </w:rPr>
        <w:t xml:space="preserve"> dosing were 2.5 mmHg and 6.0 mmHg, respectively. In total, 7/24 subjects experienced values or decreases from </w:t>
      </w:r>
      <w:proofErr w:type="gramStart"/>
      <w:r w:rsidR="000454B2" w:rsidRPr="007D1775">
        <w:rPr>
          <w:rFonts w:cs="Arial"/>
          <w:lang w:val="en-US"/>
        </w:rPr>
        <w:t>baseline that were</w:t>
      </w:r>
      <w:proofErr w:type="gramEnd"/>
      <w:r w:rsidR="000454B2" w:rsidRPr="007D1775">
        <w:rPr>
          <w:rFonts w:cs="Arial"/>
          <w:lang w:val="en-US"/>
        </w:rPr>
        <w:t xml:space="preserve"> of potential clinical significance following </w:t>
      </w:r>
      <w:r w:rsidR="00F3116E" w:rsidRPr="007D1775">
        <w:rPr>
          <w:rFonts w:cs="Arial"/>
          <w:lang w:val="en-US"/>
        </w:rPr>
        <w:t>SPEDRA</w:t>
      </w:r>
      <w:r w:rsidR="000454B2" w:rsidRPr="007D1775">
        <w:rPr>
          <w:rFonts w:cs="Arial"/>
          <w:lang w:val="en-US"/>
        </w:rPr>
        <w:t xml:space="preserve"> dosing</w:t>
      </w:r>
      <w:r w:rsidR="001C1975" w:rsidRPr="007D1775">
        <w:rPr>
          <w:rFonts w:cs="Arial"/>
          <w:lang w:val="en-US"/>
        </w:rPr>
        <w:t xml:space="preserve"> (see </w:t>
      </w:r>
      <w:r w:rsidR="002620C7" w:rsidRPr="007D1775">
        <w:rPr>
          <w:rFonts w:cs="Arial"/>
          <w:lang w:val="en-US"/>
        </w:rPr>
        <w:t>PRECAUTIONS</w:t>
      </w:r>
      <w:r w:rsidR="000454B2" w:rsidRPr="007D1775">
        <w:rPr>
          <w:rFonts w:cs="Arial"/>
          <w:lang w:val="en-US"/>
        </w:rPr>
        <w:t>).</w:t>
      </w:r>
    </w:p>
    <w:p w:rsidR="00AE62AF" w:rsidRDefault="000454B2" w:rsidP="00AE62AF">
      <w:pPr>
        <w:outlineLvl w:val="0"/>
        <w:rPr>
          <w:rFonts w:cs="Arial"/>
          <w:highlight w:val="yellow"/>
        </w:rPr>
      </w:pPr>
      <w:r w:rsidRPr="007D1775">
        <w:rPr>
          <w:rFonts w:cs="Arial"/>
          <w:lang w:val="en-US"/>
        </w:rPr>
        <w:t xml:space="preserve">In patients receiving stable </w:t>
      </w:r>
      <w:proofErr w:type="spellStart"/>
      <w:r w:rsidRPr="007D1775">
        <w:rPr>
          <w:rFonts w:cs="Arial"/>
          <w:lang w:val="en-US"/>
        </w:rPr>
        <w:t>tamsulosin</w:t>
      </w:r>
      <w:proofErr w:type="spellEnd"/>
      <w:r w:rsidRPr="007D1775">
        <w:rPr>
          <w:rFonts w:cs="Arial"/>
          <w:lang w:val="en-US"/>
        </w:rPr>
        <w:t xml:space="preserve"> treatment, the placebo-subtracted mean maximum decreases in standing and supine systolic blood pressure following </w:t>
      </w:r>
      <w:r w:rsidR="00F3116E" w:rsidRPr="007D1775">
        <w:rPr>
          <w:rFonts w:cs="Arial"/>
          <w:lang w:val="en-US"/>
        </w:rPr>
        <w:t>SPEDRA</w:t>
      </w:r>
      <w:r w:rsidR="00561810" w:rsidRPr="007D1775">
        <w:rPr>
          <w:rFonts w:cs="Arial"/>
          <w:lang w:val="en-US"/>
        </w:rPr>
        <w:t xml:space="preserve"> </w:t>
      </w:r>
      <w:r w:rsidRPr="007D1775">
        <w:rPr>
          <w:rFonts w:cs="Arial"/>
          <w:lang w:val="en-US"/>
        </w:rPr>
        <w:t xml:space="preserve">dosing were 3.6 mmHg and 3.1 mmHg, respectively and 5/24 subjects experienced blood pressure values or decreases from baseline that were of potential clinical significance following </w:t>
      </w:r>
      <w:r w:rsidR="00F3116E" w:rsidRPr="007D1775">
        <w:rPr>
          <w:rFonts w:cs="Arial"/>
          <w:lang w:val="en-US"/>
        </w:rPr>
        <w:t>SPEDRA</w:t>
      </w:r>
      <w:r w:rsidR="00561810" w:rsidRPr="007D1775">
        <w:rPr>
          <w:rFonts w:cs="Arial"/>
          <w:lang w:val="en-US"/>
        </w:rPr>
        <w:t xml:space="preserve"> </w:t>
      </w:r>
      <w:r w:rsidRPr="007D1775">
        <w:rPr>
          <w:rFonts w:cs="Arial"/>
          <w:lang w:val="en-US"/>
        </w:rPr>
        <w:t xml:space="preserve">dosing (see </w:t>
      </w:r>
      <w:r w:rsidR="00561810" w:rsidRPr="007D1775">
        <w:rPr>
          <w:rFonts w:cs="Arial"/>
          <w:lang w:val="en-US"/>
        </w:rPr>
        <w:t xml:space="preserve"> </w:t>
      </w:r>
      <w:r w:rsidR="002620C7" w:rsidRPr="007D1775">
        <w:rPr>
          <w:rFonts w:cs="Arial"/>
          <w:lang w:val="en-US"/>
        </w:rPr>
        <w:lastRenderedPageBreak/>
        <w:t>PRECAUTIONS</w:t>
      </w:r>
      <w:r w:rsidR="00E57D65" w:rsidRPr="007D1775">
        <w:rPr>
          <w:rFonts w:cs="Arial"/>
          <w:lang w:val="en-US"/>
        </w:rPr>
        <w:t>)</w:t>
      </w:r>
      <w:r w:rsidRPr="007D1775">
        <w:rPr>
          <w:rFonts w:cs="Arial"/>
          <w:lang w:val="en-US"/>
        </w:rPr>
        <w:t>. There were no reports of syncope or other severe adverse events associated with lowering of blood pressure on either cohort of subjects.</w:t>
      </w:r>
    </w:p>
    <w:p w:rsidR="00AE62AF" w:rsidRDefault="000454B2" w:rsidP="00AE62AF">
      <w:pPr>
        <w:spacing w:before="120" w:after="120"/>
        <w:outlineLvl w:val="0"/>
        <w:rPr>
          <w:rFonts w:cs="Arial"/>
          <w:u w:val="single"/>
          <w:lang w:val="en-US"/>
        </w:rPr>
      </w:pPr>
      <w:proofErr w:type="spellStart"/>
      <w:r w:rsidRPr="007D1775">
        <w:rPr>
          <w:rFonts w:cs="Arial"/>
          <w:u w:val="single"/>
          <w:lang w:val="en-US"/>
        </w:rPr>
        <w:t>Antihypertensives</w:t>
      </w:r>
      <w:proofErr w:type="spellEnd"/>
      <w:r w:rsidRPr="007D1775">
        <w:rPr>
          <w:rFonts w:cs="Arial"/>
          <w:u w:val="single"/>
          <w:lang w:val="en-US"/>
        </w:rPr>
        <w:t xml:space="preserve"> other than alpha-blockers</w:t>
      </w:r>
    </w:p>
    <w:p w:rsidR="000454B2" w:rsidRPr="007D1775" w:rsidRDefault="00CD6C23" w:rsidP="000454B2">
      <w:pPr>
        <w:outlineLvl w:val="0"/>
        <w:rPr>
          <w:rFonts w:cs="Arial"/>
          <w:lang w:val="en-US"/>
        </w:rPr>
      </w:pPr>
      <w:r w:rsidRPr="007D1775">
        <w:rPr>
          <w:rFonts w:cs="Arial"/>
          <w:lang w:val="en-US"/>
        </w:rPr>
        <w:t xml:space="preserve">PDE5 inhibitors are mild systemic </w:t>
      </w:r>
      <w:proofErr w:type="gramStart"/>
      <w:r w:rsidRPr="007D1775">
        <w:rPr>
          <w:rFonts w:cs="Arial"/>
          <w:lang w:val="en-US"/>
        </w:rPr>
        <w:t>vasodilators</w:t>
      </w:r>
      <w:r w:rsidR="007F2F36" w:rsidRPr="007D1775">
        <w:rPr>
          <w:rFonts w:cs="Arial"/>
          <w:lang w:val="en-US"/>
        </w:rPr>
        <w:t>,</w:t>
      </w:r>
      <w:proofErr w:type="gramEnd"/>
      <w:r w:rsidR="007F2F36" w:rsidRPr="007D1775">
        <w:rPr>
          <w:rFonts w:cs="Arial"/>
          <w:lang w:val="en-US"/>
        </w:rPr>
        <w:t xml:space="preserve"> hence </w:t>
      </w:r>
      <w:r w:rsidR="00F3116E" w:rsidRPr="007D1775">
        <w:rPr>
          <w:rFonts w:cs="Arial"/>
          <w:lang w:val="en-US"/>
        </w:rPr>
        <w:t>SPEDRA</w:t>
      </w:r>
      <w:r w:rsidR="007F2F36" w:rsidRPr="007D1775">
        <w:rPr>
          <w:rFonts w:cs="Arial"/>
          <w:lang w:val="en-US"/>
        </w:rPr>
        <w:t xml:space="preserve"> may augment the </w:t>
      </w:r>
      <w:r w:rsidR="0014592C" w:rsidRPr="007D1775">
        <w:rPr>
          <w:rFonts w:cs="Arial"/>
          <w:lang w:val="en-US"/>
        </w:rPr>
        <w:t xml:space="preserve">blood pressure </w:t>
      </w:r>
      <w:r w:rsidR="007F2F36" w:rsidRPr="007D1775">
        <w:rPr>
          <w:rFonts w:cs="Arial"/>
          <w:lang w:val="en-US"/>
        </w:rPr>
        <w:t xml:space="preserve">lowering effects of antihypertensive agents. </w:t>
      </w:r>
      <w:r w:rsidRPr="007D1775">
        <w:rPr>
          <w:rFonts w:cs="Arial"/>
          <w:lang w:val="en-US"/>
        </w:rPr>
        <w:t xml:space="preserve"> </w:t>
      </w:r>
      <w:r w:rsidR="000454B2" w:rsidRPr="007D1775">
        <w:rPr>
          <w:rFonts w:cs="Arial"/>
          <w:lang w:val="en-US"/>
        </w:rPr>
        <w:t xml:space="preserve">A clinical study was conducted to assess the effect of </w:t>
      </w:r>
      <w:r w:rsidR="00F3116E" w:rsidRPr="007D1775">
        <w:rPr>
          <w:rFonts w:cs="Arial"/>
          <w:lang w:val="en-US"/>
        </w:rPr>
        <w:t>SPEDRA</w:t>
      </w:r>
      <w:r w:rsidRPr="007D1775">
        <w:rPr>
          <w:rFonts w:cs="Arial"/>
          <w:lang w:val="en-US"/>
        </w:rPr>
        <w:t xml:space="preserve"> </w:t>
      </w:r>
      <w:r w:rsidR="000454B2" w:rsidRPr="007D1775">
        <w:rPr>
          <w:rFonts w:cs="Arial"/>
          <w:lang w:val="en-US"/>
        </w:rPr>
        <w:t>on the potentiation of the blood pressure</w:t>
      </w:r>
      <w:r w:rsidR="000454B2" w:rsidRPr="007D1775">
        <w:rPr>
          <w:rFonts w:cs="Arial"/>
          <w:lang w:val="en-US"/>
        </w:rPr>
        <w:noBreakHyphen/>
        <w:t xml:space="preserve">lowering effects of selected antihypertensive </w:t>
      </w:r>
      <w:r w:rsidRPr="007D1775">
        <w:rPr>
          <w:rFonts w:cs="Arial"/>
          <w:lang w:val="en-US"/>
        </w:rPr>
        <w:t xml:space="preserve">medications </w:t>
      </w:r>
      <w:r w:rsidR="000454B2" w:rsidRPr="007D1775">
        <w:rPr>
          <w:rFonts w:cs="Arial"/>
          <w:lang w:val="en-US"/>
        </w:rPr>
        <w:t xml:space="preserve">(amlodipine and </w:t>
      </w:r>
      <w:proofErr w:type="spellStart"/>
      <w:r w:rsidR="000454B2" w:rsidRPr="007D1775">
        <w:rPr>
          <w:rFonts w:cs="Arial"/>
          <w:lang w:val="en-US"/>
        </w:rPr>
        <w:t>enalapril</w:t>
      </w:r>
      <w:proofErr w:type="spellEnd"/>
      <w:r w:rsidR="000454B2" w:rsidRPr="007D1775">
        <w:rPr>
          <w:rFonts w:cs="Arial"/>
          <w:lang w:val="en-US"/>
        </w:rPr>
        <w:t xml:space="preserve">). Results showed a mean maximum decrease in supine blood pressure of 2/3 mmHg compared to placebo with </w:t>
      </w:r>
      <w:proofErr w:type="spellStart"/>
      <w:r w:rsidR="000454B2" w:rsidRPr="007D1775">
        <w:rPr>
          <w:rFonts w:cs="Arial"/>
          <w:lang w:val="en-US"/>
        </w:rPr>
        <w:t>enalapril</w:t>
      </w:r>
      <w:proofErr w:type="spellEnd"/>
      <w:r w:rsidR="000454B2" w:rsidRPr="007D1775">
        <w:rPr>
          <w:rFonts w:cs="Arial"/>
          <w:lang w:val="en-US"/>
        </w:rPr>
        <w:t xml:space="preserve"> and 1/-1 mmHg with amlodipine when </w:t>
      </w:r>
      <w:r w:rsidR="00F3116E" w:rsidRPr="007D1775">
        <w:rPr>
          <w:rFonts w:cs="Arial"/>
          <w:lang w:val="en-US"/>
        </w:rPr>
        <w:t>SPEDRA</w:t>
      </w:r>
      <w:r w:rsidR="00561810" w:rsidRPr="007D1775">
        <w:rPr>
          <w:rFonts w:cs="Arial"/>
          <w:lang w:val="en-US"/>
        </w:rPr>
        <w:t xml:space="preserve"> </w:t>
      </w:r>
      <w:r w:rsidR="000454B2" w:rsidRPr="007D1775">
        <w:rPr>
          <w:rFonts w:cs="Arial"/>
          <w:lang w:val="en-US"/>
        </w:rPr>
        <w:t xml:space="preserve">was co-administered. There was a statistically significant difference in maximum decrease from baseline in supine diastolic blood pressure with </w:t>
      </w:r>
      <w:proofErr w:type="spellStart"/>
      <w:r w:rsidR="000454B2" w:rsidRPr="007D1775">
        <w:rPr>
          <w:rFonts w:cs="Arial"/>
          <w:lang w:val="en-US"/>
        </w:rPr>
        <w:t>enalapril</w:t>
      </w:r>
      <w:proofErr w:type="spellEnd"/>
      <w:r w:rsidR="000454B2" w:rsidRPr="007D1775">
        <w:rPr>
          <w:rFonts w:cs="Arial"/>
          <w:lang w:val="en-US"/>
        </w:rPr>
        <w:t xml:space="preserve"> and </w:t>
      </w:r>
      <w:r w:rsidR="00F3116E" w:rsidRPr="007D1775">
        <w:rPr>
          <w:rFonts w:cs="Arial"/>
          <w:lang w:val="en-US"/>
        </w:rPr>
        <w:t>SPEDRA</w:t>
      </w:r>
      <w:r w:rsidR="000454B2" w:rsidRPr="007D1775">
        <w:rPr>
          <w:rFonts w:cs="Arial"/>
          <w:lang w:val="en-US"/>
        </w:rPr>
        <w:t xml:space="preserve"> only, which returned to baseline 4 hours after the dose of </w:t>
      </w:r>
      <w:r w:rsidR="00F3116E" w:rsidRPr="007D1775">
        <w:rPr>
          <w:rFonts w:cs="Arial"/>
          <w:lang w:val="en-US"/>
        </w:rPr>
        <w:t>SPEDRA</w:t>
      </w:r>
      <w:r w:rsidR="000454B2" w:rsidRPr="007D1775">
        <w:rPr>
          <w:rFonts w:cs="Arial"/>
          <w:lang w:val="en-US"/>
        </w:rPr>
        <w:t xml:space="preserve">. In both cohorts, one subject experienced a decrease in blood pressure without symptoms of hypotension, which resolved within 1 hour of onset. </w:t>
      </w:r>
      <w:r w:rsidR="00F3116E" w:rsidRPr="007D1775">
        <w:rPr>
          <w:rFonts w:cs="Arial"/>
          <w:lang w:val="en-US"/>
        </w:rPr>
        <w:t>SPEDRA</w:t>
      </w:r>
      <w:r w:rsidR="00561810" w:rsidRPr="007D1775">
        <w:rPr>
          <w:rFonts w:cs="Arial"/>
          <w:lang w:val="en-US"/>
        </w:rPr>
        <w:t xml:space="preserve"> </w:t>
      </w:r>
      <w:r w:rsidR="000454B2" w:rsidRPr="007D1775">
        <w:rPr>
          <w:rFonts w:cs="Arial"/>
          <w:lang w:val="en-US"/>
        </w:rPr>
        <w:t xml:space="preserve">had no effect on the pharmacokinetics of amlodipine, but amlodipine increased the maximum and total exposure of </w:t>
      </w:r>
      <w:r w:rsidR="00F3116E" w:rsidRPr="007D1775">
        <w:rPr>
          <w:rFonts w:cs="Arial"/>
          <w:lang w:val="en-US"/>
        </w:rPr>
        <w:t>SPEDRA</w:t>
      </w:r>
      <w:r w:rsidR="000454B2" w:rsidRPr="007D1775">
        <w:rPr>
          <w:rFonts w:cs="Arial"/>
          <w:lang w:val="en-US"/>
        </w:rPr>
        <w:t xml:space="preserve"> by 28% and 60%, respectively.</w:t>
      </w:r>
    </w:p>
    <w:p w:rsidR="00FB6343" w:rsidRDefault="00C95694" w:rsidP="00AE62AF">
      <w:pPr>
        <w:autoSpaceDE w:val="0"/>
        <w:autoSpaceDN w:val="0"/>
        <w:adjustRightInd w:val="0"/>
        <w:spacing w:after="0"/>
        <w:jc w:val="left"/>
        <w:rPr>
          <w:rFonts w:cs="Arial"/>
          <w:u w:val="single"/>
          <w:lang w:val="en-US"/>
        </w:rPr>
      </w:pPr>
      <w:r w:rsidRPr="007D1775">
        <w:rPr>
          <w:rFonts w:cs="Arial"/>
          <w:szCs w:val="22"/>
          <w:lang w:eastAsia="en-AU"/>
        </w:rPr>
        <w:t xml:space="preserve">Caution should be exercised when prescribing </w:t>
      </w:r>
      <w:r w:rsidR="00F3116E" w:rsidRPr="007D1775">
        <w:rPr>
          <w:rFonts w:cs="Arial"/>
          <w:lang w:val="en-US"/>
        </w:rPr>
        <w:t>SPEDRA</w:t>
      </w:r>
      <w:r w:rsidRPr="007D1775">
        <w:rPr>
          <w:rFonts w:cs="Arial"/>
          <w:lang w:val="en-US"/>
        </w:rPr>
        <w:t xml:space="preserve"> </w:t>
      </w:r>
      <w:r w:rsidRPr="007D1775">
        <w:rPr>
          <w:rFonts w:cs="Arial"/>
          <w:szCs w:val="22"/>
          <w:lang w:eastAsia="en-AU"/>
        </w:rPr>
        <w:t>in combination with antihypertensive agents.</w:t>
      </w:r>
      <w:r w:rsidR="00232B09" w:rsidDel="00232B09">
        <w:rPr>
          <w:rFonts w:cs="Arial"/>
          <w:szCs w:val="22"/>
          <w:lang w:eastAsia="en-AU"/>
        </w:rPr>
        <w:t xml:space="preserve"> </w:t>
      </w:r>
    </w:p>
    <w:p w:rsidR="00FB6343" w:rsidRPr="00167635" w:rsidRDefault="00FB6343" w:rsidP="00167635">
      <w:pPr>
        <w:autoSpaceDE w:val="0"/>
        <w:autoSpaceDN w:val="0"/>
        <w:adjustRightInd w:val="0"/>
        <w:spacing w:before="120" w:after="120"/>
        <w:jc w:val="left"/>
        <w:rPr>
          <w:rFonts w:cs="Arial"/>
          <w:u w:val="single"/>
          <w:lang w:val="en-US"/>
        </w:rPr>
      </w:pPr>
      <w:proofErr w:type="spellStart"/>
      <w:r w:rsidRPr="00167635">
        <w:rPr>
          <w:rFonts w:cs="Arial"/>
          <w:u w:val="single"/>
          <w:lang w:val="en-US"/>
        </w:rPr>
        <w:t>Riociguat</w:t>
      </w:r>
      <w:proofErr w:type="spellEnd"/>
    </w:p>
    <w:p w:rsidR="00FB6343" w:rsidRPr="002A0CFA" w:rsidRDefault="00FB6343" w:rsidP="00FB6343">
      <w:pPr>
        <w:outlineLvl w:val="0"/>
        <w:rPr>
          <w:lang w:val="en-US"/>
        </w:rPr>
      </w:pPr>
      <w:r w:rsidRPr="002A0CFA">
        <w:rPr>
          <w:lang w:val="en-US"/>
        </w:rPr>
        <w:t>Preclinical studies showed additive systemic blood pressure lowering effect</w:t>
      </w:r>
      <w:r w:rsidR="00032390">
        <w:rPr>
          <w:lang w:val="en-US"/>
        </w:rPr>
        <w:t>s</w:t>
      </w:r>
      <w:r w:rsidRPr="002A0CFA">
        <w:rPr>
          <w:lang w:val="en-US"/>
        </w:rPr>
        <w:t xml:space="preserve"> when PDE5 inhibitors were combined with </w:t>
      </w:r>
      <w:proofErr w:type="spellStart"/>
      <w:r w:rsidRPr="002A0CFA">
        <w:rPr>
          <w:lang w:val="en-US"/>
        </w:rPr>
        <w:t>riociguat</w:t>
      </w:r>
      <w:proofErr w:type="spellEnd"/>
      <w:r w:rsidRPr="002A0CFA">
        <w:rPr>
          <w:lang w:val="en-US"/>
        </w:rPr>
        <w:t xml:space="preserve">. In clinical studies, </w:t>
      </w:r>
      <w:proofErr w:type="spellStart"/>
      <w:r w:rsidRPr="002A0CFA">
        <w:rPr>
          <w:lang w:val="en-US"/>
        </w:rPr>
        <w:t>riociguat</w:t>
      </w:r>
      <w:proofErr w:type="spellEnd"/>
      <w:r w:rsidRPr="002A0CFA">
        <w:rPr>
          <w:lang w:val="en-US"/>
        </w:rPr>
        <w:t xml:space="preserve"> has shown to augment the hypotensive effects of PDE5 inhibitors. There was no evidence of </w:t>
      </w:r>
      <w:proofErr w:type="spellStart"/>
      <w:r w:rsidRPr="002A0CFA">
        <w:rPr>
          <w:lang w:val="en-US"/>
        </w:rPr>
        <w:t>favourable</w:t>
      </w:r>
      <w:proofErr w:type="spellEnd"/>
      <w:r w:rsidRPr="002A0CFA">
        <w:rPr>
          <w:lang w:val="en-US"/>
        </w:rPr>
        <w:t xml:space="preserve"> clinical effect of the combination in the population studied. Concomitant use of </w:t>
      </w:r>
      <w:proofErr w:type="spellStart"/>
      <w:r w:rsidRPr="002A0CFA">
        <w:rPr>
          <w:lang w:val="en-US"/>
        </w:rPr>
        <w:t>riociguat</w:t>
      </w:r>
      <w:proofErr w:type="spellEnd"/>
      <w:r w:rsidRPr="002A0CFA">
        <w:rPr>
          <w:lang w:val="en-US"/>
        </w:rPr>
        <w:t xml:space="preserve"> </w:t>
      </w:r>
      <w:r w:rsidR="00546D0C">
        <w:rPr>
          <w:lang w:val="en-US"/>
        </w:rPr>
        <w:t xml:space="preserve">with </w:t>
      </w:r>
      <w:proofErr w:type="spellStart"/>
      <w:r w:rsidR="00546D0C">
        <w:rPr>
          <w:lang w:val="en-US"/>
        </w:rPr>
        <w:t>a</w:t>
      </w:r>
      <w:r w:rsidRPr="002A0CFA">
        <w:rPr>
          <w:lang w:val="en-US"/>
        </w:rPr>
        <w:t>vanafil</w:t>
      </w:r>
      <w:proofErr w:type="spellEnd"/>
      <w:r w:rsidR="00870618">
        <w:rPr>
          <w:lang w:val="en-US"/>
        </w:rPr>
        <w:t xml:space="preserve"> </w:t>
      </w:r>
      <w:r w:rsidRPr="002A0CFA">
        <w:rPr>
          <w:lang w:val="en-US"/>
        </w:rPr>
        <w:t xml:space="preserve">is contraindicated (see </w:t>
      </w:r>
      <w:r>
        <w:rPr>
          <w:lang w:val="en-US"/>
        </w:rPr>
        <w:t>CONTRAINDICATIONS</w:t>
      </w:r>
      <w:r w:rsidRPr="002A0CFA">
        <w:rPr>
          <w:lang w:val="en-US"/>
        </w:rPr>
        <w:t>).</w:t>
      </w:r>
    </w:p>
    <w:p w:rsidR="00AE62AF" w:rsidRDefault="000454B2" w:rsidP="00167635">
      <w:pPr>
        <w:outlineLvl w:val="0"/>
        <w:rPr>
          <w:rFonts w:cs="Arial"/>
          <w:u w:val="single"/>
          <w:lang w:val="en-US"/>
        </w:rPr>
      </w:pPr>
      <w:r w:rsidRPr="007D1775">
        <w:rPr>
          <w:rFonts w:cs="Arial"/>
          <w:u w:val="single"/>
          <w:lang w:val="en-US"/>
        </w:rPr>
        <w:t>Alcohol</w:t>
      </w:r>
    </w:p>
    <w:p w:rsidR="0014592C" w:rsidRPr="007D1775" w:rsidRDefault="0031308F" w:rsidP="002C4D23">
      <w:pPr>
        <w:outlineLvl w:val="0"/>
        <w:rPr>
          <w:rFonts w:cs="Arial"/>
          <w:lang w:val="en-US"/>
        </w:rPr>
      </w:pPr>
      <w:r w:rsidRPr="007D1775">
        <w:rPr>
          <w:rFonts w:cs="Arial"/>
          <w:lang w:val="en-US"/>
        </w:rPr>
        <w:t>Both alcohol and PDE5 inhibitors, including SPEDRA, act as vasodilators. When vasodilators are taken in combination, blood pressure-lowering effects of each individual compound may be increased. Substantial consumption of alcohol in combination with SPEDRA can increase the potential for orthostatic signs and symptoms, including increase in heart rate, decrease in standing blood pressure, dizziness, and headache</w:t>
      </w:r>
      <w:r w:rsidR="0014592C" w:rsidRPr="007D1775">
        <w:rPr>
          <w:rFonts w:cs="Arial"/>
          <w:lang w:val="en-US"/>
        </w:rPr>
        <w:t>.</w:t>
      </w:r>
    </w:p>
    <w:p w:rsidR="00AE62AF" w:rsidRDefault="000454B2" w:rsidP="00AE62AF">
      <w:pPr>
        <w:autoSpaceDE w:val="0"/>
        <w:autoSpaceDN w:val="0"/>
        <w:adjustRightInd w:val="0"/>
        <w:spacing w:before="120" w:after="120"/>
        <w:jc w:val="left"/>
        <w:rPr>
          <w:rFonts w:cs="Arial"/>
          <w:u w:val="single"/>
          <w:lang w:val="en-US"/>
        </w:rPr>
      </w:pPr>
      <w:r w:rsidRPr="007D1775">
        <w:rPr>
          <w:rFonts w:cs="Arial"/>
          <w:u w:val="single"/>
          <w:lang w:val="en-US"/>
        </w:rPr>
        <w:t>Other treatments for erectile dysfunction</w:t>
      </w:r>
    </w:p>
    <w:p w:rsidR="000454B2" w:rsidRPr="007D1775" w:rsidRDefault="000454B2" w:rsidP="000454B2">
      <w:pPr>
        <w:outlineLvl w:val="0"/>
        <w:rPr>
          <w:rFonts w:cs="Arial"/>
          <w:lang w:val="en-US"/>
        </w:rPr>
      </w:pPr>
      <w:r w:rsidRPr="007D1775">
        <w:rPr>
          <w:rFonts w:cs="Arial"/>
          <w:lang w:val="en-US"/>
        </w:rPr>
        <w:t xml:space="preserve">The safety and efficacy of combinations of </w:t>
      </w:r>
      <w:r w:rsidR="00F3116E" w:rsidRPr="007D1775">
        <w:rPr>
          <w:rFonts w:cs="Arial"/>
          <w:lang w:val="en-US"/>
        </w:rPr>
        <w:t>SPEDRA</w:t>
      </w:r>
      <w:r w:rsidRPr="007D1775">
        <w:rPr>
          <w:rFonts w:cs="Arial"/>
          <w:lang w:val="en-US"/>
        </w:rPr>
        <w:t xml:space="preserve"> and other PDE5 inhibitors or other treatments for erectile dysfunction have not been studied (see </w:t>
      </w:r>
      <w:r w:rsidR="002620C7" w:rsidRPr="007D1775">
        <w:rPr>
          <w:rFonts w:cs="Arial"/>
          <w:lang w:val="en-US"/>
        </w:rPr>
        <w:t>PRECAUTIONS</w:t>
      </w:r>
      <w:r w:rsidRPr="007D1775">
        <w:rPr>
          <w:rFonts w:cs="Arial"/>
          <w:lang w:val="en-US"/>
        </w:rPr>
        <w:t>).</w:t>
      </w:r>
    </w:p>
    <w:p w:rsidR="00AE62AF" w:rsidRDefault="005330ED" w:rsidP="00415645">
      <w:pPr>
        <w:spacing w:before="120" w:after="120"/>
        <w:rPr>
          <w:rFonts w:cs="Arial"/>
          <w:b/>
          <w:u w:val="single"/>
        </w:rPr>
      </w:pPr>
      <w:r w:rsidRPr="007D1775">
        <w:rPr>
          <w:rFonts w:cs="Arial"/>
          <w:b/>
          <w:u w:val="single"/>
        </w:rPr>
        <w:t xml:space="preserve">Potential for other Drugs to affect </w:t>
      </w:r>
      <w:r w:rsidR="00F3116E" w:rsidRPr="007D1775">
        <w:rPr>
          <w:rFonts w:cs="Arial"/>
          <w:b/>
          <w:u w:val="single"/>
        </w:rPr>
        <w:t>SPEDRA</w:t>
      </w:r>
    </w:p>
    <w:p w:rsidR="000454B2" w:rsidRPr="007D1775" w:rsidRDefault="00F3116E" w:rsidP="000454B2">
      <w:pPr>
        <w:outlineLvl w:val="0"/>
        <w:rPr>
          <w:rFonts w:cs="Arial"/>
          <w:lang w:val="en-US"/>
        </w:rPr>
      </w:pPr>
      <w:r w:rsidRPr="007D1775">
        <w:rPr>
          <w:rFonts w:cs="Arial"/>
          <w:lang w:val="en-US"/>
        </w:rPr>
        <w:t>SPEDRA</w:t>
      </w:r>
      <w:r w:rsidR="00F94114" w:rsidRPr="007D1775">
        <w:rPr>
          <w:rFonts w:cs="Arial"/>
          <w:lang w:val="en-US"/>
        </w:rPr>
        <w:t xml:space="preserve"> </w:t>
      </w:r>
      <w:r w:rsidR="000454B2" w:rsidRPr="007D1775">
        <w:rPr>
          <w:rFonts w:cs="Arial"/>
          <w:lang w:val="en-US"/>
        </w:rPr>
        <w:t>is a substrate of</w:t>
      </w:r>
      <w:r w:rsidR="00870618">
        <w:rPr>
          <w:rFonts w:cs="Arial"/>
          <w:lang w:val="en-US"/>
        </w:rPr>
        <w:t>,</w:t>
      </w:r>
      <w:r w:rsidR="000454B2" w:rsidRPr="007D1775">
        <w:rPr>
          <w:rFonts w:cs="Arial"/>
          <w:lang w:val="en-US"/>
        </w:rPr>
        <w:t xml:space="preserve"> and predominantly </w:t>
      </w:r>
      <w:proofErr w:type="spellStart"/>
      <w:r w:rsidR="000454B2" w:rsidRPr="007D1775">
        <w:rPr>
          <w:rFonts w:cs="Arial"/>
          <w:lang w:val="en-US"/>
        </w:rPr>
        <w:t>metabolised</w:t>
      </w:r>
      <w:proofErr w:type="spellEnd"/>
      <w:r w:rsidR="000454B2" w:rsidRPr="007D1775">
        <w:rPr>
          <w:rFonts w:cs="Arial"/>
          <w:lang w:val="en-US"/>
        </w:rPr>
        <w:t xml:space="preserve"> by</w:t>
      </w:r>
      <w:r w:rsidR="00870618">
        <w:rPr>
          <w:rFonts w:cs="Arial"/>
          <w:lang w:val="en-US"/>
        </w:rPr>
        <w:t xml:space="preserve">, </w:t>
      </w:r>
      <w:r w:rsidR="000454B2" w:rsidRPr="007D1775">
        <w:rPr>
          <w:rFonts w:cs="Arial"/>
          <w:lang w:val="en-US"/>
        </w:rPr>
        <w:t xml:space="preserve">CYP3A4. Studies have shown that </w:t>
      </w:r>
      <w:r w:rsidR="00C779A4" w:rsidRPr="007D1775">
        <w:rPr>
          <w:rFonts w:cs="Arial"/>
          <w:lang w:val="en-US"/>
        </w:rPr>
        <w:t xml:space="preserve">medicines </w:t>
      </w:r>
      <w:r w:rsidR="000454B2" w:rsidRPr="007D1775">
        <w:rPr>
          <w:rFonts w:cs="Arial"/>
          <w:lang w:val="en-US"/>
        </w:rPr>
        <w:t xml:space="preserve">that inhibit CYP3A4 can increase </w:t>
      </w:r>
      <w:r w:rsidRPr="007D1775">
        <w:rPr>
          <w:rFonts w:cs="Arial"/>
          <w:lang w:val="en-US"/>
        </w:rPr>
        <w:t>SPEDRA</w:t>
      </w:r>
      <w:r w:rsidR="00F94114" w:rsidRPr="007D1775">
        <w:rPr>
          <w:rFonts w:cs="Arial"/>
          <w:lang w:val="en-US"/>
        </w:rPr>
        <w:t xml:space="preserve"> </w:t>
      </w:r>
      <w:r w:rsidR="000454B2" w:rsidRPr="007D1775">
        <w:rPr>
          <w:rFonts w:cs="Arial"/>
          <w:lang w:val="en-US"/>
        </w:rPr>
        <w:t xml:space="preserve">exposure (see </w:t>
      </w:r>
      <w:r w:rsidR="002620C7" w:rsidRPr="007D1775">
        <w:rPr>
          <w:rFonts w:cs="Arial"/>
          <w:lang w:val="en-US"/>
        </w:rPr>
        <w:t>PRECAUTIONS</w:t>
      </w:r>
      <w:r w:rsidR="000454B2" w:rsidRPr="007D1775">
        <w:rPr>
          <w:rFonts w:cs="Arial"/>
          <w:lang w:val="en-US"/>
        </w:rPr>
        <w:t>).</w:t>
      </w:r>
    </w:p>
    <w:p w:rsidR="00AE62AF" w:rsidRPr="00AE62AF" w:rsidRDefault="00AE62AF" w:rsidP="00AE62AF">
      <w:pPr>
        <w:spacing w:before="120" w:after="120"/>
        <w:outlineLvl w:val="0"/>
        <w:rPr>
          <w:rFonts w:cs="Arial"/>
          <w:i/>
          <w:u w:val="single"/>
          <w:lang w:val="en-US"/>
        </w:rPr>
      </w:pPr>
      <w:r w:rsidRPr="00AE62AF">
        <w:rPr>
          <w:rFonts w:cs="Arial"/>
          <w:i/>
          <w:u w:val="single"/>
          <w:lang w:val="en-US"/>
        </w:rPr>
        <w:t>Strong CYP3A4 Inhibitors</w:t>
      </w:r>
    </w:p>
    <w:p w:rsidR="006D4DC4" w:rsidRPr="007D1775" w:rsidRDefault="000454B2" w:rsidP="000454B2">
      <w:pPr>
        <w:outlineLvl w:val="0"/>
        <w:rPr>
          <w:rFonts w:cs="Arial"/>
          <w:lang w:val="en-US"/>
        </w:rPr>
      </w:pPr>
      <w:r w:rsidRPr="007D1775">
        <w:rPr>
          <w:rFonts w:cs="Arial"/>
          <w:lang w:val="en-US"/>
        </w:rPr>
        <w:t xml:space="preserve">Ketoconazole (400 mg daily), a selective and highly potent inhibitor of CYP3A4, increased </w:t>
      </w:r>
      <w:r w:rsidR="00F3116E" w:rsidRPr="007D1775">
        <w:rPr>
          <w:rFonts w:cs="Arial"/>
          <w:lang w:val="en-US"/>
        </w:rPr>
        <w:t>SPEDRA</w:t>
      </w:r>
      <w:r w:rsidRPr="007D1775">
        <w:rPr>
          <w:rFonts w:cs="Arial"/>
          <w:lang w:val="en-US"/>
        </w:rPr>
        <w:t xml:space="preserve"> 50 mg single</w:t>
      </w:r>
      <w:r w:rsidRPr="007D1775">
        <w:rPr>
          <w:rFonts w:cs="Arial"/>
          <w:lang w:val="en-US"/>
        </w:rPr>
        <w:noBreakHyphen/>
        <w:t xml:space="preserve">dose </w:t>
      </w:r>
      <w:proofErr w:type="spellStart"/>
      <w:r w:rsidRPr="007D1775">
        <w:rPr>
          <w:rFonts w:cs="Arial"/>
          <w:lang w:val="en-US"/>
        </w:rPr>
        <w:t>C</w:t>
      </w:r>
      <w:r w:rsidRPr="007D1775">
        <w:rPr>
          <w:rFonts w:cs="Arial"/>
          <w:vertAlign w:val="subscript"/>
          <w:lang w:val="en-US"/>
        </w:rPr>
        <w:t>max</w:t>
      </w:r>
      <w:proofErr w:type="spellEnd"/>
      <w:r w:rsidRPr="007D1775">
        <w:rPr>
          <w:rFonts w:cs="Arial"/>
          <w:lang w:val="en-US"/>
        </w:rPr>
        <w:t xml:space="preserve"> and exposure (AUC) equal to 3-fold and 14-fold respectively and prolonged the half-life of </w:t>
      </w:r>
      <w:r w:rsidR="00F3116E" w:rsidRPr="007D1775">
        <w:rPr>
          <w:rFonts w:cs="Arial"/>
          <w:lang w:val="en-US"/>
        </w:rPr>
        <w:t>SPEDRA</w:t>
      </w:r>
      <w:r w:rsidRPr="007D1775">
        <w:rPr>
          <w:rFonts w:cs="Arial"/>
          <w:lang w:val="en-US"/>
        </w:rPr>
        <w:t xml:space="preserve"> to approximately 9 hours. </w:t>
      </w:r>
    </w:p>
    <w:p w:rsidR="006D4DC4" w:rsidRPr="007D1775" w:rsidRDefault="000454B2" w:rsidP="000454B2">
      <w:pPr>
        <w:outlineLvl w:val="0"/>
        <w:rPr>
          <w:rFonts w:cs="Arial"/>
          <w:lang w:val="en-US"/>
        </w:rPr>
      </w:pPr>
      <w:r w:rsidRPr="007D1775">
        <w:rPr>
          <w:rFonts w:cs="Arial"/>
          <w:lang w:val="en-US"/>
        </w:rPr>
        <w:t xml:space="preserve">Ritonavir (600 mg twice daily), a highly potent CYP3A4 inhibitor, which also inhibits CYP2C9, increased </w:t>
      </w:r>
      <w:r w:rsidR="00F3116E" w:rsidRPr="007D1775">
        <w:rPr>
          <w:rFonts w:cs="Arial"/>
          <w:lang w:val="en-US"/>
        </w:rPr>
        <w:t>SPEDRA</w:t>
      </w:r>
      <w:r w:rsidRPr="007D1775">
        <w:rPr>
          <w:rFonts w:cs="Arial"/>
          <w:lang w:val="en-US"/>
        </w:rPr>
        <w:t xml:space="preserve"> 50 mg single-dose </w:t>
      </w:r>
      <w:proofErr w:type="spellStart"/>
      <w:r w:rsidRPr="007D1775">
        <w:rPr>
          <w:rFonts w:cs="Arial"/>
          <w:lang w:val="en-US"/>
        </w:rPr>
        <w:t>C</w:t>
      </w:r>
      <w:r w:rsidRPr="007D1775">
        <w:rPr>
          <w:rFonts w:cs="Arial"/>
          <w:vertAlign w:val="subscript"/>
          <w:lang w:val="en-US"/>
        </w:rPr>
        <w:t>max</w:t>
      </w:r>
      <w:proofErr w:type="spellEnd"/>
      <w:r w:rsidRPr="007D1775">
        <w:rPr>
          <w:rFonts w:cs="Arial"/>
          <w:lang w:val="en-US"/>
        </w:rPr>
        <w:t xml:space="preserve"> and AUC equal to approximately 2-fold and 13-fold, and prolonged the half-life of </w:t>
      </w:r>
      <w:r w:rsidR="00F3116E" w:rsidRPr="007D1775">
        <w:rPr>
          <w:rFonts w:cs="Arial"/>
          <w:lang w:val="en-US"/>
        </w:rPr>
        <w:t>SPEDRA</w:t>
      </w:r>
      <w:r w:rsidRPr="007D1775">
        <w:rPr>
          <w:rFonts w:cs="Arial"/>
          <w:lang w:val="en-US"/>
        </w:rPr>
        <w:t xml:space="preserve"> to approximately 9 hours. </w:t>
      </w:r>
    </w:p>
    <w:p w:rsidR="000454B2" w:rsidRPr="007D1775" w:rsidRDefault="000454B2" w:rsidP="000454B2">
      <w:pPr>
        <w:outlineLvl w:val="0"/>
        <w:rPr>
          <w:rFonts w:cs="Arial"/>
          <w:u w:val="single"/>
          <w:lang w:val="en-US"/>
        </w:rPr>
      </w:pPr>
      <w:r w:rsidRPr="007D1775">
        <w:rPr>
          <w:rFonts w:cs="Arial"/>
          <w:lang w:val="en-US"/>
        </w:rPr>
        <w:t xml:space="preserve">Other strong inhibitors of CYP3A4 (e.g. </w:t>
      </w:r>
      <w:proofErr w:type="spellStart"/>
      <w:r w:rsidRPr="007D1775">
        <w:rPr>
          <w:rFonts w:cs="Arial"/>
          <w:lang w:val="en-US"/>
        </w:rPr>
        <w:t>itraconazole</w:t>
      </w:r>
      <w:proofErr w:type="spellEnd"/>
      <w:r w:rsidRPr="007D1775">
        <w:rPr>
          <w:rFonts w:cs="Arial"/>
          <w:lang w:val="en-US"/>
        </w:rPr>
        <w:t xml:space="preserve">, </w:t>
      </w:r>
      <w:proofErr w:type="spellStart"/>
      <w:r w:rsidRPr="007D1775">
        <w:rPr>
          <w:rFonts w:cs="Arial"/>
          <w:lang w:val="en-US"/>
        </w:rPr>
        <w:t>voriconazole</w:t>
      </w:r>
      <w:proofErr w:type="spellEnd"/>
      <w:r w:rsidRPr="007D1775">
        <w:rPr>
          <w:rFonts w:cs="Arial"/>
          <w:lang w:val="en-US"/>
        </w:rPr>
        <w:t xml:space="preserve">, clarithromycin, </w:t>
      </w:r>
      <w:proofErr w:type="spellStart"/>
      <w:r w:rsidRPr="007D1775">
        <w:rPr>
          <w:rFonts w:cs="Arial"/>
          <w:lang w:val="en-US"/>
        </w:rPr>
        <w:t>nefaz</w:t>
      </w:r>
      <w:r w:rsidR="00A2748C" w:rsidRPr="007D1775">
        <w:rPr>
          <w:rFonts w:cs="Arial"/>
          <w:lang w:val="en-US"/>
        </w:rPr>
        <w:t>o</w:t>
      </w:r>
      <w:r w:rsidRPr="007D1775">
        <w:rPr>
          <w:rFonts w:cs="Arial"/>
          <w:lang w:val="en-US"/>
        </w:rPr>
        <w:t>done</w:t>
      </w:r>
      <w:proofErr w:type="spellEnd"/>
      <w:r w:rsidRPr="007D1775">
        <w:rPr>
          <w:rFonts w:cs="Arial"/>
          <w:lang w:val="en-US"/>
        </w:rPr>
        <w:t xml:space="preserve">, </w:t>
      </w:r>
      <w:proofErr w:type="spellStart"/>
      <w:r w:rsidRPr="007D1775">
        <w:rPr>
          <w:rFonts w:cs="Arial"/>
          <w:lang w:val="en-US"/>
        </w:rPr>
        <w:t>saquinavir</w:t>
      </w:r>
      <w:proofErr w:type="spellEnd"/>
      <w:r w:rsidRPr="007D1775">
        <w:rPr>
          <w:rFonts w:cs="Arial"/>
          <w:lang w:val="en-US"/>
        </w:rPr>
        <w:t xml:space="preserve">, nelfinavir, </w:t>
      </w:r>
      <w:proofErr w:type="spellStart"/>
      <w:r w:rsidRPr="007D1775">
        <w:rPr>
          <w:rFonts w:cs="Arial"/>
          <w:lang w:val="en-US"/>
        </w:rPr>
        <w:t>indinavir</w:t>
      </w:r>
      <w:proofErr w:type="spellEnd"/>
      <w:r w:rsidRPr="007D1775">
        <w:rPr>
          <w:rFonts w:cs="Arial"/>
          <w:lang w:val="en-US"/>
        </w:rPr>
        <w:t xml:space="preserve">, </w:t>
      </w:r>
      <w:proofErr w:type="spellStart"/>
      <w:r w:rsidRPr="007D1775">
        <w:rPr>
          <w:rFonts w:cs="Arial"/>
          <w:lang w:val="en-US"/>
        </w:rPr>
        <w:t>ata</w:t>
      </w:r>
      <w:r w:rsidR="00A2748C" w:rsidRPr="007D1775">
        <w:rPr>
          <w:rFonts w:cs="Arial"/>
          <w:lang w:val="en-US"/>
        </w:rPr>
        <w:t>zanavir</w:t>
      </w:r>
      <w:r w:rsidRPr="007D1775">
        <w:rPr>
          <w:rFonts w:cs="Arial"/>
          <w:lang w:val="en-US"/>
        </w:rPr>
        <w:t>r</w:t>
      </w:r>
      <w:proofErr w:type="spellEnd"/>
      <w:r w:rsidRPr="007D1775">
        <w:rPr>
          <w:rFonts w:cs="Arial"/>
          <w:lang w:val="en-US"/>
        </w:rPr>
        <w:t xml:space="preserve">, and </w:t>
      </w:r>
      <w:proofErr w:type="spellStart"/>
      <w:r w:rsidRPr="007D1775">
        <w:rPr>
          <w:rFonts w:cs="Arial"/>
          <w:lang w:val="en-US"/>
        </w:rPr>
        <w:t>telithromycin</w:t>
      </w:r>
      <w:proofErr w:type="spellEnd"/>
      <w:r w:rsidRPr="007D1775">
        <w:rPr>
          <w:rFonts w:cs="Arial"/>
          <w:lang w:val="en-US"/>
        </w:rPr>
        <w:t xml:space="preserve">) would be expected to have similar effects. Consequently, co-administration of </w:t>
      </w:r>
      <w:r w:rsidR="00F3116E" w:rsidRPr="007D1775">
        <w:rPr>
          <w:rFonts w:cs="Arial"/>
          <w:lang w:val="en-US"/>
        </w:rPr>
        <w:t>SPEDRA</w:t>
      </w:r>
      <w:r w:rsidRPr="007D1775">
        <w:rPr>
          <w:rFonts w:cs="Arial"/>
          <w:lang w:val="en-US"/>
        </w:rPr>
        <w:t xml:space="preserve"> with potent CYP3A4 inhibitors is </w:t>
      </w:r>
      <w:r w:rsidR="0050122E" w:rsidRPr="007D1775">
        <w:rPr>
          <w:rFonts w:cs="Arial"/>
          <w:lang w:val="en-US"/>
        </w:rPr>
        <w:t xml:space="preserve">contraindicated </w:t>
      </w:r>
      <w:r w:rsidR="00745FD1" w:rsidRPr="007D1775">
        <w:rPr>
          <w:rFonts w:cs="Arial"/>
          <w:lang w:val="en-US"/>
        </w:rPr>
        <w:t>(</w:t>
      </w:r>
      <w:r w:rsidR="006D4DC4" w:rsidRPr="007D1775">
        <w:rPr>
          <w:rFonts w:cs="Arial"/>
          <w:lang w:val="en-US"/>
        </w:rPr>
        <w:t xml:space="preserve">see </w:t>
      </w:r>
      <w:r w:rsidR="0014592C" w:rsidRPr="007D1775">
        <w:rPr>
          <w:rFonts w:cs="Arial"/>
          <w:lang w:val="en-US"/>
        </w:rPr>
        <w:t>CONTRAINDICATIONS</w:t>
      </w:r>
      <w:r w:rsidRPr="007D1775">
        <w:rPr>
          <w:rFonts w:cs="Arial"/>
          <w:lang w:val="en-US"/>
        </w:rPr>
        <w:t>).</w:t>
      </w:r>
    </w:p>
    <w:p w:rsidR="00AE62AF" w:rsidRPr="00AE62AF" w:rsidRDefault="00AE62AF" w:rsidP="00F11A63">
      <w:pPr>
        <w:pageBreakBefore/>
        <w:spacing w:before="120" w:after="120"/>
        <w:outlineLvl w:val="0"/>
        <w:rPr>
          <w:rFonts w:cs="Arial"/>
          <w:i/>
          <w:u w:val="single"/>
          <w:lang w:val="en-US"/>
        </w:rPr>
      </w:pPr>
      <w:r w:rsidRPr="00AE62AF">
        <w:rPr>
          <w:rFonts w:cs="Arial"/>
          <w:i/>
          <w:u w:val="single"/>
          <w:lang w:val="en-US"/>
        </w:rPr>
        <w:lastRenderedPageBreak/>
        <w:t>Moderate CYP3A4 Inhibitors</w:t>
      </w:r>
    </w:p>
    <w:p w:rsidR="000454B2" w:rsidRPr="007D1775" w:rsidRDefault="000454B2" w:rsidP="000454B2">
      <w:pPr>
        <w:outlineLvl w:val="0"/>
        <w:rPr>
          <w:rFonts w:cs="Arial"/>
          <w:u w:val="single"/>
          <w:lang w:val="en-US"/>
        </w:rPr>
      </w:pPr>
      <w:r w:rsidRPr="007D1775">
        <w:rPr>
          <w:rFonts w:cs="Arial"/>
          <w:lang w:val="en-US"/>
        </w:rPr>
        <w:t xml:space="preserve">Erythromycin (500 mg twice daily), a moderate CYP3A4 inhibitor, increased </w:t>
      </w:r>
      <w:r w:rsidR="00F3116E" w:rsidRPr="007D1775">
        <w:rPr>
          <w:rFonts w:cs="Arial"/>
          <w:lang w:val="en-US"/>
        </w:rPr>
        <w:t>SPEDRA</w:t>
      </w:r>
      <w:r w:rsidRPr="007D1775">
        <w:rPr>
          <w:rFonts w:cs="Arial"/>
          <w:lang w:val="en-US"/>
        </w:rPr>
        <w:t xml:space="preserve"> 200 mg single-dose </w:t>
      </w:r>
      <w:proofErr w:type="spellStart"/>
      <w:r w:rsidRPr="007D1775">
        <w:rPr>
          <w:rFonts w:cs="Arial"/>
          <w:lang w:val="en-US"/>
        </w:rPr>
        <w:t>C</w:t>
      </w:r>
      <w:r w:rsidRPr="007D1775">
        <w:rPr>
          <w:rFonts w:cs="Arial"/>
          <w:vertAlign w:val="subscript"/>
          <w:lang w:val="en-US"/>
        </w:rPr>
        <w:t>max</w:t>
      </w:r>
      <w:proofErr w:type="spellEnd"/>
      <w:r w:rsidRPr="007D1775">
        <w:rPr>
          <w:rFonts w:cs="Arial"/>
          <w:lang w:val="en-US"/>
        </w:rPr>
        <w:t xml:space="preserve"> and AUC equal to approximately 2</w:t>
      </w:r>
      <w:r w:rsidRPr="007D1775">
        <w:rPr>
          <w:rFonts w:cs="Arial"/>
          <w:lang w:val="en-US"/>
        </w:rPr>
        <w:noBreakHyphen/>
        <w:t xml:space="preserve">fold and 3-fold, respectively, and prolonged the half-life of </w:t>
      </w:r>
      <w:r w:rsidR="00F3116E" w:rsidRPr="007D1775">
        <w:rPr>
          <w:rFonts w:cs="Arial"/>
          <w:lang w:val="en-US"/>
        </w:rPr>
        <w:t>SPEDRA</w:t>
      </w:r>
      <w:r w:rsidRPr="007D1775">
        <w:rPr>
          <w:rFonts w:cs="Arial"/>
          <w:lang w:val="en-US"/>
        </w:rPr>
        <w:t xml:space="preserve"> to approximately 8 hours. Other m</w:t>
      </w:r>
      <w:r w:rsidR="00A46867" w:rsidRPr="007D1775">
        <w:rPr>
          <w:rFonts w:cs="Arial"/>
          <w:lang w:val="en-US"/>
        </w:rPr>
        <w:t>oderate CYP3A4 inhibitors (</w:t>
      </w:r>
      <w:r w:rsidR="00DC27CC" w:rsidRPr="007D1775">
        <w:rPr>
          <w:rFonts w:cs="Arial"/>
          <w:lang w:val="en-US"/>
        </w:rPr>
        <w:t>e.g.</w:t>
      </w:r>
      <w:r w:rsidRPr="007D1775">
        <w:rPr>
          <w:rFonts w:cs="Arial"/>
          <w:lang w:val="en-US"/>
        </w:rPr>
        <w:t xml:space="preserve"> </w:t>
      </w:r>
      <w:proofErr w:type="spellStart"/>
      <w:r w:rsidRPr="007D1775">
        <w:rPr>
          <w:rFonts w:cs="Arial"/>
          <w:lang w:val="en-US"/>
        </w:rPr>
        <w:t>amprenavir</w:t>
      </w:r>
      <w:proofErr w:type="spellEnd"/>
      <w:r w:rsidRPr="007D1775">
        <w:rPr>
          <w:rFonts w:cs="Arial"/>
          <w:lang w:val="en-US"/>
        </w:rPr>
        <w:t xml:space="preserve">, </w:t>
      </w:r>
      <w:proofErr w:type="spellStart"/>
      <w:r w:rsidRPr="007D1775">
        <w:rPr>
          <w:rFonts w:cs="Arial"/>
          <w:lang w:val="en-US"/>
        </w:rPr>
        <w:t>aprepitant</w:t>
      </w:r>
      <w:proofErr w:type="spellEnd"/>
      <w:r w:rsidRPr="007D1775">
        <w:rPr>
          <w:rFonts w:cs="Arial"/>
          <w:lang w:val="en-US"/>
        </w:rPr>
        <w:t xml:space="preserve">, diltiazem, fluconazole, </w:t>
      </w:r>
      <w:proofErr w:type="spellStart"/>
      <w:r w:rsidRPr="007D1775">
        <w:rPr>
          <w:rFonts w:cs="Arial"/>
          <w:lang w:val="en-US"/>
        </w:rPr>
        <w:t>fosamprenavir</w:t>
      </w:r>
      <w:proofErr w:type="spellEnd"/>
      <w:r w:rsidRPr="007D1775">
        <w:rPr>
          <w:rFonts w:cs="Arial"/>
          <w:lang w:val="en-US"/>
        </w:rPr>
        <w:t xml:space="preserve">, and verapamil) would be expected to have similar effects. Consequently, the maximum recommended dose of </w:t>
      </w:r>
      <w:r w:rsidR="00F3116E" w:rsidRPr="007D1775">
        <w:rPr>
          <w:rFonts w:cs="Arial"/>
          <w:lang w:val="en-US"/>
        </w:rPr>
        <w:t>SPEDRA</w:t>
      </w:r>
      <w:r w:rsidRPr="007D1775">
        <w:rPr>
          <w:rFonts w:cs="Arial"/>
          <w:lang w:val="en-US"/>
        </w:rPr>
        <w:t xml:space="preserve"> is 100 mg, not to exceed once every 48 hours for patients taking concomitant moderate CYP3A4 inhibitors</w:t>
      </w:r>
      <w:r w:rsidR="006D4DC4" w:rsidRPr="007D1775">
        <w:rPr>
          <w:rFonts w:cs="Arial"/>
          <w:lang w:val="en-US"/>
        </w:rPr>
        <w:t xml:space="preserve"> (see </w:t>
      </w:r>
      <w:r w:rsidR="002620C7" w:rsidRPr="007D1775">
        <w:rPr>
          <w:rFonts w:cs="Arial"/>
          <w:lang w:val="en-US"/>
        </w:rPr>
        <w:t>PRECAUTIONS</w:t>
      </w:r>
      <w:r w:rsidRPr="007D1775">
        <w:rPr>
          <w:rFonts w:cs="Arial"/>
          <w:lang w:val="en-US"/>
        </w:rPr>
        <w:t>).</w:t>
      </w:r>
    </w:p>
    <w:p w:rsidR="00C779A4" w:rsidRPr="007D1775" w:rsidRDefault="000454B2" w:rsidP="000454B2">
      <w:pPr>
        <w:outlineLvl w:val="0"/>
        <w:rPr>
          <w:rFonts w:cs="Arial"/>
          <w:u w:val="single"/>
          <w:lang w:val="en-US"/>
        </w:rPr>
      </w:pPr>
      <w:r w:rsidRPr="007D1775">
        <w:rPr>
          <w:rFonts w:cs="Arial"/>
          <w:lang w:val="en-US"/>
        </w:rPr>
        <w:t xml:space="preserve">Although specific interactions have not been studied, other CYP3A4 inhibitors, including grapefruit juice would likely increase </w:t>
      </w:r>
      <w:r w:rsidR="00F3116E" w:rsidRPr="007D1775">
        <w:rPr>
          <w:rFonts w:cs="Arial"/>
          <w:lang w:val="en-US"/>
        </w:rPr>
        <w:t>SPEDRA</w:t>
      </w:r>
      <w:r w:rsidRPr="007D1775">
        <w:rPr>
          <w:rFonts w:cs="Arial"/>
          <w:lang w:val="en-US"/>
        </w:rPr>
        <w:t xml:space="preserve"> exposure. Patients should be advised to avoid grapefruit juice within 24 hours prior to taking </w:t>
      </w:r>
      <w:r w:rsidR="00F3116E" w:rsidRPr="007D1775">
        <w:rPr>
          <w:rFonts w:cs="Arial"/>
          <w:lang w:val="en-US"/>
        </w:rPr>
        <w:t>SPEDRA</w:t>
      </w:r>
      <w:r w:rsidRPr="007D1775">
        <w:rPr>
          <w:rFonts w:cs="Arial"/>
          <w:lang w:val="en-US"/>
        </w:rPr>
        <w:t>.</w:t>
      </w:r>
    </w:p>
    <w:p w:rsidR="00B523DB" w:rsidRDefault="00B523DB">
      <w:pPr>
        <w:spacing w:after="0"/>
        <w:jc w:val="left"/>
        <w:rPr>
          <w:rFonts w:cs="Arial"/>
          <w:i/>
          <w:u w:val="single"/>
          <w:lang w:val="en-US"/>
        </w:rPr>
      </w:pPr>
      <w:r>
        <w:rPr>
          <w:rFonts w:cs="Arial"/>
          <w:i/>
          <w:u w:val="single"/>
          <w:lang w:val="en-US"/>
        </w:rPr>
        <w:br w:type="page"/>
      </w:r>
    </w:p>
    <w:p w:rsidR="00AE62AF" w:rsidRPr="00AE62AF" w:rsidRDefault="00AE62AF" w:rsidP="00AE62AF">
      <w:pPr>
        <w:spacing w:before="120" w:after="120"/>
        <w:outlineLvl w:val="0"/>
        <w:rPr>
          <w:rFonts w:cs="Arial"/>
          <w:i/>
          <w:u w:val="single"/>
          <w:lang w:val="en-US"/>
        </w:rPr>
      </w:pPr>
      <w:r w:rsidRPr="00AE62AF">
        <w:rPr>
          <w:rFonts w:cs="Arial"/>
          <w:i/>
          <w:u w:val="single"/>
          <w:lang w:val="en-US"/>
        </w:rPr>
        <w:lastRenderedPageBreak/>
        <w:t>CYP3A4 substrate</w:t>
      </w:r>
    </w:p>
    <w:p w:rsidR="000454B2" w:rsidRPr="007D1775" w:rsidRDefault="000454B2" w:rsidP="000454B2">
      <w:pPr>
        <w:outlineLvl w:val="0"/>
        <w:rPr>
          <w:rFonts w:cs="Arial"/>
          <w:lang w:val="en-US"/>
        </w:rPr>
      </w:pPr>
      <w:r w:rsidRPr="007D1775">
        <w:rPr>
          <w:rFonts w:cs="Arial"/>
          <w:lang w:val="en-US"/>
        </w:rPr>
        <w:t xml:space="preserve">Amlodipine (5 mg daily) increased </w:t>
      </w:r>
      <w:r w:rsidR="00F3116E" w:rsidRPr="007D1775">
        <w:rPr>
          <w:rFonts w:cs="Arial"/>
          <w:lang w:val="en-US"/>
        </w:rPr>
        <w:t>SPEDRA</w:t>
      </w:r>
      <w:r w:rsidRPr="007D1775">
        <w:rPr>
          <w:rFonts w:cs="Arial"/>
          <w:lang w:val="en-US"/>
        </w:rPr>
        <w:t xml:space="preserve"> 200 mg</w:t>
      </w:r>
      <w:r w:rsidR="00415645">
        <w:rPr>
          <w:rFonts w:cs="Arial"/>
          <w:lang w:val="en-US"/>
        </w:rPr>
        <w:t xml:space="preserve"> </w:t>
      </w:r>
      <w:r w:rsidRPr="007D1775">
        <w:rPr>
          <w:rFonts w:cs="Arial"/>
          <w:lang w:val="en-US"/>
        </w:rPr>
        <w:t xml:space="preserve">single-dose </w:t>
      </w:r>
      <w:proofErr w:type="spellStart"/>
      <w:r w:rsidRPr="007D1775">
        <w:rPr>
          <w:rFonts w:cs="Arial"/>
          <w:lang w:val="en-US"/>
        </w:rPr>
        <w:t>C</w:t>
      </w:r>
      <w:r w:rsidRPr="007D1775">
        <w:rPr>
          <w:rFonts w:cs="Arial"/>
          <w:vertAlign w:val="subscript"/>
          <w:lang w:val="en-US"/>
        </w:rPr>
        <w:t>max</w:t>
      </w:r>
      <w:proofErr w:type="spellEnd"/>
      <w:r w:rsidRPr="007D1775">
        <w:rPr>
          <w:rFonts w:cs="Arial"/>
          <w:lang w:val="en-US"/>
        </w:rPr>
        <w:t xml:space="preserve"> and AUC by approximately 28% and 60%, respectively. These exposure changes are not considered clinically significant. There was no effect of a single dose of </w:t>
      </w:r>
      <w:r w:rsidR="00F3116E" w:rsidRPr="007D1775">
        <w:rPr>
          <w:rFonts w:cs="Arial"/>
          <w:lang w:val="en-US"/>
        </w:rPr>
        <w:t>SPEDRA</w:t>
      </w:r>
      <w:r w:rsidR="00F94114" w:rsidRPr="007D1775">
        <w:rPr>
          <w:rFonts w:cs="Arial"/>
          <w:lang w:val="en-US"/>
        </w:rPr>
        <w:t xml:space="preserve"> </w:t>
      </w:r>
      <w:r w:rsidRPr="007D1775">
        <w:rPr>
          <w:rFonts w:cs="Arial"/>
          <w:lang w:val="en-US"/>
        </w:rPr>
        <w:t>on amlodipine plasma levels.</w:t>
      </w:r>
    </w:p>
    <w:p w:rsidR="000454B2" w:rsidRPr="007D1775" w:rsidRDefault="000454B2" w:rsidP="000454B2">
      <w:pPr>
        <w:outlineLvl w:val="0"/>
        <w:rPr>
          <w:rFonts w:cs="Arial"/>
          <w:u w:val="single"/>
          <w:lang w:val="en-US"/>
        </w:rPr>
      </w:pPr>
      <w:r w:rsidRPr="007D1775">
        <w:rPr>
          <w:rFonts w:cs="Arial"/>
          <w:lang w:val="en-US"/>
        </w:rPr>
        <w:t xml:space="preserve">Although specific interactions of </w:t>
      </w:r>
      <w:r w:rsidR="00F3116E" w:rsidRPr="007D1775">
        <w:rPr>
          <w:rFonts w:cs="Arial"/>
          <w:lang w:val="en-US"/>
        </w:rPr>
        <w:t>SPEDRA</w:t>
      </w:r>
      <w:r w:rsidR="00F94114" w:rsidRPr="007D1775">
        <w:rPr>
          <w:rFonts w:cs="Arial"/>
          <w:lang w:val="en-US"/>
        </w:rPr>
        <w:t xml:space="preserve"> </w:t>
      </w:r>
      <w:r w:rsidRPr="007D1775">
        <w:rPr>
          <w:rFonts w:cs="Arial"/>
          <w:lang w:val="en-US"/>
        </w:rPr>
        <w:t xml:space="preserve">with rivaroxaban and </w:t>
      </w:r>
      <w:proofErr w:type="spellStart"/>
      <w:r w:rsidRPr="007D1775">
        <w:rPr>
          <w:rFonts w:cs="Arial"/>
          <w:lang w:val="en-US"/>
        </w:rPr>
        <w:t>apixaban</w:t>
      </w:r>
      <w:proofErr w:type="spellEnd"/>
      <w:r w:rsidRPr="007D1775">
        <w:rPr>
          <w:rFonts w:cs="Arial"/>
          <w:lang w:val="en-US"/>
        </w:rPr>
        <w:t xml:space="preserve"> (both CYP3A4 substrates) have not been studied, an interaction is not expected.</w:t>
      </w:r>
    </w:p>
    <w:p w:rsidR="00AE62AF" w:rsidRPr="00AE62AF" w:rsidRDefault="00AE62AF" w:rsidP="00AE62AF">
      <w:pPr>
        <w:spacing w:before="120" w:after="120"/>
        <w:outlineLvl w:val="0"/>
        <w:rPr>
          <w:rFonts w:cs="Arial"/>
          <w:i/>
          <w:u w:val="single"/>
          <w:lang w:val="en-US"/>
        </w:rPr>
      </w:pPr>
      <w:r w:rsidRPr="00AE62AF">
        <w:rPr>
          <w:rFonts w:cs="Arial"/>
          <w:i/>
          <w:u w:val="single"/>
          <w:lang w:val="en-US"/>
        </w:rPr>
        <w:t>Cytochrome P450 Inducers</w:t>
      </w:r>
    </w:p>
    <w:p w:rsidR="00B065F1" w:rsidRPr="007D1775" w:rsidRDefault="000454B2" w:rsidP="000454B2">
      <w:pPr>
        <w:rPr>
          <w:rFonts w:cs="Arial"/>
          <w:lang w:val="en-US"/>
        </w:rPr>
      </w:pPr>
      <w:r w:rsidRPr="007D1775">
        <w:rPr>
          <w:rFonts w:cs="Arial"/>
          <w:lang w:val="en-US"/>
        </w:rPr>
        <w:t xml:space="preserve">The potential effect of CYP inducers, especially inducers of CYP3A4 (e.g. </w:t>
      </w:r>
      <w:proofErr w:type="spellStart"/>
      <w:r w:rsidRPr="007D1775">
        <w:rPr>
          <w:rFonts w:cs="Arial"/>
          <w:lang w:val="en-US"/>
        </w:rPr>
        <w:t>bosentan</w:t>
      </w:r>
      <w:proofErr w:type="spellEnd"/>
      <w:r w:rsidRPr="007D1775">
        <w:rPr>
          <w:rFonts w:cs="Arial"/>
          <w:lang w:val="en-US"/>
        </w:rPr>
        <w:t xml:space="preserve">, carbamazepine, </w:t>
      </w:r>
      <w:proofErr w:type="spellStart"/>
      <w:r w:rsidRPr="007D1775">
        <w:rPr>
          <w:rFonts w:cs="Arial"/>
          <w:lang w:val="en-US"/>
        </w:rPr>
        <w:t>efavirenz</w:t>
      </w:r>
      <w:proofErr w:type="spellEnd"/>
      <w:r w:rsidRPr="007D1775">
        <w:rPr>
          <w:rFonts w:cs="Arial"/>
          <w:lang w:val="en-US"/>
        </w:rPr>
        <w:t xml:space="preserve">, </w:t>
      </w:r>
      <w:proofErr w:type="spellStart"/>
      <w:r w:rsidRPr="007D1775">
        <w:rPr>
          <w:rFonts w:cs="Arial"/>
          <w:lang w:val="en-US"/>
        </w:rPr>
        <w:t>p</w:t>
      </w:r>
      <w:r w:rsidR="00F94114" w:rsidRPr="007D1775">
        <w:rPr>
          <w:rFonts w:cs="Arial"/>
          <w:lang w:val="en-US"/>
        </w:rPr>
        <w:t>henobarbitone</w:t>
      </w:r>
      <w:proofErr w:type="spellEnd"/>
      <w:r w:rsidRPr="007D1775">
        <w:rPr>
          <w:rFonts w:cs="Arial"/>
          <w:lang w:val="en-US"/>
        </w:rPr>
        <w:t xml:space="preserve"> and rifampi</w:t>
      </w:r>
      <w:r w:rsidR="00F94114" w:rsidRPr="007D1775">
        <w:rPr>
          <w:rFonts w:cs="Arial"/>
          <w:lang w:val="en-US"/>
        </w:rPr>
        <w:t>cin</w:t>
      </w:r>
      <w:r w:rsidR="00A46867" w:rsidRPr="007D1775">
        <w:rPr>
          <w:rFonts w:cs="Arial"/>
          <w:lang w:val="en-US"/>
        </w:rPr>
        <w:t>)</w:t>
      </w:r>
      <w:r w:rsidRPr="007D1775">
        <w:rPr>
          <w:rFonts w:cs="Arial"/>
          <w:lang w:val="en-US"/>
        </w:rPr>
        <w:t xml:space="preserve"> on the pharmacokinetics and efficacy of </w:t>
      </w:r>
      <w:r w:rsidR="00F3116E" w:rsidRPr="007D1775">
        <w:rPr>
          <w:rFonts w:cs="Arial"/>
          <w:lang w:val="en-US"/>
        </w:rPr>
        <w:t>SPEDRA</w:t>
      </w:r>
      <w:r w:rsidRPr="007D1775">
        <w:rPr>
          <w:rFonts w:cs="Arial"/>
          <w:lang w:val="en-US"/>
        </w:rPr>
        <w:t xml:space="preserve"> has not been evaluated. The concomitant use of </w:t>
      </w:r>
      <w:r w:rsidR="00F3116E" w:rsidRPr="007D1775">
        <w:rPr>
          <w:rFonts w:cs="Arial"/>
          <w:lang w:val="en-US"/>
        </w:rPr>
        <w:t>SPEDRA</w:t>
      </w:r>
      <w:r w:rsidRPr="007D1775">
        <w:rPr>
          <w:rFonts w:cs="Arial"/>
          <w:lang w:val="en-US"/>
        </w:rPr>
        <w:t xml:space="preserve"> and a CYP inducer is not recommended as it may decrease the efficacy of </w:t>
      </w:r>
      <w:r w:rsidR="00F3116E" w:rsidRPr="007D1775">
        <w:rPr>
          <w:rFonts w:cs="Arial"/>
          <w:lang w:val="en-US"/>
        </w:rPr>
        <w:t>SPEDRA</w:t>
      </w:r>
      <w:r w:rsidRPr="007D1775">
        <w:rPr>
          <w:rFonts w:cs="Arial"/>
          <w:lang w:val="en-US"/>
        </w:rPr>
        <w:t>.</w:t>
      </w:r>
    </w:p>
    <w:p w:rsidR="00AE62AF" w:rsidRDefault="005330ED" w:rsidP="00AE62AF">
      <w:pPr>
        <w:spacing w:before="120" w:after="120"/>
        <w:rPr>
          <w:rFonts w:cs="Arial"/>
          <w:b/>
          <w:u w:val="single"/>
        </w:rPr>
      </w:pPr>
      <w:r w:rsidRPr="007D1775">
        <w:rPr>
          <w:rFonts w:cs="Arial"/>
          <w:b/>
          <w:u w:val="single"/>
          <w:lang w:val="en-US"/>
        </w:rPr>
        <w:t xml:space="preserve">Potential for </w:t>
      </w:r>
      <w:r w:rsidR="00F3116E" w:rsidRPr="007D1775">
        <w:rPr>
          <w:rFonts w:cs="Arial"/>
          <w:b/>
          <w:u w:val="single"/>
          <w:lang w:val="en-US"/>
        </w:rPr>
        <w:t>SPEDRA</w:t>
      </w:r>
      <w:r w:rsidRPr="007D1775">
        <w:rPr>
          <w:rFonts w:cs="Arial"/>
          <w:b/>
          <w:u w:val="single"/>
          <w:lang w:val="en-US"/>
        </w:rPr>
        <w:t xml:space="preserve"> to affect other drugs</w:t>
      </w:r>
    </w:p>
    <w:p w:rsidR="00AE62AF" w:rsidRPr="00AE62AF" w:rsidRDefault="00AE62AF" w:rsidP="00AE62AF">
      <w:pPr>
        <w:spacing w:before="120" w:after="120"/>
        <w:outlineLvl w:val="0"/>
        <w:rPr>
          <w:rFonts w:cs="Arial"/>
          <w:i/>
          <w:u w:val="single"/>
          <w:lang w:val="en-US"/>
        </w:rPr>
      </w:pPr>
      <w:r w:rsidRPr="00AE62AF">
        <w:rPr>
          <w:rFonts w:cs="Arial"/>
          <w:i/>
          <w:u w:val="single"/>
          <w:lang w:val="en-US"/>
        </w:rPr>
        <w:t>Cytochrome P450 Inhibition</w:t>
      </w:r>
    </w:p>
    <w:p w:rsidR="000454B2" w:rsidRPr="007D1775" w:rsidRDefault="000454B2" w:rsidP="000454B2">
      <w:pPr>
        <w:outlineLvl w:val="0"/>
        <w:rPr>
          <w:rFonts w:cs="Arial"/>
          <w:lang w:val="en-US"/>
        </w:rPr>
      </w:pPr>
      <w:r w:rsidRPr="007D1775">
        <w:rPr>
          <w:rFonts w:cs="Arial"/>
          <w:lang w:val="en-US"/>
        </w:rPr>
        <w:t xml:space="preserve">In </w:t>
      </w:r>
      <w:r w:rsidR="00A46867" w:rsidRPr="007D1775">
        <w:rPr>
          <w:rFonts w:cs="Arial"/>
          <w:i/>
          <w:lang w:val="en-US"/>
        </w:rPr>
        <w:t>in-</w:t>
      </w:r>
      <w:r w:rsidRPr="007D1775">
        <w:rPr>
          <w:rFonts w:cs="Arial"/>
          <w:i/>
          <w:lang w:val="en-US"/>
        </w:rPr>
        <w:t>vitro</w:t>
      </w:r>
      <w:r w:rsidRPr="007D1775">
        <w:rPr>
          <w:rFonts w:cs="Arial"/>
          <w:lang w:val="en-US"/>
        </w:rPr>
        <w:t xml:space="preserve"> studies in human liver </w:t>
      </w:r>
      <w:proofErr w:type="spellStart"/>
      <w:r w:rsidRPr="007D1775">
        <w:rPr>
          <w:rFonts w:cs="Arial"/>
          <w:lang w:val="en-US"/>
        </w:rPr>
        <w:t>microsomes</w:t>
      </w:r>
      <w:proofErr w:type="spellEnd"/>
      <w:r w:rsidRPr="007D1775">
        <w:rPr>
          <w:rFonts w:cs="Arial"/>
          <w:lang w:val="en-US"/>
        </w:rPr>
        <w:t xml:space="preserve">, </w:t>
      </w:r>
      <w:r w:rsidR="00F3116E" w:rsidRPr="007D1775">
        <w:rPr>
          <w:rFonts w:cs="Arial"/>
          <w:lang w:val="en-US"/>
        </w:rPr>
        <w:t>SPEDRA</w:t>
      </w:r>
      <w:r w:rsidRPr="007D1775">
        <w:rPr>
          <w:rFonts w:cs="Arial"/>
          <w:lang w:val="en-US"/>
        </w:rPr>
        <w:t xml:space="preserve"> showed a negligible potential for drug-drug interactions with CYP1A1/2, 2A6, 2B6 and 2E1. </w:t>
      </w:r>
      <w:proofErr w:type="gramStart"/>
      <w:r w:rsidRPr="007D1775">
        <w:rPr>
          <w:rFonts w:cs="Arial"/>
          <w:lang w:val="en-US"/>
        </w:rPr>
        <w:t>Further</w:t>
      </w:r>
      <w:r w:rsidR="00DC27CC" w:rsidRPr="007D1775">
        <w:rPr>
          <w:rFonts w:cs="Arial"/>
          <w:lang w:val="en-US"/>
        </w:rPr>
        <w:t>more</w:t>
      </w:r>
      <w:r w:rsidRPr="007D1775">
        <w:rPr>
          <w:rFonts w:cs="Arial"/>
          <w:lang w:val="en-US"/>
        </w:rPr>
        <w:t xml:space="preserve">, the metabolites of </w:t>
      </w:r>
      <w:r w:rsidR="00F3116E" w:rsidRPr="007D1775">
        <w:rPr>
          <w:rFonts w:cs="Arial"/>
          <w:lang w:val="en-US"/>
        </w:rPr>
        <w:t>SPEDRA</w:t>
      </w:r>
      <w:r w:rsidRPr="007D1775">
        <w:rPr>
          <w:rFonts w:cs="Arial"/>
          <w:lang w:val="en-US"/>
        </w:rPr>
        <w:t xml:space="preserve"> (M4, M16 and M27), also demonstrated minimal inhibition of CYPs 1A1/2, 2A6, 2B6, 2C8, 2C9, 2C19, 2D6, 2E1 and 3A4.</w:t>
      </w:r>
      <w:proofErr w:type="gramEnd"/>
      <w:r w:rsidRPr="007D1775">
        <w:rPr>
          <w:rFonts w:cs="Arial"/>
          <w:lang w:val="en-US"/>
        </w:rPr>
        <w:t xml:space="preserve"> Based on these </w:t>
      </w:r>
      <w:proofErr w:type="spellStart"/>
      <w:r w:rsidRPr="007D1775">
        <w:rPr>
          <w:rFonts w:cs="Arial"/>
          <w:lang w:val="en-US"/>
        </w:rPr>
        <w:t>data</w:t>
      </w:r>
      <w:proofErr w:type="gramStart"/>
      <w:r w:rsidR="00870618">
        <w:rPr>
          <w:rFonts w:cs="Arial"/>
          <w:lang w:val="en-US"/>
        </w:rPr>
        <w:t>,</w:t>
      </w:r>
      <w:r w:rsidR="00F3116E" w:rsidRPr="007D1775">
        <w:rPr>
          <w:rFonts w:cs="Arial"/>
          <w:lang w:val="en-US"/>
        </w:rPr>
        <w:t>SPEDRA</w:t>
      </w:r>
      <w:proofErr w:type="spellEnd"/>
      <w:proofErr w:type="gramEnd"/>
      <w:r w:rsidRPr="007D1775">
        <w:rPr>
          <w:rFonts w:cs="Arial"/>
          <w:lang w:val="en-US"/>
        </w:rPr>
        <w:t xml:space="preserve"> is not anticipated to have a significant effect on other medicin</w:t>
      </w:r>
      <w:r w:rsidR="00AD0315" w:rsidRPr="007D1775">
        <w:rPr>
          <w:rFonts w:cs="Arial"/>
          <w:lang w:val="en-US"/>
        </w:rPr>
        <w:t xml:space="preserve">es </w:t>
      </w:r>
      <w:proofErr w:type="spellStart"/>
      <w:r w:rsidRPr="007D1775">
        <w:rPr>
          <w:rFonts w:cs="Arial"/>
          <w:lang w:val="en-US"/>
        </w:rPr>
        <w:t>metabolised</w:t>
      </w:r>
      <w:proofErr w:type="spellEnd"/>
      <w:r w:rsidRPr="007D1775">
        <w:rPr>
          <w:rFonts w:cs="Arial"/>
          <w:lang w:val="en-US"/>
        </w:rPr>
        <w:t xml:space="preserve"> by these enzymes.</w:t>
      </w:r>
    </w:p>
    <w:p w:rsidR="000454B2" w:rsidRPr="007D1775" w:rsidRDefault="009270E5" w:rsidP="000454B2">
      <w:pPr>
        <w:outlineLvl w:val="0"/>
        <w:rPr>
          <w:rFonts w:cs="Arial"/>
          <w:lang w:val="en-US"/>
        </w:rPr>
      </w:pPr>
      <w:r w:rsidRPr="007D1775">
        <w:rPr>
          <w:rFonts w:cs="Arial"/>
          <w:lang w:val="en-US"/>
        </w:rPr>
        <w:t>T</w:t>
      </w:r>
      <w:r w:rsidR="000454B2" w:rsidRPr="007D1775">
        <w:rPr>
          <w:rFonts w:cs="Arial"/>
          <w:lang w:val="en-US"/>
        </w:rPr>
        <w:t xml:space="preserve">he </w:t>
      </w:r>
      <w:r w:rsidR="00A46867" w:rsidRPr="007D1775">
        <w:rPr>
          <w:rFonts w:cs="Arial"/>
          <w:i/>
          <w:lang w:val="en-US"/>
        </w:rPr>
        <w:t>in-</w:t>
      </w:r>
      <w:r w:rsidR="000454B2" w:rsidRPr="007D1775">
        <w:rPr>
          <w:rFonts w:cs="Arial"/>
          <w:i/>
          <w:lang w:val="en-US"/>
        </w:rPr>
        <w:t>vitro</w:t>
      </w:r>
      <w:r w:rsidR="000454B2" w:rsidRPr="007D1775">
        <w:rPr>
          <w:rFonts w:cs="Arial"/>
          <w:lang w:val="en-US"/>
        </w:rPr>
        <w:t xml:space="preserve"> data identified potential </w:t>
      </w:r>
      <w:r w:rsidR="00F3116E" w:rsidRPr="007D1775">
        <w:rPr>
          <w:rFonts w:cs="Arial"/>
          <w:lang w:val="en-US"/>
        </w:rPr>
        <w:t>SPEDRA</w:t>
      </w:r>
      <w:r w:rsidR="000454B2" w:rsidRPr="007D1775">
        <w:rPr>
          <w:rFonts w:cs="Arial"/>
          <w:lang w:val="en-US"/>
        </w:rPr>
        <w:t xml:space="preserve"> interactions with CYPs 2C19, 2C8/9, 2D6 and 3A4, </w:t>
      </w:r>
      <w:r w:rsidRPr="007D1775">
        <w:rPr>
          <w:rFonts w:cs="Arial"/>
          <w:lang w:val="en-US"/>
        </w:rPr>
        <w:t xml:space="preserve">however </w:t>
      </w:r>
      <w:r w:rsidR="000454B2" w:rsidRPr="007D1775">
        <w:rPr>
          <w:rFonts w:cs="Arial"/>
          <w:lang w:val="en-US"/>
        </w:rPr>
        <w:t xml:space="preserve">further clinical studies using omeprazole, rosiglitazone and </w:t>
      </w:r>
      <w:proofErr w:type="spellStart"/>
      <w:r w:rsidR="000454B2" w:rsidRPr="007D1775">
        <w:rPr>
          <w:rFonts w:cs="Arial"/>
          <w:lang w:val="en-US"/>
        </w:rPr>
        <w:t>desipramine</w:t>
      </w:r>
      <w:proofErr w:type="spellEnd"/>
      <w:r w:rsidR="000454B2" w:rsidRPr="007D1775">
        <w:rPr>
          <w:rFonts w:cs="Arial"/>
          <w:lang w:val="en-US"/>
        </w:rPr>
        <w:t xml:space="preserve"> did not reveal clinically relevant interactions with CYPs 2C19, 2C8/9 and 2D6.</w:t>
      </w:r>
    </w:p>
    <w:p w:rsidR="00AE62AF" w:rsidRPr="00AE62AF" w:rsidRDefault="00AE62AF" w:rsidP="00AE62AF">
      <w:pPr>
        <w:spacing w:before="120" w:after="120"/>
        <w:outlineLvl w:val="0"/>
        <w:rPr>
          <w:rFonts w:cs="Arial"/>
          <w:i/>
          <w:u w:val="single"/>
          <w:lang w:val="en-US"/>
        </w:rPr>
      </w:pPr>
      <w:r w:rsidRPr="00AE62AF">
        <w:rPr>
          <w:rFonts w:cs="Arial"/>
          <w:i/>
          <w:u w:val="single"/>
          <w:lang w:val="en-US"/>
        </w:rPr>
        <w:t>Warfarin</w:t>
      </w:r>
    </w:p>
    <w:p w:rsidR="00880848" w:rsidRPr="007D1775" w:rsidRDefault="008A137F" w:rsidP="00C22E85">
      <w:pPr>
        <w:outlineLvl w:val="0"/>
        <w:rPr>
          <w:rFonts w:cs="Arial"/>
          <w:lang w:val="en-US"/>
        </w:rPr>
      </w:pPr>
      <w:r w:rsidRPr="007D1775">
        <w:rPr>
          <w:rFonts w:cs="Arial"/>
          <w:lang w:val="en-US"/>
        </w:rPr>
        <w:t>A</w:t>
      </w:r>
      <w:r w:rsidR="00C22E85" w:rsidRPr="007D1775">
        <w:rPr>
          <w:rFonts w:cs="Arial"/>
          <w:lang w:val="en-US"/>
        </w:rPr>
        <w:t xml:space="preserve"> single 200 mg dose of </w:t>
      </w:r>
      <w:r w:rsidR="00F3116E" w:rsidRPr="007D1775">
        <w:rPr>
          <w:rFonts w:cs="Arial"/>
          <w:lang w:val="en-US"/>
        </w:rPr>
        <w:t>SPEDRA</w:t>
      </w:r>
      <w:r w:rsidR="00C22E85" w:rsidRPr="007D1775">
        <w:rPr>
          <w:rFonts w:cs="Arial"/>
          <w:lang w:val="en-US"/>
        </w:rPr>
        <w:t xml:space="preserve"> did not </w:t>
      </w:r>
      <w:r w:rsidR="00870618">
        <w:rPr>
          <w:rFonts w:cs="Arial"/>
          <w:lang w:val="en-US"/>
        </w:rPr>
        <w:t xml:space="preserve">cause </w:t>
      </w:r>
      <w:r w:rsidR="00C22E85" w:rsidRPr="007D1775">
        <w:rPr>
          <w:rFonts w:cs="Arial"/>
          <w:lang w:val="en-US"/>
        </w:rPr>
        <w:t xml:space="preserve">changes in PT or INR, and did not affect collagen-induced platelet aggregation or the AUC or </w:t>
      </w:r>
      <w:proofErr w:type="spellStart"/>
      <w:r w:rsidR="00C22E85" w:rsidRPr="007D1775">
        <w:rPr>
          <w:rFonts w:cs="Arial"/>
          <w:lang w:val="en-US"/>
        </w:rPr>
        <w:t>C</w:t>
      </w:r>
      <w:r w:rsidR="00C22E85" w:rsidRPr="007D1775">
        <w:rPr>
          <w:rFonts w:cs="Arial"/>
          <w:vertAlign w:val="subscript"/>
          <w:lang w:val="en-US"/>
        </w:rPr>
        <w:t>max</w:t>
      </w:r>
      <w:proofErr w:type="spellEnd"/>
      <w:r w:rsidR="00C22E85" w:rsidRPr="007D1775">
        <w:rPr>
          <w:rFonts w:cs="Arial"/>
          <w:lang w:val="en-US"/>
        </w:rPr>
        <w:t xml:space="preserve"> of R- or S-warfarin, a 2C9 substrate.</w:t>
      </w:r>
    </w:p>
    <w:p w:rsidR="00AE62AF" w:rsidRPr="00AE62AF" w:rsidRDefault="00AE62AF" w:rsidP="00AE62AF">
      <w:pPr>
        <w:spacing w:before="120" w:after="120"/>
        <w:outlineLvl w:val="0"/>
        <w:rPr>
          <w:rFonts w:cs="Arial"/>
          <w:i/>
          <w:u w:val="single"/>
          <w:lang w:val="en-US"/>
        </w:rPr>
      </w:pPr>
      <w:r w:rsidRPr="00AE62AF">
        <w:rPr>
          <w:rFonts w:cs="Arial"/>
          <w:i/>
          <w:u w:val="single"/>
          <w:lang w:val="en-US"/>
        </w:rPr>
        <w:t>Cytochrome P450 Induction</w:t>
      </w:r>
    </w:p>
    <w:p w:rsidR="000454B2" w:rsidRPr="007D1775" w:rsidRDefault="000454B2" w:rsidP="000454B2">
      <w:pPr>
        <w:outlineLvl w:val="0"/>
        <w:rPr>
          <w:rFonts w:cs="Arial"/>
          <w:lang w:val="en-US"/>
        </w:rPr>
      </w:pPr>
      <w:r w:rsidRPr="007D1775">
        <w:rPr>
          <w:rFonts w:cs="Arial"/>
          <w:lang w:val="en-US"/>
        </w:rPr>
        <w:t xml:space="preserve">The potential induction of CYP1A2, CYP2B6 and CYP3A4 by </w:t>
      </w:r>
      <w:r w:rsidR="00F3116E" w:rsidRPr="007D1775">
        <w:rPr>
          <w:rFonts w:cs="Arial"/>
          <w:lang w:val="en-US"/>
        </w:rPr>
        <w:t>SPEDRA</w:t>
      </w:r>
      <w:r w:rsidRPr="007D1775">
        <w:rPr>
          <w:rFonts w:cs="Arial"/>
          <w:lang w:val="en-US"/>
        </w:rPr>
        <w:t xml:space="preserve"> evaluated in primary human hepatocytes </w:t>
      </w:r>
      <w:r w:rsidR="00A46867" w:rsidRPr="007D1775">
        <w:rPr>
          <w:rFonts w:cs="Arial"/>
          <w:i/>
          <w:lang w:val="en-US"/>
        </w:rPr>
        <w:t>in-</w:t>
      </w:r>
      <w:r w:rsidRPr="007D1775">
        <w:rPr>
          <w:rFonts w:cs="Arial"/>
          <w:i/>
          <w:lang w:val="en-US"/>
        </w:rPr>
        <w:t>vitro</w:t>
      </w:r>
      <w:r w:rsidRPr="007D1775">
        <w:rPr>
          <w:rFonts w:cs="Arial"/>
          <w:lang w:val="en-US"/>
        </w:rPr>
        <w:t xml:space="preserve"> did not reveal any potential interaction at clinically relevant concentrations.</w:t>
      </w:r>
    </w:p>
    <w:p w:rsidR="00AE62AF" w:rsidRPr="00AE62AF" w:rsidRDefault="00AE62AF" w:rsidP="00AE62AF">
      <w:pPr>
        <w:spacing w:before="120" w:after="120"/>
        <w:outlineLvl w:val="0"/>
        <w:rPr>
          <w:rFonts w:cs="Arial"/>
          <w:i/>
          <w:u w:val="single"/>
          <w:lang w:val="en-US"/>
        </w:rPr>
      </w:pPr>
      <w:r w:rsidRPr="00AE62AF">
        <w:rPr>
          <w:rFonts w:cs="Arial"/>
          <w:i/>
          <w:u w:val="single"/>
          <w:lang w:val="en-US"/>
        </w:rPr>
        <w:t>Transporters</w:t>
      </w:r>
    </w:p>
    <w:p w:rsidR="00AE62AF" w:rsidRDefault="00352C49" w:rsidP="00AE62AF">
      <w:pPr>
        <w:autoSpaceDE w:val="0"/>
        <w:autoSpaceDN w:val="0"/>
        <w:adjustRightInd w:val="0"/>
        <w:rPr>
          <w:rFonts w:cs="Arial"/>
          <w:lang w:val="en-US"/>
        </w:rPr>
      </w:pPr>
      <w:r w:rsidRPr="007D1775">
        <w:rPr>
          <w:rFonts w:cs="Arial"/>
          <w:i/>
          <w:lang w:val="en-US"/>
        </w:rPr>
        <w:t>In-</w:t>
      </w:r>
      <w:r w:rsidR="000454B2" w:rsidRPr="007D1775">
        <w:rPr>
          <w:rFonts w:cs="Arial"/>
          <w:i/>
          <w:lang w:val="en-US"/>
        </w:rPr>
        <w:t>vitro</w:t>
      </w:r>
      <w:r w:rsidR="000454B2" w:rsidRPr="007D1775">
        <w:rPr>
          <w:rFonts w:cs="Arial"/>
          <w:lang w:val="en-US"/>
        </w:rPr>
        <w:t xml:space="preserve"> results showed </w:t>
      </w:r>
      <w:r w:rsidR="008A5450" w:rsidRPr="007D1775">
        <w:rPr>
          <w:rFonts w:cs="Arial"/>
          <w:lang w:val="en-US"/>
        </w:rPr>
        <w:t xml:space="preserve">that </w:t>
      </w:r>
      <w:r w:rsidR="00F3116E" w:rsidRPr="007D1775">
        <w:rPr>
          <w:rFonts w:cs="Arial"/>
          <w:lang w:val="en-US"/>
        </w:rPr>
        <w:t>SPEDRA</w:t>
      </w:r>
      <w:r w:rsidR="000454B2" w:rsidRPr="007D1775">
        <w:rPr>
          <w:rFonts w:cs="Arial"/>
          <w:lang w:val="en-US"/>
        </w:rPr>
        <w:t xml:space="preserve"> </w:t>
      </w:r>
      <w:r w:rsidR="008A5450" w:rsidRPr="007D1775">
        <w:rPr>
          <w:rFonts w:cs="Arial"/>
          <w:lang w:val="en-US"/>
        </w:rPr>
        <w:t>is a weak</w:t>
      </w:r>
      <w:r w:rsidR="000454B2" w:rsidRPr="007D1775">
        <w:rPr>
          <w:rFonts w:cs="Arial"/>
          <w:lang w:val="en-US"/>
        </w:rPr>
        <w:t xml:space="preserve"> P-</w:t>
      </w:r>
      <w:proofErr w:type="spellStart"/>
      <w:r w:rsidR="000454B2" w:rsidRPr="007D1775">
        <w:rPr>
          <w:rFonts w:cs="Arial"/>
          <w:lang w:val="en-US"/>
        </w:rPr>
        <w:t>gp</w:t>
      </w:r>
      <w:proofErr w:type="spellEnd"/>
      <w:r w:rsidR="000454B2" w:rsidRPr="007D1775">
        <w:rPr>
          <w:rFonts w:cs="Arial"/>
          <w:lang w:val="en-US"/>
        </w:rPr>
        <w:t xml:space="preserve"> substrate</w:t>
      </w:r>
      <w:r w:rsidR="00382D4D" w:rsidRPr="007D1775">
        <w:rPr>
          <w:rFonts w:cs="Arial"/>
          <w:lang w:val="en-US"/>
        </w:rPr>
        <w:t>.</w:t>
      </w:r>
      <w:r w:rsidR="00542088" w:rsidRPr="00542088">
        <w:rPr>
          <w:rFonts w:cs="Arial"/>
          <w:color w:val="000000"/>
          <w:szCs w:val="22"/>
        </w:rPr>
        <w:t xml:space="preserve"> </w:t>
      </w:r>
      <w:r w:rsidR="008A5450" w:rsidRPr="006F4FBF">
        <w:rPr>
          <w:rFonts w:cs="Arial"/>
          <w:color w:val="000000"/>
          <w:szCs w:val="22"/>
        </w:rPr>
        <w:t>Digoxin efflux was inhibited by SPEDRA in MDCK cells, but this inhibition did not appear to be due to inhibition of human P-glycoprotein.</w:t>
      </w:r>
      <w:r w:rsidR="00AE62AF" w:rsidRPr="006F4FBF">
        <w:rPr>
          <w:rFonts w:cs="Arial"/>
          <w:color w:val="000000"/>
          <w:szCs w:val="22"/>
        </w:rPr>
        <w:t xml:space="preserve"> </w:t>
      </w:r>
      <w:r w:rsidR="000454B2" w:rsidRPr="007D1775">
        <w:rPr>
          <w:rFonts w:cs="Arial"/>
          <w:lang w:val="en-US"/>
        </w:rPr>
        <w:t xml:space="preserve">The potential of </w:t>
      </w:r>
      <w:r w:rsidR="00F3116E" w:rsidRPr="007D1775">
        <w:rPr>
          <w:rFonts w:cs="Arial"/>
          <w:lang w:val="en-US"/>
        </w:rPr>
        <w:t>SPEDRA</w:t>
      </w:r>
      <w:r w:rsidR="000454B2" w:rsidRPr="007D1775">
        <w:rPr>
          <w:rFonts w:cs="Arial"/>
          <w:lang w:val="en-US"/>
        </w:rPr>
        <w:t xml:space="preserve"> to interfere with the transport of other medicinal products mediated by P-</w:t>
      </w:r>
      <w:proofErr w:type="spellStart"/>
      <w:r w:rsidR="000454B2" w:rsidRPr="007D1775">
        <w:rPr>
          <w:rFonts w:cs="Arial"/>
          <w:lang w:val="en-US"/>
        </w:rPr>
        <w:t>gp</w:t>
      </w:r>
      <w:proofErr w:type="spellEnd"/>
      <w:r w:rsidR="00E37FA1" w:rsidRPr="007D1775">
        <w:rPr>
          <w:rFonts w:cs="Arial"/>
          <w:lang w:val="en-US"/>
        </w:rPr>
        <w:t>, particularly</w:t>
      </w:r>
      <w:r w:rsidR="008A5450" w:rsidRPr="007D1775">
        <w:rPr>
          <w:rFonts w:cs="Arial"/>
          <w:lang w:val="en-US"/>
        </w:rPr>
        <w:t xml:space="preserve"> in the intestinal tract, is not known.</w:t>
      </w:r>
      <w:r w:rsidR="00BB7045" w:rsidRPr="007D1775">
        <w:rPr>
          <w:rFonts w:cs="Arial"/>
          <w:lang w:val="en-US"/>
        </w:rPr>
        <w:t xml:space="preserve"> </w:t>
      </w:r>
    </w:p>
    <w:p w:rsidR="006C21E3" w:rsidRDefault="00EA6E9B" w:rsidP="006C21E3">
      <w:pPr>
        <w:outlineLvl w:val="0"/>
        <w:rPr>
          <w:i/>
          <w:lang w:val="en-US"/>
        </w:rPr>
      </w:pPr>
      <w:r w:rsidRPr="007D1775">
        <w:rPr>
          <w:rFonts w:cs="Arial"/>
          <w:i/>
          <w:lang w:val="en-US"/>
        </w:rPr>
        <w:t>In-vitro</w:t>
      </w:r>
      <w:r w:rsidR="00BB7045" w:rsidRPr="007D1775">
        <w:rPr>
          <w:rFonts w:cs="Arial"/>
          <w:lang w:val="en-US"/>
        </w:rPr>
        <w:t xml:space="preserve"> data indicate that at therapeutic doses, SPEDRA would not inhibit OCT1, OCT2, OATP1B1, OATP1B3, OAT3 or BSEP. SPEDRA inhibited BCRP </w:t>
      </w:r>
      <w:r w:rsidR="005D38A3" w:rsidRPr="007D1775">
        <w:rPr>
          <w:rFonts w:cs="Arial"/>
          <w:lang w:val="en-US"/>
        </w:rPr>
        <w:t>with IC</w:t>
      </w:r>
      <w:r w:rsidR="005D38A3" w:rsidRPr="007D1775">
        <w:rPr>
          <w:rFonts w:cs="Arial"/>
          <w:vertAlign w:val="subscript"/>
          <w:lang w:val="en-US"/>
        </w:rPr>
        <w:t>50</w:t>
      </w:r>
      <w:r w:rsidR="005D38A3" w:rsidRPr="007D1775">
        <w:rPr>
          <w:rFonts w:cs="Arial"/>
          <w:lang w:val="en-US"/>
        </w:rPr>
        <w:t xml:space="preserve"> and K</w:t>
      </w:r>
      <w:r w:rsidR="005D38A3" w:rsidRPr="007D1775">
        <w:rPr>
          <w:rFonts w:cs="Arial"/>
          <w:vertAlign w:val="subscript"/>
          <w:lang w:val="en-US"/>
        </w:rPr>
        <w:t>i</w:t>
      </w:r>
      <w:r w:rsidR="005D38A3" w:rsidRPr="007D1775">
        <w:rPr>
          <w:rFonts w:cs="Arial"/>
          <w:lang w:val="en-US"/>
        </w:rPr>
        <w:t xml:space="preserve"> values of approximately 1</w:t>
      </w:r>
      <w:r w:rsidR="00870618">
        <w:rPr>
          <w:rFonts w:cs="Arial"/>
          <w:lang w:val="en-US"/>
        </w:rPr>
        <w:t xml:space="preserve"> </w:t>
      </w:r>
      <w:r w:rsidR="005D38A3" w:rsidRPr="007D1775">
        <w:rPr>
          <w:rFonts w:cs="Arial"/>
          <w:lang w:val="en-US"/>
        </w:rPr>
        <w:t>µ</w:t>
      </w:r>
      <w:r w:rsidR="003E2E1C" w:rsidRPr="007D1775">
        <w:rPr>
          <w:rFonts w:cs="Arial"/>
          <w:lang w:val="en-US"/>
        </w:rPr>
        <w:t>M</w:t>
      </w:r>
      <w:r w:rsidR="005D38A3" w:rsidRPr="007D1775">
        <w:rPr>
          <w:rFonts w:cs="Arial"/>
          <w:lang w:val="en-US"/>
        </w:rPr>
        <w:t xml:space="preserve"> </w:t>
      </w:r>
      <w:r w:rsidR="00BB7045" w:rsidRPr="007D1775">
        <w:rPr>
          <w:rFonts w:cs="Arial"/>
          <w:lang w:val="en-US"/>
        </w:rPr>
        <w:t xml:space="preserve">and would therefore likely inhibit BCRP in the intestinal tract, but this inhibition is </w:t>
      </w:r>
      <w:r w:rsidR="005D38A3" w:rsidRPr="007D1775">
        <w:rPr>
          <w:rFonts w:cs="Arial"/>
          <w:lang w:val="en-US"/>
        </w:rPr>
        <w:t xml:space="preserve">unlikely </w:t>
      </w:r>
      <w:r w:rsidR="00E37FA1" w:rsidRPr="007D1775">
        <w:rPr>
          <w:rFonts w:cs="Arial"/>
          <w:lang w:val="en-US"/>
        </w:rPr>
        <w:t>to be</w:t>
      </w:r>
      <w:r w:rsidR="00BB7045" w:rsidRPr="007D1775">
        <w:rPr>
          <w:rFonts w:cs="Arial"/>
          <w:lang w:val="en-US"/>
        </w:rPr>
        <w:t xml:space="preserve"> clinically relevant. SPEDRA </w:t>
      </w:r>
      <w:r w:rsidR="005D38A3" w:rsidRPr="007D1775">
        <w:rPr>
          <w:rFonts w:cs="Arial"/>
          <w:lang w:val="en-US"/>
        </w:rPr>
        <w:t xml:space="preserve">is unlikely to inhibit </w:t>
      </w:r>
      <w:r w:rsidR="00BB7045" w:rsidRPr="007D1775">
        <w:rPr>
          <w:rFonts w:cs="Arial"/>
          <w:lang w:val="en-US"/>
        </w:rPr>
        <w:t>BCRP in other tissues</w:t>
      </w:r>
      <w:r w:rsidR="005D38A3" w:rsidRPr="007D1775">
        <w:rPr>
          <w:rFonts w:cs="Arial"/>
          <w:lang w:val="en-US"/>
        </w:rPr>
        <w:t xml:space="preserve">. </w:t>
      </w:r>
    </w:p>
    <w:p w:rsidR="00B541CE" w:rsidRPr="007D1775" w:rsidRDefault="00B541CE">
      <w:pPr>
        <w:pStyle w:val="Heading1"/>
        <w:rPr>
          <w:rFonts w:cs="Arial"/>
        </w:rPr>
      </w:pPr>
      <w:r w:rsidRPr="007D1775">
        <w:rPr>
          <w:rFonts w:cs="Arial"/>
        </w:rPr>
        <w:t>Adverse Effects</w:t>
      </w:r>
    </w:p>
    <w:p w:rsidR="007B1BB1" w:rsidRPr="007D1775" w:rsidRDefault="007B1BB1" w:rsidP="007B1BB1">
      <w:pPr>
        <w:outlineLvl w:val="0"/>
        <w:rPr>
          <w:rFonts w:cs="Arial"/>
          <w:lang w:val="en-US"/>
        </w:rPr>
      </w:pPr>
      <w:r w:rsidRPr="007D1775">
        <w:rPr>
          <w:rFonts w:cs="Arial"/>
          <w:lang w:val="en-US"/>
        </w:rPr>
        <w:t xml:space="preserve">The safety profile of </w:t>
      </w:r>
      <w:r w:rsidR="00633D64" w:rsidRPr="007D1775">
        <w:rPr>
          <w:rFonts w:cs="Arial"/>
          <w:lang w:val="en-US"/>
        </w:rPr>
        <w:t>SPEDRA</w:t>
      </w:r>
      <w:r w:rsidRPr="007D1775">
        <w:rPr>
          <w:rFonts w:cs="Arial"/>
          <w:lang w:val="en-US"/>
        </w:rPr>
        <w:t xml:space="preserve"> is based on 2436 subjects exposed to </w:t>
      </w:r>
      <w:r w:rsidR="00F3116E" w:rsidRPr="007D1775">
        <w:rPr>
          <w:rFonts w:cs="Arial"/>
          <w:lang w:val="en-US"/>
        </w:rPr>
        <w:t>SPEDRA</w:t>
      </w:r>
      <w:r w:rsidRPr="007D1775">
        <w:rPr>
          <w:rFonts w:cs="Arial"/>
          <w:lang w:val="en-US"/>
        </w:rPr>
        <w:t xml:space="preserve"> during the clinical development program.</w:t>
      </w:r>
      <w:r w:rsidR="0014592C" w:rsidRPr="007D1775">
        <w:rPr>
          <w:rFonts w:cs="Arial"/>
        </w:rPr>
        <w:t xml:space="preserve"> </w:t>
      </w:r>
      <w:r w:rsidRPr="007D1775">
        <w:rPr>
          <w:rFonts w:cs="Arial"/>
        </w:rPr>
        <w:t xml:space="preserve">The most common adverse reactions reported in clinical studies were headache, flushing, nasal and sinus congestion and back pain. </w:t>
      </w:r>
      <w:r w:rsidRPr="007D1775">
        <w:rPr>
          <w:rFonts w:cs="Arial"/>
          <w:lang w:val="en-US"/>
        </w:rPr>
        <w:t xml:space="preserve">Overall adverse events and adverse reactions for </w:t>
      </w:r>
      <w:r w:rsidR="00F3116E" w:rsidRPr="007D1775">
        <w:rPr>
          <w:rFonts w:cs="Arial"/>
          <w:lang w:val="en-US"/>
        </w:rPr>
        <w:t>SPEDRA</w:t>
      </w:r>
      <w:r w:rsidRPr="007D1775">
        <w:rPr>
          <w:rFonts w:cs="Arial"/>
          <w:lang w:val="en-US"/>
        </w:rPr>
        <w:t>-treated subjects were more frequent in subjects with a Body Mass Index (BMI) &lt;25 (normal BMI subjects).</w:t>
      </w:r>
    </w:p>
    <w:p w:rsidR="007B1BB1" w:rsidRPr="007D1775" w:rsidRDefault="007B1BB1" w:rsidP="007B1BB1">
      <w:pPr>
        <w:outlineLvl w:val="0"/>
        <w:rPr>
          <w:rFonts w:cs="Arial"/>
          <w:lang w:val="en-US"/>
        </w:rPr>
      </w:pPr>
      <w:r w:rsidRPr="007D1775">
        <w:rPr>
          <w:rFonts w:cs="Arial"/>
          <w:lang w:val="en-US"/>
        </w:rPr>
        <w:t>In the long term clinical study, the percentage of patients who experienced adverse reactions decreased with increasing length of exposure.</w:t>
      </w:r>
    </w:p>
    <w:p w:rsidR="007B1BB1" w:rsidRPr="007D1775" w:rsidRDefault="007B1BB1" w:rsidP="007B1BB1">
      <w:pPr>
        <w:outlineLvl w:val="0"/>
        <w:rPr>
          <w:rFonts w:cs="Arial"/>
        </w:rPr>
      </w:pPr>
      <w:r w:rsidRPr="007D1775">
        <w:rPr>
          <w:rFonts w:cs="Arial"/>
        </w:rPr>
        <w:lastRenderedPageBreak/>
        <w:t>In five randomi</w:t>
      </w:r>
      <w:r w:rsidR="00EE3B99" w:rsidRPr="007D1775">
        <w:rPr>
          <w:rFonts w:cs="Arial"/>
        </w:rPr>
        <w:t>s</w:t>
      </w:r>
      <w:r w:rsidRPr="007D1775">
        <w:rPr>
          <w:rFonts w:cs="Arial"/>
        </w:rPr>
        <w:t>ed, double-blind, placebo-controlled trials</w:t>
      </w:r>
      <w:r w:rsidR="000830BD" w:rsidRPr="007D1775">
        <w:rPr>
          <w:rFonts w:cs="Arial"/>
        </w:rPr>
        <w:t xml:space="preserve"> involving 2,000 patients</w:t>
      </w:r>
      <w:r w:rsidRPr="007D1775">
        <w:rPr>
          <w:rFonts w:cs="Arial"/>
        </w:rPr>
        <w:t xml:space="preserve">, the mean age of patients was 57.1 years (range from 23 to 88 years). 81.7 % of patients were White, 16.1% were Black, 1.1% Asian, and &lt; 1% Hispanic or other races. 48.8% were current or previous smokers. 31.3% had diabetes mellitus. The discontinuation rate due to adverse </w:t>
      </w:r>
      <w:r w:rsidR="000830BD" w:rsidRPr="007D1775">
        <w:rPr>
          <w:rFonts w:cs="Arial"/>
        </w:rPr>
        <w:t xml:space="preserve">events </w:t>
      </w:r>
      <w:r w:rsidRPr="007D1775">
        <w:rPr>
          <w:rFonts w:cs="Arial"/>
        </w:rPr>
        <w:t xml:space="preserve">for patients treated with </w:t>
      </w:r>
      <w:r w:rsidR="00F3116E" w:rsidRPr="007D1775">
        <w:rPr>
          <w:rFonts w:cs="Arial"/>
        </w:rPr>
        <w:t>SPEDRA</w:t>
      </w:r>
      <w:r w:rsidRPr="007D1775">
        <w:rPr>
          <w:rFonts w:cs="Arial"/>
        </w:rPr>
        <w:t xml:space="preserve"> 50 mg, 100 mg, or 200 mg was 1.4%, 2.</w:t>
      </w:r>
      <w:r w:rsidR="000830BD" w:rsidRPr="007D1775">
        <w:rPr>
          <w:rFonts w:cs="Arial"/>
        </w:rPr>
        <w:t>2</w:t>
      </w:r>
      <w:r w:rsidRPr="007D1775">
        <w:rPr>
          <w:rFonts w:cs="Arial"/>
        </w:rPr>
        <w:t>%, and 2.</w:t>
      </w:r>
      <w:r w:rsidR="000830BD" w:rsidRPr="007D1775">
        <w:rPr>
          <w:rFonts w:cs="Arial"/>
        </w:rPr>
        <w:t>2</w:t>
      </w:r>
      <w:r w:rsidRPr="007D1775">
        <w:rPr>
          <w:rFonts w:cs="Arial"/>
        </w:rPr>
        <w:t>%, respectively, compared to 1.</w:t>
      </w:r>
      <w:r w:rsidR="000830BD" w:rsidRPr="007D1775">
        <w:rPr>
          <w:rFonts w:cs="Arial"/>
        </w:rPr>
        <w:t>4</w:t>
      </w:r>
      <w:r w:rsidRPr="007D1775">
        <w:rPr>
          <w:rFonts w:cs="Arial"/>
        </w:rPr>
        <w:t>% for placebo-treated patients.</w:t>
      </w:r>
    </w:p>
    <w:p w:rsidR="007B1BB1" w:rsidRPr="007D1775" w:rsidRDefault="007B1BB1" w:rsidP="007B1BB1">
      <w:pPr>
        <w:outlineLvl w:val="0"/>
        <w:rPr>
          <w:rFonts w:cs="Arial"/>
        </w:rPr>
      </w:pPr>
      <w:r w:rsidRPr="007D1775">
        <w:rPr>
          <w:rFonts w:cs="Arial"/>
        </w:rPr>
        <w:t xml:space="preserve">Table </w:t>
      </w:r>
      <w:r w:rsidR="00870618">
        <w:rPr>
          <w:rFonts w:cs="Arial"/>
        </w:rPr>
        <w:t>5</w:t>
      </w:r>
      <w:r w:rsidRPr="007D1775">
        <w:rPr>
          <w:rFonts w:cs="Arial"/>
        </w:rPr>
        <w:t xml:space="preserve"> presents Treatment-Emergent Adverse Events (TEAEs) re</w:t>
      </w:r>
      <w:r w:rsidR="00B22C88">
        <w:rPr>
          <w:rFonts w:cs="Arial"/>
        </w:rPr>
        <w:t>p</w:t>
      </w:r>
      <w:r w:rsidRPr="007D1775">
        <w:rPr>
          <w:rFonts w:cs="Arial"/>
        </w:rPr>
        <w:t xml:space="preserve">orted when </w:t>
      </w:r>
      <w:r w:rsidR="00F3116E" w:rsidRPr="007D1775">
        <w:rPr>
          <w:rFonts w:cs="Arial"/>
        </w:rPr>
        <w:t>SPEDRA</w:t>
      </w:r>
      <w:r w:rsidRPr="007D1775">
        <w:rPr>
          <w:rFonts w:cs="Arial"/>
        </w:rPr>
        <w:t xml:space="preserve"> was taken as recommended (on an as-needed basis) from these 5 clinical trials. </w:t>
      </w:r>
    </w:p>
    <w:p w:rsidR="007B1BB1" w:rsidRPr="00F35D7A" w:rsidRDefault="007B1BB1" w:rsidP="00415645">
      <w:pPr>
        <w:spacing w:before="120" w:after="120"/>
        <w:ind w:left="994" w:hanging="994"/>
        <w:outlineLvl w:val="0"/>
        <w:rPr>
          <w:rFonts w:cs="Arial"/>
          <w:sz w:val="20"/>
        </w:rPr>
      </w:pPr>
      <w:r w:rsidRPr="00F35D7A">
        <w:rPr>
          <w:rFonts w:cs="Arial"/>
          <w:b/>
          <w:sz w:val="20"/>
          <w:u w:val="single"/>
        </w:rPr>
        <w:t xml:space="preserve">Table </w:t>
      </w:r>
      <w:r w:rsidR="00870618">
        <w:rPr>
          <w:rFonts w:cs="Arial"/>
          <w:b/>
          <w:sz w:val="20"/>
          <w:u w:val="single"/>
        </w:rPr>
        <w:t>5</w:t>
      </w:r>
      <w:r w:rsidRPr="00F35D7A">
        <w:rPr>
          <w:rFonts w:cs="Arial"/>
          <w:b/>
          <w:sz w:val="20"/>
          <w:u w:val="single"/>
        </w:rPr>
        <w:t>:</w:t>
      </w:r>
      <w:r w:rsidR="00167635" w:rsidRPr="00F35D7A">
        <w:rPr>
          <w:rFonts w:cs="Arial"/>
          <w:b/>
          <w:sz w:val="20"/>
          <w:u w:val="single"/>
        </w:rPr>
        <w:tab/>
      </w:r>
      <w:r w:rsidRPr="00F35D7A">
        <w:rPr>
          <w:rFonts w:cs="Arial"/>
          <w:b/>
          <w:sz w:val="20"/>
          <w:u w:val="single"/>
        </w:rPr>
        <w:t xml:space="preserve">Treatment-Emergent Adverse Events (TEAE) Reported by </w:t>
      </w:r>
      <w:r w:rsidR="003C41D6">
        <w:rPr>
          <w:rFonts w:cs="Arial"/>
          <w:b/>
          <w:sz w:val="20"/>
          <w:u w:val="single"/>
        </w:rPr>
        <w:t>≥ 1% of Patients Treated with SPEDRA From 5 Placebo-</w:t>
      </w:r>
      <w:r w:rsidR="00032390">
        <w:rPr>
          <w:rFonts w:cs="Arial"/>
          <w:b/>
          <w:sz w:val="20"/>
          <w:u w:val="single"/>
        </w:rPr>
        <w:t>c</w:t>
      </w:r>
      <w:r w:rsidR="003C41D6">
        <w:rPr>
          <w:rFonts w:cs="Arial"/>
          <w:b/>
          <w:sz w:val="20"/>
          <w:u w:val="single"/>
        </w:rPr>
        <w:t xml:space="preserve">ontrolled Clinical Trials (TA-05, TA-301, TA-302, TA-303 and TA-501). </w:t>
      </w:r>
    </w:p>
    <w:tbl>
      <w:tblPr>
        <w:tblStyle w:val="TableGrid"/>
        <w:tblW w:w="9850" w:type="dxa"/>
        <w:tblLook w:val="04A0" w:firstRow="1" w:lastRow="0" w:firstColumn="1" w:lastColumn="0" w:noHBand="0" w:noVBand="1"/>
      </w:tblPr>
      <w:tblGrid>
        <w:gridCol w:w="1970"/>
        <w:gridCol w:w="1970"/>
        <w:gridCol w:w="1970"/>
        <w:gridCol w:w="1970"/>
        <w:gridCol w:w="1970"/>
      </w:tblGrid>
      <w:tr w:rsidR="00CE1012" w:rsidTr="00CE1012">
        <w:tc>
          <w:tcPr>
            <w:tcW w:w="1970" w:type="dxa"/>
          </w:tcPr>
          <w:p w:rsidR="00CE1012" w:rsidRDefault="00CE1012" w:rsidP="00CE1012">
            <w:pPr>
              <w:pStyle w:val="TableParagraph"/>
              <w:spacing w:before="19" w:line="220" w:lineRule="exact"/>
              <w:jc w:val="center"/>
            </w:pPr>
          </w:p>
          <w:p w:rsidR="00CE1012" w:rsidRDefault="00CE1012" w:rsidP="00CE1012">
            <w:pPr>
              <w:jc w:val="center"/>
              <w:outlineLvl w:val="0"/>
              <w:rPr>
                <w:rFonts w:cs="Arial"/>
              </w:rPr>
            </w:pPr>
            <w:r>
              <w:rPr>
                <w:rFonts w:eastAsia="Arial" w:cs="Arial"/>
                <w:b/>
                <w:bCs/>
                <w:spacing w:val="3"/>
                <w:sz w:val="20"/>
                <w:szCs w:val="20"/>
              </w:rPr>
              <w:t>T</w:t>
            </w:r>
            <w:r>
              <w:rPr>
                <w:rFonts w:eastAsia="Arial" w:cs="Arial"/>
                <w:b/>
                <w:bCs/>
                <w:spacing w:val="-1"/>
                <w:sz w:val="20"/>
                <w:szCs w:val="20"/>
              </w:rPr>
              <w:t>E</w:t>
            </w:r>
            <w:r>
              <w:rPr>
                <w:rFonts w:eastAsia="Arial" w:cs="Arial"/>
                <w:b/>
                <w:bCs/>
                <w:spacing w:val="-6"/>
                <w:sz w:val="20"/>
                <w:szCs w:val="20"/>
              </w:rPr>
              <w:t>AE</w:t>
            </w:r>
          </w:p>
        </w:tc>
        <w:tc>
          <w:tcPr>
            <w:tcW w:w="1970" w:type="dxa"/>
          </w:tcPr>
          <w:p w:rsidR="00CE1012" w:rsidRDefault="00CE1012" w:rsidP="00CE1012">
            <w:pPr>
              <w:pStyle w:val="TableParagraph"/>
              <w:spacing w:before="19" w:line="220" w:lineRule="exact"/>
              <w:jc w:val="center"/>
            </w:pPr>
          </w:p>
          <w:p w:rsidR="00CE1012" w:rsidRDefault="00CE1012" w:rsidP="00CE1012">
            <w:pPr>
              <w:jc w:val="center"/>
              <w:outlineLvl w:val="0"/>
              <w:rPr>
                <w:rFonts w:cs="Arial"/>
              </w:rPr>
            </w:pPr>
            <w:r>
              <w:rPr>
                <w:rFonts w:eastAsia="Arial" w:cs="Arial"/>
                <w:b/>
                <w:bCs/>
                <w:spacing w:val="-1"/>
                <w:sz w:val="20"/>
                <w:szCs w:val="20"/>
              </w:rPr>
              <w:t>Place</w:t>
            </w:r>
            <w:r>
              <w:rPr>
                <w:rFonts w:eastAsia="Arial" w:cs="Arial"/>
                <w:b/>
                <w:bCs/>
                <w:sz w:val="20"/>
                <w:szCs w:val="20"/>
              </w:rPr>
              <w:t>bo</w:t>
            </w:r>
            <w:r>
              <w:rPr>
                <w:rFonts w:eastAsia="Arial" w:cs="Arial"/>
                <w:b/>
                <w:bCs/>
                <w:spacing w:val="12"/>
                <w:sz w:val="20"/>
                <w:szCs w:val="20"/>
              </w:rPr>
              <w:t xml:space="preserve"> </w:t>
            </w:r>
            <w:r>
              <w:rPr>
                <w:rFonts w:eastAsia="Arial" w:cs="Arial"/>
                <w:b/>
                <w:bCs/>
                <w:sz w:val="20"/>
                <w:szCs w:val="20"/>
              </w:rPr>
              <w:t>(N</w:t>
            </w:r>
            <w:r>
              <w:rPr>
                <w:rFonts w:eastAsia="Arial" w:cs="Arial"/>
                <w:b/>
                <w:bCs/>
                <w:spacing w:val="-5"/>
                <w:sz w:val="20"/>
                <w:szCs w:val="20"/>
              </w:rPr>
              <w:t xml:space="preserve"> </w:t>
            </w:r>
            <w:r>
              <w:rPr>
                <w:rFonts w:eastAsia="Arial" w:cs="Arial"/>
                <w:b/>
                <w:bCs/>
                <w:sz w:val="20"/>
                <w:szCs w:val="20"/>
              </w:rPr>
              <w:t>=</w:t>
            </w:r>
            <w:r>
              <w:rPr>
                <w:rFonts w:eastAsia="Arial" w:cs="Arial"/>
                <w:b/>
                <w:bCs/>
                <w:spacing w:val="-6"/>
                <w:sz w:val="20"/>
                <w:szCs w:val="20"/>
              </w:rPr>
              <w:t xml:space="preserve"> </w:t>
            </w:r>
            <w:r>
              <w:rPr>
                <w:rFonts w:eastAsia="Arial" w:cs="Arial"/>
                <w:b/>
                <w:bCs/>
                <w:spacing w:val="-1"/>
                <w:sz w:val="20"/>
                <w:szCs w:val="20"/>
              </w:rPr>
              <w:t>59</w:t>
            </w:r>
            <w:r>
              <w:rPr>
                <w:rFonts w:eastAsia="Arial" w:cs="Arial"/>
                <w:b/>
                <w:bCs/>
                <w:spacing w:val="-3"/>
                <w:sz w:val="20"/>
                <w:szCs w:val="20"/>
              </w:rPr>
              <w:t>2</w:t>
            </w:r>
            <w:r>
              <w:rPr>
                <w:rFonts w:eastAsia="Arial" w:cs="Arial"/>
                <w:b/>
                <w:bCs/>
                <w:sz w:val="20"/>
                <w:szCs w:val="20"/>
              </w:rPr>
              <w:t>)</w:t>
            </w:r>
          </w:p>
        </w:tc>
        <w:tc>
          <w:tcPr>
            <w:tcW w:w="1970" w:type="dxa"/>
          </w:tcPr>
          <w:p w:rsidR="00CE1012" w:rsidRDefault="00CE1012" w:rsidP="00CE1012">
            <w:pPr>
              <w:pStyle w:val="TableParagraph"/>
              <w:spacing w:line="229" w:lineRule="exact"/>
              <w:jc w:val="center"/>
              <w:rPr>
                <w:rFonts w:ascii="Arial" w:eastAsia="Arial" w:hAnsi="Arial" w:cs="Arial"/>
                <w:sz w:val="20"/>
                <w:szCs w:val="20"/>
              </w:rPr>
            </w:pPr>
            <w:r>
              <w:rPr>
                <w:rFonts w:ascii="Arial" w:eastAsia="Arial" w:hAnsi="Arial" w:cs="Arial"/>
                <w:b/>
                <w:bCs/>
                <w:spacing w:val="-1"/>
                <w:sz w:val="20"/>
                <w:szCs w:val="20"/>
              </w:rPr>
              <w:t>SPE</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w:t>
            </w:r>
          </w:p>
          <w:p w:rsidR="00CE1012" w:rsidRDefault="00CE1012" w:rsidP="00CE1012">
            <w:pPr>
              <w:pStyle w:val="TableParagraph"/>
              <w:spacing w:before="7"/>
              <w:jc w:val="center"/>
              <w:rPr>
                <w:rFonts w:ascii="Arial" w:eastAsia="Arial" w:hAnsi="Arial" w:cs="Arial"/>
                <w:sz w:val="20"/>
                <w:szCs w:val="20"/>
              </w:rPr>
            </w:pPr>
            <w:r>
              <w:rPr>
                <w:rFonts w:ascii="Arial" w:eastAsia="Arial" w:hAnsi="Arial" w:cs="Arial"/>
                <w:b/>
                <w:bCs/>
                <w:spacing w:val="-1"/>
                <w:sz w:val="20"/>
                <w:szCs w:val="20"/>
              </w:rPr>
              <w:t>5</w:t>
            </w:r>
            <w:r>
              <w:rPr>
                <w:rFonts w:ascii="Arial" w:eastAsia="Arial" w:hAnsi="Arial" w:cs="Arial"/>
                <w:b/>
                <w:bCs/>
                <w:sz w:val="20"/>
                <w:szCs w:val="20"/>
              </w:rPr>
              <w:t>0</w:t>
            </w:r>
            <w:r>
              <w:rPr>
                <w:rFonts w:ascii="Arial" w:eastAsia="Arial" w:hAnsi="Arial" w:cs="Arial"/>
                <w:b/>
                <w:bCs/>
                <w:spacing w:val="-7"/>
                <w:sz w:val="20"/>
                <w:szCs w:val="20"/>
              </w:rPr>
              <w:t xml:space="preserve"> </w:t>
            </w:r>
            <w:r>
              <w:rPr>
                <w:rFonts w:ascii="Arial" w:eastAsia="Arial" w:hAnsi="Arial" w:cs="Arial"/>
                <w:b/>
                <w:bCs/>
                <w:sz w:val="20"/>
                <w:szCs w:val="20"/>
              </w:rPr>
              <w:t>mg</w:t>
            </w:r>
          </w:p>
          <w:p w:rsidR="00CE1012" w:rsidRDefault="00CE1012" w:rsidP="00CE1012">
            <w:pPr>
              <w:jc w:val="center"/>
              <w:outlineLvl w:val="0"/>
              <w:rPr>
                <w:rFonts w:cs="Arial"/>
              </w:rPr>
            </w:pPr>
            <w:r>
              <w:rPr>
                <w:rFonts w:eastAsia="Arial" w:cs="Arial"/>
                <w:b/>
                <w:bCs/>
                <w:sz w:val="20"/>
                <w:szCs w:val="20"/>
              </w:rPr>
              <w:t>(N</w:t>
            </w:r>
            <w:r>
              <w:rPr>
                <w:rFonts w:eastAsia="Arial" w:cs="Arial"/>
                <w:b/>
                <w:bCs/>
                <w:spacing w:val="-5"/>
                <w:sz w:val="20"/>
                <w:szCs w:val="20"/>
              </w:rPr>
              <w:t xml:space="preserve"> </w:t>
            </w:r>
            <w:r>
              <w:rPr>
                <w:rFonts w:eastAsia="Arial" w:cs="Arial"/>
                <w:b/>
                <w:bCs/>
                <w:sz w:val="20"/>
                <w:szCs w:val="20"/>
              </w:rPr>
              <w:t>=</w:t>
            </w:r>
            <w:r>
              <w:rPr>
                <w:rFonts w:eastAsia="Arial" w:cs="Arial"/>
                <w:b/>
                <w:bCs/>
                <w:spacing w:val="-6"/>
                <w:sz w:val="20"/>
                <w:szCs w:val="20"/>
              </w:rPr>
              <w:t xml:space="preserve"> </w:t>
            </w:r>
            <w:r>
              <w:rPr>
                <w:rFonts w:eastAsia="Arial" w:cs="Arial"/>
                <w:b/>
                <w:bCs/>
                <w:spacing w:val="-1"/>
                <w:sz w:val="20"/>
                <w:szCs w:val="20"/>
              </w:rPr>
              <w:t>217)</w:t>
            </w:r>
          </w:p>
        </w:tc>
        <w:tc>
          <w:tcPr>
            <w:tcW w:w="1970" w:type="dxa"/>
          </w:tcPr>
          <w:p w:rsidR="00CE1012" w:rsidRDefault="00CE1012" w:rsidP="00CE1012">
            <w:pPr>
              <w:pStyle w:val="TableParagraph"/>
              <w:spacing w:line="229" w:lineRule="exact"/>
              <w:jc w:val="center"/>
              <w:rPr>
                <w:rFonts w:ascii="Arial" w:eastAsia="Arial" w:hAnsi="Arial" w:cs="Arial"/>
                <w:sz w:val="20"/>
                <w:szCs w:val="20"/>
              </w:rPr>
            </w:pPr>
            <w:r>
              <w:rPr>
                <w:rFonts w:ascii="Arial" w:eastAsia="Arial" w:hAnsi="Arial" w:cs="Arial"/>
                <w:b/>
                <w:bCs/>
                <w:spacing w:val="-1"/>
                <w:sz w:val="20"/>
                <w:szCs w:val="20"/>
              </w:rPr>
              <w:t>SPE</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w:t>
            </w:r>
          </w:p>
          <w:p w:rsidR="00CE1012" w:rsidRDefault="00CE1012" w:rsidP="00CE1012">
            <w:pPr>
              <w:pStyle w:val="TableParagraph"/>
              <w:spacing w:before="7"/>
              <w:jc w:val="center"/>
              <w:rPr>
                <w:rFonts w:ascii="Arial" w:eastAsia="Arial" w:hAnsi="Arial" w:cs="Arial"/>
                <w:sz w:val="20"/>
                <w:szCs w:val="20"/>
              </w:rPr>
            </w:pPr>
            <w:r>
              <w:rPr>
                <w:rFonts w:ascii="Arial" w:eastAsia="Arial" w:hAnsi="Arial" w:cs="Arial"/>
                <w:b/>
                <w:bCs/>
                <w:spacing w:val="-1"/>
                <w:sz w:val="20"/>
                <w:szCs w:val="20"/>
              </w:rPr>
              <w:t>10</w:t>
            </w:r>
            <w:r>
              <w:rPr>
                <w:rFonts w:ascii="Arial" w:eastAsia="Arial" w:hAnsi="Arial" w:cs="Arial"/>
                <w:b/>
                <w:bCs/>
                <w:sz w:val="20"/>
                <w:szCs w:val="20"/>
              </w:rPr>
              <w:t>0</w:t>
            </w:r>
            <w:r>
              <w:rPr>
                <w:rFonts w:ascii="Arial" w:eastAsia="Arial" w:hAnsi="Arial" w:cs="Arial"/>
                <w:b/>
                <w:bCs/>
                <w:spacing w:val="-8"/>
                <w:sz w:val="20"/>
                <w:szCs w:val="20"/>
              </w:rPr>
              <w:t xml:space="preserve"> </w:t>
            </w:r>
            <w:r>
              <w:rPr>
                <w:rFonts w:ascii="Arial" w:eastAsia="Arial" w:hAnsi="Arial" w:cs="Arial"/>
                <w:b/>
                <w:bCs/>
                <w:sz w:val="20"/>
                <w:szCs w:val="20"/>
              </w:rPr>
              <w:t>mg</w:t>
            </w:r>
          </w:p>
          <w:p w:rsidR="00CE1012" w:rsidRDefault="00CE1012" w:rsidP="00CE1012">
            <w:pPr>
              <w:jc w:val="center"/>
              <w:outlineLvl w:val="0"/>
              <w:rPr>
                <w:rFonts w:cs="Arial"/>
              </w:rPr>
            </w:pPr>
            <w:r>
              <w:rPr>
                <w:rFonts w:eastAsia="Arial" w:cs="Arial"/>
                <w:b/>
                <w:bCs/>
                <w:sz w:val="20"/>
                <w:szCs w:val="20"/>
              </w:rPr>
              <w:t>(N</w:t>
            </w:r>
            <w:r>
              <w:rPr>
                <w:rFonts w:eastAsia="Arial" w:cs="Arial"/>
                <w:b/>
                <w:bCs/>
                <w:spacing w:val="-5"/>
                <w:sz w:val="20"/>
                <w:szCs w:val="20"/>
              </w:rPr>
              <w:t xml:space="preserve"> </w:t>
            </w:r>
            <w:r>
              <w:rPr>
                <w:rFonts w:eastAsia="Arial" w:cs="Arial"/>
                <w:b/>
                <w:bCs/>
                <w:sz w:val="20"/>
                <w:szCs w:val="20"/>
              </w:rPr>
              <w:t>=</w:t>
            </w:r>
            <w:r>
              <w:rPr>
                <w:rFonts w:eastAsia="Arial" w:cs="Arial"/>
                <w:b/>
                <w:bCs/>
                <w:spacing w:val="-6"/>
                <w:sz w:val="20"/>
                <w:szCs w:val="20"/>
              </w:rPr>
              <w:t xml:space="preserve"> </w:t>
            </w:r>
            <w:r>
              <w:rPr>
                <w:rFonts w:eastAsia="Arial" w:cs="Arial"/>
                <w:b/>
                <w:bCs/>
                <w:spacing w:val="-1"/>
                <w:sz w:val="20"/>
                <w:szCs w:val="20"/>
              </w:rPr>
              <w:t>594)</w:t>
            </w:r>
          </w:p>
        </w:tc>
        <w:tc>
          <w:tcPr>
            <w:tcW w:w="1970" w:type="dxa"/>
            <w:vAlign w:val="center"/>
          </w:tcPr>
          <w:p w:rsidR="00CE1012" w:rsidRDefault="00CE1012" w:rsidP="00CE1012">
            <w:pPr>
              <w:pStyle w:val="TableParagraph"/>
              <w:spacing w:line="229" w:lineRule="exact"/>
              <w:jc w:val="center"/>
              <w:rPr>
                <w:rFonts w:ascii="Arial" w:eastAsia="Arial" w:hAnsi="Arial" w:cs="Arial"/>
                <w:sz w:val="20"/>
                <w:szCs w:val="20"/>
              </w:rPr>
            </w:pPr>
            <w:r>
              <w:rPr>
                <w:rFonts w:ascii="Arial" w:eastAsia="Arial" w:hAnsi="Arial" w:cs="Arial"/>
                <w:b/>
                <w:bCs/>
                <w:spacing w:val="-1"/>
                <w:sz w:val="20"/>
                <w:szCs w:val="20"/>
              </w:rPr>
              <w:t>SPE</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w:t>
            </w:r>
          </w:p>
          <w:p w:rsidR="00CE1012" w:rsidRDefault="00CE1012" w:rsidP="00CE1012">
            <w:pPr>
              <w:pStyle w:val="TableParagraph"/>
              <w:spacing w:before="7"/>
              <w:jc w:val="center"/>
              <w:rPr>
                <w:rFonts w:ascii="Arial" w:eastAsia="Arial" w:hAnsi="Arial" w:cs="Arial"/>
                <w:sz w:val="20"/>
                <w:szCs w:val="20"/>
              </w:rPr>
            </w:pPr>
            <w:r>
              <w:rPr>
                <w:rFonts w:ascii="Arial" w:eastAsia="Arial" w:hAnsi="Arial" w:cs="Arial"/>
                <w:b/>
                <w:bCs/>
                <w:spacing w:val="-1"/>
                <w:sz w:val="20"/>
                <w:szCs w:val="20"/>
              </w:rPr>
              <w:t>20</w:t>
            </w:r>
            <w:r>
              <w:rPr>
                <w:rFonts w:ascii="Arial" w:eastAsia="Arial" w:hAnsi="Arial" w:cs="Arial"/>
                <w:b/>
                <w:bCs/>
                <w:sz w:val="20"/>
                <w:szCs w:val="20"/>
              </w:rPr>
              <w:t>0</w:t>
            </w:r>
            <w:r>
              <w:rPr>
                <w:rFonts w:ascii="Arial" w:eastAsia="Arial" w:hAnsi="Arial" w:cs="Arial"/>
                <w:b/>
                <w:bCs/>
                <w:spacing w:val="-8"/>
                <w:sz w:val="20"/>
                <w:szCs w:val="20"/>
              </w:rPr>
              <w:t xml:space="preserve"> </w:t>
            </w:r>
            <w:r>
              <w:rPr>
                <w:rFonts w:ascii="Arial" w:eastAsia="Arial" w:hAnsi="Arial" w:cs="Arial"/>
                <w:b/>
                <w:bCs/>
                <w:sz w:val="20"/>
                <w:szCs w:val="20"/>
              </w:rPr>
              <w:t>mg</w:t>
            </w:r>
          </w:p>
          <w:p w:rsidR="00CE1012" w:rsidRDefault="00CE1012" w:rsidP="00CE1012">
            <w:pPr>
              <w:jc w:val="center"/>
              <w:outlineLvl w:val="0"/>
              <w:rPr>
                <w:rFonts w:cs="Arial"/>
              </w:rPr>
            </w:pPr>
            <w:r>
              <w:rPr>
                <w:rFonts w:eastAsia="Arial" w:cs="Arial"/>
                <w:b/>
                <w:bCs/>
                <w:sz w:val="20"/>
                <w:szCs w:val="20"/>
              </w:rPr>
              <w:t>(N</w:t>
            </w:r>
            <w:r>
              <w:rPr>
                <w:rFonts w:eastAsia="Arial" w:cs="Arial"/>
                <w:b/>
                <w:bCs/>
                <w:spacing w:val="-5"/>
                <w:sz w:val="20"/>
                <w:szCs w:val="20"/>
              </w:rPr>
              <w:t xml:space="preserve"> </w:t>
            </w:r>
            <w:r>
              <w:rPr>
                <w:rFonts w:eastAsia="Arial" w:cs="Arial"/>
                <w:b/>
                <w:bCs/>
                <w:sz w:val="20"/>
                <w:szCs w:val="20"/>
              </w:rPr>
              <w:t>=</w:t>
            </w:r>
            <w:r>
              <w:rPr>
                <w:rFonts w:eastAsia="Arial" w:cs="Arial"/>
                <w:b/>
                <w:bCs/>
                <w:spacing w:val="-6"/>
                <w:sz w:val="20"/>
                <w:szCs w:val="20"/>
              </w:rPr>
              <w:t xml:space="preserve"> </w:t>
            </w:r>
            <w:r>
              <w:rPr>
                <w:rFonts w:eastAsia="Arial" w:cs="Arial"/>
                <w:b/>
                <w:bCs/>
                <w:spacing w:val="-1"/>
                <w:sz w:val="20"/>
                <w:szCs w:val="20"/>
              </w:rPr>
              <w:t>597)</w:t>
            </w:r>
          </w:p>
        </w:tc>
      </w:tr>
      <w:tr w:rsidR="00CE1012" w:rsidTr="00CE1012">
        <w:tc>
          <w:tcPr>
            <w:tcW w:w="1970" w:type="dxa"/>
          </w:tcPr>
          <w:p w:rsidR="00CE1012" w:rsidRDefault="00CE1012" w:rsidP="007B1BB1">
            <w:pPr>
              <w:outlineLvl w:val="0"/>
              <w:rPr>
                <w:rFonts w:cs="Arial"/>
              </w:rPr>
            </w:pPr>
            <w:r>
              <w:rPr>
                <w:rFonts w:eastAsia="Arial" w:cs="Arial"/>
                <w:sz w:val="20"/>
                <w:szCs w:val="20"/>
              </w:rPr>
              <w:t>H</w:t>
            </w:r>
            <w:r>
              <w:rPr>
                <w:rFonts w:eastAsia="Arial" w:cs="Arial"/>
                <w:spacing w:val="-1"/>
                <w:sz w:val="20"/>
                <w:szCs w:val="20"/>
              </w:rPr>
              <w:t>eada</w:t>
            </w:r>
            <w:r>
              <w:rPr>
                <w:rFonts w:eastAsia="Arial" w:cs="Arial"/>
                <w:spacing w:val="1"/>
                <w:sz w:val="20"/>
                <w:szCs w:val="20"/>
              </w:rPr>
              <w:t>c</w:t>
            </w:r>
            <w:r>
              <w:rPr>
                <w:rFonts w:eastAsia="Arial" w:cs="Arial"/>
                <w:spacing w:val="-1"/>
                <w:sz w:val="20"/>
                <w:szCs w:val="20"/>
              </w:rPr>
              <w:t>he</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1.4%</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5.1%</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5.7%</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10.4%</w:t>
            </w:r>
          </w:p>
        </w:tc>
      </w:tr>
      <w:tr w:rsidR="00CE1012" w:rsidTr="00CE1012">
        <w:tc>
          <w:tcPr>
            <w:tcW w:w="1970" w:type="dxa"/>
          </w:tcPr>
          <w:p w:rsidR="00CE1012" w:rsidRDefault="00CE1012" w:rsidP="007B1BB1">
            <w:pPr>
              <w:outlineLvl w:val="0"/>
              <w:rPr>
                <w:rFonts w:cs="Arial"/>
              </w:rPr>
            </w:pPr>
            <w:r>
              <w:rPr>
                <w:rFonts w:eastAsia="Arial" w:cs="Arial"/>
                <w:sz w:val="20"/>
                <w:szCs w:val="20"/>
              </w:rPr>
              <w:t>F</w:t>
            </w:r>
            <w:r>
              <w:rPr>
                <w:rFonts w:eastAsia="Arial" w:cs="Arial"/>
                <w:spacing w:val="-2"/>
                <w:sz w:val="20"/>
                <w:szCs w:val="20"/>
              </w:rPr>
              <w:t>l</w:t>
            </w:r>
            <w:r>
              <w:rPr>
                <w:rFonts w:eastAsia="Arial" w:cs="Arial"/>
                <w:spacing w:val="-1"/>
                <w:sz w:val="20"/>
                <w:szCs w:val="20"/>
              </w:rPr>
              <w:t>u</w:t>
            </w:r>
            <w:r>
              <w:rPr>
                <w:rFonts w:eastAsia="Arial" w:cs="Arial"/>
                <w:spacing w:val="1"/>
                <w:sz w:val="20"/>
                <w:szCs w:val="20"/>
              </w:rPr>
              <w:t>s</w:t>
            </w:r>
            <w:r>
              <w:rPr>
                <w:rFonts w:eastAsia="Arial" w:cs="Arial"/>
                <w:spacing w:val="-1"/>
                <w:sz w:val="20"/>
                <w:szCs w:val="20"/>
              </w:rPr>
              <w:t>h</w:t>
            </w:r>
            <w:r>
              <w:rPr>
                <w:rFonts w:eastAsia="Arial" w:cs="Arial"/>
                <w:spacing w:val="-2"/>
                <w:sz w:val="20"/>
                <w:szCs w:val="20"/>
              </w:rPr>
              <w:t>i</w:t>
            </w:r>
            <w:r>
              <w:rPr>
                <w:rFonts w:eastAsia="Arial" w:cs="Arial"/>
                <w:spacing w:val="-1"/>
                <w:sz w:val="20"/>
                <w:szCs w:val="20"/>
              </w:rPr>
              <w:t>ng</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0.0%</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3.2%</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3.5%</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4.4%</w:t>
            </w:r>
          </w:p>
        </w:tc>
      </w:tr>
      <w:tr w:rsidR="00CE1012" w:rsidTr="00CE1012">
        <w:tc>
          <w:tcPr>
            <w:tcW w:w="1970" w:type="dxa"/>
          </w:tcPr>
          <w:p w:rsidR="00CE1012" w:rsidRDefault="00CE1012" w:rsidP="007B1BB1">
            <w:pPr>
              <w:outlineLvl w:val="0"/>
              <w:rPr>
                <w:rFonts w:cs="Arial"/>
              </w:rPr>
            </w:pPr>
            <w:r w:rsidRPr="005E7615">
              <w:rPr>
                <w:rFonts w:eastAsia="Arial" w:cs="Arial"/>
                <w:bCs/>
                <w:sz w:val="20"/>
                <w:szCs w:val="20"/>
              </w:rPr>
              <w:t>N</w:t>
            </w:r>
            <w:r w:rsidRPr="005E7615">
              <w:rPr>
                <w:rFonts w:eastAsia="Arial" w:cs="Arial"/>
                <w:bCs/>
                <w:spacing w:val="-1"/>
                <w:sz w:val="20"/>
                <w:szCs w:val="20"/>
              </w:rPr>
              <w:t>asa</w:t>
            </w:r>
            <w:r w:rsidRPr="005E7615">
              <w:rPr>
                <w:rFonts w:eastAsia="Arial" w:cs="Arial"/>
                <w:bCs/>
                <w:sz w:val="20"/>
                <w:szCs w:val="20"/>
              </w:rPr>
              <w:t>l</w:t>
            </w:r>
            <w:r w:rsidRPr="005E7615">
              <w:rPr>
                <w:rFonts w:eastAsia="Arial" w:cs="Arial"/>
                <w:bCs/>
                <w:spacing w:val="2"/>
                <w:sz w:val="20"/>
                <w:szCs w:val="20"/>
              </w:rPr>
              <w:t xml:space="preserve"> </w:t>
            </w:r>
            <w:r w:rsidRPr="005E7615">
              <w:rPr>
                <w:rFonts w:eastAsia="Arial" w:cs="Arial"/>
                <w:bCs/>
                <w:spacing w:val="-1"/>
                <w:sz w:val="20"/>
                <w:szCs w:val="20"/>
              </w:rPr>
              <w:t>c</w:t>
            </w:r>
            <w:r w:rsidRPr="005E7615">
              <w:rPr>
                <w:rFonts w:eastAsia="Arial" w:cs="Arial"/>
                <w:bCs/>
                <w:sz w:val="20"/>
                <w:szCs w:val="20"/>
              </w:rPr>
              <w:t>o</w:t>
            </w:r>
            <w:r w:rsidRPr="005E7615">
              <w:rPr>
                <w:rFonts w:eastAsia="Arial" w:cs="Arial"/>
                <w:bCs/>
                <w:spacing w:val="-2"/>
                <w:sz w:val="20"/>
                <w:szCs w:val="20"/>
              </w:rPr>
              <w:t>n</w:t>
            </w:r>
            <w:r w:rsidRPr="005E7615">
              <w:rPr>
                <w:rFonts w:eastAsia="Arial" w:cs="Arial"/>
                <w:bCs/>
                <w:sz w:val="20"/>
                <w:szCs w:val="20"/>
              </w:rPr>
              <w:t>g</w:t>
            </w:r>
            <w:r w:rsidRPr="005E7615">
              <w:rPr>
                <w:rFonts w:eastAsia="Arial" w:cs="Arial"/>
                <w:bCs/>
                <w:spacing w:val="-1"/>
                <w:sz w:val="20"/>
                <w:szCs w:val="20"/>
              </w:rPr>
              <w:t>e</w:t>
            </w:r>
            <w:r w:rsidRPr="005E7615">
              <w:rPr>
                <w:rFonts w:eastAsia="Arial" w:cs="Arial"/>
                <w:bCs/>
                <w:spacing w:val="-3"/>
                <w:sz w:val="20"/>
                <w:szCs w:val="20"/>
              </w:rPr>
              <w:t>s</w:t>
            </w:r>
            <w:r w:rsidRPr="005E7615">
              <w:rPr>
                <w:rFonts w:eastAsia="Arial" w:cs="Arial"/>
                <w:bCs/>
                <w:sz w:val="20"/>
                <w:szCs w:val="20"/>
              </w:rPr>
              <w:t>t</w:t>
            </w:r>
            <w:r w:rsidRPr="005E7615">
              <w:rPr>
                <w:rFonts w:eastAsia="Arial" w:cs="Arial"/>
                <w:bCs/>
                <w:spacing w:val="-1"/>
                <w:sz w:val="20"/>
                <w:szCs w:val="20"/>
              </w:rPr>
              <w:t>i</w:t>
            </w:r>
            <w:r w:rsidRPr="005E7615">
              <w:rPr>
                <w:rFonts w:eastAsia="Arial" w:cs="Arial"/>
                <w:bCs/>
                <w:spacing w:val="-2"/>
                <w:sz w:val="20"/>
                <w:szCs w:val="20"/>
              </w:rPr>
              <w:t>o</w:t>
            </w:r>
            <w:r w:rsidRPr="005E7615">
              <w:rPr>
                <w:rFonts w:eastAsia="Arial" w:cs="Arial"/>
                <w:bCs/>
                <w:sz w:val="20"/>
                <w:szCs w:val="20"/>
              </w:rPr>
              <w:t>n</w:t>
            </w:r>
          </w:p>
        </w:tc>
        <w:tc>
          <w:tcPr>
            <w:tcW w:w="1970" w:type="dxa"/>
            <w:vAlign w:val="center"/>
          </w:tcPr>
          <w:p w:rsidR="00CE1012" w:rsidRDefault="00CE1012" w:rsidP="00CE1012">
            <w:pPr>
              <w:jc w:val="center"/>
              <w:outlineLvl w:val="0"/>
              <w:rPr>
                <w:rFonts w:cs="Arial"/>
              </w:rPr>
            </w:pPr>
            <w:r w:rsidRPr="00CE1012">
              <w:rPr>
                <w:rFonts w:eastAsia="Arial" w:cs="Arial"/>
                <w:spacing w:val="-1"/>
                <w:sz w:val="20"/>
                <w:szCs w:val="20"/>
              </w:rPr>
              <w:t>0.8%</w:t>
            </w:r>
          </w:p>
        </w:tc>
        <w:tc>
          <w:tcPr>
            <w:tcW w:w="1970" w:type="dxa"/>
            <w:vAlign w:val="center"/>
          </w:tcPr>
          <w:p w:rsidR="00CE1012" w:rsidRDefault="00CE1012" w:rsidP="00CE1012">
            <w:pPr>
              <w:jc w:val="center"/>
              <w:outlineLvl w:val="0"/>
              <w:rPr>
                <w:rFonts w:cs="Arial"/>
              </w:rPr>
            </w:pPr>
            <w:r w:rsidRPr="00CE1012">
              <w:rPr>
                <w:rFonts w:eastAsia="Arial" w:cs="Arial"/>
                <w:spacing w:val="-1"/>
                <w:sz w:val="20"/>
                <w:szCs w:val="20"/>
              </w:rPr>
              <w:t>1.8%</w:t>
            </w:r>
          </w:p>
        </w:tc>
        <w:tc>
          <w:tcPr>
            <w:tcW w:w="1970" w:type="dxa"/>
            <w:vAlign w:val="center"/>
          </w:tcPr>
          <w:p w:rsidR="00CE1012" w:rsidRDefault="00CE1012" w:rsidP="00CE1012">
            <w:pPr>
              <w:jc w:val="center"/>
              <w:outlineLvl w:val="0"/>
              <w:rPr>
                <w:rFonts w:cs="Arial"/>
              </w:rPr>
            </w:pPr>
            <w:r w:rsidRPr="00CE1012">
              <w:rPr>
                <w:rFonts w:eastAsia="Arial" w:cs="Arial"/>
                <w:spacing w:val="-1"/>
                <w:sz w:val="20"/>
                <w:szCs w:val="20"/>
              </w:rPr>
              <w:t>2.4%</w:t>
            </w:r>
          </w:p>
        </w:tc>
        <w:tc>
          <w:tcPr>
            <w:tcW w:w="1970" w:type="dxa"/>
            <w:vAlign w:val="center"/>
          </w:tcPr>
          <w:p w:rsidR="00CE1012" w:rsidRDefault="00CE1012" w:rsidP="00CE1012">
            <w:pPr>
              <w:jc w:val="center"/>
              <w:outlineLvl w:val="0"/>
              <w:rPr>
                <w:rFonts w:cs="Arial"/>
              </w:rPr>
            </w:pPr>
            <w:r w:rsidRPr="00CE1012">
              <w:rPr>
                <w:rFonts w:eastAsia="Arial" w:cs="Arial"/>
                <w:spacing w:val="-1"/>
                <w:sz w:val="20"/>
                <w:szCs w:val="20"/>
              </w:rPr>
              <w:t>2.3%</w:t>
            </w:r>
          </w:p>
        </w:tc>
      </w:tr>
      <w:tr w:rsidR="00CE1012" w:rsidTr="00CE1012">
        <w:tc>
          <w:tcPr>
            <w:tcW w:w="1970" w:type="dxa"/>
          </w:tcPr>
          <w:p w:rsidR="00CE1012" w:rsidRDefault="00CE1012" w:rsidP="007B1BB1">
            <w:pPr>
              <w:outlineLvl w:val="0"/>
              <w:rPr>
                <w:rFonts w:cs="Arial"/>
              </w:rPr>
            </w:pPr>
            <w:proofErr w:type="spellStart"/>
            <w:r>
              <w:rPr>
                <w:rFonts w:eastAsia="Arial" w:cs="Arial"/>
                <w:sz w:val="20"/>
                <w:szCs w:val="20"/>
              </w:rPr>
              <w:t>N</w:t>
            </w:r>
            <w:r>
              <w:rPr>
                <w:rFonts w:eastAsia="Arial" w:cs="Arial"/>
                <w:spacing w:val="-1"/>
                <w:sz w:val="20"/>
                <w:szCs w:val="20"/>
              </w:rPr>
              <w:t>a</w:t>
            </w:r>
            <w:r>
              <w:rPr>
                <w:rFonts w:eastAsia="Arial" w:cs="Arial"/>
                <w:spacing w:val="1"/>
                <w:sz w:val="20"/>
                <w:szCs w:val="20"/>
              </w:rPr>
              <w:t>s</w:t>
            </w:r>
            <w:r>
              <w:rPr>
                <w:rFonts w:eastAsia="Arial" w:cs="Arial"/>
                <w:spacing w:val="-1"/>
                <w:sz w:val="20"/>
                <w:szCs w:val="20"/>
              </w:rPr>
              <w:t>oph</w:t>
            </w:r>
            <w:r>
              <w:rPr>
                <w:rFonts w:eastAsia="Arial" w:cs="Arial"/>
                <w:spacing w:val="-3"/>
                <w:sz w:val="20"/>
                <w:szCs w:val="20"/>
              </w:rPr>
              <w:t>a</w:t>
            </w:r>
            <w:r>
              <w:rPr>
                <w:rFonts w:eastAsia="Arial" w:cs="Arial"/>
                <w:sz w:val="20"/>
                <w:szCs w:val="20"/>
              </w:rPr>
              <w:t>r</w:t>
            </w:r>
            <w:r>
              <w:rPr>
                <w:rFonts w:eastAsia="Arial" w:cs="Arial"/>
                <w:spacing w:val="-7"/>
                <w:sz w:val="20"/>
                <w:szCs w:val="20"/>
              </w:rPr>
              <w:t>y</w:t>
            </w:r>
            <w:r>
              <w:rPr>
                <w:rFonts w:eastAsia="Arial" w:cs="Arial"/>
                <w:spacing w:val="-1"/>
                <w:sz w:val="20"/>
                <w:szCs w:val="20"/>
              </w:rPr>
              <w:t>ngit</w:t>
            </w:r>
            <w:r>
              <w:rPr>
                <w:rFonts w:eastAsia="Arial" w:cs="Arial"/>
                <w:spacing w:val="-2"/>
                <w:sz w:val="20"/>
                <w:szCs w:val="20"/>
              </w:rPr>
              <w:t>i</w:t>
            </w:r>
            <w:r>
              <w:rPr>
                <w:rFonts w:eastAsia="Arial" w:cs="Arial"/>
                <w:sz w:val="20"/>
                <w:szCs w:val="20"/>
              </w:rPr>
              <w:t>s</w:t>
            </w:r>
            <w:proofErr w:type="spellEnd"/>
          </w:p>
        </w:tc>
        <w:tc>
          <w:tcPr>
            <w:tcW w:w="1970" w:type="dxa"/>
            <w:vAlign w:val="center"/>
          </w:tcPr>
          <w:p w:rsidR="00CE1012" w:rsidRDefault="00CE1012" w:rsidP="00CE1012">
            <w:pPr>
              <w:jc w:val="center"/>
              <w:outlineLvl w:val="0"/>
              <w:rPr>
                <w:rFonts w:cs="Arial"/>
              </w:rPr>
            </w:pPr>
            <w:r>
              <w:rPr>
                <w:rFonts w:eastAsia="Arial" w:cs="Arial"/>
                <w:spacing w:val="-1"/>
                <w:sz w:val="20"/>
                <w:szCs w:val="20"/>
              </w:rPr>
              <w:t>2.2%</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0.9%</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2.2%</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3.2%</w:t>
            </w:r>
          </w:p>
        </w:tc>
      </w:tr>
      <w:tr w:rsidR="00CE1012" w:rsidTr="00CE1012">
        <w:tc>
          <w:tcPr>
            <w:tcW w:w="1970" w:type="dxa"/>
          </w:tcPr>
          <w:p w:rsidR="00CE1012" w:rsidRDefault="00CE1012" w:rsidP="007B1BB1">
            <w:pPr>
              <w:outlineLvl w:val="0"/>
              <w:rPr>
                <w:rFonts w:cs="Arial"/>
              </w:rPr>
            </w:pPr>
            <w:r>
              <w:rPr>
                <w:rFonts w:eastAsia="Arial" w:cs="Arial"/>
                <w:spacing w:val="-1"/>
                <w:sz w:val="20"/>
                <w:szCs w:val="20"/>
              </w:rPr>
              <w:t>Ba</w:t>
            </w:r>
            <w:r>
              <w:rPr>
                <w:rFonts w:eastAsia="Arial" w:cs="Arial"/>
                <w:spacing w:val="-2"/>
                <w:sz w:val="20"/>
                <w:szCs w:val="20"/>
              </w:rPr>
              <w:t>c</w:t>
            </w:r>
            <w:r>
              <w:rPr>
                <w:rFonts w:eastAsia="Arial" w:cs="Arial"/>
                <w:sz w:val="20"/>
                <w:szCs w:val="20"/>
              </w:rPr>
              <w:t>k</w:t>
            </w:r>
            <w:r>
              <w:rPr>
                <w:rFonts w:eastAsia="Arial" w:cs="Arial"/>
                <w:spacing w:val="-9"/>
                <w:sz w:val="20"/>
                <w:szCs w:val="20"/>
              </w:rPr>
              <w:t xml:space="preserve"> </w:t>
            </w:r>
            <w:r>
              <w:rPr>
                <w:rFonts w:eastAsia="Arial" w:cs="Arial"/>
                <w:spacing w:val="-1"/>
                <w:sz w:val="20"/>
                <w:szCs w:val="20"/>
              </w:rPr>
              <w:t>pai</w:t>
            </w:r>
            <w:r>
              <w:rPr>
                <w:rFonts w:eastAsia="Arial" w:cs="Arial"/>
                <w:sz w:val="20"/>
                <w:szCs w:val="20"/>
              </w:rPr>
              <w:t>n</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0.8%</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3.2%</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1.7</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1.2%</w:t>
            </w:r>
          </w:p>
        </w:tc>
      </w:tr>
      <w:tr w:rsidR="00CE1012" w:rsidTr="00CE1012">
        <w:tc>
          <w:tcPr>
            <w:tcW w:w="1970" w:type="dxa"/>
          </w:tcPr>
          <w:p w:rsidR="00CE1012" w:rsidRDefault="00CE1012" w:rsidP="007B1BB1">
            <w:pPr>
              <w:outlineLvl w:val="0"/>
              <w:rPr>
                <w:rFonts w:cs="Arial"/>
              </w:rPr>
            </w:pPr>
            <w:r>
              <w:rPr>
                <w:rFonts w:eastAsia="Arial" w:cs="Arial"/>
                <w:sz w:val="20"/>
                <w:szCs w:val="20"/>
              </w:rPr>
              <w:t>Constipation</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0.2</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1.4</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sidRPr="00CE1012">
              <w:rPr>
                <w:rFonts w:eastAsia="Arial" w:cs="Arial"/>
                <w:spacing w:val="-1"/>
                <w:sz w:val="20"/>
                <w:szCs w:val="20"/>
                <w:lang w:val="en-US"/>
              </w:rPr>
              <w:t>0.0%</w:t>
            </w:r>
          </w:p>
        </w:tc>
        <w:tc>
          <w:tcPr>
            <w:tcW w:w="1970" w:type="dxa"/>
            <w:vAlign w:val="center"/>
          </w:tcPr>
          <w:p w:rsidR="00CE1012" w:rsidRDefault="00CE1012" w:rsidP="00CE1012">
            <w:pPr>
              <w:jc w:val="center"/>
              <w:outlineLvl w:val="0"/>
              <w:rPr>
                <w:rFonts w:cs="Arial"/>
              </w:rPr>
            </w:pPr>
            <w:r w:rsidRPr="00CE1012">
              <w:rPr>
                <w:rFonts w:eastAsia="Arial" w:cs="Arial"/>
                <w:spacing w:val="-1"/>
                <w:sz w:val="20"/>
                <w:szCs w:val="20"/>
              </w:rPr>
              <w:t>0.0%</w:t>
            </w:r>
          </w:p>
        </w:tc>
      </w:tr>
      <w:tr w:rsidR="00CE1012" w:rsidTr="00CE1012">
        <w:tc>
          <w:tcPr>
            <w:tcW w:w="1970" w:type="dxa"/>
          </w:tcPr>
          <w:p w:rsidR="00CE1012" w:rsidRDefault="00CE1012" w:rsidP="007B1BB1">
            <w:pPr>
              <w:outlineLvl w:val="0"/>
              <w:rPr>
                <w:rFonts w:cs="Arial"/>
              </w:rPr>
            </w:pPr>
            <w:r>
              <w:rPr>
                <w:rFonts w:eastAsia="Arial" w:cs="Arial"/>
                <w:sz w:val="20"/>
                <w:szCs w:val="20"/>
              </w:rPr>
              <w:t>D</w:t>
            </w:r>
            <w:r>
              <w:rPr>
                <w:rFonts w:eastAsia="Arial" w:cs="Arial"/>
                <w:spacing w:val="-5"/>
                <w:sz w:val="20"/>
                <w:szCs w:val="20"/>
              </w:rPr>
              <w:t>yspepsia</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0.2</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0.5</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0.5</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1.0</w:t>
            </w:r>
            <w:r w:rsidRPr="00CE1012">
              <w:rPr>
                <w:rFonts w:eastAsia="Arial" w:cs="Arial"/>
                <w:spacing w:val="-1"/>
                <w:sz w:val="20"/>
                <w:szCs w:val="20"/>
              </w:rPr>
              <w:t>%</w:t>
            </w:r>
          </w:p>
        </w:tc>
      </w:tr>
      <w:tr w:rsidR="00CE1012" w:rsidTr="00CE1012">
        <w:tc>
          <w:tcPr>
            <w:tcW w:w="1970" w:type="dxa"/>
          </w:tcPr>
          <w:p w:rsidR="00CE1012" w:rsidRDefault="00CE1012" w:rsidP="007B1BB1">
            <w:pPr>
              <w:outlineLvl w:val="0"/>
              <w:rPr>
                <w:rFonts w:cs="Arial"/>
              </w:rPr>
            </w:pPr>
            <w:r>
              <w:rPr>
                <w:rFonts w:eastAsia="Arial" w:cs="Arial"/>
                <w:sz w:val="20"/>
                <w:szCs w:val="20"/>
              </w:rPr>
              <w:t>N</w:t>
            </w:r>
            <w:r>
              <w:rPr>
                <w:rFonts w:eastAsia="Arial" w:cs="Arial"/>
                <w:spacing w:val="-1"/>
                <w:sz w:val="20"/>
                <w:szCs w:val="20"/>
              </w:rPr>
              <w:t>ausea</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0.2</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0.0</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0.5</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1.0</w:t>
            </w:r>
            <w:r w:rsidRPr="00CE1012">
              <w:rPr>
                <w:rFonts w:eastAsia="Arial" w:cs="Arial"/>
                <w:spacing w:val="-1"/>
                <w:sz w:val="20"/>
                <w:szCs w:val="20"/>
              </w:rPr>
              <w:t>%</w:t>
            </w:r>
          </w:p>
        </w:tc>
      </w:tr>
      <w:tr w:rsidR="00CE1012" w:rsidTr="00CE1012">
        <w:tc>
          <w:tcPr>
            <w:tcW w:w="1970" w:type="dxa"/>
          </w:tcPr>
          <w:p w:rsidR="00CE1012" w:rsidRDefault="00CE1012" w:rsidP="007B1BB1">
            <w:pPr>
              <w:outlineLvl w:val="0"/>
              <w:rPr>
                <w:rFonts w:cs="Arial"/>
              </w:rPr>
            </w:pPr>
            <w:r>
              <w:rPr>
                <w:rFonts w:eastAsia="Arial" w:cs="Arial"/>
                <w:spacing w:val="-1"/>
                <w:sz w:val="20"/>
                <w:szCs w:val="20"/>
              </w:rPr>
              <w:t>B</w:t>
            </w:r>
            <w:r>
              <w:rPr>
                <w:rFonts w:eastAsia="Arial" w:cs="Arial"/>
                <w:sz w:val="20"/>
                <w:szCs w:val="20"/>
              </w:rPr>
              <w:t>ronchitis</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0.8</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1.4</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0.2</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0.8</w:t>
            </w:r>
            <w:r w:rsidRPr="00CE1012">
              <w:rPr>
                <w:rFonts w:eastAsia="Arial" w:cs="Arial"/>
                <w:spacing w:val="-1"/>
                <w:sz w:val="20"/>
                <w:szCs w:val="20"/>
              </w:rPr>
              <w:t>%</w:t>
            </w:r>
          </w:p>
        </w:tc>
      </w:tr>
      <w:tr w:rsidR="00CE1012" w:rsidTr="00CE1012">
        <w:tc>
          <w:tcPr>
            <w:tcW w:w="1970" w:type="dxa"/>
          </w:tcPr>
          <w:p w:rsidR="00CE1012" w:rsidRDefault="00CE1012" w:rsidP="007B1BB1">
            <w:pPr>
              <w:outlineLvl w:val="0"/>
              <w:rPr>
                <w:rFonts w:cs="Arial"/>
              </w:rPr>
            </w:pPr>
            <w:r>
              <w:rPr>
                <w:rFonts w:eastAsia="Arial" w:cs="Arial"/>
                <w:spacing w:val="-1"/>
                <w:sz w:val="20"/>
                <w:szCs w:val="20"/>
              </w:rPr>
              <w:t>I</w:t>
            </w:r>
            <w:r>
              <w:rPr>
                <w:rFonts w:eastAsia="Arial" w:cs="Arial"/>
                <w:sz w:val="20"/>
                <w:szCs w:val="20"/>
              </w:rPr>
              <w:t>nfluenza</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0.0</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0.5</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1.3</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0.5</w:t>
            </w:r>
            <w:r w:rsidRPr="00CE1012">
              <w:rPr>
                <w:rFonts w:eastAsia="Arial" w:cs="Arial"/>
                <w:spacing w:val="-1"/>
                <w:sz w:val="20"/>
                <w:szCs w:val="20"/>
              </w:rPr>
              <w:t>%</w:t>
            </w:r>
          </w:p>
        </w:tc>
      </w:tr>
      <w:tr w:rsidR="00CE1012" w:rsidTr="00CE1012">
        <w:tc>
          <w:tcPr>
            <w:tcW w:w="1970" w:type="dxa"/>
          </w:tcPr>
          <w:p w:rsidR="00CE1012" w:rsidRDefault="00CE1012" w:rsidP="007B1BB1">
            <w:pPr>
              <w:outlineLvl w:val="0"/>
              <w:rPr>
                <w:rFonts w:cs="Arial"/>
              </w:rPr>
            </w:pPr>
            <w:r>
              <w:rPr>
                <w:rFonts w:eastAsia="Arial" w:cs="Arial"/>
                <w:spacing w:val="-1"/>
                <w:sz w:val="20"/>
                <w:szCs w:val="20"/>
              </w:rPr>
              <w:t>Sinusitis</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0.7</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sidRPr="00CE1012">
              <w:rPr>
                <w:rFonts w:eastAsia="Arial" w:cs="Arial"/>
                <w:spacing w:val="-1"/>
                <w:sz w:val="20"/>
                <w:szCs w:val="20"/>
              </w:rPr>
              <w:t>0.0%</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1.0</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0.7</w:t>
            </w:r>
            <w:r w:rsidRPr="00CE1012">
              <w:rPr>
                <w:rFonts w:eastAsia="Arial" w:cs="Arial"/>
                <w:spacing w:val="-1"/>
                <w:sz w:val="20"/>
                <w:szCs w:val="20"/>
              </w:rPr>
              <w:t>%</w:t>
            </w:r>
          </w:p>
        </w:tc>
      </w:tr>
      <w:tr w:rsidR="00CE1012" w:rsidTr="00CE1012">
        <w:tc>
          <w:tcPr>
            <w:tcW w:w="1970" w:type="dxa"/>
          </w:tcPr>
          <w:p w:rsidR="00CE1012" w:rsidRDefault="00CE1012" w:rsidP="007B1BB1">
            <w:pPr>
              <w:outlineLvl w:val="0"/>
              <w:rPr>
                <w:rFonts w:cs="Arial"/>
              </w:rPr>
            </w:pPr>
            <w:r>
              <w:rPr>
                <w:rFonts w:eastAsia="Arial" w:cs="Arial"/>
                <w:sz w:val="20"/>
                <w:szCs w:val="20"/>
              </w:rPr>
              <w:t>U</w:t>
            </w:r>
            <w:r>
              <w:rPr>
                <w:rFonts w:eastAsia="Arial" w:cs="Arial"/>
                <w:spacing w:val="-1"/>
                <w:sz w:val="20"/>
                <w:szCs w:val="20"/>
              </w:rPr>
              <w:t xml:space="preserve">pper respiratory </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1.7</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1.8</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1.5</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1.7</w:t>
            </w:r>
            <w:r w:rsidRPr="00CE1012">
              <w:rPr>
                <w:rFonts w:eastAsia="Arial" w:cs="Arial"/>
                <w:spacing w:val="-1"/>
                <w:sz w:val="20"/>
                <w:szCs w:val="20"/>
              </w:rPr>
              <w:t>%</w:t>
            </w:r>
          </w:p>
        </w:tc>
      </w:tr>
      <w:tr w:rsidR="00CE1012" w:rsidTr="00CE1012">
        <w:tc>
          <w:tcPr>
            <w:tcW w:w="1970" w:type="dxa"/>
          </w:tcPr>
          <w:p w:rsidR="00CE1012" w:rsidRDefault="00CE1012" w:rsidP="007B1BB1">
            <w:pPr>
              <w:outlineLvl w:val="0"/>
              <w:rPr>
                <w:rFonts w:cs="Arial"/>
              </w:rPr>
            </w:pPr>
            <w:r>
              <w:rPr>
                <w:rFonts w:eastAsia="Arial" w:cs="Arial"/>
                <w:spacing w:val="-1"/>
                <w:sz w:val="20"/>
                <w:szCs w:val="20"/>
              </w:rPr>
              <w:t>Sinus congestion</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0.3</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0.5</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0.5</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1.2</w:t>
            </w:r>
            <w:r w:rsidRPr="00CE1012">
              <w:rPr>
                <w:rFonts w:eastAsia="Arial" w:cs="Arial"/>
                <w:spacing w:val="-1"/>
                <w:sz w:val="20"/>
                <w:szCs w:val="20"/>
              </w:rPr>
              <w:t>%</w:t>
            </w:r>
          </w:p>
        </w:tc>
      </w:tr>
      <w:tr w:rsidR="00CE1012" w:rsidTr="00CE1012">
        <w:tc>
          <w:tcPr>
            <w:tcW w:w="1970" w:type="dxa"/>
          </w:tcPr>
          <w:p w:rsidR="00CE1012" w:rsidRDefault="00CE1012" w:rsidP="007B1BB1">
            <w:pPr>
              <w:outlineLvl w:val="0"/>
              <w:rPr>
                <w:rFonts w:cs="Arial"/>
              </w:rPr>
            </w:pPr>
            <w:r>
              <w:rPr>
                <w:rFonts w:eastAsia="Arial" w:cs="Arial"/>
                <w:sz w:val="20"/>
                <w:szCs w:val="20"/>
              </w:rPr>
              <w:t>R</w:t>
            </w:r>
            <w:r>
              <w:rPr>
                <w:rFonts w:eastAsia="Arial" w:cs="Arial"/>
                <w:spacing w:val="-1"/>
                <w:sz w:val="20"/>
                <w:szCs w:val="20"/>
              </w:rPr>
              <w:t xml:space="preserve">ash </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0.2</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1.4</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sidRPr="00CE1012">
              <w:rPr>
                <w:rFonts w:eastAsia="Arial" w:cs="Arial"/>
                <w:spacing w:val="-1"/>
                <w:sz w:val="20"/>
                <w:szCs w:val="20"/>
              </w:rPr>
              <w:t>0.0%</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0.2</w:t>
            </w:r>
            <w:r w:rsidRPr="00CE1012">
              <w:rPr>
                <w:rFonts w:eastAsia="Arial" w:cs="Arial"/>
                <w:spacing w:val="-1"/>
                <w:sz w:val="20"/>
                <w:szCs w:val="20"/>
              </w:rPr>
              <w:t>%</w:t>
            </w:r>
          </w:p>
        </w:tc>
      </w:tr>
      <w:tr w:rsidR="00CE1012" w:rsidTr="00CE1012">
        <w:tc>
          <w:tcPr>
            <w:tcW w:w="1970" w:type="dxa"/>
          </w:tcPr>
          <w:p w:rsidR="00CE1012" w:rsidRDefault="00CE1012" w:rsidP="007B1BB1">
            <w:pPr>
              <w:outlineLvl w:val="0"/>
              <w:rPr>
                <w:rFonts w:cs="Arial"/>
              </w:rPr>
            </w:pPr>
            <w:r>
              <w:rPr>
                <w:rFonts w:eastAsia="Arial" w:cs="Arial"/>
                <w:sz w:val="20"/>
                <w:szCs w:val="20"/>
              </w:rPr>
              <w:t>H</w:t>
            </w:r>
            <w:r>
              <w:rPr>
                <w:rFonts w:eastAsia="Arial" w:cs="Arial"/>
                <w:spacing w:val="-5"/>
                <w:sz w:val="20"/>
                <w:szCs w:val="20"/>
              </w:rPr>
              <w:t>ypertension</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0.5</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0.5</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1.2</w:t>
            </w:r>
            <w:r w:rsidRPr="00CE1012">
              <w:rPr>
                <w:rFonts w:eastAsia="Arial" w:cs="Arial"/>
                <w:spacing w:val="-1"/>
                <w:sz w:val="20"/>
                <w:szCs w:val="20"/>
              </w:rPr>
              <w:t>%</w:t>
            </w:r>
          </w:p>
        </w:tc>
        <w:tc>
          <w:tcPr>
            <w:tcW w:w="1970" w:type="dxa"/>
            <w:vAlign w:val="center"/>
          </w:tcPr>
          <w:p w:rsidR="00CE1012" w:rsidRDefault="00CE1012" w:rsidP="00CE1012">
            <w:pPr>
              <w:jc w:val="center"/>
              <w:outlineLvl w:val="0"/>
              <w:rPr>
                <w:rFonts w:cs="Arial"/>
              </w:rPr>
            </w:pPr>
            <w:r>
              <w:rPr>
                <w:rFonts w:eastAsia="Arial" w:cs="Arial"/>
                <w:spacing w:val="-1"/>
                <w:sz w:val="20"/>
                <w:szCs w:val="20"/>
              </w:rPr>
              <w:t>0.5</w:t>
            </w:r>
            <w:r w:rsidRPr="00CE1012">
              <w:rPr>
                <w:rFonts w:eastAsia="Arial" w:cs="Arial"/>
                <w:spacing w:val="-1"/>
                <w:sz w:val="20"/>
                <w:szCs w:val="20"/>
              </w:rPr>
              <w:t>%</w:t>
            </w:r>
          </w:p>
        </w:tc>
      </w:tr>
    </w:tbl>
    <w:p w:rsidR="00AE62AF" w:rsidRDefault="007B1BB1" w:rsidP="00B523DB">
      <w:pPr>
        <w:spacing w:before="120"/>
        <w:outlineLvl w:val="0"/>
        <w:rPr>
          <w:rFonts w:cs="Arial"/>
        </w:rPr>
      </w:pPr>
      <w:r w:rsidRPr="007D1775">
        <w:rPr>
          <w:rFonts w:cs="Arial"/>
        </w:rPr>
        <w:t>In an open-label, long-term extension study of two of these randomi</w:t>
      </w:r>
      <w:r w:rsidR="00EE3B99" w:rsidRPr="007D1775">
        <w:rPr>
          <w:rFonts w:cs="Arial"/>
        </w:rPr>
        <w:t>s</w:t>
      </w:r>
      <w:r w:rsidRPr="007D1775">
        <w:rPr>
          <w:rFonts w:cs="Arial"/>
        </w:rPr>
        <w:t xml:space="preserve">ed, double-blind, placebo-controlled trials, the total duration of treatment was up to 52 weeks. Among the 712 patients who participated in this open-label extension study, the mean age of the population was 56.4 years (range from 23 to 88 years). The discontinuation rate due to adverse reactions for patients treated with </w:t>
      </w:r>
      <w:r w:rsidR="00F3116E" w:rsidRPr="007D1775">
        <w:rPr>
          <w:rFonts w:cs="Arial"/>
        </w:rPr>
        <w:t>SPEDRA</w:t>
      </w:r>
      <w:r w:rsidRPr="007D1775">
        <w:rPr>
          <w:rFonts w:cs="Arial"/>
        </w:rPr>
        <w:t xml:space="preserve"> (50 mg, 100 mg, or 200 mg) was 2.8% (see </w:t>
      </w:r>
      <w:r w:rsidR="002620C7" w:rsidRPr="007D1775">
        <w:rPr>
          <w:rFonts w:cs="Arial"/>
        </w:rPr>
        <w:t>CLINICAL TRIALS</w:t>
      </w:r>
      <w:r w:rsidRPr="007D1775">
        <w:rPr>
          <w:rFonts w:cs="Arial"/>
        </w:rPr>
        <w:t xml:space="preserve">). </w:t>
      </w:r>
    </w:p>
    <w:p w:rsidR="002F1072" w:rsidRDefault="007B1BB1" w:rsidP="007B1BB1">
      <w:pPr>
        <w:rPr>
          <w:rFonts w:cs="Arial"/>
        </w:rPr>
      </w:pPr>
      <w:r w:rsidRPr="007D1775">
        <w:rPr>
          <w:rFonts w:cs="Arial"/>
        </w:rPr>
        <w:t xml:space="preserve">Table </w:t>
      </w:r>
      <w:r w:rsidR="00CC171B">
        <w:rPr>
          <w:rFonts w:cs="Arial"/>
        </w:rPr>
        <w:t>6</w:t>
      </w:r>
      <w:r w:rsidR="00CC171B" w:rsidRPr="007D1775">
        <w:rPr>
          <w:rFonts w:cs="Arial"/>
        </w:rPr>
        <w:t xml:space="preserve"> </w:t>
      </w:r>
      <w:r w:rsidRPr="007D1775">
        <w:rPr>
          <w:rFonts w:cs="Arial"/>
        </w:rPr>
        <w:t xml:space="preserve">presents TEAEs reported when </w:t>
      </w:r>
      <w:r w:rsidR="00F3116E" w:rsidRPr="007D1775">
        <w:rPr>
          <w:rFonts w:cs="Arial"/>
        </w:rPr>
        <w:t>SPEDRA</w:t>
      </w:r>
      <w:r w:rsidRPr="007D1775">
        <w:rPr>
          <w:rFonts w:cs="Arial"/>
        </w:rPr>
        <w:t xml:space="preserve"> was taken as recommended (on an as-needed basis) in this open-label extension trial.</w:t>
      </w:r>
    </w:p>
    <w:p w:rsidR="004048EF" w:rsidRDefault="004048EF" w:rsidP="00415645">
      <w:pPr>
        <w:spacing w:before="120" w:after="120"/>
        <w:ind w:left="994" w:hanging="994"/>
        <w:outlineLvl w:val="0"/>
        <w:rPr>
          <w:rFonts w:cs="Arial"/>
          <w:b/>
          <w:sz w:val="20"/>
          <w:u w:val="single"/>
        </w:rPr>
      </w:pPr>
      <w:r w:rsidRPr="00167635">
        <w:rPr>
          <w:rFonts w:cs="Arial"/>
          <w:b/>
          <w:sz w:val="20"/>
          <w:u w:val="single"/>
        </w:rPr>
        <w:t xml:space="preserve">Table </w:t>
      </w:r>
      <w:r w:rsidR="00CC171B">
        <w:rPr>
          <w:rFonts w:cs="Arial"/>
          <w:b/>
          <w:sz w:val="20"/>
          <w:u w:val="single"/>
        </w:rPr>
        <w:t>6</w:t>
      </w:r>
      <w:r w:rsidRPr="00167635">
        <w:rPr>
          <w:rFonts w:cs="Arial"/>
          <w:b/>
          <w:sz w:val="20"/>
          <w:u w:val="single"/>
        </w:rPr>
        <w:t>:</w:t>
      </w:r>
      <w:r>
        <w:rPr>
          <w:rFonts w:cs="Arial"/>
          <w:b/>
          <w:sz w:val="20"/>
          <w:u w:val="single"/>
        </w:rPr>
        <w:tab/>
      </w:r>
      <w:r w:rsidRPr="00167635">
        <w:rPr>
          <w:rFonts w:cs="Arial"/>
          <w:b/>
          <w:sz w:val="20"/>
          <w:u w:val="single"/>
        </w:rPr>
        <w:t xml:space="preserve">Treatment-Emergent Adverse Events (TEAE) Reported by ≥ 1% of Patients Treated With SPEDRA in an Open- Label Extension </w:t>
      </w:r>
      <w:r>
        <w:rPr>
          <w:rFonts w:cs="Arial"/>
          <w:b/>
          <w:sz w:val="20"/>
          <w:u w:val="single"/>
        </w:rPr>
        <w:t>Trial</w:t>
      </w:r>
    </w:p>
    <w:tbl>
      <w:tblPr>
        <w:tblStyle w:val="TableGrid"/>
        <w:tblW w:w="3436" w:type="pct"/>
        <w:tblInd w:w="288" w:type="dxa"/>
        <w:tblLook w:val="04A0" w:firstRow="1" w:lastRow="0" w:firstColumn="1" w:lastColumn="0" w:noHBand="0" w:noVBand="1"/>
      </w:tblPr>
      <w:tblGrid>
        <w:gridCol w:w="4479"/>
        <w:gridCol w:w="2293"/>
      </w:tblGrid>
      <w:tr w:rsidR="009666FC" w:rsidTr="00415645">
        <w:trPr>
          <w:trHeight w:hRule="exact" w:val="802"/>
        </w:trPr>
        <w:tc>
          <w:tcPr>
            <w:tcW w:w="3307" w:type="pct"/>
          </w:tcPr>
          <w:p w:rsidR="002F1072" w:rsidRDefault="002F1072">
            <w:pPr>
              <w:pStyle w:val="TableParagraph"/>
              <w:spacing w:line="224" w:lineRule="exact"/>
              <w:ind w:right="8"/>
              <w:rPr>
                <w:rFonts w:cs="Arial"/>
                <w:b/>
                <w:sz w:val="20"/>
                <w:u w:val="single"/>
              </w:rPr>
            </w:pPr>
          </w:p>
          <w:p w:rsidR="007D459F" w:rsidRDefault="009F1D7F">
            <w:pPr>
              <w:pStyle w:val="TableParagraph"/>
              <w:spacing w:line="224" w:lineRule="exact"/>
              <w:ind w:right="8"/>
              <w:rPr>
                <w:rFonts w:ascii="Arial" w:eastAsia="Arial" w:hAnsi="Arial" w:cs="Arial"/>
                <w:sz w:val="20"/>
                <w:szCs w:val="20"/>
              </w:rPr>
            </w:pPr>
            <w:r>
              <w:rPr>
                <w:rFonts w:ascii="Arial" w:eastAsia="Arial" w:hAnsi="Arial" w:cs="Arial"/>
                <w:b/>
                <w:bCs/>
                <w:spacing w:val="3"/>
                <w:sz w:val="20"/>
                <w:szCs w:val="20"/>
              </w:rPr>
              <w:t xml:space="preserve">Treatment Emergent Adverse Event </w:t>
            </w:r>
          </w:p>
        </w:tc>
        <w:tc>
          <w:tcPr>
            <w:tcW w:w="1693" w:type="pct"/>
            <w:vAlign w:val="center"/>
          </w:tcPr>
          <w:p w:rsidR="009666FC" w:rsidRPr="00A54448" w:rsidRDefault="00F417C5" w:rsidP="00415645">
            <w:pPr>
              <w:pStyle w:val="TableParagraph"/>
              <w:keepNext/>
              <w:keepLines/>
              <w:spacing w:line="247" w:lineRule="exact"/>
              <w:ind w:left="574"/>
              <w:rPr>
                <w:rFonts w:ascii="Arial" w:eastAsia="Arial" w:hAnsi="Arial" w:cs="Arial"/>
                <w:sz w:val="20"/>
                <w:szCs w:val="20"/>
              </w:rPr>
            </w:pPr>
            <w:r w:rsidRPr="00F417C5">
              <w:rPr>
                <w:rFonts w:ascii="Arial" w:eastAsia="Arial" w:hAnsi="Arial" w:cs="Arial"/>
                <w:b/>
                <w:bCs/>
                <w:spacing w:val="-1"/>
                <w:sz w:val="20"/>
                <w:szCs w:val="20"/>
              </w:rPr>
              <w:t>SPED</w:t>
            </w:r>
            <w:r w:rsidRPr="00F417C5">
              <w:rPr>
                <w:rFonts w:ascii="Arial" w:eastAsia="Arial" w:hAnsi="Arial" w:cs="Arial"/>
                <w:b/>
                <w:bCs/>
                <w:spacing w:val="3"/>
                <w:sz w:val="20"/>
                <w:szCs w:val="20"/>
              </w:rPr>
              <w:t>R</w:t>
            </w:r>
            <w:r w:rsidRPr="00F417C5">
              <w:rPr>
                <w:rFonts w:ascii="Arial" w:eastAsia="Arial" w:hAnsi="Arial" w:cs="Arial"/>
                <w:b/>
                <w:bCs/>
                <w:sz w:val="20"/>
                <w:szCs w:val="20"/>
              </w:rPr>
              <w:t>A</w:t>
            </w:r>
          </w:p>
          <w:p w:rsidR="009666FC" w:rsidRPr="00A54448" w:rsidRDefault="00F417C5" w:rsidP="00415645">
            <w:pPr>
              <w:pStyle w:val="TableParagraph"/>
              <w:keepNext/>
              <w:keepLines/>
              <w:spacing w:before="59"/>
              <w:ind w:left="603"/>
              <w:rPr>
                <w:rFonts w:ascii="Arial" w:eastAsia="Arial" w:hAnsi="Arial" w:cs="Arial"/>
                <w:sz w:val="20"/>
                <w:szCs w:val="20"/>
              </w:rPr>
            </w:pPr>
            <w:r w:rsidRPr="00F417C5">
              <w:rPr>
                <w:rFonts w:ascii="Arial" w:eastAsia="Arial" w:hAnsi="Arial" w:cs="Arial"/>
                <w:b/>
                <w:bCs/>
                <w:sz w:val="20"/>
                <w:szCs w:val="20"/>
              </w:rPr>
              <w:t>(</w:t>
            </w:r>
            <w:r w:rsidRPr="00F417C5">
              <w:rPr>
                <w:rFonts w:ascii="Arial" w:eastAsia="Arial" w:hAnsi="Arial" w:cs="Arial"/>
                <w:b/>
                <w:bCs/>
                <w:spacing w:val="-2"/>
                <w:sz w:val="20"/>
                <w:szCs w:val="20"/>
              </w:rPr>
              <w:t>N</w:t>
            </w:r>
            <w:r w:rsidRPr="00F417C5">
              <w:rPr>
                <w:rFonts w:ascii="Arial" w:eastAsia="Arial" w:hAnsi="Arial" w:cs="Arial"/>
                <w:b/>
                <w:bCs/>
                <w:sz w:val="20"/>
                <w:szCs w:val="20"/>
              </w:rPr>
              <w:t>=</w:t>
            </w:r>
            <w:r w:rsidRPr="00F417C5">
              <w:rPr>
                <w:rFonts w:ascii="Arial" w:eastAsia="Arial" w:hAnsi="Arial" w:cs="Arial"/>
                <w:b/>
                <w:bCs/>
                <w:spacing w:val="2"/>
                <w:sz w:val="20"/>
                <w:szCs w:val="20"/>
              </w:rPr>
              <w:t xml:space="preserve"> </w:t>
            </w:r>
            <w:r w:rsidRPr="00F417C5">
              <w:rPr>
                <w:rFonts w:ascii="Arial" w:eastAsia="Arial" w:hAnsi="Arial" w:cs="Arial"/>
                <w:b/>
                <w:bCs/>
                <w:spacing w:val="-1"/>
                <w:sz w:val="20"/>
                <w:szCs w:val="20"/>
              </w:rPr>
              <w:t>71</w:t>
            </w:r>
            <w:r w:rsidRPr="00F417C5">
              <w:rPr>
                <w:rFonts w:ascii="Arial" w:eastAsia="Arial" w:hAnsi="Arial" w:cs="Arial"/>
                <w:b/>
                <w:bCs/>
                <w:spacing w:val="-3"/>
                <w:sz w:val="20"/>
                <w:szCs w:val="20"/>
              </w:rPr>
              <w:t>1</w:t>
            </w:r>
            <w:r w:rsidRPr="00F417C5">
              <w:rPr>
                <w:rFonts w:ascii="Arial" w:eastAsia="Arial" w:hAnsi="Arial" w:cs="Arial"/>
                <w:b/>
                <w:bCs/>
                <w:sz w:val="20"/>
                <w:szCs w:val="20"/>
              </w:rPr>
              <w:t>)</w:t>
            </w:r>
          </w:p>
        </w:tc>
      </w:tr>
      <w:tr w:rsidR="009666FC" w:rsidTr="00C408B1">
        <w:trPr>
          <w:trHeight w:hRule="exact" w:val="322"/>
        </w:trPr>
        <w:tc>
          <w:tcPr>
            <w:tcW w:w="3307" w:type="pct"/>
          </w:tcPr>
          <w:p w:rsidR="007D459F" w:rsidRDefault="00F417C5">
            <w:pPr>
              <w:pStyle w:val="TableParagraph"/>
              <w:spacing w:line="250" w:lineRule="exact"/>
              <w:ind w:right="1395"/>
              <w:rPr>
                <w:rFonts w:ascii="Arial" w:eastAsia="Arial" w:hAnsi="Arial" w:cs="Arial"/>
                <w:sz w:val="20"/>
                <w:szCs w:val="20"/>
              </w:rPr>
            </w:pPr>
            <w:r w:rsidRPr="00F417C5">
              <w:rPr>
                <w:rFonts w:ascii="Arial" w:eastAsia="Arial" w:hAnsi="Arial" w:cs="Arial"/>
                <w:spacing w:val="-2"/>
                <w:sz w:val="20"/>
                <w:szCs w:val="20"/>
              </w:rPr>
              <w:t xml:space="preserve">Headache </w:t>
            </w:r>
          </w:p>
        </w:tc>
        <w:tc>
          <w:tcPr>
            <w:tcW w:w="1693" w:type="pct"/>
          </w:tcPr>
          <w:p w:rsidR="009666FC" w:rsidRPr="00A54448" w:rsidRDefault="00F60832" w:rsidP="00DE3C26">
            <w:pPr>
              <w:pStyle w:val="TableParagraph"/>
              <w:spacing w:line="250" w:lineRule="exact"/>
              <w:ind w:left="765" w:right="763"/>
              <w:jc w:val="center"/>
              <w:rPr>
                <w:rFonts w:ascii="Arial" w:eastAsia="Arial" w:hAnsi="Arial" w:cs="Arial"/>
                <w:sz w:val="20"/>
                <w:szCs w:val="20"/>
              </w:rPr>
            </w:pPr>
            <w:r w:rsidRPr="00F60832">
              <w:rPr>
                <w:rFonts w:ascii="Arial" w:eastAsia="Arial" w:hAnsi="Arial" w:cs="Arial"/>
                <w:spacing w:val="-1"/>
                <w:sz w:val="20"/>
                <w:szCs w:val="20"/>
              </w:rPr>
              <w:t>5</w:t>
            </w:r>
            <w:r w:rsidR="00F417C5" w:rsidRPr="00F417C5">
              <w:rPr>
                <w:rFonts w:ascii="Arial" w:eastAsia="Arial" w:hAnsi="Arial" w:cs="Arial"/>
                <w:spacing w:val="1"/>
                <w:sz w:val="20"/>
                <w:szCs w:val="20"/>
              </w:rPr>
              <w:t>.</w:t>
            </w:r>
            <w:r w:rsidR="00F417C5" w:rsidRPr="00F417C5">
              <w:rPr>
                <w:rFonts w:ascii="Arial" w:eastAsia="Arial" w:hAnsi="Arial" w:cs="Arial"/>
                <w:spacing w:val="-1"/>
                <w:sz w:val="20"/>
                <w:szCs w:val="20"/>
              </w:rPr>
              <w:t>6</w:t>
            </w:r>
            <w:r w:rsidR="00F417C5" w:rsidRPr="00F417C5">
              <w:rPr>
                <w:rFonts w:ascii="Arial" w:eastAsia="Arial" w:hAnsi="Arial" w:cs="Arial"/>
                <w:sz w:val="20"/>
                <w:szCs w:val="20"/>
              </w:rPr>
              <w:t>%</w:t>
            </w:r>
          </w:p>
        </w:tc>
      </w:tr>
      <w:tr w:rsidR="009666FC" w:rsidTr="00C408B1">
        <w:trPr>
          <w:trHeight w:hRule="exact" w:val="324"/>
        </w:trPr>
        <w:tc>
          <w:tcPr>
            <w:tcW w:w="3307" w:type="pct"/>
          </w:tcPr>
          <w:p w:rsidR="009042DD" w:rsidRDefault="00F417C5">
            <w:pPr>
              <w:pStyle w:val="TableParagraph"/>
              <w:spacing w:line="252" w:lineRule="exact"/>
              <w:ind w:right="1392"/>
              <w:rPr>
                <w:rFonts w:ascii="Arial" w:eastAsia="Arial" w:hAnsi="Arial" w:cs="Arial"/>
                <w:sz w:val="20"/>
                <w:szCs w:val="20"/>
              </w:rPr>
            </w:pPr>
            <w:r w:rsidRPr="00F417C5">
              <w:rPr>
                <w:rFonts w:ascii="Arial" w:eastAsia="Arial" w:hAnsi="Arial" w:cs="Arial"/>
                <w:spacing w:val="-1"/>
                <w:sz w:val="20"/>
                <w:szCs w:val="20"/>
              </w:rPr>
              <w:t>Flushing</w:t>
            </w:r>
          </w:p>
        </w:tc>
        <w:tc>
          <w:tcPr>
            <w:tcW w:w="1693" w:type="pct"/>
          </w:tcPr>
          <w:p w:rsidR="009666FC" w:rsidRPr="00A54448" w:rsidRDefault="00306FAD" w:rsidP="00DE3C26">
            <w:pPr>
              <w:pStyle w:val="TableParagraph"/>
              <w:spacing w:line="252" w:lineRule="exact"/>
              <w:ind w:left="765" w:right="763"/>
              <w:jc w:val="center"/>
              <w:rPr>
                <w:rFonts w:ascii="Arial" w:eastAsia="Arial" w:hAnsi="Arial" w:cs="Arial"/>
                <w:sz w:val="20"/>
                <w:szCs w:val="20"/>
              </w:rPr>
            </w:pPr>
            <w:r w:rsidRPr="00306FAD">
              <w:rPr>
                <w:rFonts w:ascii="Arial" w:eastAsia="Arial" w:hAnsi="Arial" w:cs="Arial"/>
                <w:spacing w:val="-1"/>
                <w:sz w:val="20"/>
                <w:szCs w:val="20"/>
              </w:rPr>
              <w:t>3</w:t>
            </w:r>
            <w:r w:rsidR="00F417C5" w:rsidRPr="00F417C5">
              <w:rPr>
                <w:rFonts w:ascii="Arial" w:eastAsia="Arial" w:hAnsi="Arial" w:cs="Arial"/>
                <w:spacing w:val="1"/>
                <w:sz w:val="20"/>
                <w:szCs w:val="20"/>
              </w:rPr>
              <w:t>.</w:t>
            </w:r>
            <w:r w:rsidR="00F417C5" w:rsidRPr="00F417C5">
              <w:rPr>
                <w:rFonts w:ascii="Arial" w:eastAsia="Arial" w:hAnsi="Arial" w:cs="Arial"/>
                <w:spacing w:val="-1"/>
                <w:sz w:val="20"/>
                <w:szCs w:val="20"/>
              </w:rPr>
              <w:t>5</w:t>
            </w:r>
            <w:r w:rsidR="00F417C5" w:rsidRPr="00F417C5">
              <w:rPr>
                <w:rFonts w:ascii="Arial" w:eastAsia="Arial" w:hAnsi="Arial" w:cs="Arial"/>
                <w:sz w:val="20"/>
                <w:szCs w:val="20"/>
              </w:rPr>
              <w:t>%</w:t>
            </w:r>
          </w:p>
        </w:tc>
      </w:tr>
      <w:tr w:rsidR="009666FC" w:rsidTr="00C408B1">
        <w:trPr>
          <w:trHeight w:hRule="exact" w:val="324"/>
        </w:trPr>
        <w:tc>
          <w:tcPr>
            <w:tcW w:w="3307" w:type="pct"/>
          </w:tcPr>
          <w:p w:rsidR="003A5667" w:rsidRDefault="00F417C5">
            <w:pPr>
              <w:pStyle w:val="TableParagraph"/>
              <w:spacing w:line="250" w:lineRule="exact"/>
              <w:rPr>
                <w:rFonts w:ascii="Arial" w:eastAsia="Arial" w:hAnsi="Arial" w:cs="Arial"/>
                <w:sz w:val="20"/>
                <w:szCs w:val="20"/>
              </w:rPr>
            </w:pPr>
            <w:proofErr w:type="spellStart"/>
            <w:r w:rsidRPr="00F417C5">
              <w:rPr>
                <w:rFonts w:ascii="Arial" w:eastAsia="Arial" w:hAnsi="Arial" w:cs="Arial"/>
                <w:spacing w:val="-1"/>
                <w:sz w:val="20"/>
                <w:szCs w:val="20"/>
              </w:rPr>
              <w:t>Nasopharyngitis</w:t>
            </w:r>
            <w:proofErr w:type="spellEnd"/>
          </w:p>
        </w:tc>
        <w:tc>
          <w:tcPr>
            <w:tcW w:w="1693" w:type="pct"/>
          </w:tcPr>
          <w:p w:rsidR="009666FC" w:rsidRPr="00A54448" w:rsidRDefault="00306FAD" w:rsidP="00DE3C26">
            <w:pPr>
              <w:pStyle w:val="TableParagraph"/>
              <w:spacing w:line="250" w:lineRule="exact"/>
              <w:ind w:left="765" w:right="763"/>
              <w:jc w:val="center"/>
              <w:rPr>
                <w:rFonts w:ascii="Arial" w:eastAsia="Arial" w:hAnsi="Arial" w:cs="Arial"/>
                <w:sz w:val="20"/>
                <w:szCs w:val="20"/>
              </w:rPr>
            </w:pPr>
            <w:r w:rsidRPr="00306FAD">
              <w:rPr>
                <w:rFonts w:ascii="Arial" w:eastAsia="Arial" w:hAnsi="Arial" w:cs="Arial"/>
                <w:spacing w:val="-1"/>
                <w:sz w:val="20"/>
                <w:szCs w:val="20"/>
              </w:rPr>
              <w:t>3</w:t>
            </w:r>
            <w:r w:rsidR="00F417C5" w:rsidRPr="00F417C5">
              <w:rPr>
                <w:rFonts w:ascii="Arial" w:eastAsia="Arial" w:hAnsi="Arial" w:cs="Arial"/>
                <w:spacing w:val="1"/>
                <w:sz w:val="20"/>
                <w:szCs w:val="20"/>
              </w:rPr>
              <w:t>.</w:t>
            </w:r>
            <w:r w:rsidR="00F417C5" w:rsidRPr="00F417C5">
              <w:rPr>
                <w:rFonts w:ascii="Arial" w:eastAsia="Arial" w:hAnsi="Arial" w:cs="Arial"/>
                <w:spacing w:val="-1"/>
                <w:sz w:val="20"/>
                <w:szCs w:val="20"/>
              </w:rPr>
              <w:t>4</w:t>
            </w:r>
            <w:r w:rsidR="00F417C5" w:rsidRPr="00F417C5">
              <w:rPr>
                <w:rFonts w:ascii="Arial" w:eastAsia="Arial" w:hAnsi="Arial" w:cs="Arial"/>
                <w:sz w:val="20"/>
                <w:szCs w:val="20"/>
              </w:rPr>
              <w:t>%</w:t>
            </w:r>
          </w:p>
        </w:tc>
      </w:tr>
      <w:tr w:rsidR="009666FC" w:rsidTr="00C408B1">
        <w:trPr>
          <w:trHeight w:hRule="exact" w:val="322"/>
        </w:trPr>
        <w:tc>
          <w:tcPr>
            <w:tcW w:w="3307" w:type="pct"/>
          </w:tcPr>
          <w:p w:rsidR="009042DD" w:rsidRPr="009042DD" w:rsidRDefault="00306FAD">
            <w:pPr>
              <w:pStyle w:val="TableParagraph"/>
              <w:spacing w:line="250" w:lineRule="exact"/>
              <w:rPr>
                <w:rFonts w:ascii="Arial" w:eastAsia="Arial" w:hAnsi="Arial" w:cs="Arial"/>
                <w:sz w:val="20"/>
                <w:szCs w:val="20"/>
              </w:rPr>
            </w:pPr>
            <w:r w:rsidRPr="00306FAD">
              <w:rPr>
                <w:rFonts w:ascii="Arial" w:eastAsia="Arial" w:hAnsi="Arial" w:cs="Arial"/>
                <w:spacing w:val="-1"/>
                <w:sz w:val="20"/>
                <w:szCs w:val="20"/>
              </w:rPr>
              <w:t xml:space="preserve">Nasal congestion </w:t>
            </w:r>
          </w:p>
        </w:tc>
        <w:tc>
          <w:tcPr>
            <w:tcW w:w="1693" w:type="pct"/>
          </w:tcPr>
          <w:p w:rsidR="009666FC" w:rsidRPr="00A54448" w:rsidRDefault="00F60832" w:rsidP="00DE3C26">
            <w:pPr>
              <w:pStyle w:val="TableParagraph"/>
              <w:spacing w:line="250" w:lineRule="exact"/>
              <w:ind w:left="765" w:right="763"/>
              <w:jc w:val="center"/>
              <w:rPr>
                <w:rFonts w:ascii="Arial" w:eastAsia="Arial" w:hAnsi="Arial" w:cs="Arial"/>
                <w:sz w:val="20"/>
                <w:szCs w:val="20"/>
              </w:rPr>
            </w:pPr>
            <w:r w:rsidRPr="00F60832">
              <w:rPr>
                <w:rFonts w:ascii="Arial" w:eastAsia="Arial" w:hAnsi="Arial" w:cs="Arial"/>
                <w:spacing w:val="-1"/>
                <w:sz w:val="20"/>
                <w:szCs w:val="20"/>
              </w:rPr>
              <w:t>2</w:t>
            </w:r>
            <w:r w:rsidRPr="00F60832">
              <w:rPr>
                <w:rFonts w:ascii="Arial" w:eastAsia="Arial" w:hAnsi="Arial" w:cs="Arial"/>
                <w:spacing w:val="1"/>
                <w:sz w:val="20"/>
                <w:szCs w:val="20"/>
              </w:rPr>
              <w:t>.</w:t>
            </w:r>
            <w:r w:rsidRPr="00F60832">
              <w:rPr>
                <w:rFonts w:ascii="Arial" w:eastAsia="Arial" w:hAnsi="Arial" w:cs="Arial"/>
                <w:spacing w:val="-1"/>
                <w:sz w:val="20"/>
                <w:szCs w:val="20"/>
              </w:rPr>
              <w:t>1</w:t>
            </w:r>
            <w:r w:rsidRPr="00F60832">
              <w:rPr>
                <w:rFonts w:ascii="Arial" w:eastAsia="Arial" w:hAnsi="Arial" w:cs="Arial"/>
                <w:sz w:val="20"/>
                <w:szCs w:val="20"/>
              </w:rPr>
              <w:t>%</w:t>
            </w:r>
          </w:p>
        </w:tc>
      </w:tr>
      <w:tr w:rsidR="009666FC" w:rsidTr="00C408B1">
        <w:trPr>
          <w:trHeight w:hRule="exact" w:val="324"/>
        </w:trPr>
        <w:tc>
          <w:tcPr>
            <w:tcW w:w="3307" w:type="pct"/>
          </w:tcPr>
          <w:p w:rsidR="003A5667" w:rsidRDefault="00F417C5">
            <w:pPr>
              <w:pStyle w:val="TableParagraph"/>
              <w:spacing w:line="250" w:lineRule="exact"/>
              <w:ind w:right="1"/>
              <w:rPr>
                <w:rFonts w:ascii="Arial" w:eastAsia="Arial" w:hAnsi="Arial" w:cs="Arial"/>
                <w:sz w:val="20"/>
                <w:szCs w:val="20"/>
              </w:rPr>
            </w:pPr>
            <w:r w:rsidRPr="00F417C5">
              <w:rPr>
                <w:rFonts w:ascii="Arial" w:eastAsia="Arial" w:hAnsi="Arial" w:cs="Arial"/>
                <w:spacing w:val="1"/>
                <w:sz w:val="20"/>
                <w:szCs w:val="20"/>
              </w:rPr>
              <w:t xml:space="preserve">Influenza </w:t>
            </w:r>
          </w:p>
        </w:tc>
        <w:tc>
          <w:tcPr>
            <w:tcW w:w="1693" w:type="pct"/>
          </w:tcPr>
          <w:p w:rsidR="009666FC" w:rsidRPr="00A54448" w:rsidRDefault="00306FAD" w:rsidP="00DE3C26">
            <w:pPr>
              <w:pStyle w:val="TableParagraph"/>
              <w:spacing w:line="250" w:lineRule="exact"/>
              <w:ind w:left="765" w:right="763"/>
              <w:jc w:val="center"/>
              <w:rPr>
                <w:rFonts w:ascii="Arial" w:eastAsia="Arial" w:hAnsi="Arial" w:cs="Arial"/>
                <w:sz w:val="20"/>
                <w:szCs w:val="20"/>
              </w:rPr>
            </w:pPr>
            <w:r w:rsidRPr="00306FAD">
              <w:rPr>
                <w:rFonts w:ascii="Arial" w:eastAsia="Arial" w:hAnsi="Arial" w:cs="Arial"/>
                <w:spacing w:val="-1"/>
                <w:sz w:val="20"/>
                <w:szCs w:val="20"/>
              </w:rPr>
              <w:t>1</w:t>
            </w:r>
            <w:r w:rsidR="00F417C5" w:rsidRPr="00F417C5">
              <w:rPr>
                <w:rFonts w:ascii="Arial" w:eastAsia="Arial" w:hAnsi="Arial" w:cs="Arial"/>
                <w:spacing w:val="1"/>
                <w:sz w:val="20"/>
                <w:szCs w:val="20"/>
              </w:rPr>
              <w:t>.</w:t>
            </w:r>
            <w:r w:rsidR="00F417C5" w:rsidRPr="00F417C5">
              <w:rPr>
                <w:rFonts w:ascii="Arial" w:eastAsia="Arial" w:hAnsi="Arial" w:cs="Arial"/>
                <w:spacing w:val="-1"/>
                <w:sz w:val="20"/>
                <w:szCs w:val="20"/>
              </w:rPr>
              <w:t>5</w:t>
            </w:r>
            <w:r w:rsidR="00F417C5" w:rsidRPr="00F417C5">
              <w:rPr>
                <w:rFonts w:ascii="Arial" w:eastAsia="Arial" w:hAnsi="Arial" w:cs="Arial"/>
                <w:sz w:val="20"/>
                <w:szCs w:val="20"/>
              </w:rPr>
              <w:t>%</w:t>
            </w:r>
          </w:p>
        </w:tc>
      </w:tr>
      <w:tr w:rsidR="009666FC" w:rsidTr="00C408B1">
        <w:trPr>
          <w:trHeight w:hRule="exact" w:val="356"/>
        </w:trPr>
        <w:tc>
          <w:tcPr>
            <w:tcW w:w="3307" w:type="pct"/>
          </w:tcPr>
          <w:p w:rsidR="009042DD" w:rsidRDefault="00F417C5">
            <w:pPr>
              <w:pStyle w:val="TableParagraph"/>
              <w:spacing w:before="1" w:line="252" w:lineRule="exact"/>
              <w:ind w:right="423"/>
              <w:rPr>
                <w:rFonts w:ascii="Arial" w:eastAsia="Arial" w:hAnsi="Arial" w:cs="Arial"/>
                <w:sz w:val="20"/>
                <w:szCs w:val="20"/>
              </w:rPr>
            </w:pPr>
            <w:r w:rsidRPr="00F417C5">
              <w:rPr>
                <w:rFonts w:ascii="Arial" w:eastAsia="Arial" w:hAnsi="Arial" w:cs="Arial"/>
                <w:spacing w:val="-1"/>
                <w:sz w:val="20"/>
                <w:szCs w:val="20"/>
              </w:rPr>
              <w:t xml:space="preserve">Upper respiratory tract infection </w:t>
            </w:r>
          </w:p>
        </w:tc>
        <w:tc>
          <w:tcPr>
            <w:tcW w:w="1693" w:type="pct"/>
          </w:tcPr>
          <w:p w:rsidR="009666FC" w:rsidRPr="00A54448" w:rsidRDefault="00F60832" w:rsidP="00DE3C26">
            <w:pPr>
              <w:pStyle w:val="TableParagraph"/>
              <w:spacing w:line="250" w:lineRule="exact"/>
              <w:ind w:left="765" w:right="763"/>
              <w:jc w:val="center"/>
              <w:rPr>
                <w:rFonts w:ascii="Arial" w:eastAsia="Arial" w:hAnsi="Arial" w:cs="Arial"/>
                <w:sz w:val="20"/>
                <w:szCs w:val="20"/>
              </w:rPr>
            </w:pPr>
            <w:r w:rsidRPr="00F60832">
              <w:rPr>
                <w:rFonts w:ascii="Arial" w:eastAsia="Arial" w:hAnsi="Arial" w:cs="Arial"/>
                <w:spacing w:val="-1"/>
                <w:sz w:val="20"/>
                <w:szCs w:val="20"/>
              </w:rPr>
              <w:t>1</w:t>
            </w:r>
            <w:r w:rsidR="00F417C5" w:rsidRPr="00F417C5">
              <w:rPr>
                <w:rFonts w:ascii="Arial" w:eastAsia="Arial" w:hAnsi="Arial" w:cs="Arial"/>
                <w:spacing w:val="1"/>
                <w:sz w:val="20"/>
                <w:szCs w:val="20"/>
              </w:rPr>
              <w:t>.</w:t>
            </w:r>
            <w:r w:rsidR="00F417C5" w:rsidRPr="00F417C5">
              <w:rPr>
                <w:rFonts w:ascii="Arial" w:eastAsia="Arial" w:hAnsi="Arial" w:cs="Arial"/>
                <w:spacing w:val="-1"/>
                <w:sz w:val="20"/>
                <w:szCs w:val="20"/>
              </w:rPr>
              <w:t>5</w:t>
            </w:r>
            <w:r w:rsidR="00F417C5" w:rsidRPr="00F417C5">
              <w:rPr>
                <w:rFonts w:ascii="Arial" w:eastAsia="Arial" w:hAnsi="Arial" w:cs="Arial"/>
                <w:sz w:val="20"/>
                <w:szCs w:val="20"/>
              </w:rPr>
              <w:t>%</w:t>
            </w:r>
          </w:p>
        </w:tc>
      </w:tr>
      <w:tr w:rsidR="009666FC" w:rsidTr="00C408B1">
        <w:trPr>
          <w:trHeight w:hRule="exact" w:val="322"/>
        </w:trPr>
        <w:tc>
          <w:tcPr>
            <w:tcW w:w="3307" w:type="pct"/>
          </w:tcPr>
          <w:p w:rsidR="009042DD" w:rsidRDefault="004E6DBD">
            <w:pPr>
              <w:pStyle w:val="TableParagraph"/>
              <w:spacing w:line="250" w:lineRule="exact"/>
              <w:ind w:right="1"/>
              <w:rPr>
                <w:rFonts w:ascii="Arial" w:eastAsia="Arial" w:hAnsi="Arial" w:cs="Arial"/>
                <w:sz w:val="20"/>
                <w:szCs w:val="20"/>
              </w:rPr>
            </w:pPr>
            <w:r w:rsidRPr="004E6DBD">
              <w:rPr>
                <w:rFonts w:ascii="Arial" w:eastAsia="Arial" w:hAnsi="Arial" w:cs="Arial"/>
                <w:spacing w:val="-1"/>
                <w:sz w:val="20"/>
                <w:szCs w:val="20"/>
              </w:rPr>
              <w:lastRenderedPageBreak/>
              <w:t xml:space="preserve">Back pain </w:t>
            </w:r>
          </w:p>
        </w:tc>
        <w:tc>
          <w:tcPr>
            <w:tcW w:w="1693" w:type="pct"/>
          </w:tcPr>
          <w:p w:rsidR="009666FC" w:rsidRPr="00A54448" w:rsidRDefault="00F60832" w:rsidP="00DE3C26">
            <w:pPr>
              <w:pStyle w:val="TableParagraph"/>
              <w:spacing w:line="250" w:lineRule="exact"/>
              <w:ind w:left="765" w:right="763"/>
              <w:jc w:val="center"/>
              <w:rPr>
                <w:rFonts w:ascii="Arial" w:eastAsia="Arial" w:hAnsi="Arial" w:cs="Arial"/>
                <w:sz w:val="20"/>
                <w:szCs w:val="20"/>
              </w:rPr>
            </w:pPr>
            <w:r w:rsidRPr="00F60832">
              <w:rPr>
                <w:rFonts w:ascii="Arial" w:eastAsia="Arial" w:hAnsi="Arial" w:cs="Arial"/>
                <w:spacing w:val="-1"/>
                <w:sz w:val="20"/>
                <w:szCs w:val="20"/>
              </w:rPr>
              <w:t>1</w:t>
            </w:r>
            <w:r w:rsidR="004E6DBD" w:rsidRPr="004E6DBD">
              <w:rPr>
                <w:rFonts w:ascii="Arial" w:eastAsia="Arial" w:hAnsi="Arial" w:cs="Arial"/>
                <w:spacing w:val="1"/>
                <w:sz w:val="20"/>
                <w:szCs w:val="20"/>
              </w:rPr>
              <w:t>.</w:t>
            </w:r>
            <w:r w:rsidR="004E6DBD" w:rsidRPr="004E6DBD">
              <w:rPr>
                <w:rFonts w:ascii="Arial" w:eastAsia="Arial" w:hAnsi="Arial" w:cs="Arial"/>
                <w:spacing w:val="-1"/>
                <w:sz w:val="20"/>
                <w:szCs w:val="20"/>
              </w:rPr>
              <w:t>5</w:t>
            </w:r>
            <w:r w:rsidR="004E6DBD" w:rsidRPr="004E6DBD">
              <w:rPr>
                <w:rFonts w:ascii="Arial" w:eastAsia="Arial" w:hAnsi="Arial" w:cs="Arial"/>
                <w:sz w:val="20"/>
                <w:szCs w:val="20"/>
              </w:rPr>
              <w:t>%</w:t>
            </w:r>
          </w:p>
        </w:tc>
      </w:tr>
      <w:tr w:rsidR="009666FC" w:rsidTr="00C408B1">
        <w:trPr>
          <w:trHeight w:hRule="exact" w:val="324"/>
        </w:trPr>
        <w:tc>
          <w:tcPr>
            <w:tcW w:w="3307" w:type="pct"/>
          </w:tcPr>
          <w:p w:rsidR="009042DD" w:rsidRPr="009042DD" w:rsidRDefault="00F60832">
            <w:pPr>
              <w:pStyle w:val="TableParagraph"/>
              <w:spacing w:line="250" w:lineRule="exact"/>
              <w:ind w:left="4"/>
              <w:rPr>
                <w:rFonts w:ascii="Arial" w:eastAsia="Arial" w:hAnsi="Arial" w:cs="Arial"/>
                <w:sz w:val="20"/>
                <w:szCs w:val="20"/>
              </w:rPr>
            </w:pPr>
            <w:r w:rsidRPr="00F60832">
              <w:rPr>
                <w:rFonts w:ascii="Arial" w:eastAsia="Arial" w:hAnsi="Arial" w:cs="Arial"/>
                <w:spacing w:val="-1"/>
                <w:sz w:val="20"/>
                <w:szCs w:val="20"/>
              </w:rPr>
              <w:t>S</w:t>
            </w:r>
            <w:r w:rsidRPr="00F60832">
              <w:rPr>
                <w:rFonts w:ascii="Arial" w:eastAsia="Arial" w:hAnsi="Arial" w:cs="Arial"/>
                <w:spacing w:val="1"/>
                <w:sz w:val="20"/>
                <w:szCs w:val="20"/>
              </w:rPr>
              <w:t>inusitis</w:t>
            </w:r>
          </w:p>
        </w:tc>
        <w:tc>
          <w:tcPr>
            <w:tcW w:w="1693" w:type="pct"/>
          </w:tcPr>
          <w:p w:rsidR="009666FC" w:rsidRPr="00A54448" w:rsidRDefault="00F60832" w:rsidP="00DE3C26">
            <w:pPr>
              <w:pStyle w:val="TableParagraph"/>
              <w:spacing w:line="250" w:lineRule="exact"/>
              <w:ind w:left="765" w:right="763"/>
              <w:jc w:val="center"/>
              <w:rPr>
                <w:rFonts w:ascii="Arial" w:eastAsia="Arial" w:hAnsi="Arial" w:cs="Arial"/>
                <w:sz w:val="20"/>
                <w:szCs w:val="20"/>
              </w:rPr>
            </w:pPr>
            <w:r w:rsidRPr="00F60832">
              <w:rPr>
                <w:rFonts w:ascii="Arial" w:eastAsia="Arial" w:hAnsi="Arial" w:cs="Arial"/>
                <w:spacing w:val="-1"/>
                <w:sz w:val="20"/>
                <w:szCs w:val="20"/>
              </w:rPr>
              <w:t>1</w:t>
            </w:r>
            <w:r w:rsidRPr="00F60832">
              <w:rPr>
                <w:rFonts w:ascii="Arial" w:eastAsia="Arial" w:hAnsi="Arial" w:cs="Arial"/>
                <w:spacing w:val="1"/>
                <w:sz w:val="20"/>
                <w:szCs w:val="20"/>
              </w:rPr>
              <w:t>.</w:t>
            </w:r>
            <w:r w:rsidRPr="00F60832">
              <w:rPr>
                <w:rFonts w:ascii="Arial" w:eastAsia="Arial" w:hAnsi="Arial" w:cs="Arial"/>
                <w:spacing w:val="-1"/>
                <w:sz w:val="20"/>
                <w:szCs w:val="20"/>
              </w:rPr>
              <w:t>4</w:t>
            </w:r>
            <w:r w:rsidRPr="00F60832">
              <w:rPr>
                <w:rFonts w:ascii="Arial" w:eastAsia="Arial" w:hAnsi="Arial" w:cs="Arial"/>
                <w:sz w:val="20"/>
                <w:szCs w:val="20"/>
              </w:rPr>
              <w:t>%</w:t>
            </w:r>
          </w:p>
        </w:tc>
      </w:tr>
      <w:tr w:rsidR="009666FC" w:rsidTr="00C408B1">
        <w:trPr>
          <w:trHeight w:hRule="exact" w:val="322"/>
        </w:trPr>
        <w:tc>
          <w:tcPr>
            <w:tcW w:w="3307" w:type="pct"/>
          </w:tcPr>
          <w:p w:rsidR="009042DD" w:rsidRDefault="004E6DBD">
            <w:pPr>
              <w:pStyle w:val="TableParagraph"/>
              <w:spacing w:line="250" w:lineRule="exact"/>
              <w:ind w:right="1"/>
              <w:rPr>
                <w:rFonts w:ascii="Arial" w:eastAsia="Arial" w:hAnsi="Arial" w:cs="Arial"/>
                <w:sz w:val="20"/>
                <w:szCs w:val="20"/>
              </w:rPr>
            </w:pPr>
            <w:r w:rsidRPr="004E6DBD">
              <w:rPr>
                <w:rFonts w:ascii="Arial" w:eastAsia="Arial" w:hAnsi="Arial" w:cs="Arial"/>
                <w:spacing w:val="-2"/>
                <w:sz w:val="20"/>
                <w:szCs w:val="20"/>
              </w:rPr>
              <w:t xml:space="preserve">Dizziness </w:t>
            </w:r>
          </w:p>
        </w:tc>
        <w:tc>
          <w:tcPr>
            <w:tcW w:w="1693" w:type="pct"/>
          </w:tcPr>
          <w:p w:rsidR="009666FC" w:rsidRPr="00A54448" w:rsidRDefault="00F60832" w:rsidP="00DE3C26">
            <w:pPr>
              <w:pStyle w:val="TableParagraph"/>
              <w:spacing w:line="250" w:lineRule="exact"/>
              <w:ind w:left="765" w:right="763"/>
              <w:jc w:val="center"/>
              <w:rPr>
                <w:rFonts w:ascii="Arial" w:eastAsia="Arial" w:hAnsi="Arial" w:cs="Arial"/>
                <w:sz w:val="20"/>
                <w:szCs w:val="20"/>
              </w:rPr>
            </w:pPr>
            <w:r w:rsidRPr="00F60832">
              <w:rPr>
                <w:rFonts w:ascii="Arial" w:eastAsia="Arial" w:hAnsi="Arial" w:cs="Arial"/>
                <w:spacing w:val="-1"/>
                <w:sz w:val="20"/>
                <w:szCs w:val="20"/>
              </w:rPr>
              <w:t>1</w:t>
            </w:r>
            <w:r w:rsidR="004E6DBD" w:rsidRPr="004E6DBD">
              <w:rPr>
                <w:rFonts w:ascii="Arial" w:eastAsia="Arial" w:hAnsi="Arial" w:cs="Arial"/>
                <w:spacing w:val="1"/>
                <w:sz w:val="20"/>
                <w:szCs w:val="20"/>
              </w:rPr>
              <w:t>.</w:t>
            </w:r>
            <w:r w:rsidR="004E6DBD" w:rsidRPr="004E6DBD">
              <w:rPr>
                <w:rFonts w:ascii="Arial" w:eastAsia="Arial" w:hAnsi="Arial" w:cs="Arial"/>
                <w:spacing w:val="-1"/>
                <w:sz w:val="20"/>
                <w:szCs w:val="20"/>
              </w:rPr>
              <w:t>3</w:t>
            </w:r>
            <w:r w:rsidR="004E6DBD" w:rsidRPr="004E6DBD">
              <w:rPr>
                <w:rFonts w:ascii="Arial" w:eastAsia="Arial" w:hAnsi="Arial" w:cs="Arial"/>
                <w:sz w:val="20"/>
                <w:szCs w:val="20"/>
              </w:rPr>
              <w:t>%</w:t>
            </w:r>
          </w:p>
        </w:tc>
      </w:tr>
      <w:tr w:rsidR="009666FC" w:rsidTr="00C408B1">
        <w:trPr>
          <w:trHeight w:hRule="exact" w:val="324"/>
        </w:trPr>
        <w:tc>
          <w:tcPr>
            <w:tcW w:w="3307" w:type="pct"/>
          </w:tcPr>
          <w:p w:rsidR="009042DD" w:rsidRDefault="004E6DBD">
            <w:pPr>
              <w:pStyle w:val="TableParagraph"/>
              <w:spacing w:line="252" w:lineRule="exact"/>
              <w:rPr>
                <w:rFonts w:ascii="Arial" w:eastAsia="Arial" w:hAnsi="Arial" w:cs="Arial"/>
                <w:sz w:val="20"/>
                <w:szCs w:val="20"/>
              </w:rPr>
            </w:pPr>
            <w:r w:rsidRPr="004E6DBD">
              <w:rPr>
                <w:rFonts w:ascii="Arial" w:eastAsia="Arial" w:hAnsi="Arial" w:cs="Arial"/>
                <w:spacing w:val="-1"/>
                <w:sz w:val="20"/>
                <w:szCs w:val="20"/>
              </w:rPr>
              <w:t xml:space="preserve">Hypertension </w:t>
            </w:r>
          </w:p>
        </w:tc>
        <w:tc>
          <w:tcPr>
            <w:tcW w:w="1693" w:type="pct"/>
          </w:tcPr>
          <w:p w:rsidR="009666FC" w:rsidRPr="00A54448" w:rsidRDefault="00F60832" w:rsidP="00DE3C26">
            <w:pPr>
              <w:pStyle w:val="TableParagraph"/>
              <w:spacing w:line="252" w:lineRule="exact"/>
              <w:ind w:left="765" w:right="763"/>
              <w:jc w:val="center"/>
              <w:rPr>
                <w:rFonts w:ascii="Arial" w:eastAsia="Arial" w:hAnsi="Arial" w:cs="Arial"/>
                <w:sz w:val="20"/>
                <w:szCs w:val="20"/>
              </w:rPr>
            </w:pPr>
            <w:r w:rsidRPr="00F60832">
              <w:rPr>
                <w:rFonts w:ascii="Arial" w:eastAsia="Arial" w:hAnsi="Arial" w:cs="Arial"/>
                <w:spacing w:val="-1"/>
                <w:sz w:val="20"/>
                <w:szCs w:val="20"/>
              </w:rPr>
              <w:t>1</w:t>
            </w:r>
            <w:r w:rsidR="004E6DBD" w:rsidRPr="004E6DBD">
              <w:rPr>
                <w:rFonts w:ascii="Arial" w:eastAsia="Arial" w:hAnsi="Arial" w:cs="Arial"/>
                <w:spacing w:val="1"/>
                <w:sz w:val="20"/>
                <w:szCs w:val="20"/>
              </w:rPr>
              <w:t>.</w:t>
            </w:r>
            <w:r w:rsidR="004E6DBD" w:rsidRPr="004E6DBD">
              <w:rPr>
                <w:rFonts w:ascii="Arial" w:eastAsia="Arial" w:hAnsi="Arial" w:cs="Arial"/>
                <w:spacing w:val="-1"/>
                <w:sz w:val="20"/>
                <w:szCs w:val="20"/>
              </w:rPr>
              <w:t>3</w:t>
            </w:r>
            <w:r w:rsidR="004E6DBD" w:rsidRPr="004E6DBD">
              <w:rPr>
                <w:rFonts w:ascii="Arial" w:eastAsia="Arial" w:hAnsi="Arial" w:cs="Arial"/>
                <w:sz w:val="20"/>
                <w:szCs w:val="20"/>
              </w:rPr>
              <w:t>%</w:t>
            </w:r>
          </w:p>
        </w:tc>
      </w:tr>
      <w:tr w:rsidR="009666FC" w:rsidRPr="00A54448" w:rsidTr="00C408B1">
        <w:trPr>
          <w:trHeight w:hRule="exact" w:val="324"/>
        </w:trPr>
        <w:tc>
          <w:tcPr>
            <w:tcW w:w="3307" w:type="pct"/>
          </w:tcPr>
          <w:p w:rsidR="009042DD" w:rsidRDefault="004E6DBD">
            <w:pPr>
              <w:pStyle w:val="TableParagraph"/>
              <w:spacing w:line="250" w:lineRule="exact"/>
              <w:ind w:right="1"/>
              <w:rPr>
                <w:rFonts w:ascii="Arial" w:eastAsia="Arial" w:hAnsi="Arial" w:cs="Arial"/>
                <w:sz w:val="20"/>
                <w:szCs w:val="20"/>
              </w:rPr>
            </w:pPr>
            <w:proofErr w:type="spellStart"/>
            <w:r w:rsidRPr="004E6DBD">
              <w:rPr>
                <w:rFonts w:ascii="Arial" w:eastAsia="Arial" w:hAnsi="Arial" w:cs="Arial"/>
                <w:spacing w:val="-2"/>
                <w:sz w:val="20"/>
                <w:szCs w:val="20"/>
              </w:rPr>
              <w:t>Diarrhoea</w:t>
            </w:r>
            <w:proofErr w:type="spellEnd"/>
          </w:p>
        </w:tc>
        <w:tc>
          <w:tcPr>
            <w:tcW w:w="1693" w:type="pct"/>
          </w:tcPr>
          <w:p w:rsidR="009666FC" w:rsidRPr="00A54448" w:rsidRDefault="00F60832" w:rsidP="00DE3C26">
            <w:pPr>
              <w:pStyle w:val="TableParagraph"/>
              <w:spacing w:line="250" w:lineRule="exact"/>
              <w:ind w:left="765" w:right="763"/>
              <w:jc w:val="center"/>
              <w:rPr>
                <w:rFonts w:ascii="Arial" w:eastAsia="Arial" w:hAnsi="Arial" w:cs="Arial"/>
                <w:sz w:val="20"/>
                <w:szCs w:val="20"/>
              </w:rPr>
            </w:pPr>
            <w:r w:rsidRPr="00F60832">
              <w:rPr>
                <w:rFonts w:ascii="Arial" w:eastAsia="Arial" w:hAnsi="Arial" w:cs="Arial"/>
                <w:spacing w:val="-1"/>
                <w:sz w:val="20"/>
                <w:szCs w:val="20"/>
              </w:rPr>
              <w:t>1</w:t>
            </w:r>
            <w:r w:rsidR="004E6DBD" w:rsidRPr="004E6DBD">
              <w:rPr>
                <w:rFonts w:ascii="Arial" w:eastAsia="Arial" w:hAnsi="Arial" w:cs="Arial"/>
                <w:spacing w:val="1"/>
                <w:sz w:val="20"/>
                <w:szCs w:val="20"/>
              </w:rPr>
              <w:t>.</w:t>
            </w:r>
            <w:r w:rsidR="004E6DBD" w:rsidRPr="004E6DBD">
              <w:rPr>
                <w:rFonts w:ascii="Arial" w:eastAsia="Arial" w:hAnsi="Arial" w:cs="Arial"/>
                <w:spacing w:val="-1"/>
                <w:sz w:val="20"/>
                <w:szCs w:val="20"/>
              </w:rPr>
              <w:t>3</w:t>
            </w:r>
            <w:r w:rsidR="004E6DBD" w:rsidRPr="004E6DBD">
              <w:rPr>
                <w:rFonts w:ascii="Arial" w:eastAsia="Arial" w:hAnsi="Arial" w:cs="Arial"/>
                <w:sz w:val="20"/>
                <w:szCs w:val="20"/>
              </w:rPr>
              <w:t>%</w:t>
            </w:r>
          </w:p>
        </w:tc>
      </w:tr>
      <w:tr w:rsidR="009666FC" w:rsidRPr="00A54448" w:rsidTr="00C408B1">
        <w:trPr>
          <w:trHeight w:hRule="exact" w:val="322"/>
        </w:trPr>
        <w:tc>
          <w:tcPr>
            <w:tcW w:w="3307" w:type="pct"/>
          </w:tcPr>
          <w:p w:rsidR="009042DD" w:rsidRDefault="004E6DBD">
            <w:pPr>
              <w:pStyle w:val="TableParagraph"/>
              <w:spacing w:line="250" w:lineRule="exact"/>
              <w:rPr>
                <w:rFonts w:ascii="Arial" w:eastAsia="Arial" w:hAnsi="Arial" w:cs="Arial"/>
                <w:sz w:val="20"/>
                <w:szCs w:val="20"/>
              </w:rPr>
            </w:pPr>
            <w:r w:rsidRPr="004E6DBD">
              <w:rPr>
                <w:rFonts w:ascii="Arial" w:eastAsia="Arial" w:hAnsi="Arial" w:cs="Arial"/>
                <w:spacing w:val="-1"/>
                <w:sz w:val="20"/>
                <w:szCs w:val="20"/>
              </w:rPr>
              <w:t xml:space="preserve">Bronchitis </w:t>
            </w:r>
          </w:p>
        </w:tc>
        <w:tc>
          <w:tcPr>
            <w:tcW w:w="1693" w:type="pct"/>
          </w:tcPr>
          <w:p w:rsidR="009666FC" w:rsidRPr="00A54448" w:rsidRDefault="00F60832" w:rsidP="00DE3C26">
            <w:pPr>
              <w:pStyle w:val="TableParagraph"/>
              <w:spacing w:line="250" w:lineRule="exact"/>
              <w:ind w:left="765" w:right="763"/>
              <w:jc w:val="center"/>
              <w:rPr>
                <w:rFonts w:ascii="Arial" w:eastAsia="Arial" w:hAnsi="Arial" w:cs="Arial"/>
                <w:sz w:val="20"/>
                <w:szCs w:val="20"/>
              </w:rPr>
            </w:pPr>
            <w:r w:rsidRPr="00F60832">
              <w:rPr>
                <w:rFonts w:ascii="Arial" w:eastAsia="Arial" w:hAnsi="Arial" w:cs="Arial"/>
                <w:spacing w:val="-1"/>
                <w:sz w:val="20"/>
                <w:szCs w:val="20"/>
              </w:rPr>
              <w:t>1</w:t>
            </w:r>
            <w:r w:rsidR="004E6DBD" w:rsidRPr="004E6DBD">
              <w:rPr>
                <w:rFonts w:ascii="Arial" w:eastAsia="Arial" w:hAnsi="Arial" w:cs="Arial"/>
                <w:spacing w:val="1"/>
                <w:sz w:val="20"/>
                <w:szCs w:val="20"/>
              </w:rPr>
              <w:t>.</w:t>
            </w:r>
            <w:r w:rsidR="004E6DBD" w:rsidRPr="004E6DBD">
              <w:rPr>
                <w:rFonts w:ascii="Arial" w:eastAsia="Arial" w:hAnsi="Arial" w:cs="Arial"/>
                <w:spacing w:val="-1"/>
                <w:sz w:val="20"/>
                <w:szCs w:val="20"/>
              </w:rPr>
              <w:t>1</w:t>
            </w:r>
            <w:r w:rsidR="004E6DBD" w:rsidRPr="004E6DBD">
              <w:rPr>
                <w:rFonts w:ascii="Arial" w:eastAsia="Arial" w:hAnsi="Arial" w:cs="Arial"/>
                <w:sz w:val="20"/>
                <w:szCs w:val="20"/>
              </w:rPr>
              <w:t>%</w:t>
            </w:r>
          </w:p>
        </w:tc>
      </w:tr>
      <w:tr w:rsidR="009666FC" w:rsidRPr="00A54448" w:rsidTr="00C408B1">
        <w:trPr>
          <w:trHeight w:hRule="exact" w:val="324"/>
        </w:trPr>
        <w:tc>
          <w:tcPr>
            <w:tcW w:w="3307" w:type="pct"/>
          </w:tcPr>
          <w:p w:rsidR="009042DD" w:rsidRDefault="004E6DBD">
            <w:pPr>
              <w:pStyle w:val="TableParagraph"/>
              <w:spacing w:line="250" w:lineRule="exact"/>
              <w:rPr>
                <w:rFonts w:ascii="Arial" w:eastAsia="Arial" w:hAnsi="Arial" w:cs="Arial"/>
                <w:sz w:val="20"/>
                <w:szCs w:val="20"/>
              </w:rPr>
            </w:pPr>
            <w:r w:rsidRPr="004E6DBD">
              <w:rPr>
                <w:rFonts w:ascii="Arial" w:eastAsia="Arial" w:hAnsi="Arial" w:cs="Arial"/>
                <w:spacing w:val="-1"/>
                <w:sz w:val="20"/>
                <w:szCs w:val="20"/>
              </w:rPr>
              <w:t xml:space="preserve">Arthralgia </w:t>
            </w:r>
          </w:p>
        </w:tc>
        <w:tc>
          <w:tcPr>
            <w:tcW w:w="1693" w:type="pct"/>
          </w:tcPr>
          <w:p w:rsidR="009666FC" w:rsidRPr="00A54448" w:rsidRDefault="00F60832" w:rsidP="00DE3C26">
            <w:pPr>
              <w:pStyle w:val="TableParagraph"/>
              <w:spacing w:line="250" w:lineRule="exact"/>
              <w:jc w:val="center"/>
              <w:rPr>
                <w:rFonts w:ascii="Arial" w:eastAsia="Arial" w:hAnsi="Arial" w:cs="Arial"/>
                <w:sz w:val="20"/>
                <w:szCs w:val="20"/>
              </w:rPr>
            </w:pPr>
            <w:r w:rsidRPr="00F60832">
              <w:rPr>
                <w:rFonts w:ascii="Arial" w:eastAsia="Arial" w:hAnsi="Arial" w:cs="Arial"/>
                <w:spacing w:val="-1"/>
                <w:sz w:val="20"/>
                <w:szCs w:val="20"/>
              </w:rPr>
              <w:t>1</w:t>
            </w:r>
            <w:r w:rsidR="004E6DBD" w:rsidRPr="004E6DBD">
              <w:rPr>
                <w:rFonts w:ascii="Arial" w:eastAsia="Arial" w:hAnsi="Arial" w:cs="Arial"/>
                <w:sz w:val="20"/>
                <w:szCs w:val="20"/>
              </w:rPr>
              <w:t>%</w:t>
            </w:r>
          </w:p>
        </w:tc>
      </w:tr>
    </w:tbl>
    <w:p w:rsidR="00AE62AF" w:rsidRPr="00415645" w:rsidRDefault="007B1BB1" w:rsidP="00AE62AF">
      <w:pPr>
        <w:spacing w:before="120" w:after="120"/>
        <w:rPr>
          <w:rFonts w:cs="Arial"/>
          <w:b/>
          <w:highlight w:val="yellow"/>
        </w:rPr>
      </w:pPr>
      <w:r w:rsidRPr="007D1775">
        <w:rPr>
          <w:rFonts w:cs="Arial"/>
          <w:b/>
          <w:u w:val="single"/>
        </w:rPr>
        <w:t xml:space="preserve">Adverse reactions reported by &lt; 2% of patients treated with </w:t>
      </w:r>
      <w:r w:rsidR="00F3116E" w:rsidRPr="007D1775">
        <w:rPr>
          <w:rFonts w:cs="Arial"/>
          <w:b/>
          <w:u w:val="single"/>
        </w:rPr>
        <w:t>SPEDRA</w:t>
      </w:r>
      <w:r w:rsidRPr="007D1775">
        <w:rPr>
          <w:rFonts w:cs="Arial"/>
          <w:b/>
          <w:u w:val="single"/>
        </w:rPr>
        <w:t xml:space="preserve"> in all phase 3 studies</w:t>
      </w:r>
    </w:p>
    <w:p w:rsidR="007B1BB1" w:rsidRPr="007D1775" w:rsidRDefault="007B1BB1" w:rsidP="00325A59">
      <w:pPr>
        <w:rPr>
          <w:rFonts w:cs="Arial"/>
          <w:highlight w:val="yellow"/>
        </w:rPr>
      </w:pPr>
      <w:r w:rsidRPr="007D1775">
        <w:rPr>
          <w:rFonts w:cs="Arial"/>
        </w:rPr>
        <w:t>Except for headache (6.</w:t>
      </w:r>
      <w:r w:rsidR="00803905">
        <w:rPr>
          <w:rFonts w:cs="Arial"/>
        </w:rPr>
        <w:t>9</w:t>
      </w:r>
      <w:r w:rsidRPr="007D1775">
        <w:rPr>
          <w:rFonts w:cs="Arial"/>
        </w:rPr>
        <w:t>%)</w:t>
      </w:r>
      <w:r w:rsidR="00803905">
        <w:rPr>
          <w:rFonts w:cs="Arial"/>
        </w:rPr>
        <w:t xml:space="preserve"> and</w:t>
      </w:r>
      <w:r w:rsidRPr="007D1775">
        <w:rPr>
          <w:rFonts w:cs="Arial"/>
        </w:rPr>
        <w:t xml:space="preserve"> flushing (</w:t>
      </w:r>
      <w:r w:rsidR="00803905">
        <w:rPr>
          <w:rFonts w:cs="Arial"/>
        </w:rPr>
        <w:t>5</w:t>
      </w:r>
      <w:r w:rsidRPr="007D1775">
        <w:rPr>
          <w:rFonts w:cs="Arial"/>
        </w:rPr>
        <w:t>.</w:t>
      </w:r>
      <w:r w:rsidR="00803905">
        <w:rPr>
          <w:rFonts w:cs="Arial"/>
        </w:rPr>
        <w:t>7</w:t>
      </w:r>
      <w:r w:rsidRPr="007D1775">
        <w:rPr>
          <w:rFonts w:cs="Arial"/>
        </w:rPr>
        <w:t xml:space="preserve">%) the incidence of all the other adverse reactions </w:t>
      </w:r>
      <w:r w:rsidR="000A2F55">
        <w:rPr>
          <w:rFonts w:cs="Arial"/>
        </w:rPr>
        <w:t>(</w:t>
      </w:r>
      <w:r w:rsidR="000A2F55" w:rsidRPr="000A2F55">
        <w:rPr>
          <w:rFonts w:cs="Arial"/>
        </w:rPr>
        <w:t xml:space="preserve">refer to the Table </w:t>
      </w:r>
      <w:r w:rsidR="00CC171B">
        <w:rPr>
          <w:rFonts w:cs="Arial"/>
        </w:rPr>
        <w:t>7</w:t>
      </w:r>
      <w:r w:rsidR="000A2F55" w:rsidRPr="000A2F55">
        <w:rPr>
          <w:rFonts w:cs="Arial"/>
        </w:rPr>
        <w:t xml:space="preserve"> </w:t>
      </w:r>
      <w:r w:rsidR="000A2F55">
        <w:rPr>
          <w:rFonts w:cs="Arial"/>
        </w:rPr>
        <w:t>for a</w:t>
      </w:r>
      <w:r w:rsidR="000A2F55" w:rsidRPr="000A2F55">
        <w:rPr>
          <w:rFonts w:cs="Arial"/>
        </w:rPr>
        <w:t xml:space="preserve"> complete list</w:t>
      </w:r>
      <w:r w:rsidR="000A2F55">
        <w:rPr>
          <w:rFonts w:cs="Arial"/>
        </w:rPr>
        <w:t xml:space="preserve">) </w:t>
      </w:r>
      <w:r w:rsidRPr="007D1775">
        <w:rPr>
          <w:rFonts w:cs="Arial"/>
        </w:rPr>
        <w:t>was &lt;2%.</w:t>
      </w:r>
    </w:p>
    <w:p w:rsidR="00AE62AF" w:rsidRDefault="007B1BB1" w:rsidP="00AE62AF">
      <w:pPr>
        <w:spacing w:before="120" w:after="120"/>
        <w:outlineLvl w:val="0"/>
        <w:rPr>
          <w:rFonts w:cs="Arial"/>
          <w:b/>
          <w:u w:val="single"/>
          <w:lang w:val="en-US"/>
        </w:rPr>
      </w:pPr>
      <w:r w:rsidRPr="007D1775">
        <w:rPr>
          <w:rFonts w:cs="Arial"/>
          <w:b/>
          <w:u w:val="single"/>
          <w:lang w:val="en-US"/>
        </w:rPr>
        <w:t>Tabulated list of adverse reactions</w:t>
      </w:r>
    </w:p>
    <w:p w:rsidR="007B1BB1" w:rsidRPr="007D1775" w:rsidRDefault="007B1BB1" w:rsidP="007B1BB1">
      <w:pPr>
        <w:outlineLvl w:val="0"/>
        <w:rPr>
          <w:rFonts w:cs="Arial"/>
          <w:lang w:val="en-US"/>
        </w:rPr>
      </w:pPr>
      <w:r w:rsidRPr="007D1775">
        <w:rPr>
          <w:rFonts w:cs="Arial"/>
          <w:lang w:val="en-US"/>
        </w:rPr>
        <w:t xml:space="preserve">The table below lists the adverse reactions observed in placebo-controlled clinical trials according to the </w:t>
      </w:r>
      <w:proofErr w:type="spellStart"/>
      <w:r w:rsidRPr="007D1775">
        <w:rPr>
          <w:rFonts w:cs="Arial"/>
          <w:lang w:val="en-US"/>
        </w:rPr>
        <w:t>MedDRA</w:t>
      </w:r>
      <w:proofErr w:type="spellEnd"/>
      <w:r w:rsidRPr="007D1775">
        <w:rPr>
          <w:rFonts w:cs="Arial"/>
          <w:lang w:val="en-US"/>
        </w:rPr>
        <w:t xml:space="preserve"> frequency convention: very common (≥ </w:t>
      </w:r>
      <w:r w:rsidR="005A0CB5">
        <w:rPr>
          <w:rFonts w:cs="Arial"/>
          <w:lang w:val="en-US"/>
        </w:rPr>
        <w:t>.</w:t>
      </w:r>
      <w:r w:rsidRPr="007D1775">
        <w:rPr>
          <w:rFonts w:cs="Arial"/>
          <w:lang w:val="en-US"/>
        </w:rPr>
        <w:t>1/10), common (≥ 1/100 to &lt; 1/10), uncommon (≥ 1/1,000 to &lt; 1/100), rare (≥ 1/10,000 to &lt; 1/1,000). Within each frequency grouping, adverse reactions are presented in order of decreasing seriousness.</w:t>
      </w:r>
    </w:p>
    <w:p w:rsidR="009042DD" w:rsidRPr="00167635" w:rsidRDefault="005578F1" w:rsidP="00415645">
      <w:pPr>
        <w:autoSpaceDE w:val="0"/>
        <w:autoSpaceDN w:val="0"/>
        <w:adjustRightInd w:val="0"/>
        <w:spacing w:before="120" w:after="120"/>
        <w:ind w:left="994" w:hanging="994"/>
        <w:jc w:val="left"/>
        <w:rPr>
          <w:rFonts w:cs="Arial"/>
          <w:b/>
          <w:sz w:val="20"/>
          <w:u w:val="single"/>
        </w:rPr>
      </w:pPr>
      <w:r w:rsidRPr="00167635">
        <w:rPr>
          <w:rFonts w:cs="Arial"/>
          <w:b/>
          <w:sz w:val="20"/>
          <w:u w:val="single"/>
        </w:rPr>
        <w:t xml:space="preserve">Table </w:t>
      </w:r>
      <w:r w:rsidR="00CC171B">
        <w:rPr>
          <w:rFonts w:cs="Arial"/>
          <w:b/>
          <w:sz w:val="20"/>
          <w:u w:val="single"/>
        </w:rPr>
        <w:t>7</w:t>
      </w:r>
      <w:r w:rsidR="00167635">
        <w:rPr>
          <w:rFonts w:cs="Arial"/>
          <w:b/>
          <w:sz w:val="20"/>
          <w:u w:val="single"/>
        </w:rPr>
        <w:t>:</w:t>
      </w:r>
      <w:r w:rsidR="00167635">
        <w:rPr>
          <w:rFonts w:cs="Arial"/>
          <w:b/>
          <w:sz w:val="20"/>
          <w:u w:val="single"/>
        </w:rPr>
        <w:tab/>
      </w:r>
      <w:r w:rsidR="00AE62AF" w:rsidRPr="00167635">
        <w:rPr>
          <w:rFonts w:cs="Arial"/>
          <w:b/>
          <w:sz w:val="20"/>
          <w:u w:val="single"/>
        </w:rPr>
        <w:t xml:space="preserve">Adverse Reactions Observed In Placebo-Controlled Clinical Trials According To </w:t>
      </w:r>
      <w:proofErr w:type="gramStart"/>
      <w:r w:rsidR="00AE62AF" w:rsidRPr="00167635">
        <w:rPr>
          <w:rFonts w:cs="Arial"/>
          <w:b/>
          <w:sz w:val="20"/>
          <w:u w:val="single"/>
        </w:rPr>
        <w:t>The</w:t>
      </w:r>
      <w:proofErr w:type="gramEnd"/>
      <w:r w:rsidR="00AE62AF" w:rsidRPr="00167635">
        <w:rPr>
          <w:rFonts w:cs="Arial"/>
          <w:b/>
          <w:sz w:val="20"/>
          <w:u w:val="single"/>
        </w:rPr>
        <w:t xml:space="preserve"> </w:t>
      </w:r>
      <w:proofErr w:type="spellStart"/>
      <w:r w:rsidR="00AE62AF" w:rsidRPr="00167635">
        <w:rPr>
          <w:rFonts w:cs="Arial"/>
          <w:b/>
          <w:sz w:val="20"/>
          <w:u w:val="single"/>
        </w:rPr>
        <w:t>MedDRA</w:t>
      </w:r>
      <w:proofErr w:type="spellEnd"/>
      <w:r w:rsidR="00AE62AF" w:rsidRPr="00167635">
        <w:rPr>
          <w:rFonts w:cs="Arial"/>
          <w:b/>
          <w:sz w:val="20"/>
          <w:u w:val="single"/>
        </w:rPr>
        <w:t xml:space="preserve"> Frequency Convention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3"/>
        <w:gridCol w:w="2463"/>
        <w:gridCol w:w="2464"/>
        <w:gridCol w:w="2464"/>
      </w:tblGrid>
      <w:tr w:rsidR="007B1BB1" w:rsidRPr="007D1775" w:rsidTr="00593DBA">
        <w:trPr>
          <w:cantSplit/>
          <w:tblHeade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7B1BB1" w:rsidRPr="007D1775" w:rsidRDefault="007B1BB1" w:rsidP="00593DBA">
            <w:pPr>
              <w:keepNext/>
              <w:tabs>
                <w:tab w:val="left" w:pos="720"/>
              </w:tabs>
              <w:spacing w:line="276" w:lineRule="auto"/>
              <w:jc w:val="center"/>
              <w:rPr>
                <w:rFonts w:eastAsia="Times New Roman Bold" w:cs="Arial"/>
                <w:b/>
                <w:szCs w:val="22"/>
                <w:lang w:val="en-US"/>
              </w:rPr>
            </w:pPr>
            <w:r w:rsidRPr="007D1775">
              <w:rPr>
                <w:rFonts w:eastAsia="Times New Roman Bold" w:cs="Arial"/>
                <w:b/>
                <w:szCs w:val="22"/>
                <w:lang w:val="en-US"/>
              </w:rPr>
              <w:t>Adverse reaction (</w:t>
            </w:r>
            <w:proofErr w:type="spellStart"/>
            <w:r w:rsidRPr="007D1775">
              <w:rPr>
                <w:rFonts w:eastAsia="Times New Roman Bold" w:cs="Arial"/>
                <w:b/>
                <w:szCs w:val="22"/>
                <w:lang w:val="en-US"/>
              </w:rPr>
              <w:t>MedDRA</w:t>
            </w:r>
            <w:proofErr w:type="spellEnd"/>
            <w:r w:rsidRPr="007D1775">
              <w:rPr>
                <w:rFonts w:eastAsia="Times New Roman Bold" w:cs="Arial"/>
                <w:b/>
                <w:szCs w:val="22"/>
                <w:lang w:val="en-US"/>
              </w:rPr>
              <w:t xml:space="preserve"> Preferred Term)</w:t>
            </w:r>
          </w:p>
        </w:tc>
      </w:tr>
      <w:tr w:rsidR="007B1BB1" w:rsidRPr="007D1775" w:rsidTr="00593DBA">
        <w:trPr>
          <w:cantSplit/>
          <w:tblHeader/>
          <w:jc w:val="center"/>
        </w:trPr>
        <w:tc>
          <w:tcPr>
            <w:tcW w:w="1250" w:type="pct"/>
            <w:tcBorders>
              <w:top w:val="single" w:sz="4" w:space="0" w:color="auto"/>
              <w:left w:val="single" w:sz="4" w:space="0" w:color="auto"/>
              <w:bottom w:val="single" w:sz="4" w:space="0" w:color="auto"/>
              <w:right w:val="single" w:sz="4" w:space="0" w:color="auto"/>
            </w:tcBorders>
            <w:vAlign w:val="center"/>
          </w:tcPr>
          <w:p w:rsidR="007B1BB1" w:rsidRPr="007D1775" w:rsidRDefault="007B1BB1" w:rsidP="00CC171B">
            <w:pPr>
              <w:keepNext/>
              <w:jc w:val="left"/>
              <w:rPr>
                <w:rFonts w:cs="Arial"/>
                <w:b/>
                <w:szCs w:val="22"/>
                <w:lang w:val="en-US"/>
              </w:rPr>
            </w:pPr>
            <w:r w:rsidRPr="007D1775">
              <w:rPr>
                <w:rFonts w:cs="Arial"/>
                <w:b/>
                <w:szCs w:val="22"/>
                <w:lang w:val="en-US"/>
              </w:rPr>
              <w:t>System Organ Class</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7D1775" w:rsidRDefault="007B1BB1" w:rsidP="00593DBA">
            <w:pPr>
              <w:keepNext/>
              <w:tabs>
                <w:tab w:val="left" w:pos="720"/>
              </w:tabs>
              <w:spacing w:line="276" w:lineRule="auto"/>
              <w:rPr>
                <w:rFonts w:eastAsia="Times New Roman Bold" w:cs="Arial"/>
                <w:b/>
                <w:szCs w:val="22"/>
                <w:lang w:val="en-US"/>
              </w:rPr>
            </w:pPr>
            <w:r w:rsidRPr="007D1775">
              <w:rPr>
                <w:rFonts w:eastAsia="Times New Roman Bold" w:cs="Arial"/>
                <w:b/>
                <w:szCs w:val="22"/>
                <w:lang w:val="en-US"/>
              </w:rPr>
              <w:t>Common</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7D1775" w:rsidRDefault="007B1BB1" w:rsidP="00593DBA">
            <w:pPr>
              <w:keepNext/>
              <w:tabs>
                <w:tab w:val="left" w:pos="720"/>
              </w:tabs>
              <w:spacing w:line="276" w:lineRule="auto"/>
              <w:rPr>
                <w:rFonts w:eastAsia="Times New Roman Bold" w:cs="Arial"/>
                <w:b/>
                <w:szCs w:val="22"/>
                <w:lang w:val="en-US"/>
              </w:rPr>
            </w:pPr>
            <w:r w:rsidRPr="007D1775">
              <w:rPr>
                <w:rFonts w:eastAsia="Times New Roman Bold" w:cs="Arial"/>
                <w:b/>
                <w:szCs w:val="22"/>
                <w:lang w:val="en-US"/>
              </w:rPr>
              <w:t>Uncommon</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7D1775" w:rsidRDefault="007B1BB1" w:rsidP="00593DBA">
            <w:pPr>
              <w:keepNext/>
              <w:tabs>
                <w:tab w:val="left" w:pos="720"/>
              </w:tabs>
              <w:spacing w:line="276" w:lineRule="auto"/>
              <w:rPr>
                <w:rFonts w:eastAsia="Times New Roman Bold" w:cs="Arial"/>
                <w:b/>
                <w:szCs w:val="22"/>
                <w:lang w:val="en-US"/>
              </w:rPr>
            </w:pPr>
            <w:r w:rsidRPr="007D1775">
              <w:rPr>
                <w:rFonts w:eastAsia="Times New Roman Bold" w:cs="Arial"/>
                <w:b/>
                <w:szCs w:val="22"/>
                <w:lang w:val="en-US"/>
              </w:rPr>
              <w:t>Rare</w:t>
            </w:r>
          </w:p>
        </w:tc>
      </w:tr>
      <w:tr w:rsidR="007B1BB1" w:rsidRPr="007D1775" w:rsidTr="00593DBA">
        <w:trPr>
          <w:cantSplit/>
          <w:jc w:val="center"/>
        </w:trPr>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CC171B">
            <w:pPr>
              <w:jc w:val="left"/>
              <w:rPr>
                <w:rFonts w:cs="Arial"/>
                <w:b/>
                <w:noProof/>
                <w:sz w:val="20"/>
                <w:lang w:val="da-DK"/>
              </w:rPr>
            </w:pPr>
            <w:r w:rsidRPr="00CC171B">
              <w:rPr>
                <w:rFonts w:cs="Arial"/>
                <w:b/>
                <w:noProof/>
                <w:sz w:val="20"/>
                <w:lang w:val="da-DK"/>
              </w:rPr>
              <w:t>Infections and infestations</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spacing w:line="276" w:lineRule="auto"/>
              <w:rPr>
                <w:rFonts w:eastAsia="Calibri"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Influenza</w:t>
            </w:r>
          </w:p>
          <w:p w:rsidR="007B1BB1" w:rsidRPr="00CC171B" w:rsidRDefault="007B1BB1" w:rsidP="00593DBA">
            <w:pPr>
              <w:keepLines/>
              <w:tabs>
                <w:tab w:val="left" w:pos="720"/>
              </w:tabs>
              <w:spacing w:before="20" w:after="20" w:line="276" w:lineRule="auto"/>
              <w:rPr>
                <w:rFonts w:cs="Arial"/>
                <w:sz w:val="20"/>
                <w:lang w:val="en-US"/>
              </w:rPr>
            </w:pPr>
            <w:proofErr w:type="spellStart"/>
            <w:r w:rsidRPr="00CC171B">
              <w:rPr>
                <w:rFonts w:cs="Arial"/>
                <w:sz w:val="20"/>
                <w:lang w:val="en-US"/>
              </w:rPr>
              <w:t>Nasopharyngitis</w:t>
            </w:r>
            <w:proofErr w:type="spellEnd"/>
          </w:p>
        </w:tc>
      </w:tr>
      <w:tr w:rsidR="007B1BB1" w:rsidRPr="007D1775" w:rsidTr="00593DBA">
        <w:trPr>
          <w:cantSplit/>
          <w:jc w:val="center"/>
        </w:trPr>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CC171B">
            <w:pPr>
              <w:jc w:val="left"/>
              <w:rPr>
                <w:rFonts w:cs="Arial"/>
                <w:b/>
                <w:noProof/>
                <w:sz w:val="20"/>
                <w:lang w:val="da-DK"/>
              </w:rPr>
            </w:pPr>
            <w:r w:rsidRPr="00CC171B">
              <w:rPr>
                <w:rFonts w:cs="Arial"/>
                <w:b/>
                <w:noProof/>
                <w:sz w:val="20"/>
                <w:lang w:val="da-DK"/>
              </w:rPr>
              <w:t xml:space="preserve">Immune system disorders </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spacing w:line="276" w:lineRule="auto"/>
              <w:rPr>
                <w:rFonts w:eastAsia="Calibri"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Seasonal allergy</w:t>
            </w:r>
          </w:p>
        </w:tc>
      </w:tr>
      <w:tr w:rsidR="007B1BB1" w:rsidRPr="007D1775" w:rsidTr="00593DBA">
        <w:trPr>
          <w:cantSplit/>
          <w:jc w:val="center"/>
        </w:trPr>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CC171B">
            <w:pPr>
              <w:jc w:val="left"/>
              <w:rPr>
                <w:rFonts w:cs="Arial"/>
                <w:b/>
                <w:noProof/>
                <w:sz w:val="20"/>
                <w:lang w:val="da-DK"/>
              </w:rPr>
            </w:pPr>
            <w:r w:rsidRPr="00CC171B">
              <w:rPr>
                <w:rFonts w:cs="Arial"/>
                <w:b/>
                <w:noProof/>
                <w:sz w:val="20"/>
                <w:lang w:val="da-DK"/>
              </w:rPr>
              <w:t xml:space="preserve">Metabolism and nutrition disorders </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spacing w:line="276" w:lineRule="auto"/>
              <w:rPr>
                <w:rFonts w:eastAsia="Calibri"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Gout</w:t>
            </w:r>
          </w:p>
        </w:tc>
      </w:tr>
      <w:tr w:rsidR="007B1BB1" w:rsidRPr="007D1775" w:rsidTr="00593DBA">
        <w:trPr>
          <w:cantSplit/>
          <w:jc w:val="center"/>
        </w:trPr>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CC171B">
            <w:pPr>
              <w:jc w:val="left"/>
              <w:rPr>
                <w:rFonts w:cs="Arial"/>
                <w:b/>
                <w:noProof/>
                <w:sz w:val="20"/>
                <w:lang w:val="da-DK"/>
              </w:rPr>
            </w:pPr>
            <w:r w:rsidRPr="00CC171B">
              <w:rPr>
                <w:rFonts w:cs="Arial"/>
                <w:b/>
                <w:noProof/>
                <w:sz w:val="20"/>
                <w:lang w:val="da-DK"/>
              </w:rPr>
              <w:t xml:space="preserve">Psychiatric disorders </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spacing w:line="276" w:lineRule="auto"/>
              <w:rPr>
                <w:rFonts w:eastAsia="Calibri"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Insomnia</w:t>
            </w:r>
          </w:p>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Premature ejaculation</w:t>
            </w:r>
          </w:p>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Inappropriate affect</w:t>
            </w:r>
          </w:p>
        </w:tc>
      </w:tr>
      <w:tr w:rsidR="007B1BB1" w:rsidRPr="007D1775" w:rsidTr="00593DBA">
        <w:trPr>
          <w:cantSplit/>
          <w:jc w:val="center"/>
        </w:trPr>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CC171B">
            <w:pPr>
              <w:jc w:val="left"/>
              <w:rPr>
                <w:rFonts w:cs="Arial"/>
                <w:b/>
                <w:noProof/>
                <w:sz w:val="20"/>
                <w:lang w:val="da-DK"/>
              </w:rPr>
            </w:pPr>
            <w:r w:rsidRPr="00CC171B">
              <w:rPr>
                <w:rFonts w:cs="Arial"/>
                <w:b/>
                <w:noProof/>
                <w:sz w:val="20"/>
                <w:lang w:val="da-DK"/>
              </w:rPr>
              <w:t xml:space="preserve">Nervous system disorders </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spacing w:line="276" w:lineRule="auto"/>
              <w:rPr>
                <w:rFonts w:eastAsia="Calibri" w:cs="Arial"/>
                <w:sz w:val="20"/>
                <w:lang w:val="en-US"/>
              </w:rPr>
            </w:pPr>
            <w:r w:rsidRPr="00CC171B">
              <w:rPr>
                <w:rFonts w:cs="Arial"/>
                <w:sz w:val="20"/>
                <w:lang w:val="en-US"/>
              </w:rPr>
              <w:t>Headache</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Next/>
              <w:keepLines/>
              <w:tabs>
                <w:tab w:val="left" w:pos="720"/>
              </w:tabs>
              <w:spacing w:before="20" w:after="20" w:line="276" w:lineRule="auto"/>
              <w:rPr>
                <w:rFonts w:cs="Arial"/>
                <w:sz w:val="20"/>
                <w:lang w:val="en-US"/>
              </w:rPr>
            </w:pPr>
            <w:r w:rsidRPr="00CC171B">
              <w:rPr>
                <w:rFonts w:cs="Arial"/>
                <w:sz w:val="20"/>
                <w:lang w:val="en-US"/>
              </w:rPr>
              <w:t>Dizziness</w:t>
            </w:r>
          </w:p>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Somnolence</w:t>
            </w:r>
          </w:p>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Sinus headache</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Next/>
              <w:keepLines/>
              <w:tabs>
                <w:tab w:val="left" w:pos="720"/>
              </w:tabs>
              <w:spacing w:before="20" w:after="20" w:line="276" w:lineRule="auto"/>
              <w:rPr>
                <w:rFonts w:cs="Arial"/>
                <w:sz w:val="20"/>
                <w:lang w:val="en-US"/>
              </w:rPr>
            </w:pPr>
            <w:r w:rsidRPr="00CC171B">
              <w:rPr>
                <w:rFonts w:cs="Arial"/>
                <w:sz w:val="20"/>
                <w:lang w:val="en-US"/>
              </w:rPr>
              <w:t>Psychomotor hyperactivity</w:t>
            </w:r>
          </w:p>
        </w:tc>
      </w:tr>
      <w:tr w:rsidR="007B1BB1" w:rsidRPr="007D1775" w:rsidTr="00593DBA">
        <w:trPr>
          <w:cantSplit/>
          <w:jc w:val="center"/>
        </w:trPr>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CC171B">
            <w:pPr>
              <w:jc w:val="left"/>
              <w:rPr>
                <w:rFonts w:cs="Arial"/>
                <w:b/>
                <w:noProof/>
                <w:sz w:val="20"/>
                <w:lang w:val="da-DK"/>
              </w:rPr>
            </w:pPr>
            <w:r w:rsidRPr="00CC171B">
              <w:rPr>
                <w:rFonts w:cs="Arial"/>
                <w:b/>
                <w:noProof/>
                <w:sz w:val="20"/>
                <w:lang w:val="da-DK"/>
              </w:rPr>
              <w:t xml:space="preserve">Eye disorders </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spacing w:line="276" w:lineRule="auto"/>
              <w:rPr>
                <w:rFonts w:eastAsia="Calibri"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Vision blurred</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p>
        </w:tc>
      </w:tr>
      <w:tr w:rsidR="007B1BB1" w:rsidRPr="007D1775" w:rsidTr="00593DBA">
        <w:trPr>
          <w:cantSplit/>
          <w:jc w:val="center"/>
        </w:trPr>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CC171B">
            <w:pPr>
              <w:jc w:val="left"/>
              <w:rPr>
                <w:rFonts w:cs="Arial"/>
                <w:b/>
                <w:noProof/>
                <w:sz w:val="20"/>
                <w:lang w:val="da-DK"/>
              </w:rPr>
            </w:pPr>
            <w:r w:rsidRPr="00CC171B">
              <w:rPr>
                <w:rFonts w:cs="Arial"/>
                <w:b/>
                <w:noProof/>
                <w:sz w:val="20"/>
                <w:lang w:val="da-DK"/>
              </w:rPr>
              <w:t xml:space="preserve">Cardiac disorders </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spacing w:line="276" w:lineRule="auto"/>
              <w:rPr>
                <w:rFonts w:eastAsia="Calibri"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Palpitations</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Angina pectoris</w:t>
            </w:r>
          </w:p>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Tachycardia</w:t>
            </w:r>
          </w:p>
        </w:tc>
      </w:tr>
      <w:tr w:rsidR="007B1BB1" w:rsidRPr="007D1775" w:rsidTr="00593DBA">
        <w:trPr>
          <w:cantSplit/>
          <w:jc w:val="center"/>
        </w:trPr>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CC171B">
            <w:pPr>
              <w:jc w:val="left"/>
              <w:rPr>
                <w:rFonts w:cs="Arial"/>
                <w:b/>
                <w:noProof/>
                <w:sz w:val="20"/>
                <w:lang w:val="da-DK"/>
              </w:rPr>
            </w:pPr>
            <w:r w:rsidRPr="00CC171B">
              <w:rPr>
                <w:rFonts w:cs="Arial"/>
                <w:b/>
                <w:noProof/>
                <w:sz w:val="20"/>
                <w:lang w:val="da-DK"/>
              </w:rPr>
              <w:t xml:space="preserve">Vascular disorders </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spacing w:line="276" w:lineRule="auto"/>
              <w:rPr>
                <w:rFonts w:eastAsia="Calibri" w:cs="Arial"/>
                <w:sz w:val="20"/>
                <w:lang w:val="en-US"/>
              </w:rPr>
            </w:pPr>
            <w:r w:rsidRPr="00CC171B">
              <w:rPr>
                <w:rFonts w:cs="Arial"/>
                <w:sz w:val="20"/>
                <w:lang w:val="en-US"/>
              </w:rPr>
              <w:t>Flushing</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Hot flush</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Hypertension</w:t>
            </w:r>
          </w:p>
        </w:tc>
      </w:tr>
      <w:tr w:rsidR="007B1BB1" w:rsidRPr="007D1775" w:rsidTr="00593DBA">
        <w:trPr>
          <w:cantSplit/>
          <w:jc w:val="center"/>
        </w:trPr>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CC171B">
            <w:pPr>
              <w:jc w:val="left"/>
              <w:rPr>
                <w:rFonts w:cs="Arial"/>
                <w:b/>
                <w:noProof/>
                <w:sz w:val="20"/>
                <w:lang w:val="da-DK"/>
              </w:rPr>
            </w:pPr>
            <w:r w:rsidRPr="00CC171B">
              <w:rPr>
                <w:rFonts w:cs="Arial"/>
                <w:b/>
                <w:noProof/>
                <w:sz w:val="20"/>
                <w:lang w:val="da-DK"/>
              </w:rPr>
              <w:t xml:space="preserve">Respiratory, thoracic and mediastinal disorders </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Next/>
              <w:keepLines/>
              <w:tabs>
                <w:tab w:val="left" w:pos="720"/>
              </w:tabs>
              <w:spacing w:before="20" w:after="20" w:line="276" w:lineRule="auto"/>
              <w:rPr>
                <w:rFonts w:eastAsia="Calibri" w:cs="Arial"/>
                <w:sz w:val="20"/>
                <w:lang w:val="en-US"/>
              </w:rPr>
            </w:pPr>
            <w:r w:rsidRPr="00CC171B">
              <w:rPr>
                <w:rFonts w:cs="Arial"/>
                <w:sz w:val="20"/>
                <w:lang w:val="en-US"/>
              </w:rPr>
              <w:t>Nasal congestion</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 xml:space="preserve">Sinus congestion </w:t>
            </w:r>
            <w:proofErr w:type="spellStart"/>
            <w:r w:rsidRPr="00CC171B">
              <w:rPr>
                <w:rFonts w:cs="Arial"/>
                <w:sz w:val="20"/>
                <w:lang w:val="en-US"/>
              </w:rPr>
              <w:t>Dyspnoea</w:t>
            </w:r>
            <w:proofErr w:type="spellEnd"/>
            <w:r w:rsidRPr="00CC171B">
              <w:rPr>
                <w:rFonts w:cs="Arial"/>
                <w:sz w:val="20"/>
                <w:lang w:val="en-US"/>
              </w:rPr>
              <w:t xml:space="preserve"> exertional</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proofErr w:type="spellStart"/>
            <w:r w:rsidRPr="00CC171B">
              <w:rPr>
                <w:rFonts w:cs="Arial"/>
                <w:sz w:val="20"/>
                <w:lang w:val="en-US"/>
              </w:rPr>
              <w:t>Rhinorrhoea</w:t>
            </w:r>
            <w:proofErr w:type="spellEnd"/>
          </w:p>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Upper respiratory tract congestion</w:t>
            </w:r>
          </w:p>
        </w:tc>
      </w:tr>
      <w:tr w:rsidR="007B1BB1" w:rsidRPr="007D1775" w:rsidTr="00593DBA">
        <w:trPr>
          <w:cantSplit/>
          <w:jc w:val="center"/>
        </w:trPr>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CC171B">
            <w:pPr>
              <w:jc w:val="left"/>
              <w:rPr>
                <w:rFonts w:cs="Arial"/>
                <w:b/>
                <w:noProof/>
                <w:sz w:val="20"/>
                <w:lang w:val="da-DK"/>
              </w:rPr>
            </w:pPr>
            <w:r w:rsidRPr="00CC171B">
              <w:rPr>
                <w:rFonts w:cs="Arial"/>
                <w:b/>
                <w:noProof/>
                <w:sz w:val="20"/>
                <w:lang w:val="da-DK"/>
              </w:rPr>
              <w:t xml:space="preserve">Gastrointestinal disorders </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spacing w:line="276" w:lineRule="auto"/>
              <w:rPr>
                <w:rFonts w:eastAsia="Calibri"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Next/>
              <w:keepLines/>
              <w:tabs>
                <w:tab w:val="left" w:pos="720"/>
              </w:tabs>
              <w:spacing w:before="20" w:after="20" w:line="276" w:lineRule="auto"/>
              <w:rPr>
                <w:rFonts w:cs="Arial"/>
                <w:sz w:val="20"/>
                <w:lang w:val="en-US"/>
              </w:rPr>
            </w:pPr>
            <w:r w:rsidRPr="00CC171B">
              <w:rPr>
                <w:rFonts w:cs="Arial"/>
                <w:sz w:val="20"/>
                <w:lang w:val="en-US"/>
              </w:rPr>
              <w:t>Dyspepsia</w:t>
            </w:r>
          </w:p>
          <w:p w:rsidR="007B1BB1" w:rsidRPr="00CC171B" w:rsidRDefault="007B1BB1" w:rsidP="00593DBA">
            <w:pPr>
              <w:keepNext/>
              <w:keepLines/>
              <w:tabs>
                <w:tab w:val="left" w:pos="720"/>
              </w:tabs>
              <w:spacing w:before="20" w:after="20" w:line="276" w:lineRule="auto"/>
              <w:rPr>
                <w:rFonts w:cs="Arial"/>
                <w:sz w:val="20"/>
                <w:lang w:val="en-US"/>
              </w:rPr>
            </w:pPr>
            <w:r w:rsidRPr="00CC171B">
              <w:rPr>
                <w:rFonts w:cs="Arial"/>
                <w:sz w:val="20"/>
                <w:lang w:val="en-US"/>
              </w:rPr>
              <w:t>Nausea</w:t>
            </w:r>
          </w:p>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Vomiting</w:t>
            </w:r>
          </w:p>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Stomach discomfort</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Next/>
              <w:keepLines/>
              <w:tabs>
                <w:tab w:val="left" w:pos="720"/>
              </w:tabs>
              <w:spacing w:before="20" w:after="20" w:line="276" w:lineRule="auto"/>
              <w:rPr>
                <w:rFonts w:cs="Arial"/>
                <w:sz w:val="20"/>
                <w:lang w:val="en-US"/>
              </w:rPr>
            </w:pPr>
            <w:r w:rsidRPr="00CC171B">
              <w:rPr>
                <w:rFonts w:cs="Arial"/>
                <w:sz w:val="20"/>
                <w:lang w:val="en-US"/>
              </w:rPr>
              <w:t>Dry mouth</w:t>
            </w:r>
          </w:p>
          <w:p w:rsidR="007B1BB1" w:rsidRPr="00CC171B" w:rsidRDefault="007B1BB1" w:rsidP="00593DBA">
            <w:pPr>
              <w:keepNext/>
              <w:keepLines/>
              <w:tabs>
                <w:tab w:val="left" w:pos="720"/>
              </w:tabs>
              <w:spacing w:before="20" w:after="20" w:line="276" w:lineRule="auto"/>
              <w:rPr>
                <w:rFonts w:cs="Arial"/>
                <w:sz w:val="20"/>
                <w:lang w:val="en-US"/>
              </w:rPr>
            </w:pPr>
            <w:r w:rsidRPr="00CC171B">
              <w:rPr>
                <w:rFonts w:cs="Arial"/>
                <w:sz w:val="20"/>
                <w:lang w:val="en-US"/>
              </w:rPr>
              <w:t>Gastritis</w:t>
            </w:r>
          </w:p>
          <w:p w:rsidR="007B1BB1" w:rsidRPr="00CC171B" w:rsidRDefault="007B1BB1" w:rsidP="00593DBA">
            <w:pPr>
              <w:keepNext/>
              <w:keepLines/>
              <w:tabs>
                <w:tab w:val="left" w:pos="720"/>
              </w:tabs>
              <w:spacing w:before="20" w:after="20" w:line="276" w:lineRule="auto"/>
              <w:rPr>
                <w:rFonts w:cs="Arial"/>
                <w:sz w:val="20"/>
                <w:lang w:val="en-US"/>
              </w:rPr>
            </w:pPr>
            <w:r w:rsidRPr="00CC171B">
              <w:rPr>
                <w:rFonts w:cs="Arial"/>
                <w:sz w:val="20"/>
                <w:lang w:val="en-US"/>
              </w:rPr>
              <w:t>Abdominal pain lower</w:t>
            </w:r>
          </w:p>
          <w:p w:rsidR="007B1BB1" w:rsidRPr="00CC171B" w:rsidRDefault="007B1BB1" w:rsidP="00593DBA">
            <w:pPr>
              <w:keepNext/>
              <w:keepLines/>
              <w:tabs>
                <w:tab w:val="left" w:pos="720"/>
              </w:tabs>
              <w:spacing w:before="20" w:after="20" w:line="276" w:lineRule="auto"/>
              <w:rPr>
                <w:rFonts w:cs="Arial"/>
                <w:sz w:val="20"/>
                <w:lang w:val="en-US"/>
              </w:rPr>
            </w:pPr>
            <w:proofErr w:type="spellStart"/>
            <w:r w:rsidRPr="00CC171B">
              <w:rPr>
                <w:rFonts w:cs="Arial"/>
                <w:sz w:val="20"/>
                <w:lang w:val="en-US"/>
              </w:rPr>
              <w:t>Diarrhoea</w:t>
            </w:r>
            <w:proofErr w:type="spellEnd"/>
          </w:p>
        </w:tc>
      </w:tr>
      <w:tr w:rsidR="007B1BB1" w:rsidRPr="007D1775" w:rsidTr="00593DBA">
        <w:trPr>
          <w:cantSplit/>
          <w:jc w:val="center"/>
        </w:trPr>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CC171B">
            <w:pPr>
              <w:jc w:val="left"/>
              <w:rPr>
                <w:rFonts w:cs="Arial"/>
                <w:b/>
                <w:noProof/>
                <w:sz w:val="20"/>
                <w:lang w:val="da-DK"/>
              </w:rPr>
            </w:pPr>
            <w:r w:rsidRPr="00CC171B">
              <w:rPr>
                <w:rFonts w:cs="Arial"/>
                <w:b/>
                <w:noProof/>
                <w:sz w:val="20"/>
                <w:lang w:val="da-DK"/>
              </w:rPr>
              <w:t>Skin and subcutaneous tissue disorders</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spacing w:line="276" w:lineRule="auto"/>
              <w:rPr>
                <w:rFonts w:eastAsia="Calibri"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Rash</w:t>
            </w:r>
          </w:p>
        </w:tc>
      </w:tr>
      <w:tr w:rsidR="007B1BB1" w:rsidRPr="007D1775" w:rsidTr="00593DBA">
        <w:trPr>
          <w:cantSplit/>
          <w:jc w:val="center"/>
        </w:trPr>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CC171B">
            <w:pPr>
              <w:jc w:val="left"/>
              <w:rPr>
                <w:rFonts w:cs="Arial"/>
                <w:b/>
                <w:noProof/>
                <w:sz w:val="20"/>
                <w:lang w:val="da-DK"/>
              </w:rPr>
            </w:pPr>
            <w:r w:rsidRPr="00CC171B">
              <w:rPr>
                <w:rFonts w:cs="Arial"/>
                <w:b/>
                <w:noProof/>
                <w:sz w:val="20"/>
                <w:lang w:val="da-DK"/>
              </w:rPr>
              <w:lastRenderedPageBreak/>
              <w:t xml:space="preserve">Musculoskeletal and connective tissue disorders </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spacing w:line="276" w:lineRule="auto"/>
              <w:rPr>
                <w:rFonts w:eastAsia="Calibri"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Back pain</w:t>
            </w:r>
          </w:p>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Muscle tightness</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Flank pain</w:t>
            </w:r>
          </w:p>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Myalgia</w:t>
            </w:r>
          </w:p>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Muscle spasms</w:t>
            </w:r>
          </w:p>
        </w:tc>
      </w:tr>
      <w:tr w:rsidR="007B1BB1" w:rsidRPr="007D1775" w:rsidTr="00593DBA">
        <w:trPr>
          <w:cantSplit/>
          <w:jc w:val="center"/>
        </w:trPr>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CC171B">
            <w:pPr>
              <w:jc w:val="left"/>
              <w:rPr>
                <w:rFonts w:cs="Arial"/>
                <w:b/>
                <w:noProof/>
                <w:sz w:val="20"/>
                <w:lang w:val="da-DK"/>
              </w:rPr>
            </w:pPr>
            <w:r w:rsidRPr="00CC171B">
              <w:rPr>
                <w:rFonts w:cs="Arial"/>
                <w:b/>
                <w:noProof/>
                <w:sz w:val="20"/>
                <w:lang w:val="da-DK"/>
              </w:rPr>
              <w:t xml:space="preserve">Renal and urinary disorders </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spacing w:line="276" w:lineRule="auto"/>
              <w:rPr>
                <w:rFonts w:eastAsia="Calibri"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proofErr w:type="spellStart"/>
            <w:r w:rsidRPr="00CC171B">
              <w:rPr>
                <w:rFonts w:cs="Arial"/>
                <w:sz w:val="20"/>
                <w:lang w:val="en-US"/>
              </w:rPr>
              <w:t>Pollakiuria</w:t>
            </w:r>
            <w:proofErr w:type="spellEnd"/>
          </w:p>
        </w:tc>
      </w:tr>
      <w:tr w:rsidR="007B1BB1" w:rsidRPr="007D1775" w:rsidTr="00593DBA">
        <w:trPr>
          <w:cantSplit/>
          <w:jc w:val="center"/>
        </w:trPr>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CC171B">
            <w:pPr>
              <w:jc w:val="left"/>
              <w:rPr>
                <w:rFonts w:cs="Arial"/>
                <w:b/>
                <w:noProof/>
                <w:sz w:val="20"/>
                <w:lang w:val="da-DK"/>
              </w:rPr>
            </w:pPr>
            <w:r w:rsidRPr="00CC171B">
              <w:rPr>
                <w:rFonts w:cs="Arial"/>
                <w:b/>
                <w:noProof/>
                <w:sz w:val="20"/>
                <w:lang w:val="da-DK"/>
              </w:rPr>
              <w:t xml:space="preserve">Reproductive system and breast disorders </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spacing w:line="276" w:lineRule="auto"/>
              <w:rPr>
                <w:rFonts w:eastAsia="Calibri"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Penis disorder</w:t>
            </w:r>
          </w:p>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Spontaneous penile erection</w:t>
            </w:r>
          </w:p>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Pruritus genital</w:t>
            </w:r>
          </w:p>
        </w:tc>
      </w:tr>
      <w:tr w:rsidR="007B1BB1" w:rsidRPr="007D1775" w:rsidTr="00593DBA">
        <w:trPr>
          <w:cantSplit/>
          <w:jc w:val="center"/>
        </w:trPr>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CC171B">
            <w:pPr>
              <w:jc w:val="left"/>
              <w:rPr>
                <w:rFonts w:cs="Arial"/>
                <w:b/>
                <w:noProof/>
                <w:sz w:val="20"/>
                <w:lang w:val="da-DK"/>
              </w:rPr>
            </w:pPr>
            <w:r w:rsidRPr="00CC171B">
              <w:rPr>
                <w:rFonts w:cs="Arial"/>
                <w:b/>
                <w:noProof/>
                <w:sz w:val="20"/>
                <w:lang w:val="da-DK"/>
              </w:rPr>
              <w:t xml:space="preserve">General disorders and administration site conditions </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spacing w:line="276" w:lineRule="auto"/>
              <w:rPr>
                <w:rFonts w:eastAsia="Calibri"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Fatigue</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Asthenia</w:t>
            </w:r>
          </w:p>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Chest pain</w:t>
            </w:r>
          </w:p>
          <w:p w:rsidR="007B1BB1" w:rsidRPr="00CC171B" w:rsidRDefault="007B1BB1" w:rsidP="00593DBA">
            <w:pPr>
              <w:keepLines/>
              <w:tabs>
                <w:tab w:val="left" w:pos="720"/>
              </w:tabs>
              <w:spacing w:before="20" w:after="20" w:line="276" w:lineRule="auto"/>
              <w:rPr>
                <w:rFonts w:cs="Arial"/>
                <w:sz w:val="20"/>
                <w:lang w:val="en-US"/>
              </w:rPr>
            </w:pPr>
            <w:r w:rsidRPr="00CC171B">
              <w:rPr>
                <w:rFonts w:cs="Arial"/>
                <w:sz w:val="20"/>
                <w:lang w:val="en-US"/>
              </w:rPr>
              <w:t>Influenza</w:t>
            </w:r>
            <w:r w:rsidR="00EE3B99" w:rsidRPr="00CC171B">
              <w:rPr>
                <w:rFonts w:cs="Arial"/>
                <w:sz w:val="20"/>
                <w:lang w:val="en-US"/>
              </w:rPr>
              <w:t>-</w:t>
            </w:r>
            <w:r w:rsidRPr="00CC171B">
              <w:rPr>
                <w:rFonts w:cs="Arial"/>
                <w:sz w:val="20"/>
                <w:lang w:val="en-US"/>
              </w:rPr>
              <w:t>like illness</w:t>
            </w:r>
          </w:p>
          <w:p w:rsidR="007B1BB1" w:rsidRPr="00CC171B" w:rsidRDefault="007B1BB1" w:rsidP="00593DBA">
            <w:pPr>
              <w:keepLines/>
              <w:tabs>
                <w:tab w:val="left" w:pos="720"/>
              </w:tabs>
              <w:spacing w:before="20" w:after="20" w:line="276" w:lineRule="auto"/>
              <w:rPr>
                <w:rFonts w:cs="Arial"/>
                <w:sz w:val="20"/>
                <w:lang w:val="en-US"/>
              </w:rPr>
            </w:pPr>
            <w:proofErr w:type="spellStart"/>
            <w:r w:rsidRPr="00CC171B">
              <w:rPr>
                <w:rFonts w:cs="Arial"/>
                <w:sz w:val="20"/>
                <w:lang w:val="en-US"/>
              </w:rPr>
              <w:t>Oedema</w:t>
            </w:r>
            <w:proofErr w:type="spellEnd"/>
            <w:r w:rsidRPr="00CC171B">
              <w:rPr>
                <w:rFonts w:cs="Arial"/>
                <w:sz w:val="20"/>
                <w:lang w:val="en-US"/>
              </w:rPr>
              <w:t xml:space="preserve"> peripheral</w:t>
            </w:r>
          </w:p>
        </w:tc>
      </w:tr>
      <w:tr w:rsidR="007B1BB1" w:rsidRPr="007D1775" w:rsidTr="00593DBA">
        <w:trPr>
          <w:cantSplit/>
          <w:jc w:val="center"/>
        </w:trPr>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CC171B">
            <w:pPr>
              <w:jc w:val="left"/>
              <w:rPr>
                <w:rFonts w:cs="Arial"/>
                <w:b/>
                <w:noProof/>
                <w:sz w:val="20"/>
                <w:lang w:val="da-DK"/>
              </w:rPr>
            </w:pPr>
            <w:r w:rsidRPr="00CC171B">
              <w:rPr>
                <w:rFonts w:cs="Arial"/>
                <w:b/>
                <w:noProof/>
                <w:sz w:val="20"/>
                <w:lang w:val="da-DK"/>
              </w:rPr>
              <w:t xml:space="preserve">Investigations </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593DBA">
            <w:pPr>
              <w:spacing w:line="276" w:lineRule="auto"/>
              <w:rPr>
                <w:rFonts w:eastAsia="Calibri" w:cs="Arial"/>
                <w:sz w:val="20"/>
                <w:lang w:val="en-US"/>
              </w:rPr>
            </w:pP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C764BF">
            <w:pPr>
              <w:keepLines/>
              <w:tabs>
                <w:tab w:val="left" w:pos="720"/>
              </w:tabs>
              <w:spacing w:before="20" w:after="20" w:line="276" w:lineRule="auto"/>
              <w:jc w:val="left"/>
              <w:rPr>
                <w:rFonts w:cs="Arial"/>
                <w:sz w:val="20"/>
                <w:lang w:val="en-US"/>
              </w:rPr>
            </w:pPr>
            <w:r w:rsidRPr="00CC171B">
              <w:rPr>
                <w:rFonts w:cs="Arial"/>
                <w:sz w:val="20"/>
                <w:lang w:val="en-US"/>
              </w:rPr>
              <w:t>Hepatic enzyme increased</w:t>
            </w:r>
          </w:p>
          <w:p w:rsidR="007B1BB1" w:rsidRPr="00CC171B" w:rsidRDefault="007B1BB1" w:rsidP="00C764BF">
            <w:pPr>
              <w:keepLines/>
              <w:tabs>
                <w:tab w:val="left" w:pos="720"/>
              </w:tabs>
              <w:spacing w:before="20" w:after="20" w:line="276" w:lineRule="auto"/>
              <w:jc w:val="left"/>
              <w:rPr>
                <w:rFonts w:cs="Arial"/>
                <w:sz w:val="20"/>
                <w:lang w:val="en-US"/>
              </w:rPr>
            </w:pPr>
            <w:r w:rsidRPr="00CC171B">
              <w:rPr>
                <w:rFonts w:cs="Arial"/>
                <w:sz w:val="20"/>
                <w:lang w:val="en-US"/>
              </w:rPr>
              <w:t>Electrocardiogram abnormal</w:t>
            </w:r>
          </w:p>
          <w:p w:rsidR="007B1BB1" w:rsidRPr="00CC171B" w:rsidRDefault="007B1BB1" w:rsidP="00C764BF">
            <w:pPr>
              <w:keepLines/>
              <w:tabs>
                <w:tab w:val="left" w:pos="720"/>
              </w:tabs>
              <w:spacing w:before="20" w:after="20" w:line="276" w:lineRule="auto"/>
              <w:jc w:val="left"/>
              <w:rPr>
                <w:rFonts w:cs="Arial"/>
                <w:sz w:val="20"/>
                <w:lang w:val="en-US"/>
              </w:rPr>
            </w:pPr>
            <w:r w:rsidRPr="00CC171B">
              <w:rPr>
                <w:rFonts w:cs="Arial"/>
                <w:sz w:val="20"/>
                <w:lang w:val="en-US"/>
              </w:rPr>
              <w:t>Heart rate increased</w:t>
            </w:r>
          </w:p>
        </w:tc>
        <w:tc>
          <w:tcPr>
            <w:tcW w:w="1250" w:type="pct"/>
            <w:tcBorders>
              <w:top w:val="single" w:sz="4" w:space="0" w:color="auto"/>
              <w:left w:val="single" w:sz="4" w:space="0" w:color="auto"/>
              <w:bottom w:val="single" w:sz="4" w:space="0" w:color="auto"/>
              <w:right w:val="single" w:sz="4" w:space="0" w:color="auto"/>
            </w:tcBorders>
            <w:vAlign w:val="center"/>
          </w:tcPr>
          <w:p w:rsidR="007B1BB1" w:rsidRPr="00CC171B" w:rsidRDefault="007B1BB1" w:rsidP="00C764BF">
            <w:pPr>
              <w:keepLines/>
              <w:tabs>
                <w:tab w:val="left" w:pos="720"/>
              </w:tabs>
              <w:spacing w:before="20" w:after="20" w:line="276" w:lineRule="auto"/>
              <w:jc w:val="left"/>
              <w:rPr>
                <w:rFonts w:cs="Arial"/>
                <w:sz w:val="20"/>
                <w:lang w:val="en-US"/>
              </w:rPr>
            </w:pPr>
            <w:r w:rsidRPr="00CC171B">
              <w:rPr>
                <w:rFonts w:cs="Arial"/>
                <w:sz w:val="20"/>
                <w:lang w:val="en-US"/>
              </w:rPr>
              <w:t>Blood pressure increased</w:t>
            </w:r>
          </w:p>
          <w:p w:rsidR="007B1BB1" w:rsidRPr="00CC171B" w:rsidRDefault="007B1BB1" w:rsidP="00C764BF">
            <w:pPr>
              <w:keepLines/>
              <w:tabs>
                <w:tab w:val="left" w:pos="720"/>
              </w:tabs>
              <w:spacing w:before="20" w:after="20" w:line="276" w:lineRule="auto"/>
              <w:jc w:val="left"/>
              <w:rPr>
                <w:rFonts w:cs="Arial"/>
                <w:sz w:val="20"/>
                <w:lang w:val="en-US"/>
              </w:rPr>
            </w:pPr>
            <w:r w:rsidRPr="00CC171B">
              <w:rPr>
                <w:rFonts w:cs="Arial"/>
                <w:sz w:val="20"/>
                <w:lang w:val="en-US"/>
              </w:rPr>
              <w:t>Blood urine present</w:t>
            </w:r>
          </w:p>
          <w:p w:rsidR="007B1BB1" w:rsidRPr="00CC171B" w:rsidRDefault="007B1BB1" w:rsidP="00C764BF">
            <w:pPr>
              <w:keepLines/>
              <w:tabs>
                <w:tab w:val="left" w:pos="720"/>
              </w:tabs>
              <w:spacing w:before="20" w:after="20" w:line="276" w:lineRule="auto"/>
              <w:jc w:val="left"/>
              <w:rPr>
                <w:rFonts w:cs="Arial"/>
                <w:sz w:val="20"/>
                <w:lang w:val="en-US"/>
              </w:rPr>
            </w:pPr>
            <w:r w:rsidRPr="00CC171B">
              <w:rPr>
                <w:rFonts w:cs="Arial"/>
                <w:sz w:val="20"/>
                <w:lang w:val="en-US"/>
              </w:rPr>
              <w:t>Cardiac murmur</w:t>
            </w:r>
          </w:p>
          <w:p w:rsidR="007B1BB1" w:rsidRPr="00CC171B" w:rsidRDefault="007B1BB1" w:rsidP="00C764BF">
            <w:pPr>
              <w:keepLines/>
              <w:tabs>
                <w:tab w:val="left" w:pos="720"/>
              </w:tabs>
              <w:spacing w:before="20" w:after="20" w:line="276" w:lineRule="auto"/>
              <w:jc w:val="left"/>
              <w:rPr>
                <w:rFonts w:cs="Arial"/>
                <w:sz w:val="20"/>
                <w:lang w:val="en-US"/>
              </w:rPr>
            </w:pPr>
            <w:r w:rsidRPr="00CC171B">
              <w:rPr>
                <w:rFonts w:cs="Arial"/>
                <w:sz w:val="20"/>
                <w:lang w:val="en-US"/>
              </w:rPr>
              <w:t>Prostate</w:t>
            </w:r>
            <w:r w:rsidR="00EE3B99" w:rsidRPr="00CC171B">
              <w:rPr>
                <w:rFonts w:cs="Arial"/>
                <w:sz w:val="20"/>
                <w:lang w:val="en-US"/>
              </w:rPr>
              <w:t>-</w:t>
            </w:r>
            <w:r w:rsidRPr="00CC171B">
              <w:rPr>
                <w:rFonts w:cs="Arial"/>
                <w:sz w:val="20"/>
                <w:lang w:val="en-US"/>
              </w:rPr>
              <w:t>specific antigen increased</w:t>
            </w:r>
          </w:p>
          <w:p w:rsidR="007B1BB1" w:rsidRPr="00CC171B" w:rsidRDefault="007B1BB1" w:rsidP="00C764BF">
            <w:pPr>
              <w:keepLines/>
              <w:tabs>
                <w:tab w:val="left" w:pos="720"/>
              </w:tabs>
              <w:spacing w:before="20" w:after="20" w:line="276" w:lineRule="auto"/>
              <w:jc w:val="left"/>
              <w:rPr>
                <w:rFonts w:cs="Arial"/>
                <w:sz w:val="20"/>
                <w:lang w:val="en-US"/>
              </w:rPr>
            </w:pPr>
            <w:r w:rsidRPr="00CC171B">
              <w:rPr>
                <w:rFonts w:cs="Arial"/>
                <w:sz w:val="20"/>
                <w:lang w:val="en-US"/>
              </w:rPr>
              <w:t>Weight increased</w:t>
            </w:r>
          </w:p>
          <w:p w:rsidR="007B1BB1" w:rsidRPr="00CC171B" w:rsidRDefault="007B1BB1" w:rsidP="00C764BF">
            <w:pPr>
              <w:keepLines/>
              <w:tabs>
                <w:tab w:val="left" w:pos="720"/>
              </w:tabs>
              <w:spacing w:before="20" w:after="20" w:line="276" w:lineRule="auto"/>
              <w:jc w:val="left"/>
              <w:rPr>
                <w:rFonts w:cs="Arial"/>
                <w:sz w:val="20"/>
                <w:lang w:val="en-US"/>
              </w:rPr>
            </w:pPr>
            <w:r w:rsidRPr="00CC171B">
              <w:rPr>
                <w:rFonts w:cs="Arial"/>
                <w:sz w:val="20"/>
                <w:lang w:val="en-US"/>
              </w:rPr>
              <w:t>Blood bilirubin increased</w:t>
            </w:r>
          </w:p>
          <w:p w:rsidR="007B1BB1" w:rsidRPr="00CC171B" w:rsidRDefault="007B1BB1" w:rsidP="00C764BF">
            <w:pPr>
              <w:keepLines/>
              <w:tabs>
                <w:tab w:val="left" w:pos="720"/>
              </w:tabs>
              <w:spacing w:before="20" w:after="20" w:line="276" w:lineRule="auto"/>
              <w:jc w:val="left"/>
              <w:rPr>
                <w:rFonts w:cs="Arial"/>
                <w:sz w:val="20"/>
                <w:lang w:val="en-US"/>
              </w:rPr>
            </w:pPr>
            <w:r w:rsidRPr="00CC171B">
              <w:rPr>
                <w:rFonts w:cs="Arial"/>
                <w:sz w:val="20"/>
                <w:lang w:val="en-US"/>
              </w:rPr>
              <w:t>Blood creatinine increased</w:t>
            </w:r>
          </w:p>
          <w:p w:rsidR="007B1BB1" w:rsidRPr="00CC171B" w:rsidRDefault="007B1BB1" w:rsidP="00C764BF">
            <w:pPr>
              <w:keepLines/>
              <w:tabs>
                <w:tab w:val="left" w:pos="720"/>
              </w:tabs>
              <w:spacing w:before="20" w:after="20" w:line="276" w:lineRule="auto"/>
              <w:jc w:val="left"/>
              <w:rPr>
                <w:rFonts w:cs="Arial"/>
                <w:sz w:val="20"/>
                <w:lang w:val="en-US"/>
              </w:rPr>
            </w:pPr>
            <w:r w:rsidRPr="00CC171B">
              <w:rPr>
                <w:rFonts w:cs="Arial"/>
                <w:sz w:val="20"/>
                <w:lang w:val="en-US"/>
              </w:rPr>
              <w:t>Body temperature increased</w:t>
            </w:r>
          </w:p>
        </w:tc>
      </w:tr>
    </w:tbl>
    <w:p w:rsidR="009666FC" w:rsidRPr="00DF24F2" w:rsidRDefault="004E6DBD" w:rsidP="00B523DB">
      <w:pPr>
        <w:spacing w:before="120" w:after="120"/>
        <w:rPr>
          <w:u w:val="single"/>
        </w:rPr>
      </w:pPr>
      <w:r w:rsidRPr="004E6DBD">
        <w:rPr>
          <w:u w:val="single"/>
        </w:rPr>
        <w:t>Post</w:t>
      </w:r>
      <w:r w:rsidR="003C49F6">
        <w:rPr>
          <w:u w:val="single"/>
        </w:rPr>
        <w:t>-</w:t>
      </w:r>
      <w:r w:rsidRPr="004E6DBD">
        <w:rPr>
          <w:u w:val="single"/>
        </w:rPr>
        <w:t>marketin</w:t>
      </w:r>
      <w:r w:rsidRPr="00DF24F2">
        <w:rPr>
          <w:u w:val="single"/>
        </w:rPr>
        <w:t>g experience</w:t>
      </w:r>
    </w:p>
    <w:p w:rsidR="009666FC" w:rsidRDefault="009666FC" w:rsidP="009666FC">
      <w:r w:rsidRPr="00DF24F2">
        <w:t xml:space="preserve">In coherence with the safety profile </w:t>
      </w:r>
      <w:r w:rsidR="00DF24F2" w:rsidRPr="002F1072">
        <w:t>that</w:t>
      </w:r>
      <w:r w:rsidR="00DF24F2" w:rsidRPr="00DF24F2">
        <w:t xml:space="preserve"> </w:t>
      </w:r>
      <w:r w:rsidRPr="00DF24F2">
        <w:t>em</w:t>
      </w:r>
      <w:r>
        <w:t>erged from the clinical trials</w:t>
      </w:r>
      <w:r w:rsidR="00396112">
        <w:t>,</w:t>
      </w:r>
      <w:r>
        <w:t xml:space="preserve"> headache and flushing/hot flush are the most reported adverse reactions in the post</w:t>
      </w:r>
      <w:r w:rsidR="003C49F6">
        <w:t>-</w:t>
      </w:r>
      <w:r>
        <w:t>marketing experience (both frequency not known).</w:t>
      </w:r>
    </w:p>
    <w:p w:rsidR="00B541CE" w:rsidRPr="007D1775" w:rsidRDefault="00B541CE" w:rsidP="0028125B">
      <w:pPr>
        <w:pStyle w:val="Heading1"/>
        <w:rPr>
          <w:rFonts w:cs="Arial"/>
        </w:rPr>
      </w:pPr>
      <w:r w:rsidRPr="007D1775">
        <w:rPr>
          <w:rFonts w:cs="Arial"/>
        </w:rPr>
        <w:t>Dosage and Administration</w:t>
      </w:r>
    </w:p>
    <w:p w:rsidR="00AE62AF" w:rsidRPr="00AE62AF" w:rsidRDefault="00AE62AF" w:rsidP="00AE62AF">
      <w:pPr>
        <w:spacing w:before="120" w:after="120"/>
        <w:rPr>
          <w:rFonts w:cs="Arial"/>
          <w:i/>
          <w:u w:val="single"/>
        </w:rPr>
      </w:pPr>
      <w:r w:rsidRPr="00AE62AF">
        <w:rPr>
          <w:rFonts w:cs="Arial"/>
          <w:i/>
          <w:u w:val="single"/>
        </w:rPr>
        <w:t>Use in adult men</w:t>
      </w:r>
    </w:p>
    <w:p w:rsidR="005B16E1" w:rsidRPr="007D1775" w:rsidRDefault="00B3164F" w:rsidP="00325A59">
      <w:pPr>
        <w:outlineLvl w:val="0"/>
        <w:rPr>
          <w:rFonts w:cs="Arial"/>
        </w:rPr>
      </w:pPr>
      <w:r w:rsidRPr="007D1775">
        <w:rPr>
          <w:rFonts w:cs="Arial"/>
          <w:lang w:val="en-US"/>
        </w:rPr>
        <w:t xml:space="preserve">The recommended dose is 100 mg taken as needed </w:t>
      </w:r>
      <w:r w:rsidR="001B5803" w:rsidRPr="007D1775">
        <w:rPr>
          <w:rFonts w:cs="Arial"/>
          <w:lang w:val="en-US"/>
        </w:rPr>
        <w:t xml:space="preserve">approximately 15-30 minutes </w:t>
      </w:r>
      <w:r w:rsidRPr="007D1775">
        <w:rPr>
          <w:rFonts w:cs="Arial"/>
          <w:lang w:val="en-US"/>
        </w:rPr>
        <w:t xml:space="preserve">before sexual activity. </w:t>
      </w:r>
      <w:r w:rsidRPr="007D1775">
        <w:rPr>
          <w:rFonts w:cs="Arial"/>
        </w:rPr>
        <w:t xml:space="preserve">Based on individual efficacy and tolerability, the dose may be increased to a maximum dose of 200 mg or decreased to 50 mg. </w:t>
      </w:r>
      <w:r w:rsidR="001B5803" w:rsidRPr="007D1775">
        <w:rPr>
          <w:rFonts w:cs="Arial"/>
        </w:rPr>
        <w:t>The lowest dose that provides benefit should be used</w:t>
      </w:r>
      <w:r w:rsidR="005A0CB5">
        <w:rPr>
          <w:rFonts w:cs="Arial"/>
        </w:rPr>
        <w:t xml:space="preserve"> </w:t>
      </w:r>
      <w:r w:rsidR="00706B3E" w:rsidRPr="00706B3E">
        <w:rPr>
          <w:rFonts w:cs="Arial"/>
        </w:rPr>
        <w:t xml:space="preserve">and the additional efficacy of the </w:t>
      </w:r>
      <w:r w:rsidR="002F1072">
        <w:rPr>
          <w:rFonts w:cs="Arial"/>
        </w:rPr>
        <w:t>200</w:t>
      </w:r>
      <w:r w:rsidR="004048EF">
        <w:rPr>
          <w:rFonts w:cs="Arial"/>
        </w:rPr>
        <w:t xml:space="preserve"> </w:t>
      </w:r>
      <w:r w:rsidR="002F1072">
        <w:rPr>
          <w:rFonts w:cs="Arial"/>
        </w:rPr>
        <w:t xml:space="preserve">mg dose </w:t>
      </w:r>
      <w:r w:rsidR="00706B3E" w:rsidRPr="00706B3E">
        <w:rPr>
          <w:rFonts w:cs="Arial"/>
        </w:rPr>
        <w:t>could be limited</w:t>
      </w:r>
      <w:r w:rsidR="00B22CEB">
        <w:rPr>
          <w:rFonts w:cs="Arial"/>
        </w:rPr>
        <w:t xml:space="preserve">. </w:t>
      </w:r>
      <w:r w:rsidR="001B5803" w:rsidRPr="007D1775">
        <w:rPr>
          <w:rFonts w:cs="Arial"/>
        </w:rPr>
        <w:t xml:space="preserve"> </w:t>
      </w:r>
      <w:r w:rsidRPr="007D1775">
        <w:rPr>
          <w:rFonts w:cs="Arial"/>
        </w:rPr>
        <w:t xml:space="preserve">The maximum recommended dosing frequency is once per day. </w:t>
      </w:r>
      <w:r w:rsidR="0065414D" w:rsidRPr="007D1775">
        <w:rPr>
          <w:rFonts w:cs="Arial"/>
        </w:rPr>
        <w:t xml:space="preserve">SPEDRA </w:t>
      </w:r>
      <w:r w:rsidR="006972AA" w:rsidRPr="007D1775">
        <w:rPr>
          <w:rFonts w:cs="Arial"/>
        </w:rPr>
        <w:t xml:space="preserve">is intended for use prior to </w:t>
      </w:r>
      <w:proofErr w:type="gramStart"/>
      <w:r w:rsidR="006972AA" w:rsidRPr="007D1775">
        <w:rPr>
          <w:rFonts w:cs="Arial"/>
        </w:rPr>
        <w:t>anticipated</w:t>
      </w:r>
      <w:proofErr w:type="gramEnd"/>
      <w:r w:rsidR="006972AA" w:rsidRPr="007D1775">
        <w:rPr>
          <w:rFonts w:cs="Arial"/>
        </w:rPr>
        <w:t xml:space="preserve"> sexual activity</w:t>
      </w:r>
      <w:r w:rsidR="005B16E1" w:rsidRPr="007D1775">
        <w:rPr>
          <w:rFonts w:cs="Arial"/>
        </w:rPr>
        <w:t>. In order for SPEDRA to be effective, sexual stimulation is required.</w:t>
      </w:r>
    </w:p>
    <w:p w:rsidR="001B5803" w:rsidRPr="007D1775" w:rsidRDefault="006972AA" w:rsidP="00325A59">
      <w:pPr>
        <w:outlineLvl w:val="0"/>
        <w:rPr>
          <w:rFonts w:cs="Arial"/>
        </w:rPr>
      </w:pPr>
      <w:r w:rsidRPr="007D1775">
        <w:rPr>
          <w:rFonts w:cs="Arial"/>
        </w:rPr>
        <w:t>SPEDRA may be taken with or without food.</w:t>
      </w:r>
      <w:r w:rsidR="00287714" w:rsidRPr="007D1775">
        <w:rPr>
          <w:rFonts w:cs="Arial"/>
        </w:rPr>
        <w:t xml:space="preserve"> </w:t>
      </w:r>
      <w:r w:rsidR="001B5803" w:rsidRPr="007D1775">
        <w:rPr>
          <w:rFonts w:cs="Arial"/>
        </w:rPr>
        <w:t xml:space="preserve">If </w:t>
      </w:r>
      <w:r w:rsidR="00502F7D">
        <w:rPr>
          <w:rFonts w:cs="Arial"/>
        </w:rPr>
        <w:t>SPEDRA</w:t>
      </w:r>
      <w:r w:rsidR="00502F7D" w:rsidRPr="007D1775">
        <w:rPr>
          <w:rFonts w:cs="Arial"/>
        </w:rPr>
        <w:t xml:space="preserve"> </w:t>
      </w:r>
      <w:r w:rsidR="001B5803" w:rsidRPr="007D1775">
        <w:rPr>
          <w:rFonts w:cs="Arial"/>
        </w:rPr>
        <w:t xml:space="preserve">is taken with food, the onset of activity may be delayed compared to the fasted state. </w:t>
      </w:r>
    </w:p>
    <w:p w:rsidR="00AE62AF" w:rsidRDefault="001B5803" w:rsidP="00AE62AF">
      <w:pPr>
        <w:autoSpaceDE w:val="0"/>
        <w:autoSpaceDN w:val="0"/>
        <w:adjustRightInd w:val="0"/>
        <w:jc w:val="left"/>
        <w:rPr>
          <w:rFonts w:cs="Arial"/>
          <w:i/>
        </w:rPr>
      </w:pPr>
      <w:r w:rsidRPr="007D1775">
        <w:rPr>
          <w:rFonts w:cs="Arial"/>
          <w:szCs w:val="22"/>
          <w:lang w:eastAsia="en-AU"/>
        </w:rPr>
        <w:t xml:space="preserve">In those patients who are stable on alpha-blocker therapy, </w:t>
      </w:r>
      <w:r w:rsidR="00502F7D">
        <w:rPr>
          <w:rFonts w:cs="Arial"/>
          <w:szCs w:val="22"/>
          <w:lang w:eastAsia="en-AU"/>
        </w:rPr>
        <w:t>SPEDRA</w:t>
      </w:r>
      <w:r w:rsidR="00502F7D" w:rsidRPr="007D1775">
        <w:rPr>
          <w:rFonts w:cs="Arial"/>
          <w:szCs w:val="22"/>
          <w:lang w:eastAsia="en-AU"/>
        </w:rPr>
        <w:t xml:space="preserve"> </w:t>
      </w:r>
      <w:r w:rsidRPr="007D1775">
        <w:rPr>
          <w:rFonts w:cs="Arial"/>
          <w:szCs w:val="22"/>
          <w:lang w:eastAsia="en-AU"/>
        </w:rPr>
        <w:t>should be initiated at the lowest dose of 50 mg</w:t>
      </w:r>
      <w:r w:rsidR="00E62494">
        <w:rPr>
          <w:rFonts w:cs="Arial"/>
          <w:szCs w:val="22"/>
          <w:lang w:eastAsia="en-AU"/>
        </w:rPr>
        <w:t xml:space="preserve"> (see PRECAUTIONS,</w:t>
      </w:r>
      <w:r w:rsidR="00B6462D">
        <w:rPr>
          <w:rFonts w:cs="Arial"/>
          <w:szCs w:val="22"/>
          <w:lang w:eastAsia="en-AU"/>
        </w:rPr>
        <w:t xml:space="preserve"> </w:t>
      </w:r>
      <w:r w:rsidR="00E62494">
        <w:rPr>
          <w:rFonts w:cs="Arial"/>
          <w:szCs w:val="22"/>
          <w:lang w:eastAsia="en-AU"/>
        </w:rPr>
        <w:t xml:space="preserve">Concomitant use with alpha blockers). </w:t>
      </w:r>
    </w:p>
    <w:p w:rsidR="00AE62AF" w:rsidRPr="00AE62AF" w:rsidRDefault="00AE62AF" w:rsidP="00AE62AF">
      <w:pPr>
        <w:spacing w:before="120" w:after="120"/>
        <w:rPr>
          <w:rFonts w:cs="Arial"/>
          <w:i/>
          <w:u w:val="single"/>
        </w:rPr>
      </w:pPr>
      <w:r w:rsidRPr="00AE62AF">
        <w:rPr>
          <w:rFonts w:cs="Arial"/>
          <w:i/>
          <w:u w:val="single"/>
        </w:rPr>
        <w:t>Use in Older men (≥ 65 years old)</w:t>
      </w:r>
    </w:p>
    <w:p w:rsidR="00AE62AF" w:rsidRDefault="00B3164F" w:rsidP="00AE62AF">
      <w:pPr>
        <w:autoSpaceDE w:val="0"/>
        <w:autoSpaceDN w:val="0"/>
        <w:adjustRightInd w:val="0"/>
        <w:spacing w:after="0"/>
        <w:jc w:val="left"/>
        <w:rPr>
          <w:rFonts w:cs="Arial"/>
        </w:rPr>
      </w:pPr>
      <w:r w:rsidRPr="007D1775">
        <w:rPr>
          <w:rFonts w:cs="Arial"/>
        </w:rPr>
        <w:t xml:space="preserve">Dose adjustments are not required in older patients. </w:t>
      </w:r>
      <w:r w:rsidR="009A49C1" w:rsidRPr="007D1775">
        <w:rPr>
          <w:rFonts w:cs="Arial"/>
        </w:rPr>
        <w:t xml:space="preserve"> However, i</w:t>
      </w:r>
      <w:r w:rsidR="009A49C1" w:rsidRPr="007D1775">
        <w:rPr>
          <w:rFonts w:cs="Arial"/>
          <w:szCs w:val="22"/>
          <w:lang w:eastAsia="en-AU"/>
        </w:rPr>
        <w:t>t should be considered that co</w:t>
      </w:r>
      <w:r w:rsidR="0065414D" w:rsidRPr="007D1775">
        <w:rPr>
          <w:rFonts w:cs="Arial"/>
          <w:szCs w:val="22"/>
          <w:lang w:eastAsia="en-AU"/>
        </w:rPr>
        <w:t>-</w:t>
      </w:r>
      <w:r w:rsidR="009A49C1" w:rsidRPr="007D1775">
        <w:rPr>
          <w:rFonts w:cs="Arial"/>
          <w:szCs w:val="22"/>
          <w:lang w:eastAsia="en-AU"/>
        </w:rPr>
        <w:t>morbidities increase with age.</w:t>
      </w:r>
      <w:r w:rsidR="0079793B" w:rsidRPr="007D1775">
        <w:rPr>
          <w:rFonts w:cs="Arial"/>
          <w:szCs w:val="22"/>
          <w:lang w:eastAsia="en-AU"/>
        </w:rPr>
        <w:t xml:space="preserve"> </w:t>
      </w:r>
    </w:p>
    <w:p w:rsidR="00AE62AF" w:rsidRPr="00AE62AF" w:rsidRDefault="00AE62AF" w:rsidP="00AE62AF">
      <w:pPr>
        <w:tabs>
          <w:tab w:val="left" w:pos="5812"/>
        </w:tabs>
        <w:spacing w:before="120" w:after="120"/>
        <w:rPr>
          <w:rFonts w:cs="Arial"/>
          <w:i/>
          <w:u w:val="single"/>
        </w:rPr>
      </w:pPr>
      <w:r w:rsidRPr="00AE62AF">
        <w:rPr>
          <w:rFonts w:cs="Arial"/>
          <w:i/>
          <w:u w:val="single"/>
        </w:rPr>
        <w:lastRenderedPageBreak/>
        <w:t>Patients with Renal impairment</w:t>
      </w:r>
    </w:p>
    <w:p w:rsidR="00AE62AF" w:rsidRDefault="00B3164F" w:rsidP="00AE62AF">
      <w:pPr>
        <w:autoSpaceDE w:val="0"/>
        <w:autoSpaceDN w:val="0"/>
        <w:adjustRightInd w:val="0"/>
        <w:spacing w:after="0"/>
        <w:rPr>
          <w:rFonts w:cs="Arial"/>
          <w:lang w:val="en-US"/>
        </w:rPr>
      </w:pPr>
      <w:r w:rsidRPr="007D1775">
        <w:rPr>
          <w:rFonts w:cs="Arial"/>
        </w:rPr>
        <w:t>Dose adjustments are not required in patients with mild to moderate renal impairment (creatinine clearance ≥ 30 mL/min</w:t>
      </w:r>
      <w:r w:rsidR="00682EF3" w:rsidRPr="007D1775">
        <w:rPr>
          <w:rFonts w:cs="Arial"/>
        </w:rPr>
        <w:t>)</w:t>
      </w:r>
      <w:r w:rsidR="00475961" w:rsidRPr="007D1775">
        <w:rPr>
          <w:rFonts w:cs="Arial"/>
        </w:rPr>
        <w:t xml:space="preserve"> </w:t>
      </w:r>
      <w:r w:rsidR="00682EF3" w:rsidRPr="007D1775">
        <w:rPr>
          <w:rFonts w:cs="Arial"/>
        </w:rPr>
        <w:t xml:space="preserve">- </w:t>
      </w:r>
      <w:r w:rsidR="00475961" w:rsidRPr="007D1775">
        <w:rPr>
          <w:rFonts w:cs="Arial"/>
        </w:rPr>
        <w:t>CKD Stage 2-3</w:t>
      </w:r>
      <w:r w:rsidRPr="007D1775">
        <w:rPr>
          <w:rFonts w:cs="Arial"/>
        </w:rPr>
        <w:t xml:space="preserve">. </w:t>
      </w:r>
      <w:r w:rsidR="00F417C5" w:rsidRPr="00195EF7">
        <w:rPr>
          <w:rFonts w:cs="Arial"/>
        </w:rPr>
        <w:t>The pharmacokinetics of SPEDRA in patients with severe renal disease or on renal dialysis (CKD stage 4-5) has not been studied; SPEDRA is contraindicated in these patients (see CONTRAINDICATIONS).</w:t>
      </w:r>
      <w:r w:rsidR="00475961" w:rsidRPr="007D1775">
        <w:rPr>
          <w:rFonts w:cs="Arial"/>
        </w:rPr>
        <w:t xml:space="preserve"> </w:t>
      </w:r>
    </w:p>
    <w:p w:rsidR="00AE62AF" w:rsidRPr="00AE62AF" w:rsidRDefault="00AE62AF" w:rsidP="00AE62AF">
      <w:pPr>
        <w:keepNext/>
        <w:spacing w:before="120" w:after="120"/>
        <w:rPr>
          <w:rFonts w:cs="Arial"/>
          <w:i/>
          <w:u w:val="single"/>
        </w:rPr>
      </w:pPr>
      <w:r w:rsidRPr="00AE62AF">
        <w:rPr>
          <w:rFonts w:cs="Arial"/>
          <w:i/>
          <w:u w:val="single"/>
        </w:rPr>
        <w:t>Patients with Hepatic impairment</w:t>
      </w:r>
    </w:p>
    <w:p w:rsidR="006611DC" w:rsidRPr="007D1775" w:rsidRDefault="00B3164F" w:rsidP="00561810">
      <w:pPr>
        <w:autoSpaceDE w:val="0"/>
        <w:autoSpaceDN w:val="0"/>
        <w:adjustRightInd w:val="0"/>
        <w:spacing w:after="0"/>
        <w:rPr>
          <w:rFonts w:cs="Arial"/>
        </w:rPr>
      </w:pPr>
      <w:r w:rsidRPr="007D1775">
        <w:rPr>
          <w:rFonts w:cs="Arial"/>
        </w:rPr>
        <w:t xml:space="preserve">Patients with mild to moderate hepatic impairment (Child-Pugh class A or B) should initiate treatment with the minimum </w:t>
      </w:r>
      <w:r w:rsidR="00CA72C5" w:rsidRPr="007D1775">
        <w:rPr>
          <w:rFonts w:cs="Arial"/>
        </w:rPr>
        <w:t>effective</w:t>
      </w:r>
      <w:r w:rsidRPr="007D1775">
        <w:rPr>
          <w:rFonts w:cs="Arial"/>
        </w:rPr>
        <w:t xml:space="preserve"> dose and adjust </w:t>
      </w:r>
      <w:r w:rsidR="00CA72C5" w:rsidRPr="007D1775">
        <w:rPr>
          <w:rFonts w:cs="Arial"/>
        </w:rPr>
        <w:t xml:space="preserve">dosage </w:t>
      </w:r>
      <w:r w:rsidRPr="007D1775">
        <w:rPr>
          <w:rFonts w:cs="Arial"/>
        </w:rPr>
        <w:t>based on tolerance.</w:t>
      </w:r>
    </w:p>
    <w:p w:rsidR="00A54448" w:rsidRDefault="00CA72C5" w:rsidP="00AE62AF">
      <w:pPr>
        <w:autoSpaceDE w:val="0"/>
        <w:autoSpaceDN w:val="0"/>
        <w:adjustRightInd w:val="0"/>
        <w:spacing w:after="0"/>
        <w:rPr>
          <w:rFonts w:cs="Arial"/>
          <w:i/>
        </w:rPr>
      </w:pPr>
      <w:r w:rsidRPr="007D1775">
        <w:rPr>
          <w:rFonts w:cs="Arial"/>
        </w:rPr>
        <w:t>The</w:t>
      </w:r>
      <w:r w:rsidR="00075D05" w:rsidRPr="007D1775">
        <w:rPr>
          <w:rFonts w:cs="Arial"/>
        </w:rPr>
        <w:t xml:space="preserve"> </w:t>
      </w:r>
      <w:r w:rsidR="00AE4F68" w:rsidRPr="007D1775">
        <w:rPr>
          <w:rFonts w:cs="Arial"/>
        </w:rPr>
        <w:t>p</w:t>
      </w:r>
      <w:r w:rsidRPr="007D1775">
        <w:rPr>
          <w:rFonts w:cs="Arial"/>
        </w:rPr>
        <w:t xml:space="preserve">harmacokinetics of </w:t>
      </w:r>
      <w:r w:rsidR="00F3116E" w:rsidRPr="007D1775">
        <w:rPr>
          <w:rFonts w:cs="Arial"/>
        </w:rPr>
        <w:t>SPEDRA</w:t>
      </w:r>
      <w:r w:rsidRPr="007D1775">
        <w:rPr>
          <w:rFonts w:cs="Arial"/>
        </w:rPr>
        <w:t xml:space="preserve"> in patients with severe hepatic disease (Child</w:t>
      </w:r>
      <w:r w:rsidR="003C49F6">
        <w:rPr>
          <w:rFonts w:cs="Arial"/>
        </w:rPr>
        <w:t>-</w:t>
      </w:r>
      <w:r w:rsidRPr="007D1775">
        <w:rPr>
          <w:rFonts w:cs="Arial"/>
        </w:rPr>
        <w:t xml:space="preserve">Pugh class C) has not been studied; </w:t>
      </w:r>
      <w:r w:rsidR="009176BD" w:rsidRPr="007D1775">
        <w:rPr>
          <w:rFonts w:cs="Arial"/>
        </w:rPr>
        <w:t xml:space="preserve">SPEDRA </w:t>
      </w:r>
      <w:r w:rsidR="00682EF3" w:rsidRPr="007D1775">
        <w:rPr>
          <w:rFonts w:cs="Arial"/>
        </w:rPr>
        <w:t>is contraindicated</w:t>
      </w:r>
      <w:r w:rsidR="009176BD" w:rsidRPr="007D1775">
        <w:rPr>
          <w:rFonts w:cs="Arial"/>
        </w:rPr>
        <w:t xml:space="preserve"> </w:t>
      </w:r>
      <w:r w:rsidRPr="007D1775">
        <w:rPr>
          <w:rFonts w:cs="Arial"/>
        </w:rPr>
        <w:t>in these patients (</w:t>
      </w:r>
      <w:r w:rsidR="00561810" w:rsidRPr="007D1775">
        <w:rPr>
          <w:rFonts w:cs="Arial"/>
        </w:rPr>
        <w:t>see</w:t>
      </w:r>
      <w:r w:rsidRPr="007D1775">
        <w:rPr>
          <w:rFonts w:cs="Arial"/>
        </w:rPr>
        <w:t xml:space="preserve"> </w:t>
      </w:r>
      <w:r w:rsidR="002620C7" w:rsidRPr="007D1775">
        <w:rPr>
          <w:rFonts w:cs="Arial"/>
        </w:rPr>
        <w:t>PHARMACOKINETICS</w:t>
      </w:r>
      <w:r w:rsidR="00DC1A85" w:rsidRPr="007D1775">
        <w:rPr>
          <w:rFonts w:cs="Arial"/>
        </w:rPr>
        <w:t xml:space="preserve"> and </w:t>
      </w:r>
      <w:r w:rsidR="002620C7" w:rsidRPr="007D1775">
        <w:rPr>
          <w:rFonts w:cs="Arial"/>
        </w:rPr>
        <w:t>CONTRAINDICATIONS</w:t>
      </w:r>
      <w:r w:rsidRPr="007D1775">
        <w:rPr>
          <w:rFonts w:cs="Arial"/>
        </w:rPr>
        <w:t>).</w:t>
      </w:r>
    </w:p>
    <w:p w:rsidR="00AE62AF" w:rsidRPr="00AE62AF" w:rsidRDefault="00AE62AF" w:rsidP="00AE62AF">
      <w:pPr>
        <w:spacing w:before="120" w:after="120"/>
        <w:rPr>
          <w:rFonts w:cs="Arial"/>
          <w:i/>
          <w:u w:val="single"/>
        </w:rPr>
      </w:pPr>
      <w:r w:rsidRPr="00AE62AF">
        <w:rPr>
          <w:rFonts w:cs="Arial"/>
          <w:i/>
          <w:u w:val="single"/>
        </w:rPr>
        <w:t>Use in men with diabetes</w:t>
      </w:r>
    </w:p>
    <w:p w:rsidR="00167635" w:rsidRPr="007D1775" w:rsidRDefault="00B3164F" w:rsidP="00560D81">
      <w:pPr>
        <w:rPr>
          <w:rFonts w:cs="Arial"/>
          <w:i/>
        </w:rPr>
      </w:pPr>
      <w:r w:rsidRPr="007D1775">
        <w:rPr>
          <w:rFonts w:cs="Arial"/>
        </w:rPr>
        <w:t>Dose adjustments are not required in diabetic patients.</w:t>
      </w:r>
    </w:p>
    <w:p w:rsidR="00AE62AF" w:rsidRPr="00AE62AF" w:rsidRDefault="00AE62AF" w:rsidP="00AE62AF">
      <w:pPr>
        <w:spacing w:before="120" w:after="120"/>
        <w:rPr>
          <w:rFonts w:cs="Arial"/>
          <w:i/>
          <w:u w:val="single"/>
        </w:rPr>
      </w:pPr>
      <w:r w:rsidRPr="00AE62AF">
        <w:rPr>
          <w:rFonts w:cs="Arial"/>
          <w:i/>
          <w:u w:val="single"/>
        </w:rPr>
        <w:t>Concomitant use of CYP3A4 inhibitors</w:t>
      </w:r>
    </w:p>
    <w:p w:rsidR="007B56AD" w:rsidRPr="007D1775" w:rsidRDefault="00560D81" w:rsidP="00EB6ED9">
      <w:pPr>
        <w:rPr>
          <w:rFonts w:cs="Arial"/>
        </w:rPr>
      </w:pPr>
      <w:r w:rsidRPr="007D1775">
        <w:rPr>
          <w:rFonts w:cs="Arial"/>
        </w:rPr>
        <w:t xml:space="preserve">In patients receiving concomitant treatment with moderate CYP3A4 inhibitors (including erythromycin, </w:t>
      </w:r>
      <w:proofErr w:type="spellStart"/>
      <w:r w:rsidRPr="007D1775">
        <w:rPr>
          <w:rFonts w:cs="Arial"/>
        </w:rPr>
        <w:t>amprenavir</w:t>
      </w:r>
      <w:proofErr w:type="spellEnd"/>
      <w:r w:rsidRPr="007D1775">
        <w:rPr>
          <w:rFonts w:cs="Arial"/>
        </w:rPr>
        <w:t xml:space="preserve">, </w:t>
      </w:r>
      <w:proofErr w:type="spellStart"/>
      <w:r w:rsidRPr="007D1775">
        <w:rPr>
          <w:rFonts w:cs="Arial"/>
        </w:rPr>
        <w:t>aprepitant</w:t>
      </w:r>
      <w:proofErr w:type="spellEnd"/>
      <w:r w:rsidRPr="007D1775">
        <w:rPr>
          <w:rFonts w:cs="Arial"/>
        </w:rPr>
        <w:t xml:space="preserve">, diltiazem, fluconazole, </w:t>
      </w:r>
      <w:proofErr w:type="spellStart"/>
      <w:r w:rsidRPr="007D1775">
        <w:rPr>
          <w:rFonts w:cs="Arial"/>
        </w:rPr>
        <w:t>fosamprenavir</w:t>
      </w:r>
      <w:proofErr w:type="spellEnd"/>
      <w:r w:rsidRPr="007D1775">
        <w:rPr>
          <w:rFonts w:cs="Arial"/>
        </w:rPr>
        <w:t xml:space="preserve">, and verapamil), the maximum recommended dose of </w:t>
      </w:r>
      <w:r w:rsidR="00F3116E" w:rsidRPr="007D1775">
        <w:rPr>
          <w:rFonts w:cs="Arial"/>
        </w:rPr>
        <w:t>SPEDRA</w:t>
      </w:r>
      <w:r w:rsidRPr="007D1775">
        <w:rPr>
          <w:rFonts w:cs="Arial"/>
        </w:rPr>
        <w:t xml:space="preserve"> should not exceed 100 mg, with an interval of at least 48 hours between doses</w:t>
      </w:r>
      <w:r w:rsidR="009176BD" w:rsidRPr="007D1775">
        <w:rPr>
          <w:rFonts w:cs="Arial"/>
        </w:rPr>
        <w:t xml:space="preserve">. </w:t>
      </w:r>
    </w:p>
    <w:p w:rsidR="00355613" w:rsidRPr="007D1775" w:rsidRDefault="00560D81" w:rsidP="00355613">
      <w:pPr>
        <w:rPr>
          <w:rFonts w:cs="Arial"/>
        </w:rPr>
      </w:pPr>
      <w:r w:rsidRPr="007D1775">
        <w:rPr>
          <w:rFonts w:cs="Arial"/>
        </w:rPr>
        <w:t xml:space="preserve">Co-administration of </w:t>
      </w:r>
      <w:r w:rsidR="00F3116E" w:rsidRPr="007D1775">
        <w:rPr>
          <w:rFonts w:cs="Arial"/>
        </w:rPr>
        <w:t>SPEDRA</w:t>
      </w:r>
      <w:r w:rsidR="00561810" w:rsidRPr="007D1775">
        <w:rPr>
          <w:rFonts w:cs="Arial"/>
        </w:rPr>
        <w:t xml:space="preserve"> </w:t>
      </w:r>
      <w:r w:rsidRPr="007D1775">
        <w:rPr>
          <w:rFonts w:cs="Arial"/>
        </w:rPr>
        <w:t xml:space="preserve">with potent CYP3A4 inhibitors </w:t>
      </w:r>
      <w:r w:rsidR="007B56AD" w:rsidRPr="007D1775">
        <w:rPr>
          <w:rFonts w:cs="Arial"/>
        </w:rPr>
        <w:t xml:space="preserve">(including ketoconazole, ritonavir, </w:t>
      </w:r>
      <w:proofErr w:type="spellStart"/>
      <w:r w:rsidR="007B56AD" w:rsidRPr="007D1775">
        <w:rPr>
          <w:rFonts w:cs="Arial"/>
        </w:rPr>
        <w:t>atazanavir</w:t>
      </w:r>
      <w:proofErr w:type="spellEnd"/>
      <w:r w:rsidR="007B56AD" w:rsidRPr="007D1775">
        <w:rPr>
          <w:rFonts w:cs="Arial"/>
        </w:rPr>
        <w:t xml:space="preserve">, clarithromycin, </w:t>
      </w:r>
      <w:proofErr w:type="spellStart"/>
      <w:r w:rsidR="007B56AD" w:rsidRPr="007D1775">
        <w:rPr>
          <w:rFonts w:cs="Arial"/>
        </w:rPr>
        <w:t>indinavir</w:t>
      </w:r>
      <w:proofErr w:type="spellEnd"/>
      <w:r w:rsidR="007B56AD" w:rsidRPr="007D1775">
        <w:rPr>
          <w:rFonts w:cs="Arial"/>
        </w:rPr>
        <w:t xml:space="preserve">, </w:t>
      </w:r>
      <w:proofErr w:type="spellStart"/>
      <w:r w:rsidR="007B56AD" w:rsidRPr="007D1775">
        <w:rPr>
          <w:rFonts w:cs="Arial"/>
        </w:rPr>
        <w:t>itraconazole</w:t>
      </w:r>
      <w:proofErr w:type="spellEnd"/>
      <w:r w:rsidR="007B56AD" w:rsidRPr="007D1775">
        <w:rPr>
          <w:rFonts w:cs="Arial"/>
        </w:rPr>
        <w:t xml:space="preserve">, </w:t>
      </w:r>
      <w:proofErr w:type="spellStart"/>
      <w:r w:rsidR="007B56AD" w:rsidRPr="007D1775">
        <w:rPr>
          <w:rFonts w:cs="Arial"/>
        </w:rPr>
        <w:t>nefazodone</w:t>
      </w:r>
      <w:proofErr w:type="spellEnd"/>
      <w:r w:rsidR="007B56AD" w:rsidRPr="007D1775">
        <w:rPr>
          <w:rFonts w:cs="Arial"/>
        </w:rPr>
        <w:t xml:space="preserve">, nelfinavir, </w:t>
      </w:r>
      <w:proofErr w:type="spellStart"/>
      <w:r w:rsidR="007B56AD" w:rsidRPr="007D1775">
        <w:rPr>
          <w:rFonts w:cs="Arial"/>
        </w:rPr>
        <w:t>saquinavir</w:t>
      </w:r>
      <w:proofErr w:type="spellEnd"/>
      <w:r w:rsidR="007B56AD" w:rsidRPr="007D1775">
        <w:rPr>
          <w:rFonts w:cs="Arial"/>
        </w:rPr>
        <w:t xml:space="preserve"> and </w:t>
      </w:r>
      <w:proofErr w:type="spellStart"/>
      <w:r w:rsidR="007B56AD" w:rsidRPr="007D1775">
        <w:rPr>
          <w:rFonts w:cs="Arial"/>
        </w:rPr>
        <w:t>telithromycin</w:t>
      </w:r>
      <w:proofErr w:type="spellEnd"/>
      <w:r w:rsidR="007B56AD" w:rsidRPr="007D1775">
        <w:rPr>
          <w:rFonts w:cs="Arial"/>
        </w:rPr>
        <w:t>) is contraindicated</w:t>
      </w:r>
      <w:r w:rsidRPr="007D1775">
        <w:rPr>
          <w:rFonts w:cs="Arial"/>
        </w:rPr>
        <w:t xml:space="preserve"> (see </w:t>
      </w:r>
      <w:r w:rsidR="0065414D" w:rsidRPr="007D1775">
        <w:rPr>
          <w:rFonts w:cs="Arial"/>
        </w:rPr>
        <w:t>CONTRAINDICATIONS</w:t>
      </w:r>
      <w:r w:rsidRPr="007D1775">
        <w:rPr>
          <w:rFonts w:cs="Arial"/>
        </w:rPr>
        <w:t>).</w:t>
      </w:r>
    </w:p>
    <w:p w:rsidR="00AE62AF" w:rsidRPr="00415645" w:rsidRDefault="002C7A90" w:rsidP="00415645">
      <w:pPr>
        <w:pStyle w:val="Heading1"/>
        <w:rPr>
          <w:rFonts w:cs="Arial"/>
        </w:rPr>
      </w:pPr>
      <w:r w:rsidRPr="00415645">
        <w:rPr>
          <w:rFonts w:cs="Arial"/>
        </w:rPr>
        <w:t>OVERDOSAGE</w:t>
      </w:r>
    </w:p>
    <w:p w:rsidR="00B3164F" w:rsidRPr="007D1775" w:rsidRDefault="00E07FEF" w:rsidP="00B3164F">
      <w:pPr>
        <w:outlineLvl w:val="0"/>
        <w:rPr>
          <w:rFonts w:cs="Arial"/>
          <w:lang w:val="en-US"/>
        </w:rPr>
      </w:pPr>
      <w:r w:rsidRPr="007D1775">
        <w:rPr>
          <w:rFonts w:cs="Arial"/>
          <w:lang w:val="en-US"/>
        </w:rPr>
        <w:t>A s</w:t>
      </w:r>
      <w:r w:rsidR="00B3164F" w:rsidRPr="007D1775">
        <w:rPr>
          <w:rFonts w:cs="Arial"/>
          <w:lang w:val="en-US"/>
        </w:rPr>
        <w:t xml:space="preserve">ingle dose of up to 800 mg of </w:t>
      </w:r>
      <w:r w:rsidR="00F3116E" w:rsidRPr="007D1775">
        <w:rPr>
          <w:rFonts w:cs="Arial"/>
          <w:lang w:val="en-US"/>
        </w:rPr>
        <w:t>SPEDRA</w:t>
      </w:r>
      <w:r w:rsidR="00B3164F" w:rsidRPr="007D1775">
        <w:rPr>
          <w:rFonts w:cs="Arial"/>
          <w:lang w:val="en-US"/>
        </w:rPr>
        <w:t xml:space="preserve"> </w:t>
      </w:r>
      <w:r w:rsidR="00E37FA1" w:rsidRPr="007D1775">
        <w:rPr>
          <w:rFonts w:cs="Arial"/>
          <w:lang w:val="en-US"/>
        </w:rPr>
        <w:t xml:space="preserve">has </w:t>
      </w:r>
      <w:r w:rsidR="00B3164F" w:rsidRPr="007D1775">
        <w:rPr>
          <w:rFonts w:cs="Arial"/>
          <w:lang w:val="en-US"/>
        </w:rPr>
        <w:t>been given to healthy subjects and multiple daily doses up to 300 mg have been given to patients. Adverse reactions were similar to those seen at lower doses but incidence rates and severities were increased.</w:t>
      </w:r>
      <w:r w:rsidR="005B5C14">
        <w:rPr>
          <w:rFonts w:cs="Arial"/>
          <w:lang w:val="en-US"/>
        </w:rPr>
        <w:t xml:space="preserve"> </w:t>
      </w:r>
      <w:r w:rsidR="000959F3">
        <w:rPr>
          <w:rFonts w:cs="Arial"/>
          <w:lang w:val="en-US"/>
        </w:rPr>
        <w:t xml:space="preserve">The risk of QT prolongation increases with higher doses of </w:t>
      </w:r>
      <w:proofErr w:type="spellStart"/>
      <w:r w:rsidR="000959F3">
        <w:rPr>
          <w:rFonts w:cs="Arial"/>
          <w:lang w:val="en-US"/>
        </w:rPr>
        <w:t>avanafil</w:t>
      </w:r>
      <w:proofErr w:type="spellEnd"/>
      <w:r w:rsidR="000959F3">
        <w:rPr>
          <w:rFonts w:cs="Arial"/>
          <w:lang w:val="en-US"/>
        </w:rPr>
        <w:t xml:space="preserve"> (see Pharmacodynamics, Effects on Cardiac Electrophysiology) and t</w:t>
      </w:r>
      <w:r w:rsidR="00DE3C26">
        <w:rPr>
          <w:rFonts w:cs="Arial"/>
          <w:lang w:val="en-US"/>
        </w:rPr>
        <w:t xml:space="preserve">here is </w:t>
      </w:r>
      <w:r w:rsidR="00B46B5C">
        <w:rPr>
          <w:rFonts w:cs="Arial"/>
          <w:lang w:val="en-US"/>
        </w:rPr>
        <w:t>no</w:t>
      </w:r>
      <w:r w:rsidR="00DE3C26">
        <w:rPr>
          <w:rFonts w:cs="Arial"/>
          <w:lang w:val="en-US"/>
        </w:rPr>
        <w:t xml:space="preserve"> data </w:t>
      </w:r>
      <w:r w:rsidR="00FB6343">
        <w:rPr>
          <w:rFonts w:cs="Arial"/>
          <w:lang w:val="en-US"/>
        </w:rPr>
        <w:t>on</w:t>
      </w:r>
      <w:r w:rsidR="00DE3C26">
        <w:rPr>
          <w:rFonts w:cs="Arial"/>
          <w:lang w:val="en-US"/>
        </w:rPr>
        <w:t xml:space="preserve"> the effect </w:t>
      </w:r>
      <w:r w:rsidR="00FB6343">
        <w:rPr>
          <w:rFonts w:cs="Arial"/>
          <w:lang w:val="en-US"/>
        </w:rPr>
        <w:t>of SPEDRA 200 mg on QT prolongation</w:t>
      </w:r>
      <w:r w:rsidR="000959F3">
        <w:rPr>
          <w:rFonts w:cs="Arial"/>
          <w:lang w:val="en-US"/>
        </w:rPr>
        <w:t xml:space="preserve">. </w:t>
      </w:r>
      <w:r w:rsidR="000959F3" w:rsidRPr="008D1829">
        <w:rPr>
          <w:rFonts w:cs="Arial"/>
          <w:lang w:val="en-US"/>
        </w:rPr>
        <w:t xml:space="preserve">Cardiac risk factors or concomitant medications that prolong QT interval or increase </w:t>
      </w:r>
      <w:proofErr w:type="spellStart"/>
      <w:r w:rsidR="000959F3" w:rsidRPr="008D1829">
        <w:rPr>
          <w:rFonts w:cs="Arial"/>
          <w:lang w:val="en-US"/>
        </w:rPr>
        <w:t>avanafil</w:t>
      </w:r>
      <w:proofErr w:type="spellEnd"/>
      <w:r w:rsidR="000959F3" w:rsidRPr="008D1829">
        <w:rPr>
          <w:rFonts w:cs="Arial"/>
          <w:lang w:val="en-US"/>
        </w:rPr>
        <w:t xml:space="preserve"> exposure may increase the risk of QT prolongation.</w:t>
      </w:r>
    </w:p>
    <w:p w:rsidR="00AE62AF" w:rsidRDefault="00B3164F" w:rsidP="00AE62AF">
      <w:pPr>
        <w:outlineLvl w:val="0"/>
        <w:rPr>
          <w:rFonts w:cs="Arial"/>
        </w:rPr>
      </w:pPr>
      <w:r w:rsidRPr="007D1775">
        <w:rPr>
          <w:rFonts w:cs="Arial"/>
          <w:lang w:val="en-US"/>
        </w:rPr>
        <w:t xml:space="preserve">In case of overdose, standard supportive measures should be adopted as required. Renal dialysis is not expected to accelerate clearance as </w:t>
      </w:r>
      <w:r w:rsidR="00F3116E" w:rsidRPr="007D1775">
        <w:rPr>
          <w:rFonts w:cs="Arial"/>
          <w:lang w:val="en-US"/>
        </w:rPr>
        <w:t>SPEDRA</w:t>
      </w:r>
      <w:r w:rsidRPr="007D1775">
        <w:rPr>
          <w:rFonts w:cs="Arial"/>
          <w:lang w:val="en-US"/>
        </w:rPr>
        <w:t xml:space="preserve"> is highly bound to plasma proteins and it is not eliminated in the urine.</w:t>
      </w:r>
      <w:r w:rsidR="00276607">
        <w:rPr>
          <w:rFonts w:cs="Arial"/>
          <w:lang w:val="en-US"/>
        </w:rPr>
        <w:t xml:space="preserve"> </w:t>
      </w:r>
      <w:r w:rsidR="00BD2777" w:rsidRPr="007D1775">
        <w:rPr>
          <w:rFonts w:cs="Arial"/>
        </w:rPr>
        <w:t>In the case of overdose, immediately contact the Poison Information Centre on 13</w:t>
      </w:r>
      <w:r w:rsidR="003C49F6">
        <w:rPr>
          <w:rFonts w:cs="Arial"/>
        </w:rPr>
        <w:t xml:space="preserve"> </w:t>
      </w:r>
      <w:r w:rsidR="00BD2777" w:rsidRPr="007D1775">
        <w:rPr>
          <w:rFonts w:cs="Arial"/>
        </w:rPr>
        <w:t>11</w:t>
      </w:r>
      <w:r w:rsidR="003C49F6">
        <w:rPr>
          <w:rFonts w:cs="Arial"/>
        </w:rPr>
        <w:t xml:space="preserve"> </w:t>
      </w:r>
      <w:r w:rsidR="00BD2777" w:rsidRPr="007D1775">
        <w:rPr>
          <w:rFonts w:cs="Arial"/>
        </w:rPr>
        <w:t>26 (Australia).</w:t>
      </w:r>
      <w:r w:rsidR="000959F3" w:rsidRPr="000959F3">
        <w:rPr>
          <w:color w:val="1F497D"/>
        </w:rPr>
        <w:t xml:space="preserve"> </w:t>
      </w:r>
    </w:p>
    <w:p w:rsidR="00B541CE" w:rsidRPr="007D1775" w:rsidRDefault="00B541CE">
      <w:pPr>
        <w:pStyle w:val="Heading1"/>
        <w:rPr>
          <w:rFonts w:cs="Arial"/>
        </w:rPr>
      </w:pPr>
      <w:r w:rsidRPr="007D1775">
        <w:rPr>
          <w:rFonts w:cs="Arial"/>
        </w:rPr>
        <w:t>Presentation and Storage Conditions</w:t>
      </w:r>
    </w:p>
    <w:p w:rsidR="00AE62AF" w:rsidRPr="003C49F6" w:rsidRDefault="00AE62AF" w:rsidP="00415645">
      <w:pPr>
        <w:pStyle w:val="Default"/>
        <w:spacing w:after="60"/>
        <w:rPr>
          <w:rFonts w:ascii="Arial" w:hAnsi="Arial" w:cs="Arial"/>
          <w:sz w:val="22"/>
          <w:szCs w:val="22"/>
        </w:rPr>
      </w:pPr>
      <w:r w:rsidRPr="003C49F6">
        <w:rPr>
          <w:rFonts w:ascii="Arial" w:hAnsi="Arial" w:cs="Arial"/>
          <w:sz w:val="22"/>
          <w:szCs w:val="22"/>
        </w:rPr>
        <w:t xml:space="preserve">The 50 mg tablets are pale yellow, oval tablets debossed with ‘50’ on one side. They are presented in blister packs of 1, 2, 4, 8 and 12 tablets per carton. </w:t>
      </w:r>
    </w:p>
    <w:p w:rsidR="00AE62AF" w:rsidRPr="003C49F6" w:rsidRDefault="00AE62AF" w:rsidP="00415645">
      <w:pPr>
        <w:pStyle w:val="Default"/>
        <w:spacing w:after="60"/>
        <w:rPr>
          <w:rFonts w:ascii="Arial" w:hAnsi="Arial" w:cs="Arial"/>
          <w:sz w:val="22"/>
          <w:szCs w:val="22"/>
        </w:rPr>
      </w:pPr>
      <w:r w:rsidRPr="003C49F6">
        <w:rPr>
          <w:rFonts w:ascii="Arial" w:hAnsi="Arial" w:cs="Arial"/>
          <w:sz w:val="22"/>
          <w:szCs w:val="22"/>
        </w:rPr>
        <w:t xml:space="preserve">The 100 mg tablets are pale yellow, oval tablets debossed with ‘100’ on one side. They are presented in blister packs of 1, 2, 4, 8 and 12 tablets per carton. </w:t>
      </w:r>
    </w:p>
    <w:p w:rsidR="00AE62AF" w:rsidRPr="003C49F6" w:rsidRDefault="00AE62AF" w:rsidP="00415645">
      <w:pPr>
        <w:pStyle w:val="Default"/>
        <w:spacing w:after="60"/>
        <w:rPr>
          <w:rFonts w:ascii="Arial" w:hAnsi="Arial" w:cs="Arial"/>
          <w:sz w:val="22"/>
          <w:szCs w:val="22"/>
        </w:rPr>
      </w:pPr>
      <w:r w:rsidRPr="003C49F6">
        <w:rPr>
          <w:rFonts w:ascii="Arial" w:hAnsi="Arial" w:cs="Arial"/>
          <w:sz w:val="22"/>
          <w:szCs w:val="22"/>
        </w:rPr>
        <w:t xml:space="preserve">The 200 mg tablets are pale yellow, oval tablets debossed ‘200’ on one side. They are presented in blister packs of 1, 2, 4, 8 and 12 tablets per carton. </w:t>
      </w:r>
    </w:p>
    <w:p w:rsidR="00AE62AF" w:rsidRPr="003C49F6" w:rsidRDefault="00023212" w:rsidP="00415645">
      <w:pPr>
        <w:numPr>
          <w:ilvl w:val="12"/>
          <w:numId w:val="0"/>
        </w:numPr>
        <w:rPr>
          <w:rFonts w:cs="Arial"/>
          <w:szCs w:val="22"/>
        </w:rPr>
      </w:pPr>
      <w:r>
        <w:rPr>
          <w:rFonts w:cs="Arial"/>
          <w:noProof/>
          <w:szCs w:val="22"/>
        </w:rPr>
        <w:t xml:space="preserve">All blisters are composed of transparent </w:t>
      </w:r>
      <w:r w:rsidRPr="00023212">
        <w:rPr>
          <w:rFonts w:cs="Arial"/>
          <w:szCs w:val="22"/>
        </w:rPr>
        <w:t xml:space="preserve">PVC/PCTFE film and aluminium foil. </w:t>
      </w:r>
    </w:p>
    <w:p w:rsidR="00AE62AF" w:rsidRPr="003C49F6" w:rsidRDefault="00023212" w:rsidP="00415645">
      <w:pPr>
        <w:numPr>
          <w:ilvl w:val="12"/>
          <w:numId w:val="0"/>
        </w:numPr>
        <w:rPr>
          <w:rFonts w:cs="Arial"/>
          <w:szCs w:val="22"/>
        </w:rPr>
      </w:pPr>
      <w:r>
        <w:rPr>
          <w:rFonts w:cs="Arial"/>
          <w:noProof/>
          <w:szCs w:val="22"/>
        </w:rPr>
        <w:t>Not all pack sizes may be marketed.</w:t>
      </w:r>
    </w:p>
    <w:p w:rsidR="00AE62AF" w:rsidRPr="003C49F6" w:rsidRDefault="00023212" w:rsidP="00415645">
      <w:pPr>
        <w:rPr>
          <w:rFonts w:cs="Arial"/>
          <w:szCs w:val="22"/>
        </w:rPr>
      </w:pPr>
      <w:r>
        <w:rPr>
          <w:rFonts w:cs="Arial"/>
          <w:szCs w:val="22"/>
        </w:rPr>
        <w:t xml:space="preserve">Store below 25ºC. </w:t>
      </w:r>
    </w:p>
    <w:p w:rsidR="00B541CE" w:rsidRPr="007D1775" w:rsidRDefault="00BE302B" w:rsidP="0028125B">
      <w:pPr>
        <w:pStyle w:val="Heading1"/>
        <w:rPr>
          <w:rFonts w:cs="Arial"/>
        </w:rPr>
      </w:pPr>
      <w:r w:rsidRPr="007D1775">
        <w:rPr>
          <w:rFonts w:cs="Arial"/>
        </w:rPr>
        <w:t>N</w:t>
      </w:r>
      <w:r w:rsidR="00B541CE" w:rsidRPr="007D1775">
        <w:rPr>
          <w:rFonts w:cs="Arial"/>
        </w:rPr>
        <w:t>ame and Address of the Sponsor</w:t>
      </w:r>
    </w:p>
    <w:p w:rsidR="0020288E" w:rsidRPr="007D1775" w:rsidRDefault="00BD2777" w:rsidP="0020288E">
      <w:pPr>
        <w:jc w:val="left"/>
        <w:rPr>
          <w:rFonts w:cs="Arial"/>
        </w:rPr>
      </w:pPr>
      <w:r w:rsidRPr="007D1775">
        <w:rPr>
          <w:rFonts w:cs="Arial"/>
        </w:rPr>
        <w:t>A.</w:t>
      </w:r>
      <w:r w:rsidR="009F0BC7">
        <w:rPr>
          <w:rFonts w:cs="Arial"/>
        </w:rPr>
        <w:t xml:space="preserve"> </w:t>
      </w:r>
      <w:proofErr w:type="spellStart"/>
      <w:r w:rsidRPr="007D1775">
        <w:rPr>
          <w:rFonts w:cs="Arial"/>
        </w:rPr>
        <w:t>Menarini</w:t>
      </w:r>
      <w:proofErr w:type="spellEnd"/>
      <w:r w:rsidRPr="007D1775">
        <w:rPr>
          <w:rFonts w:cs="Arial"/>
        </w:rPr>
        <w:t xml:space="preserve"> Australia Pty Ltd</w:t>
      </w:r>
    </w:p>
    <w:p w:rsidR="00BD2777" w:rsidRPr="007D1775" w:rsidRDefault="00BD2777" w:rsidP="0020288E">
      <w:pPr>
        <w:jc w:val="left"/>
        <w:rPr>
          <w:rFonts w:cs="Arial"/>
        </w:rPr>
      </w:pPr>
      <w:r w:rsidRPr="007D1775">
        <w:rPr>
          <w:rFonts w:cs="Arial"/>
        </w:rPr>
        <w:lastRenderedPageBreak/>
        <w:t xml:space="preserve">Level 8, 67 Albert Ave </w:t>
      </w:r>
    </w:p>
    <w:p w:rsidR="0020288E" w:rsidRPr="007D1775" w:rsidRDefault="00BD2777" w:rsidP="0020288E">
      <w:pPr>
        <w:jc w:val="left"/>
        <w:rPr>
          <w:rFonts w:cs="Arial"/>
          <w:highlight w:val="yellow"/>
        </w:rPr>
      </w:pPr>
      <w:r w:rsidRPr="007D1775">
        <w:rPr>
          <w:rFonts w:cs="Arial"/>
        </w:rPr>
        <w:t>Chatswood NSW 2067 Australia</w:t>
      </w:r>
    </w:p>
    <w:p w:rsidR="00B541CE" w:rsidRPr="007D1775" w:rsidRDefault="00B541CE">
      <w:pPr>
        <w:pStyle w:val="Heading1"/>
        <w:rPr>
          <w:rFonts w:cs="Arial"/>
        </w:rPr>
      </w:pPr>
      <w:r w:rsidRPr="007D1775">
        <w:rPr>
          <w:rFonts w:cs="Arial"/>
        </w:rPr>
        <w:t>Poison Schedule of the Medicine</w:t>
      </w:r>
    </w:p>
    <w:p w:rsidR="00AE62AF" w:rsidRDefault="0020288E" w:rsidP="00AE62AF">
      <w:pPr>
        <w:spacing w:before="120" w:after="120"/>
        <w:rPr>
          <w:rFonts w:cs="Arial"/>
          <w:b/>
          <w:caps/>
          <w:sz w:val="24"/>
        </w:rPr>
      </w:pPr>
      <w:r w:rsidRPr="007D1775">
        <w:rPr>
          <w:rFonts w:cs="Arial"/>
        </w:rPr>
        <w:t>Schedule 4</w:t>
      </w:r>
    </w:p>
    <w:p w:rsidR="00CF6F26" w:rsidRDefault="0028125B" w:rsidP="00903010">
      <w:pPr>
        <w:spacing w:before="240"/>
        <w:rPr>
          <w:rFonts w:cs="Arial"/>
        </w:rPr>
      </w:pPr>
      <w:r w:rsidRPr="007D1775">
        <w:rPr>
          <w:rFonts w:cs="Arial"/>
          <w:b/>
          <w:caps/>
          <w:sz w:val="24"/>
        </w:rPr>
        <w:t>Date of first inclusion in the ARTG</w:t>
      </w:r>
    </w:p>
    <w:p w:rsidR="0028125B" w:rsidRPr="007D1775" w:rsidRDefault="00D6546E" w:rsidP="00903010">
      <w:pPr>
        <w:spacing w:before="240"/>
        <w:rPr>
          <w:rFonts w:cs="Arial"/>
        </w:rPr>
      </w:pPr>
      <w:r>
        <w:rPr>
          <w:rFonts w:cs="Arial"/>
        </w:rPr>
        <w:t>5 April</w:t>
      </w:r>
      <w:r w:rsidRPr="007D1775">
        <w:rPr>
          <w:rFonts w:cs="Arial"/>
        </w:rPr>
        <w:t xml:space="preserve"> </w:t>
      </w:r>
      <w:r>
        <w:rPr>
          <w:rFonts w:cs="Arial"/>
        </w:rPr>
        <w:t>2016</w:t>
      </w:r>
      <w:bookmarkStart w:id="0" w:name="_GoBack"/>
      <w:bookmarkEnd w:id="0"/>
    </w:p>
    <w:sectPr w:rsidR="0028125B" w:rsidRPr="007D1775" w:rsidSect="00DD5E42">
      <w:headerReference w:type="default" r:id="rId13"/>
      <w:footerReference w:type="default" r:id="rId14"/>
      <w:pgSz w:w="11906" w:h="16838"/>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08B7BA" w15:done="0"/>
  <w15:commentEx w15:paraId="10767E2E" w15:done="0"/>
  <w15:commentEx w15:paraId="2CC1C7DB" w15:done="0"/>
  <w15:commentEx w15:paraId="211CF14E" w15:done="0"/>
  <w15:commentEx w15:paraId="6E620185" w15:done="0"/>
  <w15:commentEx w15:paraId="40E13065" w15:done="0"/>
  <w15:commentEx w15:paraId="0CA13DE9" w15:done="0"/>
  <w15:commentEx w15:paraId="6954D86B" w15:done="0"/>
  <w15:commentEx w15:paraId="7E8F63F2" w15:done="0"/>
  <w15:commentEx w15:paraId="0E3BC08F" w15:done="0"/>
  <w15:commentEx w15:paraId="2556EB3E" w15:done="0"/>
  <w15:commentEx w15:paraId="128B7355" w15:done="0"/>
  <w15:commentEx w15:paraId="0AD43423" w15:done="0"/>
  <w15:commentEx w15:paraId="01E3060A" w15:done="0"/>
  <w15:commentEx w15:paraId="11636907" w15:done="0"/>
  <w15:commentEx w15:paraId="5DB6F01F" w15:done="0"/>
  <w15:commentEx w15:paraId="415119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A63" w:rsidRDefault="00F11A63">
      <w:r>
        <w:separator/>
      </w:r>
    </w:p>
  </w:endnote>
  <w:endnote w:type="continuationSeparator" w:id="0">
    <w:p w:rsidR="00F11A63" w:rsidRDefault="00F1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000" w:firstRow="0" w:lastRow="0" w:firstColumn="0" w:lastColumn="0" w:noHBand="0" w:noVBand="0"/>
    </w:tblPr>
    <w:tblGrid>
      <w:gridCol w:w="3290"/>
      <w:gridCol w:w="3275"/>
      <w:gridCol w:w="3289"/>
    </w:tblGrid>
    <w:tr w:rsidR="00F11A63">
      <w:tc>
        <w:tcPr>
          <w:tcW w:w="3382" w:type="dxa"/>
        </w:tcPr>
        <w:p w:rsidR="00F11A63" w:rsidRDefault="00F11A63" w:rsidP="006550BE">
          <w:pPr>
            <w:pStyle w:val="Footer"/>
            <w:tabs>
              <w:tab w:val="right" w:pos="-1843"/>
              <w:tab w:val="center" w:pos="4962"/>
              <w:tab w:val="right" w:pos="9923"/>
              <w:tab w:val="right" w:pos="10632"/>
            </w:tabs>
            <w:jc w:val="left"/>
            <w:rPr>
              <w:rStyle w:val="PageNumber"/>
              <w:bCs/>
              <w:i/>
              <w:iCs/>
              <w:sz w:val="16"/>
            </w:rPr>
          </w:pPr>
          <w:r>
            <w:rPr>
              <w:bCs/>
              <w:i/>
              <w:iCs/>
            </w:rPr>
            <w:t xml:space="preserve">SPEi-v01 </w:t>
          </w:r>
        </w:p>
      </w:tc>
      <w:tc>
        <w:tcPr>
          <w:tcW w:w="3382" w:type="dxa"/>
        </w:tcPr>
        <w:p w:rsidR="00F11A63" w:rsidRDefault="00F11A63">
          <w:pPr>
            <w:pStyle w:val="Footer"/>
            <w:tabs>
              <w:tab w:val="right" w:pos="-1843"/>
              <w:tab w:val="center" w:pos="4962"/>
              <w:tab w:val="right" w:pos="9923"/>
              <w:tab w:val="right" w:pos="10632"/>
            </w:tabs>
            <w:jc w:val="center"/>
            <w:rPr>
              <w:rStyle w:val="PageNumber"/>
              <w:bCs/>
              <w:i/>
              <w:iCs/>
            </w:rPr>
          </w:pPr>
          <w:r>
            <w:rPr>
              <w:rStyle w:val="PageNumber"/>
              <w:bCs/>
              <w:i/>
              <w:iCs/>
            </w:rPr>
            <w:t xml:space="preserve"> </w:t>
          </w:r>
        </w:p>
      </w:tc>
      <w:tc>
        <w:tcPr>
          <w:tcW w:w="3382" w:type="dxa"/>
        </w:tcPr>
        <w:p w:rsidR="00F11A63" w:rsidRDefault="00F11A63">
          <w:pPr>
            <w:pStyle w:val="Footer"/>
            <w:tabs>
              <w:tab w:val="right" w:pos="-1843"/>
              <w:tab w:val="center" w:pos="4962"/>
              <w:tab w:val="right" w:pos="9923"/>
              <w:tab w:val="right" w:pos="10632"/>
            </w:tabs>
            <w:jc w:val="right"/>
            <w:rPr>
              <w:rStyle w:val="PageNumber"/>
              <w:bCs/>
              <w:i/>
              <w:iCs/>
              <w:highlight w:val="yellow"/>
            </w:rPr>
          </w:pPr>
          <w:r>
            <w:rPr>
              <w:bCs/>
              <w:i/>
              <w:iCs/>
            </w:rPr>
            <w:t xml:space="preserve">Page </w:t>
          </w:r>
          <w:r>
            <w:rPr>
              <w:rStyle w:val="PageNumber"/>
              <w:i/>
              <w:iCs/>
            </w:rPr>
            <w:fldChar w:fldCharType="begin"/>
          </w:r>
          <w:r>
            <w:rPr>
              <w:rStyle w:val="PageNumber"/>
              <w:i/>
              <w:iCs/>
            </w:rPr>
            <w:instrText xml:space="preserve"> PAGE </w:instrText>
          </w:r>
          <w:r>
            <w:rPr>
              <w:rStyle w:val="PageNumber"/>
              <w:i/>
              <w:iCs/>
            </w:rPr>
            <w:fldChar w:fldCharType="separate"/>
          </w:r>
          <w:r w:rsidR="00EA7385">
            <w:rPr>
              <w:rStyle w:val="PageNumber"/>
              <w:i/>
              <w:iCs/>
              <w:noProof/>
            </w:rPr>
            <w:t>20</w:t>
          </w:r>
          <w:r>
            <w:rPr>
              <w:rStyle w:val="PageNumber"/>
              <w:i/>
              <w:iCs/>
            </w:rPr>
            <w:fldChar w:fldCharType="end"/>
          </w:r>
          <w:r>
            <w:rPr>
              <w:bCs/>
              <w:i/>
              <w:iCs/>
            </w:rPr>
            <w:t xml:space="preserve"> </w:t>
          </w:r>
        </w:p>
      </w:tc>
    </w:tr>
  </w:tbl>
  <w:p w:rsidR="00F11A63" w:rsidRDefault="00F11A63">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A63" w:rsidRDefault="00F11A63">
      <w:r>
        <w:separator/>
      </w:r>
    </w:p>
  </w:footnote>
  <w:footnote w:type="continuationSeparator" w:id="0">
    <w:p w:rsidR="00F11A63" w:rsidRDefault="00F11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shd w:val="clear" w:color="auto" w:fill="E4F2E0"/>
      <w:tblLook w:val="04A0" w:firstRow="1" w:lastRow="0" w:firstColumn="1" w:lastColumn="0" w:noHBand="0" w:noVBand="1"/>
    </w:tblPr>
    <w:tblGrid>
      <w:gridCol w:w="8720"/>
    </w:tblGrid>
    <w:tr w:rsidR="00F11A63" w:rsidRPr="00F11A63" w:rsidTr="00F11A63">
      <w:tc>
        <w:tcPr>
          <w:tcW w:w="8720" w:type="dxa"/>
          <w:shd w:val="clear" w:color="auto" w:fill="E4F2E0"/>
        </w:tcPr>
        <w:p w:rsidR="00F11A63" w:rsidRPr="00F11A63" w:rsidRDefault="00F11A63" w:rsidP="00F11A63">
          <w:pPr>
            <w:spacing w:before="40" w:after="40" w:line="240" w:lineRule="atLeast"/>
            <w:jc w:val="left"/>
            <w:rPr>
              <w:rFonts w:ascii="Cambria" w:hAnsi="Cambria"/>
              <w:b/>
              <w:sz w:val="20"/>
            </w:rPr>
          </w:pPr>
          <w:r w:rsidRPr="00F11A63">
            <w:rPr>
              <w:rFonts w:ascii="Cambria" w:hAnsi="Cambria"/>
              <w:b/>
              <w:sz w:val="20"/>
            </w:rPr>
            <w:t xml:space="preserve">Attachment 1: Product information for AusPAR </w:t>
          </w:r>
          <w:proofErr w:type="spellStart"/>
          <w:r w:rsidRPr="00F11A63">
            <w:rPr>
              <w:rFonts w:ascii="Cambria" w:hAnsi="Cambria"/>
              <w:b/>
              <w:sz w:val="20"/>
            </w:rPr>
            <w:t>Spedra</w:t>
          </w:r>
          <w:proofErr w:type="spellEnd"/>
          <w:r w:rsidRPr="00F11A63">
            <w:rPr>
              <w:rFonts w:ascii="Cambria" w:hAnsi="Cambria"/>
              <w:b/>
              <w:sz w:val="20"/>
            </w:rPr>
            <w:t xml:space="preserve">® </w:t>
          </w:r>
          <w:proofErr w:type="spellStart"/>
          <w:r w:rsidRPr="00F11A63">
            <w:rPr>
              <w:rFonts w:ascii="Cambria" w:hAnsi="Cambria" w:cs="Arial"/>
              <w:b/>
              <w:bCs/>
              <w:sz w:val="20"/>
            </w:rPr>
            <w:t>Avanafil</w:t>
          </w:r>
          <w:proofErr w:type="spellEnd"/>
          <w:r w:rsidRPr="00F11A63">
            <w:rPr>
              <w:rFonts w:ascii="Cambria" w:hAnsi="Cambria" w:cs="Arial"/>
              <w:b/>
              <w:bCs/>
              <w:sz w:val="20"/>
            </w:rPr>
            <w:t xml:space="preserve"> </w:t>
          </w:r>
          <w:proofErr w:type="spellStart"/>
          <w:r w:rsidRPr="00F11A63">
            <w:rPr>
              <w:rFonts w:ascii="Cambria" w:hAnsi="Cambria"/>
              <w:b/>
              <w:sz w:val="20"/>
            </w:rPr>
            <w:t>A.Menarini</w:t>
          </w:r>
          <w:proofErr w:type="spellEnd"/>
          <w:r w:rsidRPr="00F11A63">
            <w:rPr>
              <w:rFonts w:ascii="Cambria" w:hAnsi="Cambria"/>
              <w:b/>
              <w:sz w:val="20"/>
            </w:rPr>
            <w:t xml:space="preserve"> Australia Pty Ltd PM-2014-02782-1-3 Final 27 October 2016. This Product Information was approved at the time this AusPAR was published.</w:t>
          </w:r>
        </w:p>
      </w:tc>
    </w:tr>
  </w:tbl>
  <w:p w:rsidR="00F11A63" w:rsidRDefault="00F11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7B8E5E6"/>
    <w:lvl w:ilvl="0">
      <w:start w:val="1"/>
      <w:numFmt w:val="decimal"/>
      <w:pStyle w:val="ListNumber"/>
      <w:lvlText w:val="%1."/>
      <w:lvlJc w:val="left"/>
      <w:pPr>
        <w:tabs>
          <w:tab w:val="num" w:pos="360"/>
        </w:tabs>
        <w:ind w:left="360" w:hanging="360"/>
      </w:pPr>
      <w:rPr>
        <w:rFonts w:ascii="Arial" w:hAnsi="Arial" w:hint="default"/>
        <w:b w:val="0"/>
        <w:i w:val="0"/>
        <w:sz w:val="22"/>
      </w:rPr>
    </w:lvl>
  </w:abstractNum>
  <w:abstractNum w:abstractNumId="1">
    <w:nsid w:val="FFFFFF89"/>
    <w:multiLevelType w:val="singleLevel"/>
    <w:tmpl w:val="4C466B7A"/>
    <w:lvl w:ilvl="0">
      <w:start w:val="1"/>
      <w:numFmt w:val="bullet"/>
      <w:pStyle w:val="ListBullet"/>
      <w:lvlText w:val=""/>
      <w:lvlJc w:val="left"/>
      <w:pPr>
        <w:tabs>
          <w:tab w:val="num" w:pos="360"/>
        </w:tabs>
        <w:ind w:left="340" w:hanging="340"/>
      </w:pPr>
      <w:rPr>
        <w:rFonts w:ascii="Symbol" w:hAnsi="Symbol" w:hint="default"/>
      </w:rPr>
    </w:lvl>
  </w:abstractNum>
  <w:abstractNum w:abstractNumId="2">
    <w:nsid w:val="0CF41A1F"/>
    <w:multiLevelType w:val="hybridMultilevel"/>
    <w:tmpl w:val="AEBCFC6C"/>
    <w:lvl w:ilvl="0" w:tplc="0C090003">
      <w:start w:val="1"/>
      <w:numFmt w:val="bullet"/>
      <w:lvlText w:val="o"/>
      <w:lvlJc w:val="left"/>
      <w:pPr>
        <w:ind w:left="720" w:hanging="360"/>
      </w:pPr>
      <w:rPr>
        <w:rFonts w:ascii="Courier New" w:hAnsi="Courier New" w:cs="Courier New" w:hint="default"/>
      </w:rPr>
    </w:lvl>
    <w:lvl w:ilvl="1" w:tplc="851AD5B2">
      <w:numFmt w:val="bullet"/>
      <w:lvlText w:val="-"/>
      <w:lvlJc w:val="left"/>
      <w:pPr>
        <w:ind w:left="1440" w:hanging="360"/>
      </w:pPr>
      <w:rPr>
        <w:rFonts w:ascii="Arial" w:eastAsia="Times New Roman"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22F13B1"/>
    <w:multiLevelType w:val="hybridMultilevel"/>
    <w:tmpl w:val="59AC881C"/>
    <w:lvl w:ilvl="0" w:tplc="8280C97C">
      <w:start w:val="1"/>
      <w:numFmt w:val="lowerLetter"/>
      <w:pStyle w:val="List2"/>
      <w:lvlText w:val="%1."/>
      <w:lvlJc w:val="left"/>
      <w:pPr>
        <w:tabs>
          <w:tab w:val="num" w:pos="360"/>
        </w:tabs>
        <w:ind w:left="340" w:hanging="340"/>
      </w:pPr>
      <w:rPr>
        <w:rFonts w:ascii="Arial" w:hAnsi="Arial" w:hint="default"/>
        <w:b w:val="0"/>
        <w:i w:val="0"/>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771114"/>
    <w:multiLevelType w:val="hybridMultilevel"/>
    <w:tmpl w:val="BB6CBD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F65CF9"/>
    <w:multiLevelType w:val="hybridMultilevel"/>
    <w:tmpl w:val="0B32ED88"/>
    <w:lvl w:ilvl="0" w:tplc="22104444">
      <w:start w:val="1"/>
      <w:numFmt w:val="lowerLetter"/>
      <w:lvlText w:val="%1."/>
      <w:lvlJc w:val="left"/>
      <w:pPr>
        <w:tabs>
          <w:tab w:val="num" w:pos="360"/>
        </w:tabs>
        <w:ind w:left="340" w:hanging="340"/>
      </w:pPr>
      <w:rPr>
        <w:rFonts w:ascii="Arial" w:hAnsi="Arial" w:hint="default"/>
        <w:b w:val="0"/>
        <w:i w:val="0"/>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515262"/>
    <w:multiLevelType w:val="hybridMultilevel"/>
    <w:tmpl w:val="5F689D4A"/>
    <w:lvl w:ilvl="0" w:tplc="AFA869B6">
      <w:start w:val="1"/>
      <w:numFmt w:val="bullet"/>
      <w:lvlText w:val=""/>
      <w:lvlJc w:val="left"/>
      <w:pPr>
        <w:tabs>
          <w:tab w:val="num" w:pos="448"/>
        </w:tabs>
        <w:ind w:left="448" w:hanging="360"/>
      </w:pPr>
      <w:rPr>
        <w:rFonts w:ascii="Symbol" w:hAnsi="Symbol" w:hint="default"/>
        <w:lang w:val="en-GB"/>
      </w:rPr>
    </w:lvl>
    <w:lvl w:ilvl="1" w:tplc="08090003" w:tentative="1">
      <w:start w:val="1"/>
      <w:numFmt w:val="bullet"/>
      <w:lvlText w:val="o"/>
      <w:lvlJc w:val="left"/>
      <w:pPr>
        <w:tabs>
          <w:tab w:val="num" w:pos="1168"/>
        </w:tabs>
        <w:ind w:left="1168" w:hanging="360"/>
      </w:pPr>
      <w:rPr>
        <w:rFonts w:ascii="Courier New" w:hAnsi="Courier New" w:cs="Courier New" w:hint="default"/>
      </w:rPr>
    </w:lvl>
    <w:lvl w:ilvl="2" w:tplc="08090005" w:tentative="1">
      <w:start w:val="1"/>
      <w:numFmt w:val="bullet"/>
      <w:lvlText w:val=""/>
      <w:lvlJc w:val="left"/>
      <w:pPr>
        <w:tabs>
          <w:tab w:val="num" w:pos="1888"/>
        </w:tabs>
        <w:ind w:left="1888" w:hanging="360"/>
      </w:pPr>
      <w:rPr>
        <w:rFonts w:ascii="Wingdings" w:hAnsi="Wingdings" w:hint="default"/>
      </w:rPr>
    </w:lvl>
    <w:lvl w:ilvl="3" w:tplc="08090001" w:tentative="1">
      <w:start w:val="1"/>
      <w:numFmt w:val="bullet"/>
      <w:lvlText w:val=""/>
      <w:lvlJc w:val="left"/>
      <w:pPr>
        <w:tabs>
          <w:tab w:val="num" w:pos="2608"/>
        </w:tabs>
        <w:ind w:left="2608" w:hanging="360"/>
      </w:pPr>
      <w:rPr>
        <w:rFonts w:ascii="Symbol" w:hAnsi="Symbol" w:hint="default"/>
      </w:rPr>
    </w:lvl>
    <w:lvl w:ilvl="4" w:tplc="08090003" w:tentative="1">
      <w:start w:val="1"/>
      <w:numFmt w:val="bullet"/>
      <w:lvlText w:val="o"/>
      <w:lvlJc w:val="left"/>
      <w:pPr>
        <w:tabs>
          <w:tab w:val="num" w:pos="3328"/>
        </w:tabs>
        <w:ind w:left="3328" w:hanging="360"/>
      </w:pPr>
      <w:rPr>
        <w:rFonts w:ascii="Courier New" w:hAnsi="Courier New" w:cs="Courier New" w:hint="default"/>
      </w:rPr>
    </w:lvl>
    <w:lvl w:ilvl="5" w:tplc="08090005" w:tentative="1">
      <w:start w:val="1"/>
      <w:numFmt w:val="bullet"/>
      <w:lvlText w:val=""/>
      <w:lvlJc w:val="left"/>
      <w:pPr>
        <w:tabs>
          <w:tab w:val="num" w:pos="4048"/>
        </w:tabs>
        <w:ind w:left="4048" w:hanging="360"/>
      </w:pPr>
      <w:rPr>
        <w:rFonts w:ascii="Wingdings" w:hAnsi="Wingdings" w:hint="default"/>
      </w:rPr>
    </w:lvl>
    <w:lvl w:ilvl="6" w:tplc="08090001" w:tentative="1">
      <w:start w:val="1"/>
      <w:numFmt w:val="bullet"/>
      <w:lvlText w:val=""/>
      <w:lvlJc w:val="left"/>
      <w:pPr>
        <w:tabs>
          <w:tab w:val="num" w:pos="4768"/>
        </w:tabs>
        <w:ind w:left="4768" w:hanging="360"/>
      </w:pPr>
      <w:rPr>
        <w:rFonts w:ascii="Symbol" w:hAnsi="Symbol" w:hint="default"/>
      </w:rPr>
    </w:lvl>
    <w:lvl w:ilvl="7" w:tplc="08090003" w:tentative="1">
      <w:start w:val="1"/>
      <w:numFmt w:val="bullet"/>
      <w:lvlText w:val="o"/>
      <w:lvlJc w:val="left"/>
      <w:pPr>
        <w:tabs>
          <w:tab w:val="num" w:pos="5488"/>
        </w:tabs>
        <w:ind w:left="5488" w:hanging="360"/>
      </w:pPr>
      <w:rPr>
        <w:rFonts w:ascii="Courier New" w:hAnsi="Courier New" w:cs="Courier New" w:hint="default"/>
      </w:rPr>
    </w:lvl>
    <w:lvl w:ilvl="8" w:tplc="08090005" w:tentative="1">
      <w:start w:val="1"/>
      <w:numFmt w:val="bullet"/>
      <w:lvlText w:val=""/>
      <w:lvlJc w:val="left"/>
      <w:pPr>
        <w:tabs>
          <w:tab w:val="num" w:pos="6208"/>
        </w:tabs>
        <w:ind w:left="6208" w:hanging="360"/>
      </w:pPr>
      <w:rPr>
        <w:rFonts w:ascii="Wingdings" w:hAnsi="Wingdings" w:hint="default"/>
      </w:rPr>
    </w:lvl>
  </w:abstractNum>
  <w:abstractNum w:abstractNumId="7">
    <w:nsid w:val="38E90932"/>
    <w:multiLevelType w:val="multilevel"/>
    <w:tmpl w:val="D6C4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0D0F68"/>
    <w:multiLevelType w:val="hybridMultilevel"/>
    <w:tmpl w:val="65A8790C"/>
    <w:lvl w:ilvl="0" w:tplc="04405612">
      <w:start w:val="1"/>
      <w:numFmt w:val="decimal"/>
      <w:pStyle w:val="List"/>
      <w:lvlText w:val="%1."/>
      <w:lvlJc w:val="left"/>
      <w:pPr>
        <w:tabs>
          <w:tab w:val="num" w:pos="360"/>
        </w:tabs>
        <w:ind w:left="340" w:hanging="34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9B1AF2"/>
    <w:multiLevelType w:val="hybridMultilevel"/>
    <w:tmpl w:val="BEF42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7E1389E"/>
    <w:multiLevelType w:val="multilevel"/>
    <w:tmpl w:val="67A4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D42119"/>
    <w:multiLevelType w:val="hybridMultilevel"/>
    <w:tmpl w:val="C608D3D8"/>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550316E4"/>
    <w:multiLevelType w:val="hybridMultilevel"/>
    <w:tmpl w:val="D19E54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F247809"/>
    <w:multiLevelType w:val="hybridMultilevel"/>
    <w:tmpl w:val="02561C0A"/>
    <w:lvl w:ilvl="0" w:tplc="670CB07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C510B5A"/>
    <w:multiLevelType w:val="multilevel"/>
    <w:tmpl w:val="388A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B97BFF"/>
    <w:multiLevelType w:val="multilevel"/>
    <w:tmpl w:val="7056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2A5F6A"/>
    <w:multiLevelType w:val="hybridMultilevel"/>
    <w:tmpl w:val="2F7AE9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8"/>
  </w:num>
  <w:num w:numId="4">
    <w:abstractNumId w:val="8"/>
  </w:num>
  <w:num w:numId="5">
    <w:abstractNumId w:val="0"/>
  </w:num>
  <w:num w:numId="6">
    <w:abstractNumId w:val="0"/>
  </w:num>
  <w:num w:numId="7">
    <w:abstractNumId w:val="0"/>
  </w:num>
  <w:num w:numId="8">
    <w:abstractNumId w:val="0"/>
  </w:num>
  <w:num w:numId="9">
    <w:abstractNumId w:val="1"/>
  </w:num>
  <w:num w:numId="10">
    <w:abstractNumId w:val="5"/>
  </w:num>
  <w:num w:numId="11">
    <w:abstractNumId w:val="5"/>
  </w:num>
  <w:num w:numId="12">
    <w:abstractNumId w:val="5"/>
  </w:num>
  <w:num w:numId="13">
    <w:abstractNumId w:val="5"/>
  </w:num>
  <w:num w:numId="14">
    <w:abstractNumId w:val="5"/>
  </w:num>
  <w:num w:numId="15">
    <w:abstractNumId w:val="0"/>
  </w:num>
  <w:num w:numId="16">
    <w:abstractNumId w:val="8"/>
  </w:num>
  <w:num w:numId="17">
    <w:abstractNumId w:val="5"/>
  </w:num>
  <w:num w:numId="18">
    <w:abstractNumId w:val="8"/>
  </w:num>
  <w:num w:numId="19">
    <w:abstractNumId w:val="1"/>
  </w:num>
  <w:num w:numId="20">
    <w:abstractNumId w:val="1"/>
  </w:num>
  <w:num w:numId="21">
    <w:abstractNumId w:val="1"/>
  </w:num>
  <w:num w:numId="22">
    <w:abstractNumId w:val="1"/>
  </w:num>
  <w:num w:numId="23">
    <w:abstractNumId w:val="1"/>
  </w:num>
  <w:num w:numId="24">
    <w:abstractNumId w:val="1"/>
  </w:num>
  <w:num w:numId="25">
    <w:abstractNumId w:val="3"/>
  </w:num>
  <w:num w:numId="26">
    <w:abstractNumId w:val="8"/>
  </w:num>
  <w:num w:numId="27">
    <w:abstractNumId w:val="1"/>
  </w:num>
  <w:num w:numId="28">
    <w:abstractNumId w:val="4"/>
  </w:num>
  <w:num w:numId="29">
    <w:abstractNumId w:val="11"/>
  </w:num>
  <w:num w:numId="30">
    <w:abstractNumId w:val="7"/>
  </w:num>
  <w:num w:numId="31">
    <w:abstractNumId w:val="14"/>
  </w:num>
  <w:num w:numId="32">
    <w:abstractNumId w:val="10"/>
  </w:num>
  <w:num w:numId="33">
    <w:abstractNumId w:val="15"/>
  </w:num>
  <w:num w:numId="34">
    <w:abstractNumId w:val="6"/>
  </w:num>
  <w:num w:numId="35">
    <w:abstractNumId w:val="13"/>
  </w:num>
  <w:num w:numId="36">
    <w:abstractNumId w:val="16"/>
  </w:num>
  <w:num w:numId="37">
    <w:abstractNumId w:val="2"/>
  </w:num>
  <w:num w:numId="38">
    <w:abstractNumId w:val="9"/>
  </w:num>
  <w:num w:numId="3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na Fourie">
    <w15:presenceInfo w15:providerId="AD" w15:userId="S-1-5-21-3709997724-3254774634-2930355905-22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559C4"/>
    <w:rsid w:val="00000BBC"/>
    <w:rsid w:val="00005473"/>
    <w:rsid w:val="0001200C"/>
    <w:rsid w:val="00012D04"/>
    <w:rsid w:val="00012ED4"/>
    <w:rsid w:val="00017874"/>
    <w:rsid w:val="00022E5F"/>
    <w:rsid w:val="00023212"/>
    <w:rsid w:val="0002530C"/>
    <w:rsid w:val="00027877"/>
    <w:rsid w:val="00030139"/>
    <w:rsid w:val="00032390"/>
    <w:rsid w:val="00034AED"/>
    <w:rsid w:val="000362B3"/>
    <w:rsid w:val="000374A9"/>
    <w:rsid w:val="0004038D"/>
    <w:rsid w:val="000427B9"/>
    <w:rsid w:val="000449EC"/>
    <w:rsid w:val="000454B2"/>
    <w:rsid w:val="0005114E"/>
    <w:rsid w:val="00054BC3"/>
    <w:rsid w:val="00057898"/>
    <w:rsid w:val="00060134"/>
    <w:rsid w:val="00060386"/>
    <w:rsid w:val="0006472A"/>
    <w:rsid w:val="00070DC4"/>
    <w:rsid w:val="00070F51"/>
    <w:rsid w:val="00074C59"/>
    <w:rsid w:val="00075D05"/>
    <w:rsid w:val="0007679A"/>
    <w:rsid w:val="000830BD"/>
    <w:rsid w:val="0008460B"/>
    <w:rsid w:val="00086951"/>
    <w:rsid w:val="000908E6"/>
    <w:rsid w:val="000958F3"/>
    <w:rsid w:val="000959F3"/>
    <w:rsid w:val="00096F90"/>
    <w:rsid w:val="000A170A"/>
    <w:rsid w:val="000A2F55"/>
    <w:rsid w:val="000A44A2"/>
    <w:rsid w:val="000B5187"/>
    <w:rsid w:val="000C2EE8"/>
    <w:rsid w:val="000C56C9"/>
    <w:rsid w:val="000C6A4F"/>
    <w:rsid w:val="000D05F7"/>
    <w:rsid w:val="000D548E"/>
    <w:rsid w:val="000E12C1"/>
    <w:rsid w:val="000E2996"/>
    <w:rsid w:val="000E492A"/>
    <w:rsid w:val="000E5308"/>
    <w:rsid w:val="000E65F7"/>
    <w:rsid w:val="000E7133"/>
    <w:rsid w:val="000F5351"/>
    <w:rsid w:val="000F7F1D"/>
    <w:rsid w:val="00103608"/>
    <w:rsid w:val="00103EA2"/>
    <w:rsid w:val="0010523D"/>
    <w:rsid w:val="00105D98"/>
    <w:rsid w:val="0012331D"/>
    <w:rsid w:val="001354FC"/>
    <w:rsid w:val="00136EC2"/>
    <w:rsid w:val="00141813"/>
    <w:rsid w:val="0014592C"/>
    <w:rsid w:val="00145AE3"/>
    <w:rsid w:val="00147DBB"/>
    <w:rsid w:val="001571AC"/>
    <w:rsid w:val="00161D3C"/>
    <w:rsid w:val="00162D9A"/>
    <w:rsid w:val="00164B82"/>
    <w:rsid w:val="00167635"/>
    <w:rsid w:val="0017011B"/>
    <w:rsid w:val="00171B51"/>
    <w:rsid w:val="00177F07"/>
    <w:rsid w:val="00180678"/>
    <w:rsid w:val="001819E3"/>
    <w:rsid w:val="00183F9C"/>
    <w:rsid w:val="00185AAF"/>
    <w:rsid w:val="001860B0"/>
    <w:rsid w:val="00190BCB"/>
    <w:rsid w:val="00191ACE"/>
    <w:rsid w:val="00192C61"/>
    <w:rsid w:val="001953A3"/>
    <w:rsid w:val="00195EF7"/>
    <w:rsid w:val="001A0A0B"/>
    <w:rsid w:val="001A34AE"/>
    <w:rsid w:val="001A391C"/>
    <w:rsid w:val="001A3C12"/>
    <w:rsid w:val="001A5C5A"/>
    <w:rsid w:val="001A6247"/>
    <w:rsid w:val="001B34E7"/>
    <w:rsid w:val="001B5803"/>
    <w:rsid w:val="001B6F11"/>
    <w:rsid w:val="001C1975"/>
    <w:rsid w:val="001C2D30"/>
    <w:rsid w:val="001C34A4"/>
    <w:rsid w:val="001C574D"/>
    <w:rsid w:val="001C5991"/>
    <w:rsid w:val="001D087F"/>
    <w:rsid w:val="001D2F3E"/>
    <w:rsid w:val="001D2F8A"/>
    <w:rsid w:val="001D3B9E"/>
    <w:rsid w:val="001E3335"/>
    <w:rsid w:val="001F0BCE"/>
    <w:rsid w:val="001F4013"/>
    <w:rsid w:val="001F4786"/>
    <w:rsid w:val="001F62D1"/>
    <w:rsid w:val="0020288E"/>
    <w:rsid w:val="002105F8"/>
    <w:rsid w:val="0021277B"/>
    <w:rsid w:val="00214CF8"/>
    <w:rsid w:val="00215599"/>
    <w:rsid w:val="00216782"/>
    <w:rsid w:val="00216E62"/>
    <w:rsid w:val="0022535C"/>
    <w:rsid w:val="002272A1"/>
    <w:rsid w:val="00232B09"/>
    <w:rsid w:val="0023536C"/>
    <w:rsid w:val="002424E3"/>
    <w:rsid w:val="002454D7"/>
    <w:rsid w:val="0024586A"/>
    <w:rsid w:val="00246424"/>
    <w:rsid w:val="00251159"/>
    <w:rsid w:val="002515F0"/>
    <w:rsid w:val="00253621"/>
    <w:rsid w:val="00255503"/>
    <w:rsid w:val="002555A8"/>
    <w:rsid w:val="00257A6B"/>
    <w:rsid w:val="002620C7"/>
    <w:rsid w:val="002621C5"/>
    <w:rsid w:val="002624D8"/>
    <w:rsid w:val="00263743"/>
    <w:rsid w:val="00266ACB"/>
    <w:rsid w:val="002709D2"/>
    <w:rsid w:val="002755E4"/>
    <w:rsid w:val="00276607"/>
    <w:rsid w:val="0028125B"/>
    <w:rsid w:val="002846BD"/>
    <w:rsid w:val="00287714"/>
    <w:rsid w:val="002A0214"/>
    <w:rsid w:val="002A238D"/>
    <w:rsid w:val="002B464B"/>
    <w:rsid w:val="002B4E8E"/>
    <w:rsid w:val="002B7560"/>
    <w:rsid w:val="002C0F5C"/>
    <w:rsid w:val="002C4D23"/>
    <w:rsid w:val="002C799C"/>
    <w:rsid w:val="002C7A90"/>
    <w:rsid w:val="002D4102"/>
    <w:rsid w:val="002D607F"/>
    <w:rsid w:val="002D7B77"/>
    <w:rsid w:val="002E0773"/>
    <w:rsid w:val="002E148B"/>
    <w:rsid w:val="002E30BC"/>
    <w:rsid w:val="002E5685"/>
    <w:rsid w:val="002F0BA7"/>
    <w:rsid w:val="002F1072"/>
    <w:rsid w:val="002F1EBB"/>
    <w:rsid w:val="002F696E"/>
    <w:rsid w:val="00306A8F"/>
    <w:rsid w:val="00306FAD"/>
    <w:rsid w:val="00311236"/>
    <w:rsid w:val="00312384"/>
    <w:rsid w:val="00312ADF"/>
    <w:rsid w:val="0031308F"/>
    <w:rsid w:val="00317B9F"/>
    <w:rsid w:val="00320C8B"/>
    <w:rsid w:val="0032124E"/>
    <w:rsid w:val="00322280"/>
    <w:rsid w:val="003231B3"/>
    <w:rsid w:val="00323B68"/>
    <w:rsid w:val="00324231"/>
    <w:rsid w:val="00325A59"/>
    <w:rsid w:val="00325E36"/>
    <w:rsid w:val="0032666E"/>
    <w:rsid w:val="00334464"/>
    <w:rsid w:val="0033638F"/>
    <w:rsid w:val="00342564"/>
    <w:rsid w:val="00342A16"/>
    <w:rsid w:val="003447A8"/>
    <w:rsid w:val="00346CA3"/>
    <w:rsid w:val="00347277"/>
    <w:rsid w:val="00352C49"/>
    <w:rsid w:val="00355613"/>
    <w:rsid w:val="003614A6"/>
    <w:rsid w:val="003620B4"/>
    <w:rsid w:val="00362A9B"/>
    <w:rsid w:val="003630F7"/>
    <w:rsid w:val="003635FB"/>
    <w:rsid w:val="00366028"/>
    <w:rsid w:val="00367600"/>
    <w:rsid w:val="00375940"/>
    <w:rsid w:val="00375BB1"/>
    <w:rsid w:val="00382D4D"/>
    <w:rsid w:val="0038386D"/>
    <w:rsid w:val="00385B55"/>
    <w:rsid w:val="00385F3B"/>
    <w:rsid w:val="00387F2A"/>
    <w:rsid w:val="00390AD0"/>
    <w:rsid w:val="003931A0"/>
    <w:rsid w:val="0039492C"/>
    <w:rsid w:val="00396112"/>
    <w:rsid w:val="0039758F"/>
    <w:rsid w:val="003A0FCD"/>
    <w:rsid w:val="003A5667"/>
    <w:rsid w:val="003A6E99"/>
    <w:rsid w:val="003B0DF5"/>
    <w:rsid w:val="003B1900"/>
    <w:rsid w:val="003B1C2F"/>
    <w:rsid w:val="003B4233"/>
    <w:rsid w:val="003B4DCA"/>
    <w:rsid w:val="003B51B6"/>
    <w:rsid w:val="003B7488"/>
    <w:rsid w:val="003B7620"/>
    <w:rsid w:val="003C3113"/>
    <w:rsid w:val="003C34BC"/>
    <w:rsid w:val="003C41D6"/>
    <w:rsid w:val="003C49F6"/>
    <w:rsid w:val="003C6F86"/>
    <w:rsid w:val="003D2522"/>
    <w:rsid w:val="003D35E9"/>
    <w:rsid w:val="003D7A33"/>
    <w:rsid w:val="003E2E1C"/>
    <w:rsid w:val="003E3826"/>
    <w:rsid w:val="003E668F"/>
    <w:rsid w:val="003E70F8"/>
    <w:rsid w:val="003E733A"/>
    <w:rsid w:val="003E76A2"/>
    <w:rsid w:val="003E7B1C"/>
    <w:rsid w:val="003F0EB7"/>
    <w:rsid w:val="003F129F"/>
    <w:rsid w:val="003F3644"/>
    <w:rsid w:val="003F3F92"/>
    <w:rsid w:val="003F51E6"/>
    <w:rsid w:val="003F6F75"/>
    <w:rsid w:val="003F7DA6"/>
    <w:rsid w:val="0040046F"/>
    <w:rsid w:val="004048EF"/>
    <w:rsid w:val="00407EEC"/>
    <w:rsid w:val="0041175D"/>
    <w:rsid w:val="00414356"/>
    <w:rsid w:val="0041538C"/>
    <w:rsid w:val="00415645"/>
    <w:rsid w:val="004166DA"/>
    <w:rsid w:val="0041690A"/>
    <w:rsid w:val="00423CEE"/>
    <w:rsid w:val="00425546"/>
    <w:rsid w:val="00426568"/>
    <w:rsid w:val="00445573"/>
    <w:rsid w:val="0045078F"/>
    <w:rsid w:val="00454016"/>
    <w:rsid w:val="0045408C"/>
    <w:rsid w:val="00454201"/>
    <w:rsid w:val="004627BC"/>
    <w:rsid w:val="00462D2B"/>
    <w:rsid w:val="0046310E"/>
    <w:rsid w:val="0046437B"/>
    <w:rsid w:val="0046799C"/>
    <w:rsid w:val="004711E5"/>
    <w:rsid w:val="00472D56"/>
    <w:rsid w:val="00475744"/>
    <w:rsid w:val="00475961"/>
    <w:rsid w:val="004768CF"/>
    <w:rsid w:val="0048147E"/>
    <w:rsid w:val="004821DE"/>
    <w:rsid w:val="00483F47"/>
    <w:rsid w:val="00486775"/>
    <w:rsid w:val="00486F1B"/>
    <w:rsid w:val="00491232"/>
    <w:rsid w:val="00491A07"/>
    <w:rsid w:val="00494A22"/>
    <w:rsid w:val="0049661A"/>
    <w:rsid w:val="00497429"/>
    <w:rsid w:val="00497D15"/>
    <w:rsid w:val="004A4349"/>
    <w:rsid w:val="004A4B9A"/>
    <w:rsid w:val="004A538B"/>
    <w:rsid w:val="004B4DA0"/>
    <w:rsid w:val="004C37FB"/>
    <w:rsid w:val="004D0F15"/>
    <w:rsid w:val="004D102D"/>
    <w:rsid w:val="004D145F"/>
    <w:rsid w:val="004D2268"/>
    <w:rsid w:val="004D2DC7"/>
    <w:rsid w:val="004D4421"/>
    <w:rsid w:val="004E01C0"/>
    <w:rsid w:val="004E0B6E"/>
    <w:rsid w:val="004E6DBD"/>
    <w:rsid w:val="004F747A"/>
    <w:rsid w:val="00500C07"/>
    <w:rsid w:val="0050113A"/>
    <w:rsid w:val="0050122E"/>
    <w:rsid w:val="00501551"/>
    <w:rsid w:val="00502F7D"/>
    <w:rsid w:val="00504C46"/>
    <w:rsid w:val="00515350"/>
    <w:rsid w:val="0052650C"/>
    <w:rsid w:val="00530EC6"/>
    <w:rsid w:val="005324A8"/>
    <w:rsid w:val="005330ED"/>
    <w:rsid w:val="00535C28"/>
    <w:rsid w:val="00541D70"/>
    <w:rsid w:val="00542088"/>
    <w:rsid w:val="00542A21"/>
    <w:rsid w:val="0054683B"/>
    <w:rsid w:val="00546D0C"/>
    <w:rsid w:val="00554F46"/>
    <w:rsid w:val="005578F1"/>
    <w:rsid w:val="00560D81"/>
    <w:rsid w:val="00561810"/>
    <w:rsid w:val="00563515"/>
    <w:rsid w:val="00564571"/>
    <w:rsid w:val="0056480A"/>
    <w:rsid w:val="00567C74"/>
    <w:rsid w:val="00573CEA"/>
    <w:rsid w:val="00577B74"/>
    <w:rsid w:val="00586FC5"/>
    <w:rsid w:val="005913E0"/>
    <w:rsid w:val="00593DBA"/>
    <w:rsid w:val="0059403E"/>
    <w:rsid w:val="00594102"/>
    <w:rsid w:val="00596ADA"/>
    <w:rsid w:val="00596D05"/>
    <w:rsid w:val="005A0C1E"/>
    <w:rsid w:val="005A0CB5"/>
    <w:rsid w:val="005A45B1"/>
    <w:rsid w:val="005A4F80"/>
    <w:rsid w:val="005A558B"/>
    <w:rsid w:val="005B16E1"/>
    <w:rsid w:val="005B4FA9"/>
    <w:rsid w:val="005B53F2"/>
    <w:rsid w:val="005B5C14"/>
    <w:rsid w:val="005C042C"/>
    <w:rsid w:val="005C4803"/>
    <w:rsid w:val="005C5364"/>
    <w:rsid w:val="005C5C4D"/>
    <w:rsid w:val="005D1201"/>
    <w:rsid w:val="005D1AA0"/>
    <w:rsid w:val="005D1BF9"/>
    <w:rsid w:val="005D38A3"/>
    <w:rsid w:val="005D552B"/>
    <w:rsid w:val="005E2B6E"/>
    <w:rsid w:val="005E2E36"/>
    <w:rsid w:val="005E3666"/>
    <w:rsid w:val="005E6DB0"/>
    <w:rsid w:val="005F015F"/>
    <w:rsid w:val="005F33CA"/>
    <w:rsid w:val="005F5DA0"/>
    <w:rsid w:val="00605376"/>
    <w:rsid w:val="0060574F"/>
    <w:rsid w:val="0060684E"/>
    <w:rsid w:val="00610F5B"/>
    <w:rsid w:val="00613106"/>
    <w:rsid w:val="00615B7A"/>
    <w:rsid w:val="00617739"/>
    <w:rsid w:val="00621973"/>
    <w:rsid w:val="00625C16"/>
    <w:rsid w:val="00625CAE"/>
    <w:rsid w:val="0063339B"/>
    <w:rsid w:val="006336AF"/>
    <w:rsid w:val="00633D64"/>
    <w:rsid w:val="00645DA8"/>
    <w:rsid w:val="00646E87"/>
    <w:rsid w:val="00652023"/>
    <w:rsid w:val="00652217"/>
    <w:rsid w:val="0065414D"/>
    <w:rsid w:val="006550BE"/>
    <w:rsid w:val="006576A7"/>
    <w:rsid w:val="006611DC"/>
    <w:rsid w:val="00661FF6"/>
    <w:rsid w:val="006621C3"/>
    <w:rsid w:val="006660FA"/>
    <w:rsid w:val="00670333"/>
    <w:rsid w:val="006720D8"/>
    <w:rsid w:val="00672200"/>
    <w:rsid w:val="00673336"/>
    <w:rsid w:val="00681947"/>
    <w:rsid w:val="00682099"/>
    <w:rsid w:val="0068244C"/>
    <w:rsid w:val="00682EF3"/>
    <w:rsid w:val="0069049B"/>
    <w:rsid w:val="00690CE5"/>
    <w:rsid w:val="006931C9"/>
    <w:rsid w:val="0069676A"/>
    <w:rsid w:val="006972AA"/>
    <w:rsid w:val="006A1DAE"/>
    <w:rsid w:val="006A3582"/>
    <w:rsid w:val="006A3A1F"/>
    <w:rsid w:val="006A61BA"/>
    <w:rsid w:val="006A6757"/>
    <w:rsid w:val="006B1DE3"/>
    <w:rsid w:val="006B4F71"/>
    <w:rsid w:val="006C1564"/>
    <w:rsid w:val="006C160D"/>
    <w:rsid w:val="006C21E3"/>
    <w:rsid w:val="006C28E8"/>
    <w:rsid w:val="006C3B8D"/>
    <w:rsid w:val="006C64E4"/>
    <w:rsid w:val="006C741C"/>
    <w:rsid w:val="006D3242"/>
    <w:rsid w:val="006D3644"/>
    <w:rsid w:val="006D42D7"/>
    <w:rsid w:val="006D4705"/>
    <w:rsid w:val="006D4B82"/>
    <w:rsid w:val="006D4DC4"/>
    <w:rsid w:val="006E1CA5"/>
    <w:rsid w:val="006E229E"/>
    <w:rsid w:val="006E2AAD"/>
    <w:rsid w:val="006F0C04"/>
    <w:rsid w:val="006F0C10"/>
    <w:rsid w:val="006F1966"/>
    <w:rsid w:val="006F1C83"/>
    <w:rsid w:val="006F4892"/>
    <w:rsid w:val="006F4FBF"/>
    <w:rsid w:val="006F68B3"/>
    <w:rsid w:val="007065E6"/>
    <w:rsid w:val="00706B3E"/>
    <w:rsid w:val="0071068E"/>
    <w:rsid w:val="00713A21"/>
    <w:rsid w:val="00714668"/>
    <w:rsid w:val="007161F7"/>
    <w:rsid w:val="007222C4"/>
    <w:rsid w:val="00726411"/>
    <w:rsid w:val="0073392E"/>
    <w:rsid w:val="00734AC3"/>
    <w:rsid w:val="00745FD1"/>
    <w:rsid w:val="0075104D"/>
    <w:rsid w:val="0075558C"/>
    <w:rsid w:val="00755641"/>
    <w:rsid w:val="00760867"/>
    <w:rsid w:val="00763045"/>
    <w:rsid w:val="007653DB"/>
    <w:rsid w:val="00767D7A"/>
    <w:rsid w:val="007715E8"/>
    <w:rsid w:val="0077225A"/>
    <w:rsid w:val="00781B40"/>
    <w:rsid w:val="0078780F"/>
    <w:rsid w:val="0079793B"/>
    <w:rsid w:val="007A3259"/>
    <w:rsid w:val="007A4872"/>
    <w:rsid w:val="007A77DE"/>
    <w:rsid w:val="007B1BB1"/>
    <w:rsid w:val="007B2E45"/>
    <w:rsid w:val="007B2FEC"/>
    <w:rsid w:val="007B56AD"/>
    <w:rsid w:val="007B7C2C"/>
    <w:rsid w:val="007C157D"/>
    <w:rsid w:val="007C2D71"/>
    <w:rsid w:val="007C44C3"/>
    <w:rsid w:val="007C64AD"/>
    <w:rsid w:val="007D1775"/>
    <w:rsid w:val="007D20D1"/>
    <w:rsid w:val="007D459F"/>
    <w:rsid w:val="007D7C42"/>
    <w:rsid w:val="007E3663"/>
    <w:rsid w:val="007F2F36"/>
    <w:rsid w:val="007F3D69"/>
    <w:rsid w:val="00800B99"/>
    <w:rsid w:val="00803905"/>
    <w:rsid w:val="00803BE5"/>
    <w:rsid w:val="00807484"/>
    <w:rsid w:val="008102A7"/>
    <w:rsid w:val="008174D8"/>
    <w:rsid w:val="00820DC8"/>
    <w:rsid w:val="00822863"/>
    <w:rsid w:val="008228FD"/>
    <w:rsid w:val="0082311F"/>
    <w:rsid w:val="00825678"/>
    <w:rsid w:val="0082599C"/>
    <w:rsid w:val="00826DBB"/>
    <w:rsid w:val="00831F11"/>
    <w:rsid w:val="00833ABF"/>
    <w:rsid w:val="00834010"/>
    <w:rsid w:val="008421BF"/>
    <w:rsid w:val="0084727E"/>
    <w:rsid w:val="00850197"/>
    <w:rsid w:val="00850C00"/>
    <w:rsid w:val="00854E2B"/>
    <w:rsid w:val="0085507B"/>
    <w:rsid w:val="00855498"/>
    <w:rsid w:val="00861DE7"/>
    <w:rsid w:val="008621C0"/>
    <w:rsid w:val="00863F93"/>
    <w:rsid w:val="008648F6"/>
    <w:rsid w:val="008669BC"/>
    <w:rsid w:val="008700F6"/>
    <w:rsid w:val="008703D7"/>
    <w:rsid w:val="00870618"/>
    <w:rsid w:val="00874230"/>
    <w:rsid w:val="00880848"/>
    <w:rsid w:val="008830C5"/>
    <w:rsid w:val="00893E2E"/>
    <w:rsid w:val="00894082"/>
    <w:rsid w:val="00896A85"/>
    <w:rsid w:val="008975E0"/>
    <w:rsid w:val="008A137F"/>
    <w:rsid w:val="008A139A"/>
    <w:rsid w:val="008A415C"/>
    <w:rsid w:val="008A4521"/>
    <w:rsid w:val="008A5450"/>
    <w:rsid w:val="008A6F46"/>
    <w:rsid w:val="008B2178"/>
    <w:rsid w:val="008B23F2"/>
    <w:rsid w:val="008C06B7"/>
    <w:rsid w:val="008C1712"/>
    <w:rsid w:val="008C37B5"/>
    <w:rsid w:val="008C432A"/>
    <w:rsid w:val="008D0561"/>
    <w:rsid w:val="008D06C4"/>
    <w:rsid w:val="008D0B7B"/>
    <w:rsid w:val="008D1829"/>
    <w:rsid w:val="008D4F9B"/>
    <w:rsid w:val="008E1667"/>
    <w:rsid w:val="008E4FD0"/>
    <w:rsid w:val="008E7B86"/>
    <w:rsid w:val="008F0C7E"/>
    <w:rsid w:val="008F28D7"/>
    <w:rsid w:val="008F2EB8"/>
    <w:rsid w:val="008F3155"/>
    <w:rsid w:val="008F47A4"/>
    <w:rsid w:val="008F7AA9"/>
    <w:rsid w:val="00902713"/>
    <w:rsid w:val="00903010"/>
    <w:rsid w:val="00903171"/>
    <w:rsid w:val="009042DD"/>
    <w:rsid w:val="00905258"/>
    <w:rsid w:val="0090536A"/>
    <w:rsid w:val="009060F6"/>
    <w:rsid w:val="009103D5"/>
    <w:rsid w:val="00910431"/>
    <w:rsid w:val="009176BD"/>
    <w:rsid w:val="0091799C"/>
    <w:rsid w:val="00921491"/>
    <w:rsid w:val="00921D4F"/>
    <w:rsid w:val="0092273D"/>
    <w:rsid w:val="009239CA"/>
    <w:rsid w:val="009256A5"/>
    <w:rsid w:val="0092663D"/>
    <w:rsid w:val="009270E5"/>
    <w:rsid w:val="00931B80"/>
    <w:rsid w:val="00932FA6"/>
    <w:rsid w:val="009345E0"/>
    <w:rsid w:val="00936CC5"/>
    <w:rsid w:val="009473FC"/>
    <w:rsid w:val="00950D88"/>
    <w:rsid w:val="00952771"/>
    <w:rsid w:val="0095417D"/>
    <w:rsid w:val="00955B69"/>
    <w:rsid w:val="009569BF"/>
    <w:rsid w:val="009643AE"/>
    <w:rsid w:val="009666FC"/>
    <w:rsid w:val="00970169"/>
    <w:rsid w:val="00970B16"/>
    <w:rsid w:val="009776E7"/>
    <w:rsid w:val="00981071"/>
    <w:rsid w:val="00982916"/>
    <w:rsid w:val="009837E2"/>
    <w:rsid w:val="00986FDD"/>
    <w:rsid w:val="0098778D"/>
    <w:rsid w:val="00987F92"/>
    <w:rsid w:val="0099338E"/>
    <w:rsid w:val="00993EF6"/>
    <w:rsid w:val="009956B2"/>
    <w:rsid w:val="00997D3C"/>
    <w:rsid w:val="009A0E87"/>
    <w:rsid w:val="009A2A04"/>
    <w:rsid w:val="009A420F"/>
    <w:rsid w:val="009A49C1"/>
    <w:rsid w:val="009A54F0"/>
    <w:rsid w:val="009B4A9B"/>
    <w:rsid w:val="009B4E4B"/>
    <w:rsid w:val="009B5931"/>
    <w:rsid w:val="009B5FD1"/>
    <w:rsid w:val="009B788F"/>
    <w:rsid w:val="009C2130"/>
    <w:rsid w:val="009C5074"/>
    <w:rsid w:val="009C68FD"/>
    <w:rsid w:val="009D0474"/>
    <w:rsid w:val="009D04A9"/>
    <w:rsid w:val="009D5D6F"/>
    <w:rsid w:val="009D5FA8"/>
    <w:rsid w:val="009D6DB3"/>
    <w:rsid w:val="009E1CB8"/>
    <w:rsid w:val="009E1E76"/>
    <w:rsid w:val="009E3AF2"/>
    <w:rsid w:val="009E5859"/>
    <w:rsid w:val="009F0BC7"/>
    <w:rsid w:val="009F1D7F"/>
    <w:rsid w:val="009F3389"/>
    <w:rsid w:val="009F3978"/>
    <w:rsid w:val="009F3CD7"/>
    <w:rsid w:val="009F660C"/>
    <w:rsid w:val="00A00396"/>
    <w:rsid w:val="00A0273B"/>
    <w:rsid w:val="00A03762"/>
    <w:rsid w:val="00A043F3"/>
    <w:rsid w:val="00A0504F"/>
    <w:rsid w:val="00A25421"/>
    <w:rsid w:val="00A27181"/>
    <w:rsid w:val="00A271F1"/>
    <w:rsid w:val="00A2748C"/>
    <w:rsid w:val="00A4257F"/>
    <w:rsid w:val="00A46867"/>
    <w:rsid w:val="00A5024F"/>
    <w:rsid w:val="00A5180F"/>
    <w:rsid w:val="00A526D4"/>
    <w:rsid w:val="00A54448"/>
    <w:rsid w:val="00A547B9"/>
    <w:rsid w:val="00A56511"/>
    <w:rsid w:val="00A57127"/>
    <w:rsid w:val="00A60D6E"/>
    <w:rsid w:val="00A61505"/>
    <w:rsid w:val="00A618B2"/>
    <w:rsid w:val="00A63E1F"/>
    <w:rsid w:val="00A64834"/>
    <w:rsid w:val="00A65EEB"/>
    <w:rsid w:val="00A8534D"/>
    <w:rsid w:val="00A87609"/>
    <w:rsid w:val="00A91526"/>
    <w:rsid w:val="00A92146"/>
    <w:rsid w:val="00A93108"/>
    <w:rsid w:val="00A93F79"/>
    <w:rsid w:val="00AA00F3"/>
    <w:rsid w:val="00AA0D07"/>
    <w:rsid w:val="00AA0E4C"/>
    <w:rsid w:val="00AA16F7"/>
    <w:rsid w:val="00AA2538"/>
    <w:rsid w:val="00AA35CB"/>
    <w:rsid w:val="00AA4778"/>
    <w:rsid w:val="00AA58C0"/>
    <w:rsid w:val="00AB4388"/>
    <w:rsid w:val="00AC01BA"/>
    <w:rsid w:val="00AC1B84"/>
    <w:rsid w:val="00AC27C7"/>
    <w:rsid w:val="00AD0315"/>
    <w:rsid w:val="00AE23A3"/>
    <w:rsid w:val="00AE4F68"/>
    <w:rsid w:val="00AE5A1E"/>
    <w:rsid w:val="00AE62AF"/>
    <w:rsid w:val="00AE6C52"/>
    <w:rsid w:val="00AE7260"/>
    <w:rsid w:val="00AF0319"/>
    <w:rsid w:val="00AF038F"/>
    <w:rsid w:val="00AF1AF3"/>
    <w:rsid w:val="00AF1FB7"/>
    <w:rsid w:val="00AF662C"/>
    <w:rsid w:val="00AF6884"/>
    <w:rsid w:val="00AF7B2C"/>
    <w:rsid w:val="00B0242D"/>
    <w:rsid w:val="00B04223"/>
    <w:rsid w:val="00B042C5"/>
    <w:rsid w:val="00B065F1"/>
    <w:rsid w:val="00B10497"/>
    <w:rsid w:val="00B11DE1"/>
    <w:rsid w:val="00B123A0"/>
    <w:rsid w:val="00B130F1"/>
    <w:rsid w:val="00B1539C"/>
    <w:rsid w:val="00B17946"/>
    <w:rsid w:val="00B21C8D"/>
    <w:rsid w:val="00B22B52"/>
    <w:rsid w:val="00B22C88"/>
    <w:rsid w:val="00B22CEB"/>
    <w:rsid w:val="00B24961"/>
    <w:rsid w:val="00B306B9"/>
    <w:rsid w:val="00B311CF"/>
    <w:rsid w:val="00B3164F"/>
    <w:rsid w:val="00B32BC0"/>
    <w:rsid w:val="00B3388B"/>
    <w:rsid w:val="00B379E4"/>
    <w:rsid w:val="00B454F7"/>
    <w:rsid w:val="00B46B5C"/>
    <w:rsid w:val="00B507B1"/>
    <w:rsid w:val="00B513CD"/>
    <w:rsid w:val="00B523DB"/>
    <w:rsid w:val="00B53205"/>
    <w:rsid w:val="00B534D6"/>
    <w:rsid w:val="00B53A1D"/>
    <w:rsid w:val="00B541CE"/>
    <w:rsid w:val="00B577F4"/>
    <w:rsid w:val="00B645D7"/>
    <w:rsid w:val="00B6462D"/>
    <w:rsid w:val="00B6550B"/>
    <w:rsid w:val="00B65FDE"/>
    <w:rsid w:val="00B66974"/>
    <w:rsid w:val="00B71908"/>
    <w:rsid w:val="00B72C43"/>
    <w:rsid w:val="00B73035"/>
    <w:rsid w:val="00B73CFD"/>
    <w:rsid w:val="00B80DC6"/>
    <w:rsid w:val="00B82EAF"/>
    <w:rsid w:val="00B83CC8"/>
    <w:rsid w:val="00B85671"/>
    <w:rsid w:val="00B9235A"/>
    <w:rsid w:val="00B94CAF"/>
    <w:rsid w:val="00B97EBE"/>
    <w:rsid w:val="00BA1327"/>
    <w:rsid w:val="00BA13E1"/>
    <w:rsid w:val="00BB169A"/>
    <w:rsid w:val="00BB1902"/>
    <w:rsid w:val="00BB1BC9"/>
    <w:rsid w:val="00BB49B2"/>
    <w:rsid w:val="00BB4FFA"/>
    <w:rsid w:val="00BB6E75"/>
    <w:rsid w:val="00BB7045"/>
    <w:rsid w:val="00BC7808"/>
    <w:rsid w:val="00BD0AD9"/>
    <w:rsid w:val="00BD2777"/>
    <w:rsid w:val="00BD3D79"/>
    <w:rsid w:val="00BE302B"/>
    <w:rsid w:val="00BE410C"/>
    <w:rsid w:val="00BE7398"/>
    <w:rsid w:val="00BE7D49"/>
    <w:rsid w:val="00BF42DD"/>
    <w:rsid w:val="00C0154D"/>
    <w:rsid w:val="00C025F7"/>
    <w:rsid w:val="00C030C9"/>
    <w:rsid w:val="00C0611B"/>
    <w:rsid w:val="00C10A15"/>
    <w:rsid w:val="00C12B5C"/>
    <w:rsid w:val="00C1753F"/>
    <w:rsid w:val="00C21857"/>
    <w:rsid w:val="00C22670"/>
    <w:rsid w:val="00C22E85"/>
    <w:rsid w:val="00C241F7"/>
    <w:rsid w:val="00C2430D"/>
    <w:rsid w:val="00C31009"/>
    <w:rsid w:val="00C33B1F"/>
    <w:rsid w:val="00C3459D"/>
    <w:rsid w:val="00C35215"/>
    <w:rsid w:val="00C408B1"/>
    <w:rsid w:val="00C434ED"/>
    <w:rsid w:val="00C45555"/>
    <w:rsid w:val="00C47204"/>
    <w:rsid w:val="00C5139F"/>
    <w:rsid w:val="00C5254F"/>
    <w:rsid w:val="00C64319"/>
    <w:rsid w:val="00C64368"/>
    <w:rsid w:val="00C702C1"/>
    <w:rsid w:val="00C73287"/>
    <w:rsid w:val="00C737D7"/>
    <w:rsid w:val="00C764BF"/>
    <w:rsid w:val="00C76DB1"/>
    <w:rsid w:val="00C779A4"/>
    <w:rsid w:val="00C80A86"/>
    <w:rsid w:val="00C83F7E"/>
    <w:rsid w:val="00C846CD"/>
    <w:rsid w:val="00C905F0"/>
    <w:rsid w:val="00C91A06"/>
    <w:rsid w:val="00C92CFF"/>
    <w:rsid w:val="00C9497A"/>
    <w:rsid w:val="00C95561"/>
    <w:rsid w:val="00C95694"/>
    <w:rsid w:val="00C97790"/>
    <w:rsid w:val="00CA46CD"/>
    <w:rsid w:val="00CA5CA3"/>
    <w:rsid w:val="00CA5D39"/>
    <w:rsid w:val="00CA72C5"/>
    <w:rsid w:val="00CB2F7E"/>
    <w:rsid w:val="00CC171B"/>
    <w:rsid w:val="00CC234B"/>
    <w:rsid w:val="00CC5ED0"/>
    <w:rsid w:val="00CD2D12"/>
    <w:rsid w:val="00CD2F1D"/>
    <w:rsid w:val="00CD39DE"/>
    <w:rsid w:val="00CD3D02"/>
    <w:rsid w:val="00CD57E3"/>
    <w:rsid w:val="00CD5BB9"/>
    <w:rsid w:val="00CD6C23"/>
    <w:rsid w:val="00CE065C"/>
    <w:rsid w:val="00CE1012"/>
    <w:rsid w:val="00CE1D6A"/>
    <w:rsid w:val="00CE3454"/>
    <w:rsid w:val="00CF184C"/>
    <w:rsid w:val="00CF288B"/>
    <w:rsid w:val="00CF5699"/>
    <w:rsid w:val="00CF62FF"/>
    <w:rsid w:val="00CF6F26"/>
    <w:rsid w:val="00D046FD"/>
    <w:rsid w:val="00D04830"/>
    <w:rsid w:val="00D102DD"/>
    <w:rsid w:val="00D121A1"/>
    <w:rsid w:val="00D13113"/>
    <w:rsid w:val="00D13477"/>
    <w:rsid w:val="00D15CF0"/>
    <w:rsid w:val="00D20762"/>
    <w:rsid w:val="00D2316B"/>
    <w:rsid w:val="00D32C68"/>
    <w:rsid w:val="00D34C42"/>
    <w:rsid w:val="00D35430"/>
    <w:rsid w:val="00D360C5"/>
    <w:rsid w:val="00D36BBD"/>
    <w:rsid w:val="00D406AB"/>
    <w:rsid w:val="00D432D1"/>
    <w:rsid w:val="00D434A1"/>
    <w:rsid w:val="00D436CA"/>
    <w:rsid w:val="00D4375F"/>
    <w:rsid w:val="00D47763"/>
    <w:rsid w:val="00D51BDD"/>
    <w:rsid w:val="00D52A21"/>
    <w:rsid w:val="00D52FC7"/>
    <w:rsid w:val="00D53375"/>
    <w:rsid w:val="00D541EA"/>
    <w:rsid w:val="00D60F2B"/>
    <w:rsid w:val="00D647BD"/>
    <w:rsid w:val="00D6546E"/>
    <w:rsid w:val="00D74174"/>
    <w:rsid w:val="00D7444D"/>
    <w:rsid w:val="00D76ACE"/>
    <w:rsid w:val="00D82233"/>
    <w:rsid w:val="00D857DB"/>
    <w:rsid w:val="00D859E7"/>
    <w:rsid w:val="00D87D3A"/>
    <w:rsid w:val="00D90153"/>
    <w:rsid w:val="00D91935"/>
    <w:rsid w:val="00D92DB1"/>
    <w:rsid w:val="00D9502B"/>
    <w:rsid w:val="00D954B6"/>
    <w:rsid w:val="00D95BEB"/>
    <w:rsid w:val="00DA11B6"/>
    <w:rsid w:val="00DA2D61"/>
    <w:rsid w:val="00DA414B"/>
    <w:rsid w:val="00DA5FA6"/>
    <w:rsid w:val="00DA66BD"/>
    <w:rsid w:val="00DC0221"/>
    <w:rsid w:val="00DC1996"/>
    <w:rsid w:val="00DC1A85"/>
    <w:rsid w:val="00DC27CC"/>
    <w:rsid w:val="00DC41EA"/>
    <w:rsid w:val="00DC42C1"/>
    <w:rsid w:val="00DC4D43"/>
    <w:rsid w:val="00DC650B"/>
    <w:rsid w:val="00DD229E"/>
    <w:rsid w:val="00DD4583"/>
    <w:rsid w:val="00DD4CBF"/>
    <w:rsid w:val="00DD5639"/>
    <w:rsid w:val="00DD5E42"/>
    <w:rsid w:val="00DD7B85"/>
    <w:rsid w:val="00DE1485"/>
    <w:rsid w:val="00DE3C26"/>
    <w:rsid w:val="00DE496A"/>
    <w:rsid w:val="00DE6961"/>
    <w:rsid w:val="00DE756C"/>
    <w:rsid w:val="00DE789A"/>
    <w:rsid w:val="00DF24F2"/>
    <w:rsid w:val="00DF4245"/>
    <w:rsid w:val="00E00A0F"/>
    <w:rsid w:val="00E00A59"/>
    <w:rsid w:val="00E0159A"/>
    <w:rsid w:val="00E0602A"/>
    <w:rsid w:val="00E07F38"/>
    <w:rsid w:val="00E07FEF"/>
    <w:rsid w:val="00E1076D"/>
    <w:rsid w:val="00E10CCD"/>
    <w:rsid w:val="00E11C32"/>
    <w:rsid w:val="00E16113"/>
    <w:rsid w:val="00E21739"/>
    <w:rsid w:val="00E219F2"/>
    <w:rsid w:val="00E2789C"/>
    <w:rsid w:val="00E3087E"/>
    <w:rsid w:val="00E328F2"/>
    <w:rsid w:val="00E379B2"/>
    <w:rsid w:val="00E37FA1"/>
    <w:rsid w:val="00E411E5"/>
    <w:rsid w:val="00E42102"/>
    <w:rsid w:val="00E44C2C"/>
    <w:rsid w:val="00E4637F"/>
    <w:rsid w:val="00E501E8"/>
    <w:rsid w:val="00E5246C"/>
    <w:rsid w:val="00E559C4"/>
    <w:rsid w:val="00E57CC1"/>
    <w:rsid w:val="00E57D65"/>
    <w:rsid w:val="00E57E61"/>
    <w:rsid w:val="00E62494"/>
    <w:rsid w:val="00E64CE8"/>
    <w:rsid w:val="00E66446"/>
    <w:rsid w:val="00E71E4C"/>
    <w:rsid w:val="00E723B4"/>
    <w:rsid w:val="00E72AFA"/>
    <w:rsid w:val="00E72F86"/>
    <w:rsid w:val="00E73700"/>
    <w:rsid w:val="00E740DC"/>
    <w:rsid w:val="00E750EF"/>
    <w:rsid w:val="00E75EE7"/>
    <w:rsid w:val="00E8040D"/>
    <w:rsid w:val="00E80730"/>
    <w:rsid w:val="00E910CD"/>
    <w:rsid w:val="00E922C7"/>
    <w:rsid w:val="00E937A0"/>
    <w:rsid w:val="00E96618"/>
    <w:rsid w:val="00E96FD1"/>
    <w:rsid w:val="00EA243F"/>
    <w:rsid w:val="00EA6E9B"/>
    <w:rsid w:val="00EA7385"/>
    <w:rsid w:val="00EA79BC"/>
    <w:rsid w:val="00EA7B91"/>
    <w:rsid w:val="00EB031E"/>
    <w:rsid w:val="00EB0811"/>
    <w:rsid w:val="00EB13EC"/>
    <w:rsid w:val="00EB1B60"/>
    <w:rsid w:val="00EB3CF2"/>
    <w:rsid w:val="00EB6ED9"/>
    <w:rsid w:val="00EC10AE"/>
    <w:rsid w:val="00EC1347"/>
    <w:rsid w:val="00EC38DC"/>
    <w:rsid w:val="00EC581F"/>
    <w:rsid w:val="00ED056F"/>
    <w:rsid w:val="00ED1532"/>
    <w:rsid w:val="00ED3096"/>
    <w:rsid w:val="00ED73AD"/>
    <w:rsid w:val="00EE2B0F"/>
    <w:rsid w:val="00EE3B99"/>
    <w:rsid w:val="00EE61AC"/>
    <w:rsid w:val="00EE7222"/>
    <w:rsid w:val="00EF14AC"/>
    <w:rsid w:val="00EF3C98"/>
    <w:rsid w:val="00EF5FD7"/>
    <w:rsid w:val="00F0465A"/>
    <w:rsid w:val="00F07EFC"/>
    <w:rsid w:val="00F10375"/>
    <w:rsid w:val="00F11A63"/>
    <w:rsid w:val="00F16E9B"/>
    <w:rsid w:val="00F22E59"/>
    <w:rsid w:val="00F251EB"/>
    <w:rsid w:val="00F3116E"/>
    <w:rsid w:val="00F3483D"/>
    <w:rsid w:val="00F34C7A"/>
    <w:rsid w:val="00F35D7A"/>
    <w:rsid w:val="00F417C5"/>
    <w:rsid w:val="00F439BE"/>
    <w:rsid w:val="00F43D8D"/>
    <w:rsid w:val="00F475B0"/>
    <w:rsid w:val="00F54299"/>
    <w:rsid w:val="00F56B16"/>
    <w:rsid w:val="00F56CE7"/>
    <w:rsid w:val="00F60832"/>
    <w:rsid w:val="00F61A0B"/>
    <w:rsid w:val="00F6277F"/>
    <w:rsid w:val="00F63552"/>
    <w:rsid w:val="00F63891"/>
    <w:rsid w:val="00F64373"/>
    <w:rsid w:val="00F65ECC"/>
    <w:rsid w:val="00F66F97"/>
    <w:rsid w:val="00F6760E"/>
    <w:rsid w:val="00F67CCB"/>
    <w:rsid w:val="00F71A13"/>
    <w:rsid w:val="00F720CD"/>
    <w:rsid w:val="00F722EB"/>
    <w:rsid w:val="00F72D7D"/>
    <w:rsid w:val="00F768A6"/>
    <w:rsid w:val="00F77A8B"/>
    <w:rsid w:val="00F81CFB"/>
    <w:rsid w:val="00F8207E"/>
    <w:rsid w:val="00F82D1D"/>
    <w:rsid w:val="00F86557"/>
    <w:rsid w:val="00F865F9"/>
    <w:rsid w:val="00F8793A"/>
    <w:rsid w:val="00F92EF9"/>
    <w:rsid w:val="00F94114"/>
    <w:rsid w:val="00F97613"/>
    <w:rsid w:val="00FA0D09"/>
    <w:rsid w:val="00FA272C"/>
    <w:rsid w:val="00FA5379"/>
    <w:rsid w:val="00FA5DA3"/>
    <w:rsid w:val="00FB0148"/>
    <w:rsid w:val="00FB210B"/>
    <w:rsid w:val="00FB503D"/>
    <w:rsid w:val="00FB6343"/>
    <w:rsid w:val="00FB6D8A"/>
    <w:rsid w:val="00FB7872"/>
    <w:rsid w:val="00FC5374"/>
    <w:rsid w:val="00FD0295"/>
    <w:rsid w:val="00FE020C"/>
    <w:rsid w:val="00FE055C"/>
    <w:rsid w:val="00FE0C05"/>
    <w:rsid w:val="00FE206C"/>
    <w:rsid w:val="00FE24E0"/>
    <w:rsid w:val="00FE5D8F"/>
    <w:rsid w:val="00FE7208"/>
    <w:rsid w:val="00FF2D11"/>
    <w:rsid w:val="00FF378D"/>
    <w:rsid w:val="00FF3D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E42"/>
    <w:pPr>
      <w:spacing w:after="60"/>
      <w:jc w:val="both"/>
    </w:pPr>
    <w:rPr>
      <w:rFonts w:ascii="Arial" w:hAnsi="Arial"/>
      <w:sz w:val="22"/>
      <w:lang w:eastAsia="en-US"/>
    </w:rPr>
  </w:style>
  <w:style w:type="paragraph" w:styleId="Heading1">
    <w:name w:val="heading 1"/>
    <w:basedOn w:val="Normal"/>
    <w:next w:val="Normal"/>
    <w:qFormat/>
    <w:rsid w:val="008D4F9B"/>
    <w:pPr>
      <w:keepNext/>
      <w:spacing w:before="240"/>
      <w:outlineLvl w:val="0"/>
    </w:pPr>
    <w:rPr>
      <w:b/>
      <w:caps/>
      <w:sz w:val="24"/>
    </w:rPr>
  </w:style>
  <w:style w:type="paragraph" w:styleId="Heading2">
    <w:name w:val="heading 2"/>
    <w:basedOn w:val="Heading1"/>
    <w:next w:val="Normal"/>
    <w:autoRedefine/>
    <w:qFormat/>
    <w:rsid w:val="00596ADA"/>
    <w:pPr>
      <w:spacing w:before="120" w:after="120"/>
      <w:outlineLvl w:val="1"/>
    </w:pPr>
    <w:rPr>
      <w:b w:val="0"/>
      <w:caps w:val="0"/>
      <w:sz w:val="22"/>
      <w:u w:val="single"/>
    </w:rPr>
  </w:style>
  <w:style w:type="paragraph" w:styleId="Heading3">
    <w:name w:val="heading 3"/>
    <w:aliases w:val="CMI Heading 3"/>
    <w:basedOn w:val="Heading2"/>
    <w:next w:val="Normal"/>
    <w:qFormat/>
    <w:rsid w:val="00DD5E42"/>
    <w:pPr>
      <w:outlineLvl w:val="2"/>
    </w:pPr>
  </w:style>
  <w:style w:type="paragraph" w:styleId="Heading4">
    <w:name w:val="heading 4"/>
    <w:basedOn w:val="Heading3"/>
    <w:next w:val="Normal"/>
    <w:qFormat/>
    <w:rsid w:val="00DD5E42"/>
    <w:pPr>
      <w:outlineLvl w:val="3"/>
    </w:pPr>
    <w:rPr>
      <w:rFonts w:cs="Arial"/>
      <w:i/>
    </w:rPr>
  </w:style>
  <w:style w:type="paragraph" w:styleId="Heading5">
    <w:name w:val="heading 5"/>
    <w:basedOn w:val="Normal"/>
    <w:next w:val="Normal"/>
    <w:qFormat/>
    <w:rsid w:val="00DD5E42"/>
    <w:pPr>
      <w:spacing w:before="240"/>
      <w:jc w:val="left"/>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46CD"/>
    <w:pPr>
      <w:spacing w:before="240"/>
      <w:jc w:val="center"/>
      <w:outlineLvl w:val="0"/>
    </w:pPr>
    <w:rPr>
      <w:rFonts w:cs="Arial"/>
      <w:b/>
      <w:bCs/>
      <w:caps/>
      <w:kern w:val="28"/>
      <w:sz w:val="28"/>
      <w:szCs w:val="32"/>
    </w:rPr>
  </w:style>
  <w:style w:type="paragraph" w:styleId="ListBullet">
    <w:name w:val="List Bullet"/>
    <w:basedOn w:val="Normal"/>
    <w:autoRedefine/>
    <w:rsid w:val="00DD5E42"/>
    <w:pPr>
      <w:numPr>
        <w:numId w:val="27"/>
      </w:numPr>
    </w:pPr>
  </w:style>
  <w:style w:type="paragraph" w:styleId="List">
    <w:name w:val="List"/>
    <w:basedOn w:val="Normal"/>
    <w:rsid w:val="00DD5E42"/>
    <w:pPr>
      <w:keepNext/>
      <w:numPr>
        <w:numId w:val="26"/>
      </w:numPr>
      <w:jc w:val="left"/>
    </w:pPr>
  </w:style>
  <w:style w:type="paragraph" w:styleId="ListNumber">
    <w:name w:val="List Number"/>
    <w:basedOn w:val="Normal"/>
    <w:rsid w:val="00DD5E42"/>
    <w:pPr>
      <w:keepNext/>
      <w:keepLines/>
      <w:numPr>
        <w:numId w:val="15"/>
      </w:numPr>
      <w:spacing w:after="120"/>
    </w:pPr>
  </w:style>
  <w:style w:type="paragraph" w:styleId="Subtitle">
    <w:name w:val="Subtitle"/>
    <w:basedOn w:val="Normal"/>
    <w:qFormat/>
    <w:rsid w:val="008D4F9B"/>
    <w:pPr>
      <w:jc w:val="center"/>
      <w:outlineLvl w:val="1"/>
    </w:pPr>
    <w:rPr>
      <w:rFonts w:cs="Arial"/>
      <w:b/>
      <w:caps/>
      <w:sz w:val="24"/>
      <w:szCs w:val="24"/>
    </w:rPr>
  </w:style>
  <w:style w:type="paragraph" w:styleId="List2">
    <w:name w:val="List 2"/>
    <w:basedOn w:val="Normal"/>
    <w:rsid w:val="00DD5E42"/>
    <w:pPr>
      <w:keepNext/>
      <w:keepLines/>
      <w:numPr>
        <w:numId w:val="25"/>
      </w:numPr>
    </w:pPr>
  </w:style>
  <w:style w:type="paragraph" w:styleId="Header">
    <w:name w:val="header"/>
    <w:basedOn w:val="Normal"/>
    <w:rsid w:val="00DD5E42"/>
    <w:pPr>
      <w:tabs>
        <w:tab w:val="center" w:pos="4153"/>
        <w:tab w:val="right" w:pos="8306"/>
      </w:tabs>
    </w:pPr>
  </w:style>
  <w:style w:type="paragraph" w:styleId="Footer">
    <w:name w:val="footer"/>
    <w:basedOn w:val="Normal"/>
    <w:rsid w:val="00DD5E42"/>
    <w:pPr>
      <w:tabs>
        <w:tab w:val="right" w:pos="9639"/>
      </w:tabs>
    </w:pPr>
    <w:rPr>
      <w:rFonts w:ascii="Arial Narrow" w:hAnsi="Arial Narrow"/>
    </w:rPr>
  </w:style>
  <w:style w:type="character" w:styleId="PageNumber">
    <w:name w:val="page number"/>
    <w:basedOn w:val="DefaultParagraphFont"/>
    <w:rsid w:val="00DD5E42"/>
  </w:style>
  <w:style w:type="paragraph" w:styleId="BodyTextIndent">
    <w:name w:val="Body Text Indent"/>
    <w:basedOn w:val="Normal"/>
    <w:rsid w:val="00DD5E42"/>
    <w:pPr>
      <w:ind w:left="720"/>
    </w:pPr>
    <w:rPr>
      <w:i/>
      <w:iCs/>
    </w:rPr>
  </w:style>
  <w:style w:type="paragraph" w:customStyle="1" w:styleId="CMIExplanation">
    <w:name w:val="CMI Explanation"/>
    <w:basedOn w:val="Normal"/>
    <w:rsid w:val="00DD5E42"/>
    <w:pPr>
      <w:spacing w:before="60"/>
      <w:jc w:val="left"/>
    </w:pPr>
    <w:rPr>
      <w:rFonts w:ascii="Times New Roman" w:hAnsi="Times New Roman"/>
      <w:snapToGrid w:val="0"/>
      <w:sz w:val="20"/>
    </w:rPr>
  </w:style>
  <w:style w:type="paragraph" w:styleId="BodyText">
    <w:name w:val="Body Text"/>
    <w:basedOn w:val="Normal"/>
    <w:rsid w:val="00DD5E42"/>
    <w:pPr>
      <w:jc w:val="left"/>
    </w:pPr>
  </w:style>
  <w:style w:type="paragraph" w:styleId="BalloonText">
    <w:name w:val="Balloon Text"/>
    <w:basedOn w:val="Normal"/>
    <w:link w:val="BalloonTextChar"/>
    <w:rsid w:val="004A4B9A"/>
    <w:pPr>
      <w:spacing w:after="0"/>
    </w:pPr>
    <w:rPr>
      <w:rFonts w:ascii="Tahoma" w:hAnsi="Tahoma" w:cs="Tahoma"/>
      <w:sz w:val="16"/>
      <w:szCs w:val="16"/>
    </w:rPr>
  </w:style>
  <w:style w:type="character" w:customStyle="1" w:styleId="BalloonTextChar">
    <w:name w:val="Balloon Text Char"/>
    <w:basedOn w:val="DefaultParagraphFont"/>
    <w:link w:val="BalloonText"/>
    <w:rsid w:val="004A4B9A"/>
    <w:rPr>
      <w:rFonts w:ascii="Tahoma" w:hAnsi="Tahoma" w:cs="Tahoma"/>
      <w:sz w:val="16"/>
      <w:szCs w:val="16"/>
      <w:lang w:eastAsia="en-US"/>
    </w:rPr>
  </w:style>
  <w:style w:type="character" w:styleId="Hyperlink">
    <w:name w:val="Hyperlink"/>
    <w:basedOn w:val="DefaultParagraphFont"/>
    <w:uiPriority w:val="99"/>
    <w:unhideWhenUsed/>
    <w:rsid w:val="004A4B9A"/>
    <w:rPr>
      <w:strike w:val="0"/>
      <w:dstrike w:val="0"/>
      <w:color w:val="003399"/>
      <w:u w:val="none"/>
      <w:effect w:val="none"/>
    </w:rPr>
  </w:style>
  <w:style w:type="paragraph" w:styleId="ListParagraph">
    <w:name w:val="List Paragraph"/>
    <w:basedOn w:val="Normal"/>
    <w:uiPriority w:val="34"/>
    <w:qFormat/>
    <w:rsid w:val="00B3164F"/>
    <w:pPr>
      <w:ind w:left="720"/>
      <w:contextualSpacing/>
    </w:pPr>
  </w:style>
  <w:style w:type="character" w:customStyle="1" w:styleId="hps">
    <w:name w:val="hps"/>
    <w:basedOn w:val="DefaultParagraphFont"/>
    <w:rsid w:val="00F82D1D"/>
  </w:style>
  <w:style w:type="character" w:styleId="Strong">
    <w:name w:val="Strong"/>
    <w:qFormat/>
    <w:rsid w:val="00AA0D07"/>
    <w:rPr>
      <w:b/>
      <w:bCs/>
    </w:rPr>
  </w:style>
  <w:style w:type="table" w:styleId="TableGrid">
    <w:name w:val="Table Grid"/>
    <w:basedOn w:val="TableNormal"/>
    <w:uiPriority w:val="59"/>
    <w:rsid w:val="00AC1B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03171"/>
    <w:rPr>
      <w:sz w:val="16"/>
      <w:szCs w:val="16"/>
    </w:rPr>
  </w:style>
  <w:style w:type="paragraph" w:styleId="CommentText">
    <w:name w:val="annotation text"/>
    <w:basedOn w:val="Normal"/>
    <w:link w:val="CommentTextChar"/>
    <w:uiPriority w:val="99"/>
    <w:rsid w:val="00903171"/>
    <w:rPr>
      <w:sz w:val="20"/>
    </w:rPr>
  </w:style>
  <w:style w:type="character" w:customStyle="1" w:styleId="CommentTextChar">
    <w:name w:val="Comment Text Char"/>
    <w:basedOn w:val="DefaultParagraphFont"/>
    <w:link w:val="CommentText"/>
    <w:uiPriority w:val="99"/>
    <w:rsid w:val="00903171"/>
    <w:rPr>
      <w:rFonts w:ascii="Arial" w:hAnsi="Arial"/>
      <w:lang w:eastAsia="en-US"/>
    </w:rPr>
  </w:style>
  <w:style w:type="paragraph" w:styleId="CommentSubject">
    <w:name w:val="annotation subject"/>
    <w:basedOn w:val="CommentText"/>
    <w:next w:val="CommentText"/>
    <w:link w:val="CommentSubjectChar"/>
    <w:rsid w:val="00903171"/>
    <w:rPr>
      <w:b/>
      <w:bCs/>
    </w:rPr>
  </w:style>
  <w:style w:type="character" w:customStyle="1" w:styleId="CommentSubjectChar">
    <w:name w:val="Comment Subject Char"/>
    <w:basedOn w:val="CommentTextChar"/>
    <w:link w:val="CommentSubject"/>
    <w:rsid w:val="00903171"/>
    <w:rPr>
      <w:rFonts w:ascii="Arial" w:hAnsi="Arial"/>
      <w:b/>
      <w:bCs/>
      <w:lang w:eastAsia="en-US"/>
    </w:rPr>
  </w:style>
  <w:style w:type="paragraph" w:customStyle="1" w:styleId="Default">
    <w:name w:val="Default"/>
    <w:rsid w:val="0039492C"/>
    <w:pPr>
      <w:autoSpaceDE w:val="0"/>
      <w:autoSpaceDN w:val="0"/>
      <w:adjustRightInd w:val="0"/>
    </w:pPr>
    <w:rPr>
      <w:rFonts w:ascii="Tahoma" w:hAnsi="Tahoma" w:cs="Tahoma"/>
      <w:color w:val="000000"/>
      <w:sz w:val="24"/>
      <w:szCs w:val="24"/>
    </w:rPr>
  </w:style>
  <w:style w:type="paragraph" w:styleId="Revision">
    <w:name w:val="Revision"/>
    <w:hidden/>
    <w:uiPriority w:val="99"/>
    <w:semiHidden/>
    <w:rsid w:val="003231B3"/>
    <w:rPr>
      <w:rFonts w:ascii="Arial" w:hAnsi="Arial"/>
      <w:sz w:val="22"/>
      <w:lang w:eastAsia="en-US"/>
    </w:rPr>
  </w:style>
  <w:style w:type="paragraph" w:customStyle="1" w:styleId="TableParagraph">
    <w:name w:val="Table Paragraph"/>
    <w:basedOn w:val="Normal"/>
    <w:uiPriority w:val="1"/>
    <w:qFormat/>
    <w:rsid w:val="008B23F2"/>
    <w:pPr>
      <w:widowControl w:val="0"/>
      <w:spacing w:after="0"/>
      <w:jc w:val="left"/>
    </w:pPr>
    <w:rPr>
      <w:rFonts w:asciiTheme="minorHAnsi" w:eastAsiaTheme="minorHAnsi" w:hAnsiTheme="minorHAnsi" w:cstheme="minorBidi"/>
      <w:szCs w:val="22"/>
      <w:lang w:val="en-US"/>
    </w:rPr>
  </w:style>
  <w:style w:type="character" w:customStyle="1" w:styleId="apple-converted-space">
    <w:name w:val="apple-converted-space"/>
    <w:basedOn w:val="DefaultParagraphFont"/>
    <w:rsid w:val="007D7C42"/>
  </w:style>
  <w:style w:type="character" w:styleId="Emphasis">
    <w:name w:val="Emphasis"/>
    <w:basedOn w:val="DefaultParagraphFont"/>
    <w:uiPriority w:val="20"/>
    <w:qFormat/>
    <w:rsid w:val="007D7C42"/>
    <w:rPr>
      <w:i/>
      <w:iCs/>
    </w:rPr>
  </w:style>
  <w:style w:type="paragraph" w:styleId="DocumentMap">
    <w:name w:val="Document Map"/>
    <w:basedOn w:val="Normal"/>
    <w:link w:val="DocumentMapChar"/>
    <w:semiHidden/>
    <w:unhideWhenUsed/>
    <w:rsid w:val="005324A8"/>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5324A8"/>
    <w:rPr>
      <w:rFonts w:ascii="Tahoma" w:hAnsi="Tahoma" w:cs="Tahoma"/>
      <w:sz w:val="16"/>
      <w:szCs w:val="16"/>
      <w:lang w:eastAsia="en-US"/>
    </w:rPr>
  </w:style>
  <w:style w:type="table" w:customStyle="1" w:styleId="TableNormal1">
    <w:name w:val="Table Normal1"/>
    <w:uiPriority w:val="2"/>
    <w:semiHidden/>
    <w:unhideWhenUsed/>
    <w:qFormat/>
    <w:rsid w:val="009666F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lainText">
    <w:name w:val="Plain Text"/>
    <w:basedOn w:val="Normal"/>
    <w:link w:val="PlainTextChar"/>
    <w:uiPriority w:val="99"/>
    <w:semiHidden/>
    <w:unhideWhenUsed/>
    <w:rsid w:val="0041690A"/>
    <w:pPr>
      <w:spacing w:after="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1690A"/>
    <w:rPr>
      <w:rFonts w:ascii="Consolas" w:eastAsiaTheme="minorHAnsi" w:hAnsi="Consolas" w:cstheme="minorBidi"/>
      <w:sz w:val="21"/>
      <w:szCs w:val="21"/>
      <w:lang w:eastAsia="en-US"/>
    </w:rPr>
  </w:style>
  <w:style w:type="table" w:customStyle="1" w:styleId="TableGrid1">
    <w:name w:val="Table Grid1"/>
    <w:basedOn w:val="TableNormal"/>
    <w:next w:val="TableGrid"/>
    <w:uiPriority w:val="59"/>
    <w:rsid w:val="00F11A63"/>
    <w:rPr>
      <w:rFonts w:ascii="Cambria" w:eastAsia="Cambria" w:hAnsi="Cambria"/>
      <w:sz w:val="22"/>
      <w:szCs w:val="22"/>
      <w:lang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739295">
      <w:bodyDiv w:val="1"/>
      <w:marLeft w:val="0"/>
      <w:marRight w:val="0"/>
      <w:marTop w:val="0"/>
      <w:marBottom w:val="0"/>
      <w:divBdr>
        <w:top w:val="none" w:sz="0" w:space="0" w:color="auto"/>
        <w:left w:val="none" w:sz="0" w:space="0" w:color="auto"/>
        <w:bottom w:val="none" w:sz="0" w:space="0" w:color="auto"/>
        <w:right w:val="none" w:sz="0" w:space="0" w:color="auto"/>
      </w:divBdr>
      <w:divsChild>
        <w:div w:id="845558518">
          <w:marLeft w:val="0"/>
          <w:marRight w:val="0"/>
          <w:marTop w:val="0"/>
          <w:marBottom w:val="0"/>
          <w:divBdr>
            <w:top w:val="none" w:sz="0" w:space="0" w:color="auto"/>
            <w:left w:val="none" w:sz="0" w:space="0" w:color="auto"/>
            <w:bottom w:val="none" w:sz="0" w:space="0" w:color="auto"/>
            <w:right w:val="none" w:sz="0" w:space="0" w:color="auto"/>
          </w:divBdr>
          <w:divsChild>
            <w:div w:id="4009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942859">
      <w:bodyDiv w:val="1"/>
      <w:marLeft w:val="0"/>
      <w:marRight w:val="0"/>
      <w:marTop w:val="0"/>
      <w:marBottom w:val="0"/>
      <w:divBdr>
        <w:top w:val="none" w:sz="0" w:space="0" w:color="auto"/>
        <w:left w:val="none" w:sz="0" w:space="0" w:color="auto"/>
        <w:bottom w:val="none" w:sz="0" w:space="0" w:color="auto"/>
        <w:right w:val="none" w:sz="0" w:space="0" w:color="auto"/>
      </w:divBdr>
    </w:div>
    <w:div w:id="1057586579">
      <w:bodyDiv w:val="1"/>
      <w:marLeft w:val="0"/>
      <w:marRight w:val="0"/>
      <w:marTop w:val="0"/>
      <w:marBottom w:val="0"/>
      <w:divBdr>
        <w:top w:val="none" w:sz="0" w:space="0" w:color="auto"/>
        <w:left w:val="none" w:sz="0" w:space="0" w:color="auto"/>
        <w:bottom w:val="none" w:sz="0" w:space="0" w:color="auto"/>
        <w:right w:val="none" w:sz="0" w:space="0" w:color="auto"/>
      </w:divBdr>
      <w:divsChild>
        <w:div w:id="1193037344">
          <w:marLeft w:val="0"/>
          <w:marRight w:val="0"/>
          <w:marTop w:val="0"/>
          <w:marBottom w:val="0"/>
          <w:divBdr>
            <w:top w:val="none" w:sz="0" w:space="0" w:color="auto"/>
            <w:left w:val="none" w:sz="0" w:space="0" w:color="auto"/>
            <w:bottom w:val="none" w:sz="0" w:space="0" w:color="auto"/>
            <w:right w:val="none" w:sz="0" w:space="0" w:color="auto"/>
          </w:divBdr>
          <w:divsChild>
            <w:div w:id="14340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30139">
      <w:bodyDiv w:val="1"/>
      <w:marLeft w:val="0"/>
      <w:marRight w:val="0"/>
      <w:marTop w:val="0"/>
      <w:marBottom w:val="0"/>
      <w:divBdr>
        <w:top w:val="none" w:sz="0" w:space="0" w:color="auto"/>
        <w:left w:val="none" w:sz="0" w:space="0" w:color="auto"/>
        <w:bottom w:val="none" w:sz="0" w:space="0" w:color="auto"/>
        <w:right w:val="none" w:sz="0" w:space="0" w:color="auto"/>
      </w:divBdr>
    </w:div>
    <w:div w:id="1395159202">
      <w:bodyDiv w:val="1"/>
      <w:marLeft w:val="0"/>
      <w:marRight w:val="0"/>
      <w:marTop w:val="0"/>
      <w:marBottom w:val="0"/>
      <w:divBdr>
        <w:top w:val="none" w:sz="0" w:space="0" w:color="auto"/>
        <w:left w:val="none" w:sz="0" w:space="0" w:color="auto"/>
        <w:bottom w:val="none" w:sz="0" w:space="0" w:color="auto"/>
        <w:right w:val="none" w:sz="0" w:space="0" w:color="auto"/>
      </w:divBdr>
      <w:divsChild>
        <w:div w:id="1396276769">
          <w:marLeft w:val="0"/>
          <w:marRight w:val="0"/>
          <w:marTop w:val="0"/>
          <w:marBottom w:val="0"/>
          <w:divBdr>
            <w:top w:val="none" w:sz="0" w:space="0" w:color="auto"/>
            <w:left w:val="none" w:sz="0" w:space="0" w:color="auto"/>
            <w:bottom w:val="none" w:sz="0" w:space="0" w:color="auto"/>
            <w:right w:val="none" w:sz="0" w:space="0" w:color="auto"/>
          </w:divBdr>
          <w:divsChild>
            <w:div w:id="8314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772">
      <w:bodyDiv w:val="1"/>
      <w:marLeft w:val="0"/>
      <w:marRight w:val="0"/>
      <w:marTop w:val="0"/>
      <w:marBottom w:val="0"/>
      <w:divBdr>
        <w:top w:val="none" w:sz="0" w:space="0" w:color="auto"/>
        <w:left w:val="none" w:sz="0" w:space="0" w:color="auto"/>
        <w:bottom w:val="none" w:sz="0" w:space="0" w:color="auto"/>
        <w:right w:val="none" w:sz="0" w:space="0" w:color="auto"/>
      </w:divBdr>
      <w:divsChild>
        <w:div w:id="638268579">
          <w:marLeft w:val="0"/>
          <w:marRight w:val="0"/>
          <w:marTop w:val="0"/>
          <w:marBottom w:val="0"/>
          <w:divBdr>
            <w:top w:val="none" w:sz="0" w:space="0" w:color="auto"/>
            <w:left w:val="none" w:sz="0" w:space="0" w:color="auto"/>
            <w:bottom w:val="none" w:sz="0" w:space="0" w:color="auto"/>
            <w:right w:val="none" w:sz="0" w:space="0" w:color="auto"/>
          </w:divBdr>
          <w:divsChild>
            <w:div w:id="20058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2452">
      <w:bodyDiv w:val="1"/>
      <w:marLeft w:val="0"/>
      <w:marRight w:val="0"/>
      <w:marTop w:val="0"/>
      <w:marBottom w:val="0"/>
      <w:divBdr>
        <w:top w:val="none" w:sz="0" w:space="0" w:color="auto"/>
        <w:left w:val="none" w:sz="0" w:space="0" w:color="auto"/>
        <w:bottom w:val="none" w:sz="0" w:space="0" w:color="auto"/>
        <w:right w:val="none" w:sz="0" w:space="0" w:color="auto"/>
      </w:divBdr>
      <w:divsChild>
        <w:div w:id="1459761191">
          <w:marLeft w:val="0"/>
          <w:marRight w:val="0"/>
          <w:marTop w:val="0"/>
          <w:marBottom w:val="0"/>
          <w:divBdr>
            <w:top w:val="none" w:sz="0" w:space="0" w:color="auto"/>
            <w:left w:val="none" w:sz="0" w:space="0" w:color="auto"/>
            <w:bottom w:val="none" w:sz="0" w:space="0" w:color="auto"/>
            <w:right w:val="none" w:sz="0" w:space="0" w:color="auto"/>
          </w:divBdr>
          <w:divsChild>
            <w:div w:id="21327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258767">
      <w:bodyDiv w:val="1"/>
      <w:marLeft w:val="0"/>
      <w:marRight w:val="0"/>
      <w:marTop w:val="0"/>
      <w:marBottom w:val="0"/>
      <w:divBdr>
        <w:top w:val="none" w:sz="0" w:space="0" w:color="auto"/>
        <w:left w:val="none" w:sz="0" w:space="0" w:color="auto"/>
        <w:bottom w:val="none" w:sz="0" w:space="0" w:color="auto"/>
        <w:right w:val="none" w:sz="0" w:space="0" w:color="auto"/>
      </w:divBdr>
    </w:div>
    <w:div w:id="1790782024">
      <w:bodyDiv w:val="1"/>
      <w:marLeft w:val="0"/>
      <w:marRight w:val="0"/>
      <w:marTop w:val="0"/>
      <w:marBottom w:val="0"/>
      <w:divBdr>
        <w:top w:val="none" w:sz="0" w:space="0" w:color="auto"/>
        <w:left w:val="none" w:sz="0" w:space="0" w:color="auto"/>
        <w:bottom w:val="none" w:sz="0" w:space="0" w:color="auto"/>
        <w:right w:val="none" w:sz="0" w:space="0" w:color="auto"/>
      </w:divBdr>
      <w:divsChild>
        <w:div w:id="1091043851">
          <w:marLeft w:val="0"/>
          <w:marRight w:val="0"/>
          <w:marTop w:val="0"/>
          <w:marBottom w:val="0"/>
          <w:divBdr>
            <w:top w:val="none" w:sz="0" w:space="0" w:color="auto"/>
            <w:left w:val="none" w:sz="0" w:space="0" w:color="auto"/>
            <w:bottom w:val="none" w:sz="0" w:space="0" w:color="auto"/>
            <w:right w:val="none" w:sz="0" w:space="0" w:color="auto"/>
          </w:divBdr>
          <w:divsChild>
            <w:div w:id="1566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8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chemicalbook.com/CASEN_330784-47-9.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emicalbook.com/CASEN_330784-47-9.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emicalbook.com/CASEN_330784-47-9.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35F25-9AC6-4A67-A114-7C3025A6C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7685</Words>
  <Characters>44552</Characters>
  <Application>Microsoft Office Word</Application>
  <DocSecurity>0</DocSecurity>
  <Lines>856</Lines>
  <Paragraphs>483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Product Information</vt:lpstr>
      <vt:lpstr>Product Information</vt:lpstr>
    </vt:vector>
  </TitlesOfParts>
  <Company>Invida Pty Ltd</Company>
  <LinksUpToDate>false</LinksUpToDate>
  <CharactersWithSpaces>51754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Avanafil</dc:title>
  <dc:subject>prescription medicines</dc:subject>
  <dc:creator>Vlatka.Bojanic</dc:creator>
  <cp:keywords>AusPARs</cp:keywords>
  <cp:lastModifiedBy>Lack, Janet</cp:lastModifiedBy>
  <cp:revision>3</cp:revision>
  <cp:lastPrinted>2015-09-11T00:47:00Z</cp:lastPrinted>
  <dcterms:created xsi:type="dcterms:W3CDTF">2016-10-26T23:36:00Z</dcterms:created>
  <dcterms:modified xsi:type="dcterms:W3CDTF">2016-11-08T01:13:00Z</dcterms:modified>
</cp:coreProperties>
</file>