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2"/>
      </w:tblGrid>
      <w:tr w:rsidR="008E7846" w:rsidRPr="00487162" w:rsidTr="00FC5836">
        <w:trPr>
          <w:trHeight w:val="1863"/>
        </w:trPr>
        <w:tc>
          <w:tcPr>
            <w:tcW w:w="8472" w:type="dxa"/>
            <w:tcBorders>
              <w:top w:val="nil"/>
              <w:left w:val="nil"/>
              <w:bottom w:val="nil"/>
              <w:right w:val="nil"/>
            </w:tcBorders>
          </w:tcPr>
          <w:p w:rsidR="008E7846" w:rsidRDefault="00FC5836" w:rsidP="0017078F">
            <w:pPr>
              <w:rPr>
                <w:rFonts w:ascii="Arial" w:hAnsi="Arial" w:cs="Arial"/>
                <w:b/>
                <w:color w:val="002C47"/>
                <w:sz w:val="36"/>
                <w:szCs w:val="36"/>
              </w:rPr>
            </w:pPr>
            <w:r>
              <w:rPr>
                <w:rFonts w:ascii="Arial" w:hAnsi="Arial" w:cs="Arial"/>
                <w:b/>
                <w:color w:val="002C47"/>
                <w:sz w:val="36"/>
                <w:szCs w:val="36"/>
              </w:rPr>
              <w:t>First Round CER report: 30 January 2015</w:t>
            </w:r>
          </w:p>
          <w:p w:rsidR="00FC5836" w:rsidRPr="0017078F" w:rsidRDefault="00FC5836" w:rsidP="0017078F">
            <w:pPr>
              <w:rPr>
                <w:rFonts w:ascii="Arial" w:hAnsi="Arial" w:cs="Arial"/>
                <w:b/>
                <w:color w:val="002C47"/>
                <w:sz w:val="36"/>
                <w:szCs w:val="36"/>
              </w:rPr>
            </w:pPr>
            <w:r>
              <w:rPr>
                <w:rFonts w:ascii="Arial" w:hAnsi="Arial" w:cs="Arial"/>
                <w:b/>
                <w:color w:val="002C47"/>
                <w:sz w:val="36"/>
                <w:szCs w:val="36"/>
              </w:rPr>
              <w:t>Second Round CER report: 25 June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8725B6">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8725B6">
              <w:rPr>
                <w:color w:val="FFFFFF" w:themeColor="background1"/>
              </w:rPr>
              <w:t>Avanafil</w:t>
            </w:r>
          </w:p>
        </w:tc>
      </w:tr>
      <w:tr w:rsidR="00E07F15" w:rsidRPr="00B64760" w:rsidTr="00E07F15">
        <w:tc>
          <w:tcPr>
            <w:tcW w:w="9079" w:type="dxa"/>
          </w:tcPr>
          <w:p w:rsidR="00E07F15" w:rsidRPr="008E7846" w:rsidRDefault="00E07F15" w:rsidP="008725B6">
            <w:pPr>
              <w:pStyle w:val="Subtitle"/>
              <w:rPr>
                <w:color w:val="FFFFFF" w:themeColor="background1"/>
              </w:rPr>
            </w:pPr>
            <w:r w:rsidRPr="008E7846">
              <w:rPr>
                <w:color w:val="FFFFFF" w:themeColor="background1"/>
              </w:rPr>
              <w:t xml:space="preserve">Proprietary Product Name: </w:t>
            </w:r>
            <w:r w:rsidR="008725B6">
              <w:rPr>
                <w:color w:val="FFFFFF" w:themeColor="background1"/>
              </w:rPr>
              <w:t>Spedra</w:t>
            </w:r>
          </w:p>
        </w:tc>
      </w:tr>
      <w:tr w:rsidR="00E07F15" w:rsidRPr="00B64760" w:rsidTr="00E07F15">
        <w:trPr>
          <w:trHeight w:val="486"/>
        </w:trPr>
        <w:tc>
          <w:tcPr>
            <w:tcW w:w="9079" w:type="dxa"/>
          </w:tcPr>
          <w:p w:rsidR="00E07F15" w:rsidRPr="008E7846" w:rsidRDefault="00E07F15" w:rsidP="008725B6">
            <w:pPr>
              <w:pStyle w:val="Subtitle"/>
              <w:rPr>
                <w:color w:val="FFFFFF" w:themeColor="background1"/>
              </w:rPr>
            </w:pPr>
            <w:r w:rsidRPr="008E7846">
              <w:rPr>
                <w:color w:val="FFFFFF" w:themeColor="background1"/>
              </w:rPr>
              <w:t xml:space="preserve">Sponsor: </w:t>
            </w:r>
            <w:r w:rsidR="008725B6">
              <w:rPr>
                <w:color w:val="FFFFFF" w:themeColor="background1"/>
              </w:rPr>
              <w:t>A Menarini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2D32BA">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2D32BA">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2D32BA">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2D32BA">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2D32BA">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E77B22">
        <w:rPr>
          <w:rFonts w:cs="Arial"/>
          <w:lang w:val="en-GB"/>
        </w:rPr>
        <w:t>6</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w:t>
          </w:r>
          <w:bookmarkStart w:id="2" w:name="_GoBack"/>
          <w:bookmarkEnd w:id="2"/>
          <w:r w:rsidRPr="0010788A">
            <w:t>ents</w:t>
          </w:r>
        </w:p>
        <w:p w:rsidR="008D6237"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66365765" w:history="1">
            <w:r w:rsidR="008D6237" w:rsidRPr="00711755">
              <w:rPr>
                <w:rStyle w:val="Hyperlink"/>
                <w:noProof/>
              </w:rPr>
              <w:t>List of abbreviations</w:t>
            </w:r>
            <w:r w:rsidR="008D6237">
              <w:rPr>
                <w:noProof/>
                <w:webHidden/>
              </w:rPr>
              <w:tab/>
            </w:r>
            <w:r w:rsidR="008D6237">
              <w:rPr>
                <w:noProof/>
                <w:webHidden/>
              </w:rPr>
              <w:fldChar w:fldCharType="begin"/>
            </w:r>
            <w:r w:rsidR="008D6237">
              <w:rPr>
                <w:noProof/>
                <w:webHidden/>
              </w:rPr>
              <w:instrText xml:space="preserve"> PAGEREF _Toc466365765 \h </w:instrText>
            </w:r>
            <w:r w:rsidR="008D6237">
              <w:rPr>
                <w:noProof/>
                <w:webHidden/>
              </w:rPr>
            </w:r>
            <w:r w:rsidR="008D6237">
              <w:rPr>
                <w:noProof/>
                <w:webHidden/>
              </w:rPr>
              <w:fldChar w:fldCharType="separate"/>
            </w:r>
            <w:r w:rsidR="008D6237">
              <w:rPr>
                <w:noProof/>
                <w:webHidden/>
              </w:rPr>
              <w:t>5</w:t>
            </w:r>
            <w:r w:rsidR="008D6237">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66" w:history="1">
            <w:r w:rsidRPr="00711755">
              <w:rPr>
                <w:rStyle w:val="Hyperlink"/>
                <w:noProof/>
                <w:lang w:eastAsia="en-AU"/>
              </w:rPr>
              <w:t>1.</w:t>
            </w:r>
            <w:r>
              <w:rPr>
                <w:rFonts w:asciiTheme="minorHAnsi" w:eastAsiaTheme="minorEastAsia" w:hAnsiTheme="minorHAnsi" w:cstheme="minorBidi"/>
                <w:b w:val="0"/>
                <w:noProof/>
                <w:sz w:val="22"/>
                <w:lang w:eastAsia="en-AU"/>
              </w:rPr>
              <w:tab/>
            </w:r>
            <w:r w:rsidRPr="00711755">
              <w:rPr>
                <w:rStyle w:val="Hyperlink"/>
                <w:noProof/>
                <w:lang w:eastAsia="en-AU"/>
              </w:rPr>
              <w:t>Introduction</w:t>
            </w:r>
            <w:r>
              <w:rPr>
                <w:noProof/>
                <w:webHidden/>
              </w:rPr>
              <w:tab/>
            </w:r>
            <w:r>
              <w:rPr>
                <w:noProof/>
                <w:webHidden/>
              </w:rPr>
              <w:fldChar w:fldCharType="begin"/>
            </w:r>
            <w:r>
              <w:rPr>
                <w:noProof/>
                <w:webHidden/>
              </w:rPr>
              <w:instrText xml:space="preserve"> PAGEREF _Toc466365766 \h </w:instrText>
            </w:r>
            <w:r>
              <w:rPr>
                <w:noProof/>
                <w:webHidden/>
              </w:rPr>
            </w:r>
            <w:r>
              <w:rPr>
                <w:noProof/>
                <w:webHidden/>
              </w:rPr>
              <w:fldChar w:fldCharType="separate"/>
            </w:r>
            <w:r>
              <w:rPr>
                <w:noProof/>
                <w:webHidden/>
              </w:rPr>
              <w:t>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67" w:history="1">
            <w:r w:rsidRPr="00711755">
              <w:rPr>
                <w:rStyle w:val="Hyperlink"/>
                <w:noProof/>
              </w:rPr>
              <w:t>1.1.</w:t>
            </w:r>
            <w:r>
              <w:rPr>
                <w:rFonts w:asciiTheme="minorHAnsi" w:eastAsiaTheme="minorEastAsia" w:hAnsiTheme="minorHAnsi" w:cstheme="minorBidi"/>
                <w:noProof/>
                <w:lang w:eastAsia="en-AU"/>
              </w:rPr>
              <w:tab/>
            </w:r>
            <w:r w:rsidRPr="00711755">
              <w:rPr>
                <w:rStyle w:val="Hyperlink"/>
                <w:noProof/>
              </w:rPr>
              <w:t>Dosage forms and strengths</w:t>
            </w:r>
            <w:r>
              <w:rPr>
                <w:noProof/>
                <w:webHidden/>
              </w:rPr>
              <w:tab/>
            </w:r>
            <w:r>
              <w:rPr>
                <w:noProof/>
                <w:webHidden/>
              </w:rPr>
              <w:fldChar w:fldCharType="begin"/>
            </w:r>
            <w:r>
              <w:rPr>
                <w:noProof/>
                <w:webHidden/>
              </w:rPr>
              <w:instrText xml:space="preserve"> PAGEREF _Toc466365767 \h </w:instrText>
            </w:r>
            <w:r>
              <w:rPr>
                <w:noProof/>
                <w:webHidden/>
              </w:rPr>
            </w:r>
            <w:r>
              <w:rPr>
                <w:noProof/>
                <w:webHidden/>
              </w:rPr>
              <w:fldChar w:fldCharType="separate"/>
            </w:r>
            <w:r>
              <w:rPr>
                <w:noProof/>
                <w:webHidden/>
              </w:rPr>
              <w:t>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68" w:history="1">
            <w:r w:rsidRPr="00711755">
              <w:rPr>
                <w:rStyle w:val="Hyperlink"/>
                <w:noProof/>
              </w:rPr>
              <w:t>1.2.</w:t>
            </w:r>
            <w:r>
              <w:rPr>
                <w:rFonts w:asciiTheme="minorHAnsi" w:eastAsiaTheme="minorEastAsia" w:hAnsiTheme="minorHAnsi" w:cstheme="minorBidi"/>
                <w:noProof/>
                <w:lang w:eastAsia="en-AU"/>
              </w:rPr>
              <w:tab/>
            </w:r>
            <w:r w:rsidRPr="00711755">
              <w:rPr>
                <w:rStyle w:val="Hyperlink"/>
                <w:noProof/>
              </w:rPr>
              <w:t>Dosage and administration</w:t>
            </w:r>
            <w:r>
              <w:rPr>
                <w:noProof/>
                <w:webHidden/>
              </w:rPr>
              <w:tab/>
            </w:r>
            <w:r>
              <w:rPr>
                <w:noProof/>
                <w:webHidden/>
              </w:rPr>
              <w:fldChar w:fldCharType="begin"/>
            </w:r>
            <w:r>
              <w:rPr>
                <w:noProof/>
                <w:webHidden/>
              </w:rPr>
              <w:instrText xml:space="preserve"> PAGEREF _Toc466365768 \h </w:instrText>
            </w:r>
            <w:r>
              <w:rPr>
                <w:noProof/>
                <w:webHidden/>
              </w:rPr>
            </w:r>
            <w:r>
              <w:rPr>
                <w:noProof/>
                <w:webHidden/>
              </w:rPr>
              <w:fldChar w:fldCharType="separate"/>
            </w:r>
            <w:r>
              <w:rPr>
                <w:noProof/>
                <w:webHidden/>
              </w:rPr>
              <w:t>8</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69" w:history="1">
            <w:r w:rsidRPr="00711755">
              <w:rPr>
                <w:rStyle w:val="Hyperlink"/>
                <w:noProof/>
              </w:rPr>
              <w:t>2.</w:t>
            </w:r>
            <w:r>
              <w:rPr>
                <w:rFonts w:asciiTheme="minorHAnsi" w:eastAsiaTheme="minorEastAsia" w:hAnsiTheme="minorHAnsi" w:cstheme="minorBidi"/>
                <w:b w:val="0"/>
                <w:noProof/>
                <w:sz w:val="22"/>
                <w:lang w:eastAsia="en-AU"/>
              </w:rPr>
              <w:tab/>
            </w:r>
            <w:r w:rsidRPr="00711755">
              <w:rPr>
                <w:rStyle w:val="Hyperlink"/>
                <w:noProof/>
              </w:rPr>
              <w:t>Clinical rationale</w:t>
            </w:r>
            <w:r>
              <w:rPr>
                <w:noProof/>
                <w:webHidden/>
              </w:rPr>
              <w:tab/>
            </w:r>
            <w:r>
              <w:rPr>
                <w:noProof/>
                <w:webHidden/>
              </w:rPr>
              <w:fldChar w:fldCharType="begin"/>
            </w:r>
            <w:r>
              <w:rPr>
                <w:noProof/>
                <w:webHidden/>
              </w:rPr>
              <w:instrText xml:space="preserve"> PAGEREF _Toc466365769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70" w:history="1">
            <w:r w:rsidRPr="00711755">
              <w:rPr>
                <w:rStyle w:val="Hyperlink"/>
                <w:noProof/>
                <w:lang w:eastAsia="en-AU"/>
              </w:rPr>
              <w:t>3.</w:t>
            </w:r>
            <w:r>
              <w:rPr>
                <w:rFonts w:asciiTheme="minorHAnsi" w:eastAsiaTheme="minorEastAsia" w:hAnsiTheme="minorHAnsi" w:cstheme="minorBidi"/>
                <w:b w:val="0"/>
                <w:noProof/>
                <w:sz w:val="22"/>
                <w:lang w:eastAsia="en-AU"/>
              </w:rPr>
              <w:tab/>
            </w:r>
            <w:r w:rsidRPr="00711755">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_Toc466365770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1" w:history="1">
            <w:r w:rsidRPr="00711755">
              <w:rPr>
                <w:rStyle w:val="Hyperlink"/>
                <w:noProof/>
              </w:rPr>
              <w:t>3.1.</w:t>
            </w:r>
            <w:r>
              <w:rPr>
                <w:rFonts w:asciiTheme="minorHAnsi" w:eastAsiaTheme="minorEastAsia" w:hAnsiTheme="minorHAnsi" w:cstheme="minorBidi"/>
                <w:noProof/>
                <w:lang w:eastAsia="en-AU"/>
              </w:rPr>
              <w:tab/>
            </w:r>
            <w:r w:rsidRPr="00711755">
              <w:rPr>
                <w:rStyle w:val="Hyperlink"/>
                <w:noProof/>
              </w:rPr>
              <w:t>Scope of the clinical dossier</w:t>
            </w:r>
            <w:r>
              <w:rPr>
                <w:noProof/>
                <w:webHidden/>
              </w:rPr>
              <w:tab/>
            </w:r>
            <w:r>
              <w:rPr>
                <w:noProof/>
                <w:webHidden/>
              </w:rPr>
              <w:fldChar w:fldCharType="begin"/>
            </w:r>
            <w:r>
              <w:rPr>
                <w:noProof/>
                <w:webHidden/>
              </w:rPr>
              <w:instrText xml:space="preserve"> PAGEREF _Toc466365771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2" w:history="1">
            <w:r w:rsidRPr="00711755">
              <w:rPr>
                <w:rStyle w:val="Hyperlink"/>
                <w:noProof/>
              </w:rPr>
              <w:t>3.2.</w:t>
            </w:r>
            <w:r>
              <w:rPr>
                <w:rFonts w:asciiTheme="minorHAnsi" w:eastAsiaTheme="minorEastAsia" w:hAnsiTheme="minorHAnsi" w:cstheme="minorBidi"/>
                <w:noProof/>
                <w:lang w:eastAsia="en-AU"/>
              </w:rPr>
              <w:tab/>
            </w:r>
            <w:r w:rsidRPr="00711755">
              <w:rPr>
                <w:rStyle w:val="Hyperlink"/>
                <w:noProof/>
              </w:rPr>
              <w:t>Paediatric data</w:t>
            </w:r>
            <w:r>
              <w:rPr>
                <w:noProof/>
                <w:webHidden/>
              </w:rPr>
              <w:tab/>
            </w:r>
            <w:r>
              <w:rPr>
                <w:noProof/>
                <w:webHidden/>
              </w:rPr>
              <w:fldChar w:fldCharType="begin"/>
            </w:r>
            <w:r>
              <w:rPr>
                <w:noProof/>
                <w:webHidden/>
              </w:rPr>
              <w:instrText xml:space="preserve"> PAGEREF _Toc466365772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3" w:history="1">
            <w:r w:rsidRPr="00711755">
              <w:rPr>
                <w:rStyle w:val="Hyperlink"/>
                <w:noProof/>
              </w:rPr>
              <w:t>3.3.</w:t>
            </w:r>
            <w:r>
              <w:rPr>
                <w:rFonts w:asciiTheme="minorHAnsi" w:eastAsiaTheme="minorEastAsia" w:hAnsiTheme="minorHAnsi" w:cstheme="minorBidi"/>
                <w:noProof/>
                <w:lang w:eastAsia="en-AU"/>
              </w:rPr>
              <w:tab/>
            </w:r>
            <w:r w:rsidRPr="00711755">
              <w:rPr>
                <w:rStyle w:val="Hyperlink"/>
                <w:noProof/>
              </w:rPr>
              <w:t>Good clinical practice</w:t>
            </w:r>
            <w:r>
              <w:rPr>
                <w:noProof/>
                <w:webHidden/>
              </w:rPr>
              <w:tab/>
            </w:r>
            <w:r>
              <w:rPr>
                <w:noProof/>
                <w:webHidden/>
              </w:rPr>
              <w:fldChar w:fldCharType="begin"/>
            </w:r>
            <w:r>
              <w:rPr>
                <w:noProof/>
                <w:webHidden/>
              </w:rPr>
              <w:instrText xml:space="preserve"> PAGEREF _Toc466365773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74" w:history="1">
            <w:r w:rsidRPr="00711755">
              <w:rPr>
                <w:rStyle w:val="Hyperlink"/>
                <w:noProof/>
              </w:rPr>
              <w:t>4.</w:t>
            </w:r>
            <w:r>
              <w:rPr>
                <w:rFonts w:asciiTheme="minorHAnsi" w:eastAsiaTheme="minorEastAsia" w:hAnsiTheme="minorHAnsi" w:cstheme="minorBidi"/>
                <w:b w:val="0"/>
                <w:noProof/>
                <w:sz w:val="22"/>
                <w:lang w:eastAsia="en-AU"/>
              </w:rPr>
              <w:tab/>
            </w:r>
            <w:r w:rsidRPr="00711755">
              <w:rPr>
                <w:rStyle w:val="Hyperlink"/>
                <w:noProof/>
              </w:rPr>
              <w:t>Pharmacokinetics</w:t>
            </w:r>
            <w:r>
              <w:rPr>
                <w:noProof/>
                <w:webHidden/>
              </w:rPr>
              <w:tab/>
            </w:r>
            <w:r>
              <w:rPr>
                <w:noProof/>
                <w:webHidden/>
              </w:rPr>
              <w:fldChar w:fldCharType="begin"/>
            </w:r>
            <w:r>
              <w:rPr>
                <w:noProof/>
                <w:webHidden/>
              </w:rPr>
              <w:instrText xml:space="preserve"> PAGEREF _Toc466365774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5" w:history="1">
            <w:r w:rsidRPr="00711755">
              <w:rPr>
                <w:rStyle w:val="Hyperlink"/>
                <w:noProof/>
              </w:rPr>
              <w:t>4.1.</w:t>
            </w:r>
            <w:r>
              <w:rPr>
                <w:rFonts w:asciiTheme="minorHAnsi" w:eastAsiaTheme="minorEastAsia" w:hAnsiTheme="minorHAnsi" w:cstheme="minorBidi"/>
                <w:noProof/>
                <w:lang w:eastAsia="en-AU"/>
              </w:rPr>
              <w:tab/>
            </w:r>
            <w:r w:rsidRPr="00711755">
              <w:rPr>
                <w:rStyle w:val="Hyperlink"/>
                <w:noProof/>
              </w:rPr>
              <w:t>Studies providing pharmacokinetic data</w:t>
            </w:r>
            <w:r>
              <w:rPr>
                <w:noProof/>
                <w:webHidden/>
              </w:rPr>
              <w:tab/>
            </w:r>
            <w:r>
              <w:rPr>
                <w:noProof/>
                <w:webHidden/>
              </w:rPr>
              <w:fldChar w:fldCharType="begin"/>
            </w:r>
            <w:r>
              <w:rPr>
                <w:noProof/>
                <w:webHidden/>
              </w:rPr>
              <w:instrText xml:space="preserve"> PAGEREF _Toc466365775 \h </w:instrText>
            </w:r>
            <w:r>
              <w:rPr>
                <w:noProof/>
                <w:webHidden/>
              </w:rPr>
            </w:r>
            <w:r>
              <w:rPr>
                <w:noProof/>
                <w:webHidden/>
              </w:rPr>
              <w:fldChar w:fldCharType="separate"/>
            </w:r>
            <w:r>
              <w:rPr>
                <w:noProof/>
                <w:webHidden/>
              </w:rPr>
              <w:t>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6" w:history="1">
            <w:r w:rsidRPr="00711755">
              <w:rPr>
                <w:rStyle w:val="Hyperlink"/>
                <w:noProof/>
              </w:rPr>
              <w:t>4.2.</w:t>
            </w:r>
            <w:r>
              <w:rPr>
                <w:rFonts w:asciiTheme="minorHAnsi" w:eastAsiaTheme="minorEastAsia" w:hAnsiTheme="minorHAnsi" w:cstheme="minorBidi"/>
                <w:noProof/>
                <w:lang w:eastAsia="en-AU"/>
              </w:rPr>
              <w:tab/>
            </w:r>
            <w:r w:rsidRPr="00711755">
              <w:rPr>
                <w:rStyle w:val="Hyperlink"/>
                <w:noProof/>
              </w:rPr>
              <w:t>Summary of pharmacokinetics</w:t>
            </w:r>
            <w:r>
              <w:rPr>
                <w:noProof/>
                <w:webHidden/>
              </w:rPr>
              <w:tab/>
            </w:r>
            <w:r>
              <w:rPr>
                <w:noProof/>
                <w:webHidden/>
              </w:rPr>
              <w:fldChar w:fldCharType="begin"/>
            </w:r>
            <w:r>
              <w:rPr>
                <w:noProof/>
                <w:webHidden/>
              </w:rPr>
              <w:instrText xml:space="preserve"> PAGEREF _Toc466365776 \h </w:instrText>
            </w:r>
            <w:r>
              <w:rPr>
                <w:noProof/>
                <w:webHidden/>
              </w:rPr>
            </w:r>
            <w:r>
              <w:rPr>
                <w:noProof/>
                <w:webHidden/>
              </w:rPr>
              <w:fldChar w:fldCharType="separate"/>
            </w:r>
            <w:r>
              <w:rPr>
                <w:noProof/>
                <w:webHidden/>
              </w:rPr>
              <w:t>10</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7" w:history="1">
            <w:r w:rsidRPr="00711755">
              <w:rPr>
                <w:rStyle w:val="Hyperlink"/>
                <w:noProof/>
              </w:rPr>
              <w:t>4.3.</w:t>
            </w:r>
            <w:r>
              <w:rPr>
                <w:rFonts w:asciiTheme="minorHAnsi" w:eastAsiaTheme="minorEastAsia" w:hAnsiTheme="minorHAnsi" w:cstheme="minorBidi"/>
                <w:noProof/>
                <w:lang w:eastAsia="en-AU"/>
              </w:rPr>
              <w:tab/>
            </w:r>
            <w:r w:rsidRPr="00711755">
              <w:rPr>
                <w:rStyle w:val="Hyperlink"/>
                <w:noProof/>
              </w:rPr>
              <w:t>Evaluator’s overall conclusions on pharmacokinetics</w:t>
            </w:r>
            <w:r>
              <w:rPr>
                <w:noProof/>
                <w:webHidden/>
              </w:rPr>
              <w:tab/>
            </w:r>
            <w:r>
              <w:rPr>
                <w:noProof/>
                <w:webHidden/>
              </w:rPr>
              <w:fldChar w:fldCharType="begin"/>
            </w:r>
            <w:r>
              <w:rPr>
                <w:noProof/>
                <w:webHidden/>
              </w:rPr>
              <w:instrText xml:space="preserve"> PAGEREF _Toc466365777 \h </w:instrText>
            </w:r>
            <w:r>
              <w:rPr>
                <w:noProof/>
                <w:webHidden/>
              </w:rPr>
            </w:r>
            <w:r>
              <w:rPr>
                <w:noProof/>
                <w:webHidden/>
              </w:rPr>
              <w:fldChar w:fldCharType="separate"/>
            </w:r>
            <w:r>
              <w:rPr>
                <w:noProof/>
                <w:webHidden/>
              </w:rPr>
              <w:t>18</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78" w:history="1">
            <w:r w:rsidRPr="00711755">
              <w:rPr>
                <w:rStyle w:val="Hyperlink"/>
                <w:noProof/>
              </w:rPr>
              <w:t>5.</w:t>
            </w:r>
            <w:r>
              <w:rPr>
                <w:rFonts w:asciiTheme="minorHAnsi" w:eastAsiaTheme="minorEastAsia" w:hAnsiTheme="minorHAnsi" w:cstheme="minorBidi"/>
                <w:b w:val="0"/>
                <w:noProof/>
                <w:sz w:val="22"/>
                <w:lang w:eastAsia="en-AU"/>
              </w:rPr>
              <w:tab/>
            </w:r>
            <w:r w:rsidRPr="00711755">
              <w:rPr>
                <w:rStyle w:val="Hyperlink"/>
                <w:noProof/>
              </w:rPr>
              <w:t>Pharmacodynamics</w:t>
            </w:r>
            <w:r>
              <w:rPr>
                <w:noProof/>
                <w:webHidden/>
              </w:rPr>
              <w:tab/>
            </w:r>
            <w:r>
              <w:rPr>
                <w:noProof/>
                <w:webHidden/>
              </w:rPr>
              <w:fldChar w:fldCharType="begin"/>
            </w:r>
            <w:r>
              <w:rPr>
                <w:noProof/>
                <w:webHidden/>
              </w:rPr>
              <w:instrText xml:space="preserve"> PAGEREF _Toc466365778 \h </w:instrText>
            </w:r>
            <w:r>
              <w:rPr>
                <w:noProof/>
                <w:webHidden/>
              </w:rPr>
            </w:r>
            <w:r>
              <w:rPr>
                <w:noProof/>
                <w:webHidden/>
              </w:rPr>
              <w:fldChar w:fldCharType="separate"/>
            </w:r>
            <w:r>
              <w:rPr>
                <w:noProof/>
                <w:webHidden/>
              </w:rPr>
              <w:t>18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79" w:history="1">
            <w:r w:rsidRPr="00711755">
              <w:rPr>
                <w:rStyle w:val="Hyperlink"/>
                <w:noProof/>
              </w:rPr>
              <w:t>5.1.</w:t>
            </w:r>
            <w:r>
              <w:rPr>
                <w:rFonts w:asciiTheme="minorHAnsi" w:eastAsiaTheme="minorEastAsia" w:hAnsiTheme="minorHAnsi" w:cstheme="minorBidi"/>
                <w:noProof/>
                <w:lang w:eastAsia="en-AU"/>
              </w:rPr>
              <w:tab/>
            </w:r>
            <w:r w:rsidRPr="00711755">
              <w:rPr>
                <w:rStyle w:val="Hyperlink"/>
                <w:noProof/>
              </w:rPr>
              <w:t>Studies providing pharmacodynamic data</w:t>
            </w:r>
            <w:r>
              <w:rPr>
                <w:noProof/>
                <w:webHidden/>
              </w:rPr>
              <w:tab/>
            </w:r>
            <w:r>
              <w:rPr>
                <w:noProof/>
                <w:webHidden/>
              </w:rPr>
              <w:fldChar w:fldCharType="begin"/>
            </w:r>
            <w:r>
              <w:rPr>
                <w:noProof/>
                <w:webHidden/>
              </w:rPr>
              <w:instrText xml:space="preserve"> PAGEREF _Toc466365779 \h </w:instrText>
            </w:r>
            <w:r>
              <w:rPr>
                <w:noProof/>
                <w:webHidden/>
              </w:rPr>
            </w:r>
            <w:r>
              <w:rPr>
                <w:noProof/>
                <w:webHidden/>
              </w:rPr>
              <w:fldChar w:fldCharType="separate"/>
            </w:r>
            <w:r>
              <w:rPr>
                <w:noProof/>
                <w:webHidden/>
              </w:rPr>
              <w:t>18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0" w:history="1">
            <w:r w:rsidRPr="00711755">
              <w:rPr>
                <w:rStyle w:val="Hyperlink"/>
                <w:noProof/>
              </w:rPr>
              <w:t>5.2.</w:t>
            </w:r>
            <w:r>
              <w:rPr>
                <w:rFonts w:asciiTheme="minorHAnsi" w:eastAsiaTheme="minorEastAsia" w:hAnsiTheme="minorHAnsi" w:cstheme="minorBidi"/>
                <w:noProof/>
                <w:lang w:eastAsia="en-AU"/>
              </w:rPr>
              <w:tab/>
            </w:r>
            <w:r w:rsidRPr="00711755">
              <w:rPr>
                <w:rStyle w:val="Hyperlink"/>
                <w:noProof/>
              </w:rPr>
              <w:t>Summary of pharmacodynamics</w:t>
            </w:r>
            <w:r>
              <w:rPr>
                <w:noProof/>
                <w:webHidden/>
              </w:rPr>
              <w:tab/>
            </w:r>
            <w:r>
              <w:rPr>
                <w:noProof/>
                <w:webHidden/>
              </w:rPr>
              <w:fldChar w:fldCharType="begin"/>
            </w:r>
            <w:r>
              <w:rPr>
                <w:noProof/>
                <w:webHidden/>
              </w:rPr>
              <w:instrText xml:space="preserve"> PAGEREF _Toc466365780 \h </w:instrText>
            </w:r>
            <w:r>
              <w:rPr>
                <w:noProof/>
                <w:webHidden/>
              </w:rPr>
            </w:r>
            <w:r>
              <w:rPr>
                <w:noProof/>
                <w:webHidden/>
              </w:rPr>
              <w:fldChar w:fldCharType="separate"/>
            </w:r>
            <w:r>
              <w:rPr>
                <w:noProof/>
                <w:webHidden/>
              </w:rPr>
              <w:t>19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1" w:history="1">
            <w:r w:rsidRPr="00711755">
              <w:rPr>
                <w:rStyle w:val="Hyperlink"/>
                <w:noProof/>
              </w:rPr>
              <w:t>5.3.</w:t>
            </w:r>
            <w:r>
              <w:rPr>
                <w:rFonts w:asciiTheme="minorHAnsi" w:eastAsiaTheme="minorEastAsia" w:hAnsiTheme="minorHAnsi" w:cstheme="minorBidi"/>
                <w:noProof/>
                <w:lang w:eastAsia="en-AU"/>
              </w:rPr>
              <w:tab/>
            </w:r>
            <w:r w:rsidRPr="00711755">
              <w:rPr>
                <w:rStyle w:val="Hyperlink"/>
                <w:noProof/>
              </w:rPr>
              <w:t>Evaluator’s overall conclusions on pharmacodynamics</w:t>
            </w:r>
            <w:r>
              <w:rPr>
                <w:noProof/>
                <w:webHidden/>
              </w:rPr>
              <w:tab/>
            </w:r>
            <w:r>
              <w:rPr>
                <w:noProof/>
                <w:webHidden/>
              </w:rPr>
              <w:fldChar w:fldCharType="begin"/>
            </w:r>
            <w:r>
              <w:rPr>
                <w:noProof/>
                <w:webHidden/>
              </w:rPr>
              <w:instrText xml:space="preserve"> PAGEREF _Toc466365781 \h </w:instrText>
            </w:r>
            <w:r>
              <w:rPr>
                <w:noProof/>
                <w:webHidden/>
              </w:rPr>
            </w:r>
            <w:r>
              <w:rPr>
                <w:noProof/>
                <w:webHidden/>
              </w:rPr>
              <w:fldChar w:fldCharType="separate"/>
            </w:r>
            <w:r>
              <w:rPr>
                <w:noProof/>
                <w:webHidden/>
              </w:rPr>
              <w:t>21</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82" w:history="1">
            <w:r w:rsidRPr="00711755">
              <w:rPr>
                <w:rStyle w:val="Hyperlink"/>
                <w:noProof/>
              </w:rPr>
              <w:t>6.</w:t>
            </w:r>
            <w:r>
              <w:rPr>
                <w:rFonts w:asciiTheme="minorHAnsi" w:eastAsiaTheme="minorEastAsia" w:hAnsiTheme="minorHAnsi" w:cstheme="minorBidi"/>
                <w:b w:val="0"/>
                <w:noProof/>
                <w:sz w:val="22"/>
                <w:lang w:eastAsia="en-AU"/>
              </w:rPr>
              <w:tab/>
            </w:r>
            <w:r w:rsidRPr="00711755">
              <w:rPr>
                <w:rStyle w:val="Hyperlink"/>
                <w:noProof/>
              </w:rPr>
              <w:t>Dosage selection for the pivotal studies</w:t>
            </w:r>
            <w:r>
              <w:rPr>
                <w:noProof/>
                <w:webHidden/>
              </w:rPr>
              <w:tab/>
            </w:r>
            <w:r>
              <w:rPr>
                <w:noProof/>
                <w:webHidden/>
              </w:rPr>
              <w:fldChar w:fldCharType="begin"/>
            </w:r>
            <w:r>
              <w:rPr>
                <w:noProof/>
                <w:webHidden/>
              </w:rPr>
              <w:instrText xml:space="preserve"> PAGEREF _Toc466365782 \h </w:instrText>
            </w:r>
            <w:r>
              <w:rPr>
                <w:noProof/>
                <w:webHidden/>
              </w:rPr>
            </w:r>
            <w:r>
              <w:rPr>
                <w:noProof/>
                <w:webHidden/>
              </w:rPr>
              <w:fldChar w:fldCharType="separate"/>
            </w:r>
            <w:r>
              <w:rPr>
                <w:noProof/>
                <w:webHidden/>
              </w:rPr>
              <w:t>21</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3" w:history="1">
            <w:r w:rsidRPr="00711755">
              <w:rPr>
                <w:rStyle w:val="Hyperlink"/>
                <w:noProof/>
              </w:rPr>
              <w:t>6.1.</w:t>
            </w:r>
            <w:r>
              <w:rPr>
                <w:rFonts w:asciiTheme="minorHAnsi" w:eastAsiaTheme="minorEastAsia" w:hAnsiTheme="minorHAnsi" w:cstheme="minorBidi"/>
                <w:noProof/>
                <w:lang w:eastAsia="en-AU"/>
              </w:rPr>
              <w:tab/>
            </w:r>
            <w:r w:rsidRPr="00711755">
              <w:rPr>
                <w:rStyle w:val="Hyperlink"/>
                <w:noProof/>
              </w:rPr>
              <w:t>Study TA-01</w:t>
            </w:r>
            <w:r>
              <w:rPr>
                <w:noProof/>
                <w:webHidden/>
              </w:rPr>
              <w:tab/>
            </w:r>
            <w:r>
              <w:rPr>
                <w:noProof/>
                <w:webHidden/>
              </w:rPr>
              <w:fldChar w:fldCharType="begin"/>
            </w:r>
            <w:r>
              <w:rPr>
                <w:noProof/>
                <w:webHidden/>
              </w:rPr>
              <w:instrText xml:space="preserve"> PAGEREF _Toc466365783 \h </w:instrText>
            </w:r>
            <w:r>
              <w:rPr>
                <w:noProof/>
                <w:webHidden/>
              </w:rPr>
            </w:r>
            <w:r>
              <w:rPr>
                <w:noProof/>
                <w:webHidden/>
              </w:rPr>
              <w:fldChar w:fldCharType="separate"/>
            </w:r>
            <w:r>
              <w:rPr>
                <w:noProof/>
                <w:webHidden/>
              </w:rPr>
              <w:t>21</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4" w:history="1">
            <w:r w:rsidRPr="00711755">
              <w:rPr>
                <w:rStyle w:val="Hyperlink"/>
                <w:noProof/>
              </w:rPr>
              <w:t>6.2.</w:t>
            </w:r>
            <w:r>
              <w:rPr>
                <w:rFonts w:asciiTheme="minorHAnsi" w:eastAsiaTheme="minorEastAsia" w:hAnsiTheme="minorHAnsi" w:cstheme="minorBidi"/>
                <w:noProof/>
                <w:lang w:eastAsia="en-AU"/>
              </w:rPr>
              <w:tab/>
            </w:r>
            <w:r w:rsidRPr="00711755">
              <w:rPr>
                <w:rStyle w:val="Hyperlink"/>
                <w:noProof/>
              </w:rPr>
              <w:t>Study TA-03</w:t>
            </w:r>
            <w:r>
              <w:rPr>
                <w:noProof/>
                <w:webHidden/>
              </w:rPr>
              <w:tab/>
            </w:r>
            <w:r>
              <w:rPr>
                <w:noProof/>
                <w:webHidden/>
              </w:rPr>
              <w:fldChar w:fldCharType="begin"/>
            </w:r>
            <w:r>
              <w:rPr>
                <w:noProof/>
                <w:webHidden/>
              </w:rPr>
              <w:instrText xml:space="preserve"> PAGEREF _Toc466365784 \h </w:instrText>
            </w:r>
            <w:r>
              <w:rPr>
                <w:noProof/>
                <w:webHidden/>
              </w:rPr>
            </w:r>
            <w:r>
              <w:rPr>
                <w:noProof/>
                <w:webHidden/>
              </w:rPr>
              <w:fldChar w:fldCharType="separate"/>
            </w:r>
            <w:r>
              <w:rPr>
                <w:noProof/>
                <w:webHidden/>
              </w:rPr>
              <w:t>27</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5" w:history="1">
            <w:r w:rsidRPr="00711755">
              <w:rPr>
                <w:rStyle w:val="Hyperlink"/>
                <w:noProof/>
              </w:rPr>
              <w:t>6.3.</w:t>
            </w:r>
            <w:r>
              <w:rPr>
                <w:rFonts w:asciiTheme="minorHAnsi" w:eastAsiaTheme="minorEastAsia" w:hAnsiTheme="minorHAnsi" w:cstheme="minorBidi"/>
                <w:noProof/>
                <w:lang w:eastAsia="en-AU"/>
              </w:rPr>
              <w:tab/>
            </w:r>
            <w:r w:rsidRPr="00711755">
              <w:rPr>
                <w:rStyle w:val="Hyperlink"/>
                <w:noProof/>
              </w:rPr>
              <w:t>Study TA-05</w:t>
            </w:r>
            <w:r>
              <w:rPr>
                <w:noProof/>
                <w:webHidden/>
              </w:rPr>
              <w:tab/>
            </w:r>
            <w:r>
              <w:rPr>
                <w:noProof/>
                <w:webHidden/>
              </w:rPr>
              <w:fldChar w:fldCharType="begin"/>
            </w:r>
            <w:r>
              <w:rPr>
                <w:noProof/>
                <w:webHidden/>
              </w:rPr>
              <w:instrText xml:space="preserve"> PAGEREF _Toc466365785 \h </w:instrText>
            </w:r>
            <w:r>
              <w:rPr>
                <w:noProof/>
                <w:webHidden/>
              </w:rPr>
            </w:r>
            <w:r>
              <w:rPr>
                <w:noProof/>
                <w:webHidden/>
              </w:rPr>
              <w:fldChar w:fldCharType="separate"/>
            </w:r>
            <w:r>
              <w:rPr>
                <w:noProof/>
                <w:webHidden/>
              </w:rPr>
              <w:t>28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6" w:history="1">
            <w:r w:rsidRPr="00711755">
              <w:rPr>
                <w:rStyle w:val="Hyperlink"/>
                <w:noProof/>
              </w:rPr>
              <w:t>6.4.</w:t>
            </w:r>
            <w:r>
              <w:rPr>
                <w:rFonts w:asciiTheme="minorHAnsi" w:eastAsiaTheme="minorEastAsia" w:hAnsiTheme="minorHAnsi" w:cstheme="minorBidi"/>
                <w:noProof/>
                <w:lang w:eastAsia="en-AU"/>
              </w:rPr>
              <w:tab/>
            </w:r>
            <w:r w:rsidRPr="00711755">
              <w:rPr>
                <w:rStyle w:val="Hyperlink"/>
                <w:noProof/>
              </w:rPr>
              <w:t>Evaluator’s overall conclusions on the dose finding studies</w:t>
            </w:r>
            <w:r>
              <w:rPr>
                <w:noProof/>
                <w:webHidden/>
              </w:rPr>
              <w:tab/>
            </w:r>
            <w:r>
              <w:rPr>
                <w:noProof/>
                <w:webHidden/>
              </w:rPr>
              <w:fldChar w:fldCharType="begin"/>
            </w:r>
            <w:r>
              <w:rPr>
                <w:noProof/>
                <w:webHidden/>
              </w:rPr>
              <w:instrText xml:space="preserve"> PAGEREF _Toc466365786 \h </w:instrText>
            </w:r>
            <w:r>
              <w:rPr>
                <w:noProof/>
                <w:webHidden/>
              </w:rPr>
            </w:r>
            <w:r>
              <w:rPr>
                <w:noProof/>
                <w:webHidden/>
              </w:rPr>
              <w:fldChar w:fldCharType="separate"/>
            </w:r>
            <w:r>
              <w:rPr>
                <w:noProof/>
                <w:webHidden/>
              </w:rPr>
              <w:t>31</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87" w:history="1">
            <w:r w:rsidRPr="00711755">
              <w:rPr>
                <w:rStyle w:val="Hyperlink"/>
                <w:noProof/>
              </w:rPr>
              <w:t>7.</w:t>
            </w:r>
            <w:r>
              <w:rPr>
                <w:rFonts w:asciiTheme="minorHAnsi" w:eastAsiaTheme="minorEastAsia" w:hAnsiTheme="minorHAnsi" w:cstheme="minorBidi"/>
                <w:b w:val="0"/>
                <w:noProof/>
                <w:sz w:val="22"/>
                <w:lang w:eastAsia="en-AU"/>
              </w:rPr>
              <w:tab/>
            </w:r>
            <w:r w:rsidRPr="00711755">
              <w:rPr>
                <w:rStyle w:val="Hyperlink"/>
                <w:noProof/>
              </w:rPr>
              <w:t>Clinical efficacy</w:t>
            </w:r>
            <w:r>
              <w:rPr>
                <w:noProof/>
                <w:webHidden/>
              </w:rPr>
              <w:tab/>
            </w:r>
            <w:r>
              <w:rPr>
                <w:noProof/>
                <w:webHidden/>
              </w:rPr>
              <w:fldChar w:fldCharType="begin"/>
            </w:r>
            <w:r>
              <w:rPr>
                <w:noProof/>
                <w:webHidden/>
              </w:rPr>
              <w:instrText xml:space="preserve"> PAGEREF _Toc466365787 \h </w:instrText>
            </w:r>
            <w:r>
              <w:rPr>
                <w:noProof/>
                <w:webHidden/>
              </w:rPr>
            </w:r>
            <w:r>
              <w:rPr>
                <w:noProof/>
                <w:webHidden/>
              </w:rPr>
              <w:fldChar w:fldCharType="separate"/>
            </w:r>
            <w:r>
              <w:rPr>
                <w:noProof/>
                <w:webHidden/>
              </w:rPr>
              <w:t>32</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88" w:history="1">
            <w:r w:rsidRPr="00711755">
              <w:rPr>
                <w:rStyle w:val="Hyperlink"/>
                <w:noProof/>
              </w:rPr>
              <w:t>7.1.</w:t>
            </w:r>
            <w:r>
              <w:rPr>
                <w:rFonts w:asciiTheme="minorHAnsi" w:eastAsiaTheme="minorEastAsia" w:hAnsiTheme="minorHAnsi" w:cstheme="minorBidi"/>
                <w:noProof/>
                <w:lang w:eastAsia="en-AU"/>
              </w:rPr>
              <w:tab/>
            </w:r>
            <w:r w:rsidRPr="00711755">
              <w:rPr>
                <w:rStyle w:val="Hyperlink"/>
                <w:noProof/>
              </w:rPr>
              <w:t>Erectile dysfunction</w:t>
            </w:r>
            <w:r>
              <w:rPr>
                <w:noProof/>
                <w:webHidden/>
              </w:rPr>
              <w:tab/>
            </w:r>
            <w:r>
              <w:rPr>
                <w:noProof/>
                <w:webHidden/>
              </w:rPr>
              <w:fldChar w:fldCharType="begin"/>
            </w:r>
            <w:r>
              <w:rPr>
                <w:noProof/>
                <w:webHidden/>
              </w:rPr>
              <w:instrText xml:space="preserve"> PAGEREF _Toc466365788 \h </w:instrText>
            </w:r>
            <w:r>
              <w:rPr>
                <w:noProof/>
                <w:webHidden/>
              </w:rPr>
            </w:r>
            <w:r>
              <w:rPr>
                <w:noProof/>
                <w:webHidden/>
              </w:rPr>
              <w:fldChar w:fldCharType="separate"/>
            </w:r>
            <w:r>
              <w:rPr>
                <w:noProof/>
                <w:webHidden/>
              </w:rPr>
              <w:t>32</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89" w:history="1">
            <w:r w:rsidRPr="00711755">
              <w:rPr>
                <w:rStyle w:val="Hyperlink"/>
                <w:noProof/>
              </w:rPr>
              <w:t>8.</w:t>
            </w:r>
            <w:r>
              <w:rPr>
                <w:rFonts w:asciiTheme="minorHAnsi" w:eastAsiaTheme="minorEastAsia" w:hAnsiTheme="minorHAnsi" w:cstheme="minorBidi"/>
                <w:b w:val="0"/>
                <w:noProof/>
                <w:sz w:val="22"/>
                <w:lang w:eastAsia="en-AU"/>
              </w:rPr>
              <w:tab/>
            </w:r>
            <w:r w:rsidRPr="00711755">
              <w:rPr>
                <w:rStyle w:val="Hyperlink"/>
                <w:noProof/>
              </w:rPr>
              <w:t>Clinical safety</w:t>
            </w:r>
            <w:r>
              <w:rPr>
                <w:noProof/>
                <w:webHidden/>
              </w:rPr>
              <w:tab/>
            </w:r>
            <w:r>
              <w:rPr>
                <w:noProof/>
                <w:webHidden/>
              </w:rPr>
              <w:fldChar w:fldCharType="begin"/>
            </w:r>
            <w:r>
              <w:rPr>
                <w:noProof/>
                <w:webHidden/>
              </w:rPr>
              <w:instrText xml:space="preserve"> PAGEREF _Toc466365789 \h </w:instrText>
            </w:r>
            <w:r>
              <w:rPr>
                <w:noProof/>
                <w:webHidden/>
              </w:rPr>
            </w:r>
            <w:r>
              <w:rPr>
                <w:noProof/>
                <w:webHidden/>
              </w:rPr>
              <w:fldChar w:fldCharType="separate"/>
            </w:r>
            <w:r>
              <w:rPr>
                <w:noProof/>
                <w:webHidden/>
              </w:rPr>
              <w:t>58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0" w:history="1">
            <w:r w:rsidRPr="00711755">
              <w:rPr>
                <w:rStyle w:val="Hyperlink"/>
                <w:noProof/>
              </w:rPr>
              <w:t>8.1.</w:t>
            </w:r>
            <w:r>
              <w:rPr>
                <w:rFonts w:asciiTheme="minorHAnsi" w:eastAsiaTheme="minorEastAsia" w:hAnsiTheme="minorHAnsi" w:cstheme="minorBidi"/>
                <w:noProof/>
                <w:lang w:eastAsia="en-AU"/>
              </w:rPr>
              <w:tab/>
            </w:r>
            <w:r w:rsidRPr="00711755">
              <w:rPr>
                <w:rStyle w:val="Hyperlink"/>
                <w:noProof/>
              </w:rPr>
              <w:t>Studies providing evaluable safety data</w:t>
            </w:r>
            <w:r>
              <w:rPr>
                <w:noProof/>
                <w:webHidden/>
              </w:rPr>
              <w:tab/>
            </w:r>
            <w:r>
              <w:rPr>
                <w:noProof/>
                <w:webHidden/>
              </w:rPr>
              <w:fldChar w:fldCharType="begin"/>
            </w:r>
            <w:r>
              <w:rPr>
                <w:noProof/>
                <w:webHidden/>
              </w:rPr>
              <w:instrText xml:space="preserve"> PAGEREF _Toc466365790 \h </w:instrText>
            </w:r>
            <w:r>
              <w:rPr>
                <w:noProof/>
                <w:webHidden/>
              </w:rPr>
            </w:r>
            <w:r>
              <w:rPr>
                <w:noProof/>
                <w:webHidden/>
              </w:rPr>
              <w:fldChar w:fldCharType="separate"/>
            </w:r>
            <w:r>
              <w:rPr>
                <w:noProof/>
                <w:webHidden/>
              </w:rPr>
              <w:t>58</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1" w:history="1">
            <w:r w:rsidRPr="00711755">
              <w:rPr>
                <w:rStyle w:val="Hyperlink"/>
                <w:noProof/>
              </w:rPr>
              <w:t>8.2.</w:t>
            </w:r>
            <w:r>
              <w:rPr>
                <w:rFonts w:asciiTheme="minorHAnsi" w:eastAsiaTheme="minorEastAsia" w:hAnsiTheme="minorHAnsi" w:cstheme="minorBidi"/>
                <w:noProof/>
                <w:lang w:eastAsia="en-AU"/>
              </w:rPr>
              <w:tab/>
            </w:r>
            <w:r w:rsidRPr="00711755">
              <w:rPr>
                <w:rStyle w:val="Hyperlink"/>
                <w:noProof/>
              </w:rPr>
              <w:t>Patient exposure</w:t>
            </w:r>
            <w:r>
              <w:rPr>
                <w:noProof/>
                <w:webHidden/>
              </w:rPr>
              <w:tab/>
            </w:r>
            <w:r>
              <w:rPr>
                <w:noProof/>
                <w:webHidden/>
              </w:rPr>
              <w:fldChar w:fldCharType="begin"/>
            </w:r>
            <w:r>
              <w:rPr>
                <w:noProof/>
                <w:webHidden/>
              </w:rPr>
              <w:instrText xml:space="preserve"> PAGEREF _Toc466365791 \h </w:instrText>
            </w:r>
            <w:r>
              <w:rPr>
                <w:noProof/>
                <w:webHidden/>
              </w:rPr>
            </w:r>
            <w:r>
              <w:rPr>
                <w:noProof/>
                <w:webHidden/>
              </w:rPr>
              <w:fldChar w:fldCharType="separate"/>
            </w:r>
            <w:r>
              <w:rPr>
                <w:noProof/>
                <w:webHidden/>
              </w:rPr>
              <w:t>59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2" w:history="1">
            <w:r w:rsidRPr="00711755">
              <w:rPr>
                <w:rStyle w:val="Hyperlink"/>
                <w:noProof/>
              </w:rPr>
              <w:t>8.3.</w:t>
            </w:r>
            <w:r>
              <w:rPr>
                <w:rFonts w:asciiTheme="minorHAnsi" w:eastAsiaTheme="minorEastAsia" w:hAnsiTheme="minorHAnsi" w:cstheme="minorBidi"/>
                <w:noProof/>
                <w:lang w:eastAsia="en-AU"/>
              </w:rPr>
              <w:tab/>
            </w:r>
            <w:r w:rsidRPr="00711755">
              <w:rPr>
                <w:rStyle w:val="Hyperlink"/>
                <w:noProof/>
              </w:rPr>
              <w:t>Adverse events</w:t>
            </w:r>
            <w:r>
              <w:rPr>
                <w:noProof/>
                <w:webHidden/>
              </w:rPr>
              <w:tab/>
            </w:r>
            <w:r>
              <w:rPr>
                <w:noProof/>
                <w:webHidden/>
              </w:rPr>
              <w:fldChar w:fldCharType="begin"/>
            </w:r>
            <w:r>
              <w:rPr>
                <w:noProof/>
                <w:webHidden/>
              </w:rPr>
              <w:instrText xml:space="preserve"> PAGEREF _Toc466365792 \h </w:instrText>
            </w:r>
            <w:r>
              <w:rPr>
                <w:noProof/>
                <w:webHidden/>
              </w:rPr>
            </w:r>
            <w:r>
              <w:rPr>
                <w:noProof/>
                <w:webHidden/>
              </w:rPr>
              <w:fldChar w:fldCharType="separate"/>
            </w:r>
            <w:r>
              <w:rPr>
                <w:noProof/>
                <w:webHidden/>
              </w:rPr>
              <w:t>60</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3" w:history="1">
            <w:r w:rsidRPr="00711755">
              <w:rPr>
                <w:rStyle w:val="Hyperlink"/>
                <w:noProof/>
              </w:rPr>
              <w:t>8.4.</w:t>
            </w:r>
            <w:r>
              <w:rPr>
                <w:rFonts w:asciiTheme="minorHAnsi" w:eastAsiaTheme="minorEastAsia" w:hAnsiTheme="minorHAnsi" w:cstheme="minorBidi"/>
                <w:noProof/>
                <w:lang w:eastAsia="en-AU"/>
              </w:rPr>
              <w:tab/>
            </w:r>
            <w:r w:rsidRPr="00711755">
              <w:rPr>
                <w:rStyle w:val="Hyperlink"/>
                <w:noProof/>
              </w:rPr>
              <w:t>Laboratory tests</w:t>
            </w:r>
            <w:r>
              <w:rPr>
                <w:noProof/>
                <w:webHidden/>
              </w:rPr>
              <w:tab/>
            </w:r>
            <w:r>
              <w:rPr>
                <w:noProof/>
                <w:webHidden/>
              </w:rPr>
              <w:fldChar w:fldCharType="begin"/>
            </w:r>
            <w:r>
              <w:rPr>
                <w:noProof/>
                <w:webHidden/>
              </w:rPr>
              <w:instrText xml:space="preserve"> PAGEREF _Toc466365793 \h </w:instrText>
            </w:r>
            <w:r>
              <w:rPr>
                <w:noProof/>
                <w:webHidden/>
              </w:rPr>
            </w:r>
            <w:r>
              <w:rPr>
                <w:noProof/>
                <w:webHidden/>
              </w:rPr>
              <w:fldChar w:fldCharType="separate"/>
            </w:r>
            <w:r>
              <w:rPr>
                <w:noProof/>
                <w:webHidden/>
              </w:rPr>
              <w:t>63</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4" w:history="1">
            <w:r w:rsidRPr="00711755">
              <w:rPr>
                <w:rStyle w:val="Hyperlink"/>
                <w:noProof/>
              </w:rPr>
              <w:t>8.5.</w:t>
            </w:r>
            <w:r>
              <w:rPr>
                <w:rFonts w:asciiTheme="minorHAnsi" w:eastAsiaTheme="minorEastAsia" w:hAnsiTheme="minorHAnsi" w:cstheme="minorBidi"/>
                <w:noProof/>
                <w:lang w:eastAsia="en-AU"/>
              </w:rPr>
              <w:tab/>
            </w:r>
            <w:r w:rsidRPr="00711755">
              <w:rPr>
                <w:rStyle w:val="Hyperlink"/>
                <w:noProof/>
              </w:rPr>
              <w:t>Post-marketing experience</w:t>
            </w:r>
            <w:r>
              <w:rPr>
                <w:noProof/>
                <w:webHidden/>
              </w:rPr>
              <w:tab/>
            </w:r>
            <w:r>
              <w:rPr>
                <w:noProof/>
                <w:webHidden/>
              </w:rPr>
              <w:fldChar w:fldCharType="begin"/>
            </w:r>
            <w:r>
              <w:rPr>
                <w:noProof/>
                <w:webHidden/>
              </w:rPr>
              <w:instrText xml:space="preserve"> PAGEREF _Toc466365794 \h </w:instrText>
            </w:r>
            <w:r>
              <w:rPr>
                <w:noProof/>
                <w:webHidden/>
              </w:rPr>
            </w:r>
            <w:r>
              <w:rPr>
                <w:noProof/>
                <w:webHidden/>
              </w:rPr>
              <w:fldChar w:fldCharType="separate"/>
            </w:r>
            <w:r>
              <w:rPr>
                <w:noProof/>
                <w:webHidden/>
              </w:rPr>
              <w:t>66</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5" w:history="1">
            <w:r w:rsidRPr="00711755">
              <w:rPr>
                <w:rStyle w:val="Hyperlink"/>
                <w:noProof/>
              </w:rPr>
              <w:t>8.6.</w:t>
            </w:r>
            <w:r>
              <w:rPr>
                <w:rFonts w:asciiTheme="minorHAnsi" w:eastAsiaTheme="minorEastAsia" w:hAnsiTheme="minorHAnsi" w:cstheme="minorBidi"/>
                <w:noProof/>
                <w:lang w:eastAsia="en-AU"/>
              </w:rPr>
              <w:tab/>
            </w:r>
            <w:r w:rsidRPr="00711755">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_Toc466365795 \h </w:instrText>
            </w:r>
            <w:r>
              <w:rPr>
                <w:noProof/>
                <w:webHidden/>
              </w:rPr>
            </w:r>
            <w:r>
              <w:rPr>
                <w:noProof/>
                <w:webHidden/>
              </w:rPr>
              <w:fldChar w:fldCharType="separate"/>
            </w:r>
            <w:r>
              <w:rPr>
                <w:noProof/>
                <w:webHidden/>
              </w:rPr>
              <w:t>67</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6" w:history="1">
            <w:r w:rsidRPr="00711755">
              <w:rPr>
                <w:rStyle w:val="Hyperlink"/>
                <w:noProof/>
              </w:rPr>
              <w:t>8.7.</w:t>
            </w:r>
            <w:r>
              <w:rPr>
                <w:rFonts w:asciiTheme="minorHAnsi" w:eastAsiaTheme="minorEastAsia" w:hAnsiTheme="minorHAnsi" w:cstheme="minorBidi"/>
                <w:noProof/>
                <w:lang w:eastAsia="en-AU"/>
              </w:rPr>
              <w:tab/>
            </w:r>
            <w:r w:rsidRPr="00711755">
              <w:rPr>
                <w:rStyle w:val="Hyperlink"/>
                <w:noProof/>
              </w:rPr>
              <w:t>Other safety issues</w:t>
            </w:r>
            <w:r>
              <w:rPr>
                <w:noProof/>
                <w:webHidden/>
              </w:rPr>
              <w:tab/>
            </w:r>
            <w:r>
              <w:rPr>
                <w:noProof/>
                <w:webHidden/>
              </w:rPr>
              <w:fldChar w:fldCharType="begin"/>
            </w:r>
            <w:r>
              <w:rPr>
                <w:noProof/>
                <w:webHidden/>
              </w:rPr>
              <w:instrText xml:space="preserve"> PAGEREF _Toc466365796 \h </w:instrText>
            </w:r>
            <w:r>
              <w:rPr>
                <w:noProof/>
                <w:webHidden/>
              </w:rPr>
            </w:r>
            <w:r>
              <w:rPr>
                <w:noProof/>
                <w:webHidden/>
              </w:rPr>
              <w:fldChar w:fldCharType="separate"/>
            </w:r>
            <w:r>
              <w:rPr>
                <w:noProof/>
                <w:webHidden/>
              </w:rPr>
              <w:t>67</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7" w:history="1">
            <w:r w:rsidRPr="00711755">
              <w:rPr>
                <w:rStyle w:val="Hyperlink"/>
                <w:noProof/>
              </w:rPr>
              <w:t>8.8.</w:t>
            </w:r>
            <w:r>
              <w:rPr>
                <w:rFonts w:asciiTheme="minorHAnsi" w:eastAsiaTheme="minorEastAsia" w:hAnsiTheme="minorHAnsi" w:cstheme="minorBidi"/>
                <w:noProof/>
                <w:lang w:eastAsia="en-AU"/>
              </w:rPr>
              <w:tab/>
            </w:r>
            <w:r w:rsidRPr="00711755">
              <w:rPr>
                <w:rStyle w:val="Hyperlink"/>
                <w:noProof/>
              </w:rPr>
              <w:t>Evaluator’s overall conclusions on clinical safety</w:t>
            </w:r>
            <w:r>
              <w:rPr>
                <w:noProof/>
                <w:webHidden/>
              </w:rPr>
              <w:tab/>
            </w:r>
            <w:r>
              <w:rPr>
                <w:noProof/>
                <w:webHidden/>
              </w:rPr>
              <w:fldChar w:fldCharType="begin"/>
            </w:r>
            <w:r>
              <w:rPr>
                <w:noProof/>
                <w:webHidden/>
              </w:rPr>
              <w:instrText xml:space="preserve"> PAGEREF _Toc466365797 \h </w:instrText>
            </w:r>
            <w:r>
              <w:rPr>
                <w:noProof/>
                <w:webHidden/>
              </w:rPr>
            </w:r>
            <w:r>
              <w:rPr>
                <w:noProof/>
                <w:webHidden/>
              </w:rPr>
              <w:fldChar w:fldCharType="separate"/>
            </w:r>
            <w:r>
              <w:rPr>
                <w:noProof/>
                <w:webHidden/>
              </w:rPr>
              <w:t>68</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798" w:history="1">
            <w:r w:rsidRPr="00711755">
              <w:rPr>
                <w:rStyle w:val="Hyperlink"/>
                <w:noProof/>
              </w:rPr>
              <w:t>9.</w:t>
            </w:r>
            <w:r>
              <w:rPr>
                <w:rFonts w:asciiTheme="minorHAnsi" w:eastAsiaTheme="minorEastAsia" w:hAnsiTheme="minorHAnsi" w:cstheme="minorBidi"/>
                <w:b w:val="0"/>
                <w:noProof/>
                <w:sz w:val="22"/>
                <w:lang w:eastAsia="en-AU"/>
              </w:rPr>
              <w:tab/>
            </w:r>
            <w:r w:rsidRPr="00711755">
              <w:rPr>
                <w:rStyle w:val="Hyperlink"/>
                <w:noProof/>
              </w:rPr>
              <w:t>First round benefit-risk assessment</w:t>
            </w:r>
            <w:r>
              <w:rPr>
                <w:noProof/>
                <w:webHidden/>
              </w:rPr>
              <w:tab/>
            </w:r>
            <w:r>
              <w:rPr>
                <w:noProof/>
                <w:webHidden/>
              </w:rPr>
              <w:fldChar w:fldCharType="begin"/>
            </w:r>
            <w:r>
              <w:rPr>
                <w:noProof/>
                <w:webHidden/>
              </w:rPr>
              <w:instrText xml:space="preserve"> PAGEREF _Toc466365798 \h </w:instrText>
            </w:r>
            <w:r>
              <w:rPr>
                <w:noProof/>
                <w:webHidden/>
              </w:rPr>
            </w:r>
            <w:r>
              <w:rPr>
                <w:noProof/>
                <w:webHidden/>
              </w:rPr>
              <w:fldChar w:fldCharType="separate"/>
            </w:r>
            <w:r>
              <w:rPr>
                <w:noProof/>
                <w:webHidden/>
              </w:rPr>
              <w:t>69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799" w:history="1">
            <w:r w:rsidRPr="00711755">
              <w:rPr>
                <w:rStyle w:val="Hyperlink"/>
                <w:noProof/>
              </w:rPr>
              <w:t>9.1.</w:t>
            </w:r>
            <w:r>
              <w:rPr>
                <w:rFonts w:asciiTheme="minorHAnsi" w:eastAsiaTheme="minorEastAsia" w:hAnsiTheme="minorHAnsi" w:cstheme="minorBidi"/>
                <w:noProof/>
                <w:lang w:eastAsia="en-AU"/>
              </w:rPr>
              <w:tab/>
            </w:r>
            <w:r w:rsidRPr="00711755">
              <w:rPr>
                <w:rStyle w:val="Hyperlink"/>
                <w:noProof/>
              </w:rPr>
              <w:t>First round assessment of benefits</w:t>
            </w:r>
            <w:r>
              <w:rPr>
                <w:noProof/>
                <w:webHidden/>
              </w:rPr>
              <w:tab/>
            </w:r>
            <w:r>
              <w:rPr>
                <w:noProof/>
                <w:webHidden/>
              </w:rPr>
              <w:fldChar w:fldCharType="begin"/>
            </w:r>
            <w:r>
              <w:rPr>
                <w:noProof/>
                <w:webHidden/>
              </w:rPr>
              <w:instrText xml:space="preserve"> PAGEREF _Toc466365799 \h </w:instrText>
            </w:r>
            <w:r>
              <w:rPr>
                <w:noProof/>
                <w:webHidden/>
              </w:rPr>
            </w:r>
            <w:r>
              <w:rPr>
                <w:noProof/>
                <w:webHidden/>
              </w:rPr>
              <w:fldChar w:fldCharType="separate"/>
            </w:r>
            <w:r>
              <w:rPr>
                <w:noProof/>
                <w:webHidden/>
              </w:rPr>
              <w:t>69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800" w:history="1">
            <w:r w:rsidRPr="00711755">
              <w:rPr>
                <w:rStyle w:val="Hyperlink"/>
                <w:noProof/>
              </w:rPr>
              <w:t>9.2.</w:t>
            </w:r>
            <w:r>
              <w:rPr>
                <w:rFonts w:asciiTheme="minorHAnsi" w:eastAsiaTheme="minorEastAsia" w:hAnsiTheme="minorHAnsi" w:cstheme="minorBidi"/>
                <w:noProof/>
                <w:lang w:eastAsia="en-AU"/>
              </w:rPr>
              <w:tab/>
            </w:r>
            <w:r w:rsidRPr="00711755">
              <w:rPr>
                <w:rStyle w:val="Hyperlink"/>
                <w:noProof/>
              </w:rPr>
              <w:t>First round assessment of risks</w:t>
            </w:r>
            <w:r>
              <w:rPr>
                <w:noProof/>
                <w:webHidden/>
              </w:rPr>
              <w:tab/>
            </w:r>
            <w:r>
              <w:rPr>
                <w:noProof/>
                <w:webHidden/>
              </w:rPr>
              <w:fldChar w:fldCharType="begin"/>
            </w:r>
            <w:r>
              <w:rPr>
                <w:noProof/>
                <w:webHidden/>
              </w:rPr>
              <w:instrText xml:space="preserve"> PAGEREF _Toc466365800 \h </w:instrText>
            </w:r>
            <w:r>
              <w:rPr>
                <w:noProof/>
                <w:webHidden/>
              </w:rPr>
            </w:r>
            <w:r>
              <w:rPr>
                <w:noProof/>
                <w:webHidden/>
              </w:rPr>
              <w:fldChar w:fldCharType="separate"/>
            </w:r>
            <w:r>
              <w:rPr>
                <w:noProof/>
                <w:webHidden/>
              </w:rPr>
              <w:t>69</w:t>
            </w:r>
            <w:r>
              <w:rPr>
                <w:noProof/>
                <w:webHidden/>
              </w:rPr>
              <w:fldChar w:fldCharType="end"/>
            </w:r>
          </w:hyperlink>
        </w:p>
        <w:p w:rsidR="008D6237" w:rsidRDefault="008D6237">
          <w:pPr>
            <w:pStyle w:val="TOC3"/>
            <w:tabs>
              <w:tab w:val="left" w:pos="1575"/>
            </w:tabs>
            <w:rPr>
              <w:rFonts w:asciiTheme="minorHAnsi" w:eastAsiaTheme="minorEastAsia" w:hAnsiTheme="minorHAnsi" w:cstheme="minorBidi"/>
              <w:noProof/>
              <w:lang w:eastAsia="en-AU"/>
            </w:rPr>
          </w:pPr>
          <w:hyperlink w:anchor="_Toc466365801" w:history="1">
            <w:r w:rsidRPr="00711755">
              <w:rPr>
                <w:rStyle w:val="Hyperlink"/>
                <w:noProof/>
              </w:rPr>
              <w:t>9.3.</w:t>
            </w:r>
            <w:r>
              <w:rPr>
                <w:rFonts w:asciiTheme="minorHAnsi" w:eastAsiaTheme="minorEastAsia" w:hAnsiTheme="minorHAnsi" w:cstheme="minorBidi"/>
                <w:noProof/>
                <w:lang w:eastAsia="en-AU"/>
              </w:rPr>
              <w:tab/>
            </w:r>
            <w:r w:rsidRPr="00711755">
              <w:rPr>
                <w:rStyle w:val="Hyperlink"/>
                <w:noProof/>
              </w:rPr>
              <w:t>First round assessment of benefit-risk balance</w:t>
            </w:r>
            <w:r>
              <w:rPr>
                <w:noProof/>
                <w:webHidden/>
              </w:rPr>
              <w:tab/>
            </w:r>
            <w:r>
              <w:rPr>
                <w:noProof/>
                <w:webHidden/>
              </w:rPr>
              <w:fldChar w:fldCharType="begin"/>
            </w:r>
            <w:r>
              <w:rPr>
                <w:noProof/>
                <w:webHidden/>
              </w:rPr>
              <w:instrText xml:space="preserve"> PAGEREF _Toc466365801 \h </w:instrText>
            </w:r>
            <w:r>
              <w:rPr>
                <w:noProof/>
                <w:webHidden/>
              </w:rPr>
            </w:r>
            <w:r>
              <w:rPr>
                <w:noProof/>
                <w:webHidden/>
              </w:rPr>
              <w:fldChar w:fldCharType="separate"/>
            </w:r>
            <w:r>
              <w:rPr>
                <w:noProof/>
                <w:webHidden/>
              </w:rPr>
              <w:t>70</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802" w:history="1">
            <w:r w:rsidRPr="00711755">
              <w:rPr>
                <w:rStyle w:val="Hyperlink"/>
                <w:noProof/>
              </w:rPr>
              <w:t>10.</w:t>
            </w:r>
            <w:r>
              <w:rPr>
                <w:rFonts w:asciiTheme="minorHAnsi" w:eastAsiaTheme="minorEastAsia" w:hAnsiTheme="minorHAnsi" w:cstheme="minorBidi"/>
                <w:b w:val="0"/>
                <w:noProof/>
                <w:sz w:val="22"/>
                <w:lang w:eastAsia="en-AU"/>
              </w:rPr>
              <w:tab/>
            </w:r>
            <w:r w:rsidRPr="00711755">
              <w:rPr>
                <w:rStyle w:val="Hyperlink"/>
                <w:noProof/>
              </w:rPr>
              <w:t>First round recommendation regarding authorisation</w:t>
            </w:r>
            <w:r>
              <w:rPr>
                <w:noProof/>
                <w:webHidden/>
              </w:rPr>
              <w:tab/>
            </w:r>
            <w:r>
              <w:rPr>
                <w:noProof/>
                <w:webHidden/>
              </w:rPr>
              <w:fldChar w:fldCharType="begin"/>
            </w:r>
            <w:r>
              <w:rPr>
                <w:noProof/>
                <w:webHidden/>
              </w:rPr>
              <w:instrText xml:space="preserve"> PAGEREF _Toc466365802 \h </w:instrText>
            </w:r>
            <w:r>
              <w:rPr>
                <w:noProof/>
                <w:webHidden/>
              </w:rPr>
            </w:r>
            <w:r>
              <w:rPr>
                <w:noProof/>
                <w:webHidden/>
              </w:rPr>
              <w:fldChar w:fldCharType="separate"/>
            </w:r>
            <w:r>
              <w:rPr>
                <w:noProof/>
                <w:webHidden/>
              </w:rPr>
              <w:t>70</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803" w:history="1">
            <w:r w:rsidRPr="00711755">
              <w:rPr>
                <w:rStyle w:val="Hyperlink"/>
                <w:noProof/>
              </w:rPr>
              <w:t>11.</w:t>
            </w:r>
            <w:r>
              <w:rPr>
                <w:rFonts w:asciiTheme="minorHAnsi" w:eastAsiaTheme="minorEastAsia" w:hAnsiTheme="minorHAnsi" w:cstheme="minorBidi"/>
                <w:b w:val="0"/>
                <w:noProof/>
                <w:sz w:val="22"/>
                <w:lang w:eastAsia="en-AU"/>
              </w:rPr>
              <w:tab/>
            </w:r>
            <w:r w:rsidRPr="00711755">
              <w:rPr>
                <w:rStyle w:val="Hyperlink"/>
                <w:noProof/>
              </w:rPr>
              <w:t>Clinical questions</w:t>
            </w:r>
            <w:r>
              <w:rPr>
                <w:noProof/>
                <w:webHidden/>
              </w:rPr>
              <w:tab/>
            </w:r>
            <w:r>
              <w:rPr>
                <w:noProof/>
                <w:webHidden/>
              </w:rPr>
              <w:fldChar w:fldCharType="begin"/>
            </w:r>
            <w:r>
              <w:rPr>
                <w:noProof/>
                <w:webHidden/>
              </w:rPr>
              <w:instrText xml:space="preserve"> PAGEREF _Toc466365803 \h </w:instrText>
            </w:r>
            <w:r>
              <w:rPr>
                <w:noProof/>
                <w:webHidden/>
              </w:rPr>
            </w:r>
            <w:r>
              <w:rPr>
                <w:noProof/>
                <w:webHidden/>
              </w:rPr>
              <w:fldChar w:fldCharType="separate"/>
            </w:r>
            <w:r>
              <w:rPr>
                <w:noProof/>
                <w:webHidden/>
              </w:rPr>
              <w:t>70</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04" w:history="1">
            <w:r w:rsidRPr="00711755">
              <w:rPr>
                <w:rStyle w:val="Hyperlink"/>
                <w:noProof/>
              </w:rPr>
              <w:t>11.1.</w:t>
            </w:r>
            <w:r>
              <w:rPr>
                <w:rFonts w:asciiTheme="minorHAnsi" w:eastAsiaTheme="minorEastAsia" w:hAnsiTheme="minorHAnsi" w:cstheme="minorBidi"/>
                <w:noProof/>
                <w:lang w:eastAsia="en-AU"/>
              </w:rPr>
              <w:tab/>
            </w:r>
            <w:r w:rsidRPr="00711755">
              <w:rPr>
                <w:rStyle w:val="Hyperlink"/>
                <w:noProof/>
              </w:rPr>
              <w:t>Pharmacokinetics</w:t>
            </w:r>
            <w:r>
              <w:rPr>
                <w:noProof/>
                <w:webHidden/>
              </w:rPr>
              <w:tab/>
            </w:r>
            <w:r>
              <w:rPr>
                <w:noProof/>
                <w:webHidden/>
              </w:rPr>
              <w:fldChar w:fldCharType="begin"/>
            </w:r>
            <w:r>
              <w:rPr>
                <w:noProof/>
                <w:webHidden/>
              </w:rPr>
              <w:instrText xml:space="preserve"> PAGEREF _Toc466365804 \h </w:instrText>
            </w:r>
            <w:r>
              <w:rPr>
                <w:noProof/>
                <w:webHidden/>
              </w:rPr>
            </w:r>
            <w:r>
              <w:rPr>
                <w:noProof/>
                <w:webHidden/>
              </w:rPr>
              <w:fldChar w:fldCharType="separate"/>
            </w:r>
            <w:r>
              <w:rPr>
                <w:noProof/>
                <w:webHidden/>
              </w:rPr>
              <w:t>70</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05" w:history="1">
            <w:r w:rsidRPr="00711755">
              <w:rPr>
                <w:rStyle w:val="Hyperlink"/>
                <w:noProof/>
              </w:rPr>
              <w:t>11.2.</w:t>
            </w:r>
            <w:r>
              <w:rPr>
                <w:rFonts w:asciiTheme="minorHAnsi" w:eastAsiaTheme="minorEastAsia" w:hAnsiTheme="minorHAnsi" w:cstheme="minorBidi"/>
                <w:noProof/>
                <w:lang w:eastAsia="en-AU"/>
              </w:rPr>
              <w:tab/>
            </w:r>
            <w:r w:rsidRPr="00711755">
              <w:rPr>
                <w:rStyle w:val="Hyperlink"/>
                <w:noProof/>
              </w:rPr>
              <w:t>Pharmacodynamics</w:t>
            </w:r>
            <w:r>
              <w:rPr>
                <w:noProof/>
                <w:webHidden/>
              </w:rPr>
              <w:tab/>
            </w:r>
            <w:r>
              <w:rPr>
                <w:noProof/>
                <w:webHidden/>
              </w:rPr>
              <w:fldChar w:fldCharType="begin"/>
            </w:r>
            <w:r>
              <w:rPr>
                <w:noProof/>
                <w:webHidden/>
              </w:rPr>
              <w:instrText xml:space="preserve"> PAGEREF _Toc466365805 \h </w:instrText>
            </w:r>
            <w:r>
              <w:rPr>
                <w:noProof/>
                <w:webHidden/>
              </w:rPr>
            </w:r>
            <w:r>
              <w:rPr>
                <w:noProof/>
                <w:webHidden/>
              </w:rPr>
              <w:fldChar w:fldCharType="separate"/>
            </w:r>
            <w:r>
              <w:rPr>
                <w:noProof/>
                <w:webHidden/>
              </w:rPr>
              <w:t>70</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06" w:history="1">
            <w:r w:rsidRPr="00711755">
              <w:rPr>
                <w:rStyle w:val="Hyperlink"/>
                <w:noProof/>
              </w:rPr>
              <w:t>11.3.</w:t>
            </w:r>
            <w:r>
              <w:rPr>
                <w:rFonts w:asciiTheme="minorHAnsi" w:eastAsiaTheme="minorEastAsia" w:hAnsiTheme="minorHAnsi" w:cstheme="minorBidi"/>
                <w:noProof/>
                <w:lang w:eastAsia="en-AU"/>
              </w:rPr>
              <w:tab/>
            </w:r>
            <w:r w:rsidRPr="00711755">
              <w:rPr>
                <w:rStyle w:val="Hyperlink"/>
                <w:noProof/>
              </w:rPr>
              <w:t>Efficacy</w:t>
            </w:r>
            <w:r>
              <w:rPr>
                <w:noProof/>
                <w:webHidden/>
              </w:rPr>
              <w:tab/>
            </w:r>
            <w:r>
              <w:rPr>
                <w:noProof/>
                <w:webHidden/>
              </w:rPr>
              <w:fldChar w:fldCharType="begin"/>
            </w:r>
            <w:r>
              <w:rPr>
                <w:noProof/>
                <w:webHidden/>
              </w:rPr>
              <w:instrText xml:space="preserve"> PAGEREF _Toc466365806 \h </w:instrText>
            </w:r>
            <w:r>
              <w:rPr>
                <w:noProof/>
                <w:webHidden/>
              </w:rPr>
            </w:r>
            <w:r>
              <w:rPr>
                <w:noProof/>
                <w:webHidden/>
              </w:rPr>
              <w:fldChar w:fldCharType="separate"/>
            </w:r>
            <w:r>
              <w:rPr>
                <w:noProof/>
                <w:webHidden/>
              </w:rPr>
              <w:t>70</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07" w:history="1">
            <w:r w:rsidRPr="00711755">
              <w:rPr>
                <w:rStyle w:val="Hyperlink"/>
                <w:noProof/>
              </w:rPr>
              <w:t>11.4.</w:t>
            </w:r>
            <w:r>
              <w:rPr>
                <w:rFonts w:asciiTheme="minorHAnsi" w:eastAsiaTheme="minorEastAsia" w:hAnsiTheme="minorHAnsi" w:cstheme="minorBidi"/>
                <w:noProof/>
                <w:lang w:eastAsia="en-AU"/>
              </w:rPr>
              <w:tab/>
            </w:r>
            <w:r w:rsidRPr="00711755">
              <w:rPr>
                <w:rStyle w:val="Hyperlink"/>
                <w:noProof/>
              </w:rPr>
              <w:t>Safety</w:t>
            </w:r>
            <w:r>
              <w:rPr>
                <w:noProof/>
                <w:webHidden/>
              </w:rPr>
              <w:tab/>
            </w:r>
            <w:r>
              <w:rPr>
                <w:noProof/>
                <w:webHidden/>
              </w:rPr>
              <w:fldChar w:fldCharType="begin"/>
            </w:r>
            <w:r>
              <w:rPr>
                <w:noProof/>
                <w:webHidden/>
              </w:rPr>
              <w:instrText xml:space="preserve"> PAGEREF _Toc466365807 \h </w:instrText>
            </w:r>
            <w:r>
              <w:rPr>
                <w:noProof/>
                <w:webHidden/>
              </w:rPr>
            </w:r>
            <w:r>
              <w:rPr>
                <w:noProof/>
                <w:webHidden/>
              </w:rPr>
              <w:fldChar w:fldCharType="separate"/>
            </w:r>
            <w:r>
              <w:rPr>
                <w:noProof/>
                <w:webHidden/>
              </w:rPr>
              <w:t>71</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808" w:history="1">
            <w:r w:rsidRPr="00711755">
              <w:rPr>
                <w:rStyle w:val="Hyperlink"/>
                <w:noProof/>
              </w:rPr>
              <w:t>12.</w:t>
            </w:r>
            <w:r>
              <w:rPr>
                <w:rFonts w:asciiTheme="minorHAnsi" w:eastAsiaTheme="minorEastAsia" w:hAnsiTheme="minorHAnsi" w:cstheme="minorBidi"/>
                <w:b w:val="0"/>
                <w:noProof/>
                <w:sz w:val="22"/>
                <w:lang w:eastAsia="en-AU"/>
              </w:rPr>
              <w:tab/>
            </w:r>
            <w:r w:rsidRPr="00711755">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_Toc466365808 \h </w:instrText>
            </w:r>
            <w:r>
              <w:rPr>
                <w:noProof/>
                <w:webHidden/>
              </w:rPr>
            </w:r>
            <w:r>
              <w:rPr>
                <w:noProof/>
                <w:webHidden/>
              </w:rPr>
              <w:fldChar w:fldCharType="separate"/>
            </w:r>
            <w:r>
              <w:rPr>
                <w:noProof/>
                <w:webHidden/>
              </w:rPr>
              <w:t>71</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09" w:history="1">
            <w:r w:rsidRPr="00711755">
              <w:rPr>
                <w:rStyle w:val="Hyperlink"/>
                <w:noProof/>
              </w:rPr>
              <w:t>12.1.</w:t>
            </w:r>
            <w:r>
              <w:rPr>
                <w:rFonts w:asciiTheme="minorHAnsi" w:eastAsiaTheme="minorEastAsia" w:hAnsiTheme="minorHAnsi" w:cstheme="minorBidi"/>
                <w:noProof/>
                <w:lang w:eastAsia="en-AU"/>
              </w:rPr>
              <w:tab/>
            </w:r>
            <w:r w:rsidRPr="00711755">
              <w:rPr>
                <w:rStyle w:val="Hyperlink"/>
                <w:noProof/>
              </w:rPr>
              <w:t>Comments in relation to the PI</w:t>
            </w:r>
            <w:r>
              <w:rPr>
                <w:noProof/>
                <w:webHidden/>
              </w:rPr>
              <w:tab/>
            </w:r>
            <w:r>
              <w:rPr>
                <w:noProof/>
                <w:webHidden/>
              </w:rPr>
              <w:fldChar w:fldCharType="begin"/>
            </w:r>
            <w:r>
              <w:rPr>
                <w:noProof/>
                <w:webHidden/>
              </w:rPr>
              <w:instrText xml:space="preserve"> PAGEREF _Toc466365809 \h </w:instrText>
            </w:r>
            <w:r>
              <w:rPr>
                <w:noProof/>
                <w:webHidden/>
              </w:rPr>
            </w:r>
            <w:r>
              <w:rPr>
                <w:noProof/>
                <w:webHidden/>
              </w:rPr>
              <w:fldChar w:fldCharType="separate"/>
            </w:r>
            <w:r>
              <w:rPr>
                <w:noProof/>
                <w:webHidden/>
              </w:rPr>
              <w:t>71</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0" w:history="1">
            <w:r w:rsidRPr="00711755">
              <w:rPr>
                <w:rStyle w:val="Hyperlink"/>
                <w:noProof/>
              </w:rPr>
              <w:t>12.2.</w:t>
            </w:r>
            <w:r>
              <w:rPr>
                <w:rFonts w:asciiTheme="minorHAnsi" w:eastAsiaTheme="minorEastAsia" w:hAnsiTheme="minorHAnsi" w:cstheme="minorBidi"/>
                <w:noProof/>
                <w:lang w:eastAsia="en-AU"/>
              </w:rPr>
              <w:tab/>
            </w:r>
            <w:r w:rsidRPr="00711755">
              <w:rPr>
                <w:rStyle w:val="Hyperlink"/>
                <w:noProof/>
              </w:rPr>
              <w:t>Question 1 pharmacokinetics</w:t>
            </w:r>
            <w:r>
              <w:rPr>
                <w:noProof/>
                <w:webHidden/>
              </w:rPr>
              <w:tab/>
            </w:r>
            <w:r>
              <w:rPr>
                <w:noProof/>
                <w:webHidden/>
              </w:rPr>
              <w:fldChar w:fldCharType="begin"/>
            </w:r>
            <w:r>
              <w:rPr>
                <w:noProof/>
                <w:webHidden/>
              </w:rPr>
              <w:instrText xml:space="preserve"> PAGEREF _Toc466365810 \h </w:instrText>
            </w:r>
            <w:r>
              <w:rPr>
                <w:noProof/>
                <w:webHidden/>
              </w:rPr>
            </w:r>
            <w:r>
              <w:rPr>
                <w:noProof/>
                <w:webHidden/>
              </w:rPr>
              <w:fldChar w:fldCharType="separate"/>
            </w:r>
            <w:r>
              <w:rPr>
                <w:noProof/>
                <w:webHidden/>
              </w:rPr>
              <w:t>72</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1" w:history="1">
            <w:r w:rsidRPr="00711755">
              <w:rPr>
                <w:rStyle w:val="Hyperlink"/>
                <w:noProof/>
              </w:rPr>
              <w:t>12.3.</w:t>
            </w:r>
            <w:r>
              <w:rPr>
                <w:rFonts w:asciiTheme="minorHAnsi" w:eastAsiaTheme="minorEastAsia" w:hAnsiTheme="minorHAnsi" w:cstheme="minorBidi"/>
                <w:noProof/>
                <w:lang w:eastAsia="en-AU"/>
              </w:rPr>
              <w:tab/>
            </w:r>
            <w:r w:rsidRPr="00711755">
              <w:rPr>
                <w:rStyle w:val="Hyperlink"/>
                <w:noProof/>
              </w:rPr>
              <w:t>Question 2 pharmacokinetics</w:t>
            </w:r>
            <w:r>
              <w:rPr>
                <w:noProof/>
                <w:webHidden/>
              </w:rPr>
              <w:tab/>
            </w:r>
            <w:r>
              <w:rPr>
                <w:noProof/>
                <w:webHidden/>
              </w:rPr>
              <w:fldChar w:fldCharType="begin"/>
            </w:r>
            <w:r>
              <w:rPr>
                <w:noProof/>
                <w:webHidden/>
              </w:rPr>
              <w:instrText xml:space="preserve"> PAGEREF _Toc466365811 \h </w:instrText>
            </w:r>
            <w:r>
              <w:rPr>
                <w:noProof/>
                <w:webHidden/>
              </w:rPr>
            </w:r>
            <w:r>
              <w:rPr>
                <w:noProof/>
                <w:webHidden/>
              </w:rPr>
              <w:fldChar w:fldCharType="separate"/>
            </w:r>
            <w:r>
              <w:rPr>
                <w:noProof/>
                <w:webHidden/>
              </w:rPr>
              <w:t>73</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2" w:history="1">
            <w:r w:rsidRPr="00711755">
              <w:rPr>
                <w:rStyle w:val="Hyperlink"/>
                <w:noProof/>
              </w:rPr>
              <w:t>12.4.</w:t>
            </w:r>
            <w:r>
              <w:rPr>
                <w:rFonts w:asciiTheme="minorHAnsi" w:eastAsiaTheme="minorEastAsia" w:hAnsiTheme="minorHAnsi" w:cstheme="minorBidi"/>
                <w:noProof/>
                <w:lang w:eastAsia="en-AU"/>
              </w:rPr>
              <w:tab/>
            </w:r>
            <w:r w:rsidRPr="00711755">
              <w:rPr>
                <w:rStyle w:val="Hyperlink"/>
                <w:noProof/>
              </w:rPr>
              <w:t>Question 3 pharmacodynamics</w:t>
            </w:r>
            <w:r>
              <w:rPr>
                <w:noProof/>
                <w:webHidden/>
              </w:rPr>
              <w:tab/>
            </w:r>
            <w:r>
              <w:rPr>
                <w:noProof/>
                <w:webHidden/>
              </w:rPr>
              <w:fldChar w:fldCharType="begin"/>
            </w:r>
            <w:r>
              <w:rPr>
                <w:noProof/>
                <w:webHidden/>
              </w:rPr>
              <w:instrText xml:space="preserve"> PAGEREF _Toc466365812 \h </w:instrText>
            </w:r>
            <w:r>
              <w:rPr>
                <w:noProof/>
                <w:webHidden/>
              </w:rPr>
            </w:r>
            <w:r>
              <w:rPr>
                <w:noProof/>
                <w:webHidden/>
              </w:rPr>
              <w:fldChar w:fldCharType="separate"/>
            </w:r>
            <w:r>
              <w:rPr>
                <w:noProof/>
                <w:webHidden/>
              </w:rPr>
              <w:t>73</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3" w:history="1">
            <w:r w:rsidRPr="00711755">
              <w:rPr>
                <w:rStyle w:val="Hyperlink"/>
                <w:noProof/>
              </w:rPr>
              <w:t>12.5.</w:t>
            </w:r>
            <w:r>
              <w:rPr>
                <w:rFonts w:asciiTheme="minorHAnsi" w:eastAsiaTheme="minorEastAsia" w:hAnsiTheme="minorHAnsi" w:cstheme="minorBidi"/>
                <w:noProof/>
                <w:lang w:eastAsia="en-AU"/>
              </w:rPr>
              <w:tab/>
            </w:r>
            <w:r w:rsidRPr="00711755">
              <w:rPr>
                <w:rStyle w:val="Hyperlink"/>
                <w:noProof/>
              </w:rPr>
              <w:t>Question 4 efficacy</w:t>
            </w:r>
            <w:r>
              <w:rPr>
                <w:noProof/>
                <w:webHidden/>
              </w:rPr>
              <w:tab/>
            </w:r>
            <w:r>
              <w:rPr>
                <w:noProof/>
                <w:webHidden/>
              </w:rPr>
              <w:fldChar w:fldCharType="begin"/>
            </w:r>
            <w:r>
              <w:rPr>
                <w:noProof/>
                <w:webHidden/>
              </w:rPr>
              <w:instrText xml:space="preserve"> PAGEREF _Toc466365813 \h </w:instrText>
            </w:r>
            <w:r>
              <w:rPr>
                <w:noProof/>
                <w:webHidden/>
              </w:rPr>
            </w:r>
            <w:r>
              <w:rPr>
                <w:noProof/>
                <w:webHidden/>
              </w:rPr>
              <w:fldChar w:fldCharType="separate"/>
            </w:r>
            <w:r>
              <w:rPr>
                <w:noProof/>
                <w:webHidden/>
              </w:rPr>
              <w:t>76</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4" w:history="1">
            <w:r w:rsidRPr="00711755">
              <w:rPr>
                <w:rStyle w:val="Hyperlink"/>
                <w:noProof/>
              </w:rPr>
              <w:t>12.6.</w:t>
            </w:r>
            <w:r>
              <w:rPr>
                <w:rFonts w:asciiTheme="minorHAnsi" w:eastAsiaTheme="minorEastAsia" w:hAnsiTheme="minorHAnsi" w:cstheme="minorBidi"/>
                <w:noProof/>
                <w:lang w:eastAsia="en-AU"/>
              </w:rPr>
              <w:tab/>
            </w:r>
            <w:r w:rsidRPr="00711755">
              <w:rPr>
                <w:rStyle w:val="Hyperlink"/>
                <w:noProof/>
              </w:rPr>
              <w:t>Question 5 efficacy</w:t>
            </w:r>
            <w:r>
              <w:rPr>
                <w:noProof/>
                <w:webHidden/>
              </w:rPr>
              <w:tab/>
            </w:r>
            <w:r>
              <w:rPr>
                <w:noProof/>
                <w:webHidden/>
              </w:rPr>
              <w:fldChar w:fldCharType="begin"/>
            </w:r>
            <w:r>
              <w:rPr>
                <w:noProof/>
                <w:webHidden/>
              </w:rPr>
              <w:instrText xml:space="preserve"> PAGEREF _Toc466365814 \h </w:instrText>
            </w:r>
            <w:r>
              <w:rPr>
                <w:noProof/>
                <w:webHidden/>
              </w:rPr>
            </w:r>
            <w:r>
              <w:rPr>
                <w:noProof/>
                <w:webHidden/>
              </w:rPr>
              <w:fldChar w:fldCharType="separate"/>
            </w:r>
            <w:r>
              <w:rPr>
                <w:noProof/>
                <w:webHidden/>
              </w:rPr>
              <w:t>77</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5" w:history="1">
            <w:r w:rsidRPr="00711755">
              <w:rPr>
                <w:rStyle w:val="Hyperlink"/>
                <w:noProof/>
              </w:rPr>
              <w:t>12.7.</w:t>
            </w:r>
            <w:r>
              <w:rPr>
                <w:rFonts w:asciiTheme="minorHAnsi" w:eastAsiaTheme="minorEastAsia" w:hAnsiTheme="minorHAnsi" w:cstheme="minorBidi"/>
                <w:noProof/>
                <w:lang w:eastAsia="en-AU"/>
              </w:rPr>
              <w:tab/>
            </w:r>
            <w:r w:rsidRPr="00711755">
              <w:rPr>
                <w:rStyle w:val="Hyperlink"/>
                <w:noProof/>
              </w:rPr>
              <w:t>Question 6 safety</w:t>
            </w:r>
            <w:r>
              <w:rPr>
                <w:noProof/>
                <w:webHidden/>
              </w:rPr>
              <w:tab/>
            </w:r>
            <w:r>
              <w:rPr>
                <w:noProof/>
                <w:webHidden/>
              </w:rPr>
              <w:fldChar w:fldCharType="begin"/>
            </w:r>
            <w:r>
              <w:rPr>
                <w:noProof/>
                <w:webHidden/>
              </w:rPr>
              <w:instrText xml:space="preserve"> PAGEREF _Toc466365815 \h </w:instrText>
            </w:r>
            <w:r>
              <w:rPr>
                <w:noProof/>
                <w:webHidden/>
              </w:rPr>
            </w:r>
            <w:r>
              <w:rPr>
                <w:noProof/>
                <w:webHidden/>
              </w:rPr>
              <w:fldChar w:fldCharType="separate"/>
            </w:r>
            <w:r>
              <w:rPr>
                <w:noProof/>
                <w:webHidden/>
              </w:rPr>
              <w:t>79</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6" w:history="1">
            <w:r w:rsidRPr="00711755">
              <w:rPr>
                <w:rStyle w:val="Hyperlink"/>
                <w:noProof/>
              </w:rPr>
              <w:t>12.8.</w:t>
            </w:r>
            <w:r>
              <w:rPr>
                <w:rFonts w:asciiTheme="minorHAnsi" w:eastAsiaTheme="minorEastAsia" w:hAnsiTheme="minorHAnsi" w:cstheme="minorBidi"/>
                <w:noProof/>
                <w:lang w:eastAsia="en-AU"/>
              </w:rPr>
              <w:tab/>
            </w:r>
            <w:r w:rsidRPr="00711755">
              <w:rPr>
                <w:rStyle w:val="Hyperlink"/>
                <w:noProof/>
              </w:rPr>
              <w:t>Question 7 safety</w:t>
            </w:r>
            <w:r>
              <w:rPr>
                <w:noProof/>
                <w:webHidden/>
              </w:rPr>
              <w:tab/>
            </w:r>
            <w:r>
              <w:rPr>
                <w:noProof/>
                <w:webHidden/>
              </w:rPr>
              <w:fldChar w:fldCharType="begin"/>
            </w:r>
            <w:r>
              <w:rPr>
                <w:noProof/>
                <w:webHidden/>
              </w:rPr>
              <w:instrText xml:space="preserve"> PAGEREF _Toc466365816 \h </w:instrText>
            </w:r>
            <w:r>
              <w:rPr>
                <w:noProof/>
                <w:webHidden/>
              </w:rPr>
            </w:r>
            <w:r>
              <w:rPr>
                <w:noProof/>
                <w:webHidden/>
              </w:rPr>
              <w:fldChar w:fldCharType="separate"/>
            </w:r>
            <w:r>
              <w:rPr>
                <w:noProof/>
                <w:webHidden/>
              </w:rPr>
              <w:t>79</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17" w:history="1">
            <w:r w:rsidRPr="00711755">
              <w:rPr>
                <w:rStyle w:val="Hyperlink"/>
                <w:noProof/>
              </w:rPr>
              <w:t>12.9.</w:t>
            </w:r>
            <w:r>
              <w:rPr>
                <w:rFonts w:asciiTheme="minorHAnsi" w:eastAsiaTheme="minorEastAsia" w:hAnsiTheme="minorHAnsi" w:cstheme="minorBidi"/>
                <w:noProof/>
                <w:lang w:eastAsia="en-AU"/>
              </w:rPr>
              <w:tab/>
            </w:r>
            <w:r w:rsidRPr="00711755">
              <w:rPr>
                <w:rStyle w:val="Hyperlink"/>
                <w:noProof/>
              </w:rPr>
              <w:t>Question 8 safety</w:t>
            </w:r>
            <w:r>
              <w:rPr>
                <w:noProof/>
                <w:webHidden/>
              </w:rPr>
              <w:tab/>
            </w:r>
            <w:r>
              <w:rPr>
                <w:noProof/>
                <w:webHidden/>
              </w:rPr>
              <w:fldChar w:fldCharType="begin"/>
            </w:r>
            <w:r>
              <w:rPr>
                <w:noProof/>
                <w:webHidden/>
              </w:rPr>
              <w:instrText xml:space="preserve"> PAGEREF _Toc466365817 \h </w:instrText>
            </w:r>
            <w:r>
              <w:rPr>
                <w:noProof/>
                <w:webHidden/>
              </w:rPr>
            </w:r>
            <w:r>
              <w:rPr>
                <w:noProof/>
                <w:webHidden/>
              </w:rPr>
              <w:fldChar w:fldCharType="separate"/>
            </w:r>
            <w:r>
              <w:rPr>
                <w:noProof/>
                <w:webHidden/>
              </w:rPr>
              <w:t>80</w:t>
            </w:r>
            <w:r>
              <w:rPr>
                <w:noProof/>
                <w:webHidden/>
              </w:rPr>
              <w:fldChar w:fldCharType="end"/>
            </w:r>
          </w:hyperlink>
        </w:p>
        <w:p w:rsidR="008D6237" w:rsidRDefault="008D6237">
          <w:pPr>
            <w:pStyle w:val="TOC3"/>
            <w:tabs>
              <w:tab w:val="left" w:pos="1819"/>
            </w:tabs>
            <w:rPr>
              <w:rFonts w:asciiTheme="minorHAnsi" w:eastAsiaTheme="minorEastAsia" w:hAnsiTheme="minorHAnsi" w:cstheme="minorBidi"/>
              <w:noProof/>
              <w:lang w:eastAsia="en-AU"/>
            </w:rPr>
          </w:pPr>
          <w:hyperlink w:anchor="_Toc466365818" w:history="1">
            <w:r w:rsidRPr="00711755">
              <w:rPr>
                <w:rStyle w:val="Hyperlink"/>
                <w:noProof/>
              </w:rPr>
              <w:t>12.10.</w:t>
            </w:r>
            <w:r>
              <w:rPr>
                <w:rFonts w:asciiTheme="minorHAnsi" w:eastAsiaTheme="minorEastAsia" w:hAnsiTheme="minorHAnsi" w:cstheme="minorBidi"/>
                <w:noProof/>
                <w:lang w:eastAsia="en-AU"/>
              </w:rPr>
              <w:tab/>
            </w:r>
            <w:r w:rsidRPr="00711755">
              <w:rPr>
                <w:rStyle w:val="Hyperlink"/>
                <w:noProof/>
              </w:rPr>
              <w:t>Question 9 safety</w:t>
            </w:r>
            <w:r>
              <w:rPr>
                <w:noProof/>
                <w:webHidden/>
              </w:rPr>
              <w:tab/>
            </w:r>
            <w:r>
              <w:rPr>
                <w:noProof/>
                <w:webHidden/>
              </w:rPr>
              <w:fldChar w:fldCharType="begin"/>
            </w:r>
            <w:r>
              <w:rPr>
                <w:noProof/>
                <w:webHidden/>
              </w:rPr>
              <w:instrText xml:space="preserve"> PAGEREF _Toc466365818 \h </w:instrText>
            </w:r>
            <w:r>
              <w:rPr>
                <w:noProof/>
                <w:webHidden/>
              </w:rPr>
            </w:r>
            <w:r>
              <w:rPr>
                <w:noProof/>
                <w:webHidden/>
              </w:rPr>
              <w:fldChar w:fldCharType="separate"/>
            </w:r>
            <w:r>
              <w:rPr>
                <w:noProof/>
                <w:webHidden/>
              </w:rPr>
              <w:t>80</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819" w:history="1">
            <w:r w:rsidRPr="00711755">
              <w:rPr>
                <w:rStyle w:val="Hyperlink"/>
                <w:noProof/>
              </w:rPr>
              <w:t>13.</w:t>
            </w:r>
            <w:r>
              <w:rPr>
                <w:rFonts w:asciiTheme="minorHAnsi" w:eastAsiaTheme="minorEastAsia" w:hAnsiTheme="minorHAnsi" w:cstheme="minorBidi"/>
                <w:b w:val="0"/>
                <w:noProof/>
                <w:sz w:val="22"/>
                <w:lang w:eastAsia="en-AU"/>
              </w:rPr>
              <w:tab/>
            </w:r>
            <w:r w:rsidRPr="00711755">
              <w:rPr>
                <w:rStyle w:val="Hyperlink"/>
                <w:noProof/>
              </w:rPr>
              <w:t>Second round benefit-risk assessment</w:t>
            </w:r>
            <w:r>
              <w:rPr>
                <w:noProof/>
                <w:webHidden/>
              </w:rPr>
              <w:tab/>
            </w:r>
            <w:r>
              <w:rPr>
                <w:noProof/>
                <w:webHidden/>
              </w:rPr>
              <w:fldChar w:fldCharType="begin"/>
            </w:r>
            <w:r>
              <w:rPr>
                <w:noProof/>
                <w:webHidden/>
              </w:rPr>
              <w:instrText xml:space="preserve"> PAGEREF _Toc466365819 \h </w:instrText>
            </w:r>
            <w:r>
              <w:rPr>
                <w:noProof/>
                <w:webHidden/>
              </w:rPr>
            </w:r>
            <w:r>
              <w:rPr>
                <w:noProof/>
                <w:webHidden/>
              </w:rPr>
              <w:fldChar w:fldCharType="separate"/>
            </w:r>
            <w:r>
              <w:rPr>
                <w:noProof/>
                <w:webHidden/>
              </w:rPr>
              <w:t>81</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20" w:history="1">
            <w:r w:rsidRPr="00711755">
              <w:rPr>
                <w:rStyle w:val="Hyperlink"/>
                <w:noProof/>
              </w:rPr>
              <w:t>13.1.</w:t>
            </w:r>
            <w:r>
              <w:rPr>
                <w:rFonts w:asciiTheme="minorHAnsi" w:eastAsiaTheme="minorEastAsia" w:hAnsiTheme="minorHAnsi" w:cstheme="minorBidi"/>
                <w:noProof/>
                <w:lang w:eastAsia="en-AU"/>
              </w:rPr>
              <w:tab/>
            </w:r>
            <w:r w:rsidRPr="00711755">
              <w:rPr>
                <w:rStyle w:val="Hyperlink"/>
                <w:noProof/>
              </w:rPr>
              <w:t>Second round assessment of benefits</w:t>
            </w:r>
            <w:r>
              <w:rPr>
                <w:noProof/>
                <w:webHidden/>
              </w:rPr>
              <w:tab/>
            </w:r>
            <w:r>
              <w:rPr>
                <w:noProof/>
                <w:webHidden/>
              </w:rPr>
              <w:fldChar w:fldCharType="begin"/>
            </w:r>
            <w:r>
              <w:rPr>
                <w:noProof/>
                <w:webHidden/>
              </w:rPr>
              <w:instrText xml:space="preserve"> PAGEREF _Toc466365820 \h </w:instrText>
            </w:r>
            <w:r>
              <w:rPr>
                <w:noProof/>
                <w:webHidden/>
              </w:rPr>
            </w:r>
            <w:r>
              <w:rPr>
                <w:noProof/>
                <w:webHidden/>
              </w:rPr>
              <w:fldChar w:fldCharType="separate"/>
            </w:r>
            <w:r>
              <w:rPr>
                <w:noProof/>
                <w:webHidden/>
              </w:rPr>
              <w:t>81</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21" w:history="1">
            <w:r w:rsidRPr="00711755">
              <w:rPr>
                <w:rStyle w:val="Hyperlink"/>
                <w:noProof/>
              </w:rPr>
              <w:t>13.2.</w:t>
            </w:r>
            <w:r>
              <w:rPr>
                <w:rFonts w:asciiTheme="minorHAnsi" w:eastAsiaTheme="minorEastAsia" w:hAnsiTheme="minorHAnsi" w:cstheme="minorBidi"/>
                <w:noProof/>
                <w:lang w:eastAsia="en-AU"/>
              </w:rPr>
              <w:tab/>
            </w:r>
            <w:r w:rsidRPr="00711755">
              <w:rPr>
                <w:rStyle w:val="Hyperlink"/>
                <w:noProof/>
              </w:rPr>
              <w:t>Second round assessment of risks</w:t>
            </w:r>
            <w:r>
              <w:rPr>
                <w:noProof/>
                <w:webHidden/>
              </w:rPr>
              <w:tab/>
            </w:r>
            <w:r>
              <w:rPr>
                <w:noProof/>
                <w:webHidden/>
              </w:rPr>
              <w:fldChar w:fldCharType="begin"/>
            </w:r>
            <w:r>
              <w:rPr>
                <w:noProof/>
                <w:webHidden/>
              </w:rPr>
              <w:instrText xml:space="preserve"> PAGEREF _Toc466365821 \h </w:instrText>
            </w:r>
            <w:r>
              <w:rPr>
                <w:noProof/>
                <w:webHidden/>
              </w:rPr>
            </w:r>
            <w:r>
              <w:rPr>
                <w:noProof/>
                <w:webHidden/>
              </w:rPr>
              <w:fldChar w:fldCharType="separate"/>
            </w:r>
            <w:r>
              <w:rPr>
                <w:noProof/>
                <w:webHidden/>
              </w:rPr>
              <w:t>82</w:t>
            </w:r>
            <w:r>
              <w:rPr>
                <w:noProof/>
                <w:webHidden/>
              </w:rPr>
              <w:fldChar w:fldCharType="end"/>
            </w:r>
          </w:hyperlink>
        </w:p>
        <w:p w:rsidR="008D6237" w:rsidRDefault="008D6237">
          <w:pPr>
            <w:pStyle w:val="TOC3"/>
            <w:tabs>
              <w:tab w:val="left" w:pos="1697"/>
            </w:tabs>
            <w:rPr>
              <w:rFonts w:asciiTheme="minorHAnsi" w:eastAsiaTheme="minorEastAsia" w:hAnsiTheme="minorHAnsi" w:cstheme="minorBidi"/>
              <w:noProof/>
              <w:lang w:eastAsia="en-AU"/>
            </w:rPr>
          </w:pPr>
          <w:hyperlink w:anchor="_Toc466365822" w:history="1">
            <w:r w:rsidRPr="00711755">
              <w:rPr>
                <w:rStyle w:val="Hyperlink"/>
                <w:noProof/>
              </w:rPr>
              <w:t>13.3.</w:t>
            </w:r>
            <w:r>
              <w:rPr>
                <w:rFonts w:asciiTheme="minorHAnsi" w:eastAsiaTheme="minorEastAsia" w:hAnsiTheme="minorHAnsi" w:cstheme="minorBidi"/>
                <w:noProof/>
                <w:lang w:eastAsia="en-AU"/>
              </w:rPr>
              <w:tab/>
            </w:r>
            <w:r w:rsidRPr="00711755">
              <w:rPr>
                <w:rStyle w:val="Hyperlink"/>
                <w:noProof/>
              </w:rPr>
              <w:t>Second round assessment of benefit-risk balance</w:t>
            </w:r>
            <w:r>
              <w:rPr>
                <w:noProof/>
                <w:webHidden/>
              </w:rPr>
              <w:tab/>
            </w:r>
            <w:r>
              <w:rPr>
                <w:noProof/>
                <w:webHidden/>
              </w:rPr>
              <w:fldChar w:fldCharType="begin"/>
            </w:r>
            <w:r>
              <w:rPr>
                <w:noProof/>
                <w:webHidden/>
              </w:rPr>
              <w:instrText xml:space="preserve"> PAGEREF _Toc466365822 \h </w:instrText>
            </w:r>
            <w:r>
              <w:rPr>
                <w:noProof/>
                <w:webHidden/>
              </w:rPr>
            </w:r>
            <w:r>
              <w:rPr>
                <w:noProof/>
                <w:webHidden/>
              </w:rPr>
              <w:fldChar w:fldCharType="separate"/>
            </w:r>
            <w:r>
              <w:rPr>
                <w:noProof/>
                <w:webHidden/>
              </w:rPr>
              <w:t>82</w:t>
            </w:r>
            <w:r>
              <w:rPr>
                <w:noProof/>
                <w:webHidden/>
              </w:rPr>
              <w:fldChar w:fldCharType="end"/>
            </w:r>
          </w:hyperlink>
        </w:p>
        <w:p w:rsidR="008D6237" w:rsidRDefault="008D6237">
          <w:pPr>
            <w:pStyle w:val="TOC2"/>
            <w:tabs>
              <w:tab w:val="left" w:pos="1247"/>
            </w:tabs>
            <w:rPr>
              <w:rFonts w:asciiTheme="minorHAnsi" w:eastAsiaTheme="minorEastAsia" w:hAnsiTheme="minorHAnsi" w:cstheme="minorBidi"/>
              <w:b w:val="0"/>
              <w:noProof/>
              <w:sz w:val="22"/>
              <w:lang w:eastAsia="en-AU"/>
            </w:rPr>
          </w:pPr>
          <w:hyperlink w:anchor="_Toc466365823" w:history="1">
            <w:r w:rsidRPr="00711755">
              <w:rPr>
                <w:rStyle w:val="Hyperlink"/>
                <w:noProof/>
              </w:rPr>
              <w:t>14.</w:t>
            </w:r>
            <w:r>
              <w:rPr>
                <w:rFonts w:asciiTheme="minorHAnsi" w:eastAsiaTheme="minorEastAsia" w:hAnsiTheme="minorHAnsi" w:cstheme="minorBidi"/>
                <w:b w:val="0"/>
                <w:noProof/>
                <w:sz w:val="22"/>
                <w:lang w:eastAsia="en-AU"/>
              </w:rPr>
              <w:tab/>
            </w:r>
            <w:r w:rsidRPr="00711755">
              <w:rPr>
                <w:rStyle w:val="Hyperlink"/>
                <w:noProof/>
              </w:rPr>
              <w:t>Second round recommendation regarding authorisation</w:t>
            </w:r>
            <w:r>
              <w:rPr>
                <w:noProof/>
                <w:webHidden/>
              </w:rPr>
              <w:tab/>
            </w:r>
            <w:r>
              <w:rPr>
                <w:noProof/>
                <w:webHidden/>
              </w:rPr>
              <w:fldChar w:fldCharType="begin"/>
            </w:r>
            <w:r>
              <w:rPr>
                <w:noProof/>
                <w:webHidden/>
              </w:rPr>
              <w:instrText xml:space="preserve"> PAGEREF _Toc466365823 \h </w:instrText>
            </w:r>
            <w:r>
              <w:rPr>
                <w:noProof/>
                <w:webHidden/>
              </w:rPr>
            </w:r>
            <w:r>
              <w:rPr>
                <w:noProof/>
                <w:webHidden/>
              </w:rPr>
              <w:fldChar w:fldCharType="separate"/>
            </w:r>
            <w:r>
              <w:rPr>
                <w:noProof/>
                <w:webHidden/>
              </w:rPr>
              <w:t>82</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F21ECC" w:rsidRDefault="00F21ECC">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466365765"/>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586F98" w:rsidTr="00B479A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ADME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Absorption, distribution, metabolism, and excretion</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Adverse event</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ANCOVA</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Analysis of covariance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ANOVA</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Analysis of variance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ALT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Alanine aminotransferase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AST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Aspartate aminotransferase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AUC</w:t>
            </w:r>
            <w:r w:rsidRPr="00B479AA">
              <w:rPr>
                <w:color w:val="000000"/>
                <w:vertAlign w:val="subscript"/>
                <w:lang w:val="en-NZ"/>
              </w:rPr>
              <w:t>0-inf</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Area under the drug concentration-time curve from time zero to infinity</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tcPr>
          <w:p w:rsidR="00B479AA" w:rsidRDefault="00B479AA">
            <w:pPr>
              <w:rPr>
                <w:color w:val="000000"/>
                <w:sz w:val="24"/>
                <w:szCs w:val="24"/>
              </w:rPr>
            </w:pPr>
            <w:r>
              <w:rPr>
                <w:color w:val="000000"/>
                <w:lang w:val="en-NZ"/>
              </w:rPr>
              <w:t>AUC</w:t>
            </w:r>
            <w:r w:rsidRPr="00B479AA">
              <w:rPr>
                <w:color w:val="000000"/>
                <w:vertAlign w:val="subscript"/>
                <w:lang w:val="en-NZ"/>
              </w:rPr>
              <w:t>0-t</w:t>
            </w:r>
          </w:p>
        </w:tc>
        <w:tc>
          <w:tcPr>
            <w:tcW w:w="6911" w:type="dxa"/>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Area under the drug concentration-time curve from time zero to the time of the last measurable concentration</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AUC</w:t>
            </w:r>
            <w:r>
              <w:rPr>
                <w:color w:val="000000"/>
                <w:vertAlign w:val="subscript"/>
                <w:lang w:val="en-NZ"/>
              </w:rPr>
              <w:t>0</w:t>
            </w:r>
            <w:r w:rsidRPr="00B479AA">
              <w:rPr>
                <w:color w:val="000000"/>
                <w:vertAlign w:val="subscript"/>
                <w:lang w:val="en-NZ"/>
              </w:rPr>
              <w:t>-tau</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Area under the drug concentration-time curve over the dosing interval</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AUEC</w:t>
            </w:r>
            <w:r>
              <w:rPr>
                <w:color w:val="000000"/>
                <w:vertAlign w:val="subscript"/>
                <w:lang w:val="en-NZ"/>
              </w:rPr>
              <w:t>0</w:t>
            </w:r>
            <w:r w:rsidRPr="00B479AA">
              <w:rPr>
                <w:color w:val="000000"/>
                <w:vertAlign w:val="subscript"/>
                <w:lang w:val="en-NZ"/>
              </w:rPr>
              <w:t>-t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Area under the effect-time curve from time 0 to time t</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BID</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Twice daily</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BMI</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Body mass index</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Pr="00EB795A" w:rsidRDefault="00B479AA">
            <w:pPr>
              <w:rPr>
                <w:color w:val="000000"/>
                <w:sz w:val="24"/>
                <w:szCs w:val="24"/>
              </w:rPr>
            </w:pPr>
            <w:r w:rsidRPr="00EB795A">
              <w:rPr>
                <w:color w:val="000000"/>
                <w:lang w:val="en-NZ"/>
              </w:rPr>
              <w:t>cGMP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Cyclic guanosine monophosphate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CL</w:t>
            </w:r>
            <w:r>
              <w:rPr>
                <w:color w:val="000000"/>
                <w:vertAlign w:val="subscript"/>
                <w:lang w:val="en-NZ"/>
              </w:rPr>
              <w:t>int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Intrinsic metabolic clearance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C</w:t>
            </w:r>
            <w:r w:rsidRPr="00B479AA">
              <w:rPr>
                <w:color w:val="000000"/>
                <w:vertAlign w:val="subscript"/>
                <w:lang w:val="en-NZ"/>
              </w:rPr>
              <w:t>max</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Maximum observed plasma drug concentration</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C</w:t>
            </w:r>
            <w:r w:rsidRPr="00B479AA">
              <w:rPr>
                <w:color w:val="000000"/>
                <w:vertAlign w:val="subscript"/>
                <w:lang w:val="en-NZ"/>
              </w:rPr>
              <w:t>max,ss</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Maximum observed plasma drug concentration at steady-state</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CSR</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Clinical Study Report</w:t>
            </w:r>
          </w:p>
        </w:tc>
      </w:tr>
      <w:tr w:rsidR="00B479AA" w:rsidTr="00B479AA">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DAE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Discontinuation due to adverse event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DBP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Diastolic blood pressure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EAS</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Erection Assessment Scale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ECG</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Electrocardiogram</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eCRF</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Electronic case report form</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ED</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Erectile dysfunction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lastRenderedPageBreak/>
              <w:t>EF</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Erectile function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EOT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End of treatment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FDA</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US Food and Drug Administration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GCP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Good clinical practices</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HbA1c</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Haemoglobin A1c</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HIPAA</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Health Insurance Portability and Accountability Act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IC</w:t>
            </w:r>
            <w:r>
              <w:rPr>
                <w:color w:val="000000"/>
                <w:vertAlign w:val="subscript"/>
                <w:lang w:val="en-NZ"/>
              </w:rPr>
              <w:t>50</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Half maximal inhibitory concentration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IIEF</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International Index of Erectile Function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INR</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International normalized ratio</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ITT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Intent to treat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IVRS</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Interactive voice response system</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LOCF</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Last observation carried forward</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LS</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Least squares</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MDCK-WT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Madin-Darby canine kidney wild type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MDR1</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Multi-drug resistance gene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MedDRA</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Medical Dictionary for Regulatory Activities</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NDA</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New Drug Application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OTC</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Over the counter</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Papp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Apparent permeability</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PD</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Pharmacodynamic</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PDE5</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Phosphodiesterase 5</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Pgp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P-glycoprotein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PK</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Pharmacokinetic</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PT</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Prothrombin time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QD</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Once daily</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lastRenderedPageBreak/>
              <w:t>QTcB</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Bazett-corrected QT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QTcF</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Fridericia-corrected QT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QtcI</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Individual-corrected QT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RE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Efflux ratio</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SAE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Serious adverse event</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SAP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Statistical analysis plan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SBP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Systolic blood pressure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SD</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Standard deviation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Standard error</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SEP</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Sexual Encounter Profile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SOC</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System organ class</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TEAE</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Treatment-emergent adverse event t½ Terminal elimination half-life</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center"/>
          </w:tcPr>
          <w:p w:rsidR="00B479AA" w:rsidRDefault="00B479AA">
            <w:pPr>
              <w:rPr>
                <w:color w:val="000000"/>
                <w:sz w:val="24"/>
                <w:szCs w:val="24"/>
              </w:rPr>
            </w:pPr>
            <w:r>
              <w:rPr>
                <w:color w:val="000000"/>
                <w:lang w:val="en-NZ"/>
              </w:rPr>
              <w:t>T</w:t>
            </w:r>
            <w:r w:rsidRPr="00B479AA">
              <w:rPr>
                <w:color w:val="000000"/>
                <w:vertAlign w:val="subscript"/>
                <w:lang w:val="en-NZ"/>
              </w:rPr>
              <w:t>max</w:t>
            </w:r>
          </w:p>
        </w:tc>
        <w:tc>
          <w:tcPr>
            <w:tcW w:w="6911" w:type="dxa"/>
            <w:vAlign w:val="center"/>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Time to reach the maximum plasma concentration</w:t>
            </w:r>
          </w:p>
        </w:tc>
      </w:tr>
      <w:tr w:rsidR="00B479AA" w:rsidTr="00D25A10">
        <w:tc>
          <w:tcPr>
            <w:cnfStyle w:val="001000000000" w:firstRow="0" w:lastRow="0" w:firstColumn="1" w:lastColumn="0" w:oddVBand="0" w:evenVBand="0" w:oddHBand="0" w:evenHBand="0" w:firstRowFirstColumn="0" w:firstRowLastColumn="0" w:lastRowFirstColumn="0" w:lastRowLastColumn="0"/>
            <w:tcW w:w="1890" w:type="dxa"/>
            <w:vAlign w:val="bottom"/>
          </w:tcPr>
          <w:p w:rsidR="00B479AA" w:rsidRDefault="00B479AA">
            <w:pPr>
              <w:rPr>
                <w:color w:val="000000"/>
                <w:sz w:val="24"/>
                <w:szCs w:val="24"/>
              </w:rPr>
            </w:pPr>
            <w:r>
              <w:rPr>
                <w:color w:val="000000"/>
              </w:rPr>
              <w:t>VSS</w:t>
            </w:r>
          </w:p>
        </w:tc>
        <w:tc>
          <w:tcPr>
            <w:tcW w:w="6911" w:type="dxa"/>
            <w:vAlign w:val="bottom"/>
          </w:tcPr>
          <w:p w:rsidR="00B479AA" w:rsidRDefault="00B479AA">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rPr>
              <w:t>Visual sexual stimulation</w:t>
            </w:r>
          </w:p>
        </w:tc>
      </w:tr>
    </w:tbl>
    <w:p w:rsidR="0094614A" w:rsidRDefault="0094614A" w:rsidP="0043797D">
      <w:pPr>
        <w:pStyle w:val="Heading2"/>
        <w:pageBreakBefore/>
        <w:rPr>
          <w:lang w:eastAsia="en-AU"/>
        </w:rPr>
      </w:pPr>
      <w:bookmarkStart w:id="8" w:name="_Toc351718900"/>
      <w:bookmarkStart w:id="9" w:name="_Toc355338635"/>
      <w:bookmarkStart w:id="10" w:name="_Toc466365766"/>
      <w:r>
        <w:rPr>
          <w:lang w:eastAsia="en-AU"/>
        </w:rPr>
        <w:lastRenderedPageBreak/>
        <w:t>Introduction</w:t>
      </w:r>
      <w:bookmarkEnd w:id="10"/>
    </w:p>
    <w:p w:rsidR="00586F98" w:rsidRDefault="00A7751A" w:rsidP="006B4C50">
      <w:r>
        <w:rPr>
          <w:lang w:eastAsia="en-AU"/>
        </w:rPr>
        <w:t xml:space="preserve">This is a submission to obtain registration for a new chemical </w:t>
      </w:r>
      <w:r w:rsidRPr="00A7751A">
        <w:t>entity avanafil tablets</w:t>
      </w:r>
      <w:r>
        <w:t xml:space="preserve"> (</w:t>
      </w:r>
      <w:r w:rsidR="00F21ECC">
        <w:t>Spedra</w:t>
      </w:r>
      <w:r>
        <w:t xml:space="preserve">) with proposed indications for the treatment of erectile dysfunction in adult men. In order for </w:t>
      </w:r>
      <w:r w:rsidR="00F21ECC">
        <w:t>Spedra</w:t>
      </w:r>
      <w:r>
        <w:t xml:space="preserve"> to be effective, sexual stimulation is required.</w:t>
      </w:r>
    </w:p>
    <w:p w:rsidR="00A7751A" w:rsidRPr="00A7751A" w:rsidRDefault="00A7751A" w:rsidP="00A7751A">
      <w:pPr>
        <w:pStyle w:val="Heading3"/>
      </w:pPr>
      <w:bookmarkStart w:id="11" w:name="_Toc272414597"/>
      <w:bookmarkStart w:id="12" w:name="_Toc290846219"/>
      <w:bookmarkStart w:id="13" w:name="_Toc422725447"/>
      <w:bookmarkStart w:id="14" w:name="_Toc466365767"/>
      <w:r w:rsidRPr="00A7751A">
        <w:t>Dosage forms and strengths</w:t>
      </w:r>
      <w:bookmarkEnd w:id="11"/>
      <w:bookmarkEnd w:id="12"/>
      <w:bookmarkEnd w:id="13"/>
      <w:bookmarkEnd w:id="14"/>
    </w:p>
    <w:p w:rsidR="00A7751A" w:rsidRPr="00A7751A" w:rsidRDefault="00A7751A" w:rsidP="00A7751A">
      <w:r w:rsidRPr="00A7751A">
        <w:t>The submission proposes registration of the following dosage forms and strengths:</w:t>
      </w:r>
    </w:p>
    <w:p w:rsidR="00A7751A" w:rsidRPr="00A7751A" w:rsidRDefault="00F21ECC" w:rsidP="00A7751A">
      <w:pPr>
        <w:pStyle w:val="ListBullet"/>
      </w:pPr>
      <w:r>
        <w:t>Spedra</w:t>
      </w:r>
      <w:r w:rsidR="00A7751A" w:rsidRPr="00A7751A">
        <w:t xml:space="preserve"> (avanafil) 50 mg tablets blister package</w:t>
      </w:r>
    </w:p>
    <w:p w:rsidR="00A7751A" w:rsidRPr="00A7751A" w:rsidRDefault="00F21ECC" w:rsidP="00A7751A">
      <w:pPr>
        <w:pStyle w:val="ListBullet"/>
      </w:pPr>
      <w:r>
        <w:t>Spedra</w:t>
      </w:r>
      <w:r w:rsidR="00A7751A" w:rsidRPr="00A7751A">
        <w:t xml:space="preserve"> (avanafil) 100 mg tablets blister package</w:t>
      </w:r>
    </w:p>
    <w:p w:rsidR="00A7751A" w:rsidRPr="00A7751A" w:rsidRDefault="00F21ECC" w:rsidP="00A7751A">
      <w:pPr>
        <w:pStyle w:val="ListBullet"/>
      </w:pPr>
      <w:r>
        <w:t>Spedra</w:t>
      </w:r>
      <w:r w:rsidR="00A7751A" w:rsidRPr="00A7751A">
        <w:t xml:space="preserve"> (avanafil) 200 mg tablets blister package</w:t>
      </w:r>
    </w:p>
    <w:p w:rsidR="00A7751A" w:rsidRPr="00A7751A" w:rsidRDefault="00A7751A" w:rsidP="00A7751A">
      <w:pPr>
        <w:pStyle w:val="Heading3"/>
      </w:pPr>
      <w:bookmarkStart w:id="15" w:name="_Toc272414598"/>
      <w:bookmarkStart w:id="16" w:name="_Toc290846220"/>
      <w:bookmarkStart w:id="17" w:name="_Toc422725448"/>
      <w:bookmarkStart w:id="18" w:name="_Toc466365768"/>
      <w:r w:rsidRPr="00A7751A">
        <w:t>Dosage and administration</w:t>
      </w:r>
      <w:bookmarkEnd w:id="15"/>
      <w:bookmarkEnd w:id="16"/>
      <w:bookmarkEnd w:id="17"/>
      <w:bookmarkEnd w:id="18"/>
    </w:p>
    <w:p w:rsidR="00A7751A" w:rsidRPr="00A7751A" w:rsidRDefault="00A7751A" w:rsidP="00A7751A">
      <w:r w:rsidRPr="00A7751A">
        <w:t>The proposed dosage recommendations are:</w:t>
      </w:r>
    </w:p>
    <w:p w:rsidR="00A7751A" w:rsidRPr="00A7751A" w:rsidRDefault="00A7751A" w:rsidP="00F21ECC">
      <w:pPr>
        <w:ind w:left="720"/>
      </w:pPr>
      <w:r w:rsidRPr="00A7751A">
        <w:t>Use in adult men:</w:t>
      </w:r>
    </w:p>
    <w:p w:rsidR="00A7751A" w:rsidRPr="00A7751A" w:rsidRDefault="00A7751A" w:rsidP="00F21ECC">
      <w:pPr>
        <w:ind w:left="720"/>
      </w:pPr>
      <w:r w:rsidRPr="00A7751A">
        <w:t>The recommended dose is 100 mg taken as needed at least 15 m</w:t>
      </w:r>
      <w:r w:rsidR="00D25A10">
        <w:t xml:space="preserve">inutes before sexual activity. </w:t>
      </w:r>
      <w:r w:rsidRPr="00A7751A">
        <w:t>Based on individual efficacy and tolerability, the dose may be increased to a maximum dose of</w:t>
      </w:r>
      <w:r w:rsidR="00D25A10">
        <w:t xml:space="preserve"> 200 mg or decreased to 50 mg. </w:t>
      </w:r>
      <w:r w:rsidRPr="00A7751A">
        <w:t>The maximum recommended dosing frequenc</w:t>
      </w:r>
      <w:r>
        <w:t>y is once per day.</w:t>
      </w:r>
    </w:p>
    <w:p w:rsidR="00A7751A" w:rsidRPr="00A7751A" w:rsidRDefault="00F21ECC" w:rsidP="00F21ECC">
      <w:pPr>
        <w:ind w:left="720"/>
      </w:pPr>
      <w:r>
        <w:t>Spedra</w:t>
      </w:r>
      <w:r w:rsidR="00A7751A" w:rsidRPr="00A7751A">
        <w:t xml:space="preserve"> may be taken with or without food.</w:t>
      </w:r>
    </w:p>
    <w:p w:rsidR="00A7751A" w:rsidRPr="00A7751A" w:rsidRDefault="00D25A10" w:rsidP="00F21ECC">
      <w:pPr>
        <w:ind w:left="720"/>
      </w:pPr>
      <w:r>
        <w:t>Use in Older men (≥</w:t>
      </w:r>
      <w:r w:rsidR="00A7751A" w:rsidRPr="00A7751A">
        <w:t xml:space="preserve"> 65 years old):</w:t>
      </w:r>
    </w:p>
    <w:p w:rsidR="00A7751A" w:rsidRPr="00A7751A" w:rsidRDefault="00A7751A" w:rsidP="00F21ECC">
      <w:pPr>
        <w:ind w:left="720"/>
      </w:pPr>
      <w:r w:rsidRPr="00A7751A">
        <w:t>Dose adjustments are n</w:t>
      </w:r>
      <w:r w:rsidR="00D25A10">
        <w:t xml:space="preserve">ot required in older patients. </w:t>
      </w:r>
      <w:r w:rsidRPr="00A7751A">
        <w:t>However, it should be considered that comorbidities increase with age.</w:t>
      </w:r>
    </w:p>
    <w:p w:rsidR="00A7751A" w:rsidRPr="00A7751A" w:rsidRDefault="00A7751A" w:rsidP="00F21ECC">
      <w:pPr>
        <w:ind w:left="720"/>
      </w:pPr>
      <w:r w:rsidRPr="00A7751A">
        <w:t>Patients with Renal impairment:</w:t>
      </w:r>
    </w:p>
    <w:p w:rsidR="00A7751A" w:rsidRPr="00A7751A" w:rsidRDefault="00A7751A" w:rsidP="00F21ECC">
      <w:pPr>
        <w:ind w:left="720"/>
      </w:pPr>
      <w:r w:rsidRPr="00A7751A">
        <w:t>Dose adjustments are not required in patients with mild to moderate renal impairment (creatinine clearance</w:t>
      </w:r>
      <w:r w:rsidR="00D25A10">
        <w:t xml:space="preserve"> ≥ 30 mL/min) - CKD Stage 2 - 3. </w:t>
      </w:r>
      <w:r w:rsidRPr="00A7751A">
        <w:t xml:space="preserve">The pharmacokinetics of </w:t>
      </w:r>
      <w:r w:rsidR="00F21ECC">
        <w:t>Spedra</w:t>
      </w:r>
      <w:r w:rsidRPr="00A7751A">
        <w:t xml:space="preserve"> in patients with severe renal disease or on renal dialysis (CKD stage 4</w:t>
      </w:r>
      <w:r w:rsidR="00D25A10">
        <w:t xml:space="preserve"> </w:t>
      </w:r>
      <w:r w:rsidRPr="00A7751A">
        <w:t>-</w:t>
      </w:r>
      <w:r w:rsidR="00D25A10">
        <w:t xml:space="preserve"> </w:t>
      </w:r>
      <w:r w:rsidRPr="00A7751A">
        <w:t xml:space="preserve">5) has not been studied; </w:t>
      </w:r>
      <w:r w:rsidR="00F21ECC">
        <w:t>Spedra</w:t>
      </w:r>
      <w:r w:rsidRPr="00A7751A">
        <w:t xml:space="preserve"> is contraindicated in these patients.</w:t>
      </w:r>
    </w:p>
    <w:p w:rsidR="00A7751A" w:rsidRPr="00A7751A" w:rsidRDefault="00A7751A" w:rsidP="00F21ECC">
      <w:pPr>
        <w:ind w:left="720"/>
      </w:pPr>
      <w:r w:rsidRPr="00A7751A">
        <w:t>Patients with Hepatic impairment:</w:t>
      </w:r>
    </w:p>
    <w:p w:rsidR="00A7751A" w:rsidRPr="00A7751A" w:rsidRDefault="00A7751A" w:rsidP="00F21ECC">
      <w:pPr>
        <w:ind w:left="720"/>
      </w:pPr>
      <w:r w:rsidRPr="00A7751A">
        <w:t>Patients with mild to moderate hepatic impairment (Child-Pugh class A or B) should initiate treatment with the minimum effective dose and adjust dosage based on tol</w:t>
      </w:r>
      <w:r w:rsidR="00D25A10">
        <w:t xml:space="preserve">erance. </w:t>
      </w:r>
      <w:r w:rsidRPr="00A7751A">
        <w:t xml:space="preserve">The pharmacokinetics of </w:t>
      </w:r>
      <w:r w:rsidR="00F21ECC">
        <w:t>Spedra</w:t>
      </w:r>
      <w:r w:rsidRPr="00A7751A">
        <w:t xml:space="preserve"> in patients with severe hepatic disease (Child Pugh class C) has not been studied; </w:t>
      </w:r>
      <w:r w:rsidR="00F21ECC">
        <w:t>Spedra</w:t>
      </w:r>
      <w:r w:rsidRPr="00A7751A">
        <w:t xml:space="preserve"> is contraindicated in these patients.</w:t>
      </w:r>
    </w:p>
    <w:p w:rsidR="00A7751A" w:rsidRPr="00A7751A" w:rsidRDefault="00A7751A" w:rsidP="00F21ECC">
      <w:pPr>
        <w:ind w:left="720"/>
      </w:pPr>
      <w:r w:rsidRPr="00A7751A">
        <w:t>Concomitant use of CYP3A4 inhibitors:</w:t>
      </w:r>
    </w:p>
    <w:p w:rsidR="00A7751A" w:rsidRDefault="00A7751A" w:rsidP="00F21ECC">
      <w:pPr>
        <w:ind w:left="720"/>
      </w:pPr>
      <w:r w:rsidRPr="00A7751A">
        <w:t xml:space="preserve">In patients receiving concomitant treatment with moderate CYP3A4 inhibitors (including erythromycin, amprenavir, aprepitant, diltiazem, fluconazole, fosamprenavir, and verapamil), the maximum recommended dose of </w:t>
      </w:r>
      <w:r w:rsidR="00F21ECC">
        <w:t>Spedra</w:t>
      </w:r>
      <w:r w:rsidRPr="00A7751A">
        <w:t xml:space="preserve"> should not exceed 100 mg, with an interval of at least 48 hours between doses.</w:t>
      </w:r>
      <w:r w:rsidR="00D25A10">
        <w:t xml:space="preserve"> </w:t>
      </w:r>
      <w:r w:rsidRPr="00A7751A">
        <w:t xml:space="preserve">Co-administration of </w:t>
      </w:r>
      <w:r w:rsidR="00F21ECC">
        <w:t>Spedra</w:t>
      </w:r>
      <w:r w:rsidRPr="00A7751A">
        <w:t xml:space="preserve"> with potent CYP3A4 </w:t>
      </w:r>
      <w:r w:rsidRPr="00124E91">
        <w:rPr>
          <w:lang w:val="en-US"/>
        </w:rPr>
        <w:t xml:space="preserve">inhibitors </w:t>
      </w:r>
      <w:r w:rsidRPr="00A7751A">
        <w:t>(including ketoconazole, ritonavir, atazanavir, clarithromycin, indinavir, itraconazole, nefazodone, nelfinavir, saquinavir and telithromycin) is contraindicated.</w:t>
      </w:r>
    </w:p>
    <w:p w:rsidR="00586F98" w:rsidRDefault="00586F98" w:rsidP="006B4C50">
      <w:pPr>
        <w:pStyle w:val="Heading2"/>
      </w:pPr>
      <w:bookmarkStart w:id="19" w:name="_Toc466365769"/>
      <w:r w:rsidRPr="0094614A">
        <w:lastRenderedPageBreak/>
        <w:t>Clinical rationale</w:t>
      </w:r>
      <w:bookmarkEnd w:id="19"/>
    </w:p>
    <w:p w:rsidR="00D25A10" w:rsidRPr="00D25A10" w:rsidRDefault="00D25A10" w:rsidP="00D25A10">
      <w:r w:rsidRPr="00D25A10">
        <w:t xml:space="preserve">Erectile dysfunction is a common condition in males aged 40 to 70 years, affecting </w:t>
      </w:r>
      <w:r>
        <w:t xml:space="preserve">30% to 50% of that population. </w:t>
      </w:r>
      <w:r w:rsidRPr="00D25A10">
        <w:t>The condition may decrease quality of life for affe</w:t>
      </w:r>
      <w:r>
        <w:t xml:space="preserve">cted males and their partners. </w:t>
      </w:r>
      <w:r w:rsidRPr="00D25A10">
        <w:t>The current standard of care is oral treatment with phosphodiesterase 5 (PDE5) inhibitors, a number of which are currently approved for marketing in Australia, including sildenafil, tadalafil and vardenafil.</w:t>
      </w:r>
    </w:p>
    <w:p w:rsidR="00D25A10" w:rsidRPr="00D25A10" w:rsidRDefault="00F21ECC" w:rsidP="00D25A10">
      <w:r>
        <w:t xml:space="preserve">The sponsor </w:t>
      </w:r>
      <w:r w:rsidR="00D25A10" w:rsidRPr="00D25A10">
        <w:t xml:space="preserve">states that </w:t>
      </w:r>
      <w:r w:rsidR="00922589">
        <w:t>‘</w:t>
      </w:r>
      <w:r w:rsidR="00D25A10" w:rsidRPr="00D25A10">
        <w:t>Avanafil is a new PDE5 inhibitor for oral administration and was developed for its high selectivity for the PDE5 isoenzyme rela</w:t>
      </w:r>
      <w:r w:rsidR="00D25A10">
        <w:t xml:space="preserve">tive to other PDE5 inhibitors. </w:t>
      </w:r>
      <w:r w:rsidR="00D25A10" w:rsidRPr="00D25A10">
        <w:t>Avanafil is rapidly absorbed following administration, reaching peak plasma concentration between 30</w:t>
      </w:r>
      <w:r w:rsidR="00D25A10">
        <w:t xml:space="preserve"> </w:t>
      </w:r>
      <w:r w:rsidR="00D25A10" w:rsidRPr="00D25A10">
        <w:t>-</w:t>
      </w:r>
      <w:r w:rsidR="00D25A10">
        <w:t xml:space="preserve"> </w:t>
      </w:r>
      <w:r w:rsidR="00D25A10" w:rsidRPr="00D25A10">
        <w:t>45 minutes in the fasted state giving the opportunity for clinical effectiveness as early as 15 minutes after administration.</w:t>
      </w:r>
      <w:r w:rsidR="00922589">
        <w:t>’</w:t>
      </w:r>
    </w:p>
    <w:p w:rsidR="00586F98" w:rsidRDefault="00586F98" w:rsidP="00586F98">
      <w:pPr>
        <w:pStyle w:val="Heading2"/>
        <w:rPr>
          <w:lang w:eastAsia="en-AU"/>
        </w:rPr>
      </w:pPr>
      <w:bookmarkStart w:id="20" w:name="_Toc466365770"/>
      <w:r>
        <w:rPr>
          <w:lang w:eastAsia="en-AU"/>
        </w:rPr>
        <w:t>Contents of the clinical dossier</w:t>
      </w:r>
      <w:bookmarkEnd w:id="8"/>
      <w:bookmarkEnd w:id="9"/>
      <w:bookmarkEnd w:id="20"/>
    </w:p>
    <w:p w:rsidR="00586F98" w:rsidRDefault="00586F98" w:rsidP="00586F98">
      <w:pPr>
        <w:pStyle w:val="Heading3"/>
      </w:pPr>
      <w:bookmarkStart w:id="21" w:name="_Toc466365771"/>
      <w:r>
        <w:t>Scope of the clinical dossier</w:t>
      </w:r>
      <w:bookmarkEnd w:id="21"/>
    </w:p>
    <w:p w:rsidR="00D25A10" w:rsidRPr="00D25A10" w:rsidRDefault="00D25A10" w:rsidP="00D25A10">
      <w:r w:rsidRPr="00D25A10">
        <w:t>The submission contained the following clinical information:</w:t>
      </w:r>
    </w:p>
    <w:p w:rsidR="00D25A10" w:rsidRPr="00D25A10" w:rsidRDefault="00D25A10" w:rsidP="00F21ECC">
      <w:pPr>
        <w:pStyle w:val="ListBullet"/>
      </w:pPr>
      <w:r w:rsidRPr="00D25A10">
        <w:t>18 clinical pharmacology studies, including 12 that provided pharmacokinetic data and 9 that provided pharmacodynamic data.</w:t>
      </w:r>
    </w:p>
    <w:p w:rsidR="00D25A10" w:rsidRPr="00D25A10" w:rsidRDefault="00D25A10" w:rsidP="00F21ECC">
      <w:pPr>
        <w:pStyle w:val="ListBullet"/>
      </w:pPr>
      <w:r w:rsidRPr="00D25A10">
        <w:t>One population pharmacokinetic analyses.</w:t>
      </w:r>
    </w:p>
    <w:p w:rsidR="00D25A10" w:rsidRPr="00D25A10" w:rsidRDefault="00D25A10" w:rsidP="00F21ECC">
      <w:pPr>
        <w:pStyle w:val="ListBullet"/>
      </w:pPr>
      <w:r w:rsidRPr="00D25A10">
        <w:t>Four pivotal efficacy/safety studies.</w:t>
      </w:r>
    </w:p>
    <w:p w:rsidR="00D25A10" w:rsidRPr="00D25A10" w:rsidRDefault="00D25A10" w:rsidP="00F21ECC">
      <w:pPr>
        <w:pStyle w:val="ListBullet"/>
      </w:pPr>
      <w:r w:rsidRPr="00D25A10">
        <w:t>Three dose-finding studies.</w:t>
      </w:r>
    </w:p>
    <w:p w:rsidR="00D25A10" w:rsidRPr="00D25A10" w:rsidRDefault="00D25A10" w:rsidP="00F21ECC">
      <w:pPr>
        <w:pStyle w:val="ListBullet"/>
      </w:pPr>
      <w:r w:rsidRPr="00D25A10">
        <w:t>One other efficacy/safety study.</w:t>
      </w:r>
    </w:p>
    <w:p w:rsidR="00D25A10" w:rsidRPr="00D25A10" w:rsidRDefault="00D25A10" w:rsidP="00F21ECC">
      <w:pPr>
        <w:pStyle w:val="ListBullet"/>
      </w:pPr>
      <w:r w:rsidRPr="00D25A10">
        <w:t>One PSUR</w:t>
      </w:r>
      <w:r w:rsidR="00F21ECC">
        <w:t>.</w:t>
      </w:r>
    </w:p>
    <w:p w:rsidR="00586F98" w:rsidRDefault="00586F98" w:rsidP="00586F98">
      <w:pPr>
        <w:pStyle w:val="Heading3"/>
      </w:pPr>
      <w:bookmarkStart w:id="22" w:name="_Toc466365772"/>
      <w:r>
        <w:t>Paediatric data</w:t>
      </w:r>
      <w:bookmarkEnd w:id="22"/>
    </w:p>
    <w:p w:rsidR="00D25A10" w:rsidRPr="00D25A10" w:rsidRDefault="00D25A10" w:rsidP="00D25A10">
      <w:r w:rsidRPr="00D25A10">
        <w:t>The submission did not include paediatric data.</w:t>
      </w:r>
    </w:p>
    <w:p w:rsidR="00586F98" w:rsidRDefault="00586F98" w:rsidP="00586F98">
      <w:pPr>
        <w:pStyle w:val="Heading3"/>
      </w:pPr>
      <w:bookmarkStart w:id="23" w:name="_Toc466365773"/>
      <w:r>
        <w:t>Good clinical practice</w:t>
      </w:r>
      <w:bookmarkEnd w:id="23"/>
    </w:p>
    <w:p w:rsidR="00D25A10" w:rsidRPr="00D25A10" w:rsidRDefault="00D25A10" w:rsidP="00D25A10">
      <w:bookmarkStart w:id="24" w:name="_Toc241374282"/>
      <w:bookmarkStart w:id="25" w:name="_Toc355338639"/>
      <w:r w:rsidRPr="00D25A10">
        <w:t>The clinical studies all have statements of adherence to, and appear to have adhered to, Good Clinical Practice.</w:t>
      </w:r>
    </w:p>
    <w:p w:rsidR="00714B60" w:rsidRDefault="00586F98" w:rsidP="00586F98">
      <w:pPr>
        <w:pStyle w:val="Heading2"/>
      </w:pPr>
      <w:bookmarkStart w:id="26" w:name="_Toc466365774"/>
      <w:bookmarkEnd w:id="24"/>
      <w:r>
        <w:t>Pharmacokinetics</w:t>
      </w:r>
      <w:bookmarkEnd w:id="25"/>
      <w:bookmarkEnd w:id="26"/>
    </w:p>
    <w:p w:rsidR="00D25A10" w:rsidRPr="00D25A10" w:rsidRDefault="00D25A10" w:rsidP="00D25A10">
      <w:pPr>
        <w:pStyle w:val="Heading3"/>
      </w:pPr>
      <w:bookmarkStart w:id="27" w:name="_Ref271017296"/>
      <w:bookmarkStart w:id="28" w:name="_Ref271018924"/>
      <w:bookmarkStart w:id="29" w:name="_Ref271018934"/>
      <w:bookmarkStart w:id="30" w:name="_Toc272414614"/>
      <w:bookmarkStart w:id="31" w:name="_Toc290846238"/>
      <w:bookmarkStart w:id="32" w:name="_Toc422725465"/>
      <w:bookmarkStart w:id="33" w:name="_Toc466365775"/>
      <w:r w:rsidRPr="00D25A10">
        <w:t>Studies</w:t>
      </w:r>
      <w:bookmarkEnd w:id="27"/>
      <w:bookmarkEnd w:id="28"/>
      <w:bookmarkEnd w:id="29"/>
      <w:r w:rsidRPr="00D25A10">
        <w:t xml:space="preserve"> providing pharmacokinetic data</w:t>
      </w:r>
      <w:bookmarkEnd w:id="30"/>
      <w:bookmarkEnd w:id="31"/>
      <w:bookmarkEnd w:id="32"/>
      <w:bookmarkEnd w:id="33"/>
    </w:p>
    <w:p w:rsidR="00D25A10" w:rsidRPr="00D25A10" w:rsidRDefault="00D25A10" w:rsidP="00D25A10">
      <w:r w:rsidRPr="00F21ECC">
        <w:fldChar w:fldCharType="begin"/>
      </w:r>
      <w:r w:rsidRPr="00F21ECC">
        <w:instrText xml:space="preserve"> REF _Ref272426277 \h  \* MERGEFORMAT </w:instrText>
      </w:r>
      <w:r w:rsidRPr="00F21ECC">
        <w:fldChar w:fldCharType="separate"/>
      </w:r>
      <w:r w:rsidR="004C17D2" w:rsidRPr="00D25A10">
        <w:t xml:space="preserve">Table </w:t>
      </w:r>
      <w:r w:rsidRPr="00F21ECC">
        <w:fldChar w:fldCharType="end"/>
      </w:r>
      <w:r w:rsidRPr="00F21ECC">
        <w:t xml:space="preserve"> shows the studies relating to each pharmacokinetic topic and the location of each study summary.</w:t>
      </w:r>
    </w:p>
    <w:p w:rsidR="00D25A10" w:rsidRPr="00D25A10" w:rsidRDefault="00D25A10" w:rsidP="00714B60">
      <w:pPr>
        <w:pStyle w:val="Tabletitle"/>
        <w:pageBreakBefore/>
      </w:pPr>
      <w:bookmarkStart w:id="34" w:name="_Ref272426277"/>
      <w:bookmarkStart w:id="35" w:name="_Toc290888900"/>
      <w:r w:rsidRPr="00D25A10">
        <w:lastRenderedPageBreak/>
        <w:t xml:space="preserve">Table </w:t>
      </w:r>
      <w:bookmarkEnd w:id="34"/>
      <w:r w:rsidR="00922589">
        <w:t>1</w:t>
      </w:r>
      <w:r w:rsidR="00F21ECC">
        <w:t>:</w:t>
      </w:r>
      <w:r w:rsidRPr="00D25A10">
        <w:t xml:space="preserve"> Submitted pharmacokinetic studies.</w:t>
      </w:r>
      <w:bookmarkEnd w:id="35"/>
    </w:p>
    <w:tbl>
      <w:tblPr>
        <w:tblStyle w:val="TableTGAblue"/>
        <w:tblW w:w="7479" w:type="dxa"/>
        <w:tblLayout w:type="fixed"/>
        <w:tblLook w:val="00A0" w:firstRow="1" w:lastRow="0" w:firstColumn="1" w:lastColumn="0" w:noHBand="0" w:noVBand="0"/>
      </w:tblPr>
      <w:tblGrid>
        <w:gridCol w:w="1668"/>
        <w:gridCol w:w="3685"/>
        <w:gridCol w:w="2126"/>
      </w:tblGrid>
      <w:tr w:rsidR="00F21ECC" w:rsidRPr="00E30D00" w:rsidTr="00714B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rsidR="00F21ECC" w:rsidRPr="00E30D00" w:rsidRDefault="00F21ECC" w:rsidP="00714B60">
            <w:pPr>
              <w:ind w:left="0"/>
            </w:pPr>
            <w:r w:rsidRPr="00E30D00">
              <w:t>PK topic</w:t>
            </w:r>
          </w:p>
        </w:tc>
        <w:tc>
          <w:tcPr>
            <w:tcW w:w="3685" w:type="dxa"/>
          </w:tcPr>
          <w:p w:rsidR="00F21ECC" w:rsidRPr="00E30D00" w:rsidRDefault="00F21ECC" w:rsidP="00714B60">
            <w:pPr>
              <w:cnfStyle w:val="100000000000" w:firstRow="1" w:lastRow="0" w:firstColumn="0" w:lastColumn="0" w:oddVBand="0" w:evenVBand="0" w:oddHBand="0" w:evenHBand="0" w:firstRowFirstColumn="0" w:firstRowLastColumn="0" w:lastRowFirstColumn="0" w:lastRowLastColumn="0"/>
            </w:pPr>
            <w:r w:rsidRPr="00E30D00">
              <w:t>Subtopic</w:t>
            </w:r>
          </w:p>
        </w:tc>
        <w:tc>
          <w:tcPr>
            <w:tcW w:w="2126" w:type="dxa"/>
          </w:tcPr>
          <w:p w:rsidR="00F21ECC" w:rsidRPr="00E30D00" w:rsidRDefault="00F21ECC" w:rsidP="00714B60">
            <w:pPr>
              <w:cnfStyle w:val="100000000000" w:firstRow="1" w:lastRow="0" w:firstColumn="0" w:lastColumn="0" w:oddVBand="0" w:evenVBand="0" w:oddHBand="0" w:evenHBand="0" w:firstRowFirstColumn="0" w:firstRowLastColumn="0" w:lastRowFirstColumn="0" w:lastRowLastColumn="0"/>
            </w:pPr>
            <w:r w:rsidRPr="00E30D00">
              <w:t>Study ID</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val="restart"/>
          </w:tcPr>
          <w:p w:rsidR="00F21ECC" w:rsidRPr="00E30D00" w:rsidRDefault="00F21ECC" w:rsidP="00714B60">
            <w:pPr>
              <w:ind w:left="0"/>
            </w:pPr>
            <w:r w:rsidRPr="00E30D00">
              <w:t>PK in healthy adults</w:t>
            </w:r>
          </w:p>
        </w:tc>
        <w:tc>
          <w:tcPr>
            <w:tcW w:w="3685" w:type="dxa"/>
            <w:vMerge w:val="restart"/>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General PK</w:t>
            </w:r>
            <w:r w:rsidRPr="00E30D00">
              <w:tab/>
              <w:t>- Single dose</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HP-01</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vMerge/>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TA-140</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Multi-dose</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TA-02</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Mass balance</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TA-07</w:t>
            </w:r>
            <w:r w:rsidR="00714B60">
              <w:t xml:space="preserve"> </w:t>
            </w:r>
            <w:r w:rsidRPr="00E30D00">
              <w:t>Study TA-010</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Bioequivalence† - Single dose</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TA-020</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Food effect</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TA-020</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val="restart"/>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Hepatic impairment</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TA-012</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Renal impairment</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TA-013</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Elderly</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TA-014</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val="restart"/>
          </w:tcPr>
          <w:p w:rsidR="00F21ECC" w:rsidRPr="00E30D00" w:rsidRDefault="00F21ECC" w:rsidP="00714B60">
            <w:pPr>
              <w:ind w:left="0"/>
            </w:pPr>
            <w:r w:rsidRPr="00E30D00">
              <w:t>PK interactions</w:t>
            </w: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Ketoconazole, erythromycin, ritonavir</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TA-0911</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Warfarin</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TA-016</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vMerge/>
          </w:tcPr>
          <w:p w:rsidR="00F21ECC" w:rsidRPr="00E30D00" w:rsidRDefault="00F21ECC" w:rsidP="00714B60">
            <w:pPr>
              <w:ind w:left="0"/>
            </w:pP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Omeprazole, rosiglitazone, desipramine</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TA-018</w:t>
            </w:r>
          </w:p>
        </w:tc>
      </w:tr>
      <w:tr w:rsidR="00F21ECC" w:rsidRPr="00E30D00" w:rsidTr="00714B60">
        <w:tc>
          <w:tcPr>
            <w:cnfStyle w:val="001000000000" w:firstRow="0" w:lastRow="0" w:firstColumn="1" w:lastColumn="0" w:oddVBand="0" w:evenVBand="0" w:oddHBand="0" w:evenHBand="0" w:firstRowFirstColumn="0" w:firstRowLastColumn="0" w:lastRowFirstColumn="0" w:lastRowLastColumn="0"/>
            <w:tcW w:w="1668" w:type="dxa"/>
          </w:tcPr>
          <w:p w:rsidR="00F21ECC" w:rsidRPr="00E30D00" w:rsidRDefault="00F21ECC" w:rsidP="00714B60">
            <w:pPr>
              <w:ind w:left="0"/>
            </w:pPr>
            <w:r w:rsidRPr="00E30D00">
              <w:t>Population PK analyses</w:t>
            </w:r>
          </w:p>
        </w:tc>
        <w:tc>
          <w:tcPr>
            <w:tcW w:w="3685"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Healthy subjects</w:t>
            </w:r>
          </w:p>
        </w:tc>
        <w:tc>
          <w:tcPr>
            <w:tcW w:w="2126" w:type="dxa"/>
          </w:tcPr>
          <w:p w:rsidR="00F21ECC" w:rsidRPr="00E30D00" w:rsidRDefault="00F21ECC" w:rsidP="00714B60">
            <w:pPr>
              <w:cnfStyle w:val="000000000000" w:firstRow="0" w:lastRow="0" w:firstColumn="0" w:lastColumn="0" w:oddVBand="0" w:evenVBand="0" w:oddHBand="0" w:evenHBand="0" w:firstRowFirstColumn="0" w:firstRowLastColumn="0" w:lastRowFirstColumn="0" w:lastRowLastColumn="0"/>
            </w:pPr>
            <w:r w:rsidRPr="00E30D00">
              <w:t>Study VIVU-RAS-002</w:t>
            </w:r>
          </w:p>
        </w:tc>
      </w:tr>
    </w:tbl>
    <w:p w:rsidR="00D25A10" w:rsidRDefault="00D25A10" w:rsidP="00F21ECC">
      <w:pPr>
        <w:pStyle w:val="TableDescription"/>
      </w:pPr>
      <w:r w:rsidRPr="00D25A10">
        <w:t>† Bioequivalence of different formulations.</w:t>
      </w:r>
    </w:p>
    <w:p w:rsidR="00D25A10" w:rsidRPr="00E30D00" w:rsidRDefault="00D25A10" w:rsidP="00E30D00">
      <w:r w:rsidRPr="00E30D00">
        <w:t>None of the pharmacokinetic studies had deficiencies that excluded their results from consideration.</w:t>
      </w:r>
    </w:p>
    <w:p w:rsidR="00D25A10" w:rsidRPr="00C55895" w:rsidRDefault="00D25A10" w:rsidP="00D25A10">
      <w:pPr>
        <w:pStyle w:val="Heading3"/>
      </w:pPr>
      <w:bookmarkStart w:id="36" w:name="_Ref269118175"/>
      <w:bookmarkStart w:id="37" w:name="_Toc272414616"/>
      <w:bookmarkStart w:id="38" w:name="_Toc290846239"/>
      <w:bookmarkStart w:id="39" w:name="_Toc422725466"/>
      <w:bookmarkStart w:id="40" w:name="_Toc466365776"/>
      <w:r w:rsidRPr="00C55895">
        <w:t>Summary of pharmacokinetics</w:t>
      </w:r>
      <w:bookmarkEnd w:id="36"/>
      <w:bookmarkEnd w:id="37"/>
      <w:bookmarkEnd w:id="38"/>
      <w:bookmarkEnd w:id="39"/>
      <w:bookmarkEnd w:id="40"/>
    </w:p>
    <w:p w:rsidR="00D25A10" w:rsidRPr="00C55895" w:rsidRDefault="00D25A10" w:rsidP="00D25A10">
      <w:r w:rsidRPr="00C55895">
        <w:t>The information in the following summary is derived from conventional pharmacokinetic studies unless otherwise stated.</w:t>
      </w:r>
    </w:p>
    <w:p w:rsidR="00D25A10" w:rsidRPr="00C55895" w:rsidRDefault="00D25A10" w:rsidP="00D25A10">
      <w:pPr>
        <w:pStyle w:val="Heading4"/>
      </w:pPr>
      <w:bookmarkStart w:id="41" w:name="_Ref271189106"/>
      <w:bookmarkStart w:id="42" w:name="_Ref271189143"/>
      <w:bookmarkStart w:id="43" w:name="_Toc272414618"/>
      <w:bookmarkStart w:id="44" w:name="_Toc290846241"/>
      <w:bookmarkStart w:id="45" w:name="_Toc422725468"/>
      <w:r w:rsidRPr="00C55895">
        <w:t>Pharmacokinetics in healthy subjects</w:t>
      </w:r>
      <w:bookmarkEnd w:id="41"/>
      <w:bookmarkEnd w:id="42"/>
      <w:bookmarkEnd w:id="43"/>
      <w:bookmarkEnd w:id="44"/>
      <w:bookmarkEnd w:id="45"/>
    </w:p>
    <w:p w:rsidR="00D25A10" w:rsidRPr="00C55895" w:rsidRDefault="00D25A10" w:rsidP="00D25A10">
      <w:pPr>
        <w:pStyle w:val="Heading5"/>
      </w:pPr>
      <w:bookmarkStart w:id="46" w:name="_Toc272414619"/>
      <w:bookmarkStart w:id="47" w:name="_Toc290846242"/>
      <w:bookmarkStart w:id="48" w:name="_Toc422725469"/>
      <w:r w:rsidRPr="00C55895">
        <w:t>Absorption</w:t>
      </w:r>
      <w:bookmarkEnd w:id="46"/>
      <w:bookmarkEnd w:id="47"/>
      <w:bookmarkEnd w:id="48"/>
    </w:p>
    <w:p w:rsidR="00D25A10" w:rsidRPr="00C55895" w:rsidRDefault="00D25A10" w:rsidP="00D25A10">
      <w:pPr>
        <w:pStyle w:val="Heading6"/>
      </w:pPr>
      <w:r w:rsidRPr="00C55895">
        <w:t>Sites and mechanisms of absorption</w:t>
      </w:r>
    </w:p>
    <w:p w:rsidR="00D25A10" w:rsidRPr="00D25A10" w:rsidRDefault="00D25A10" w:rsidP="00D25A10">
      <w:r w:rsidRPr="00C55895">
        <w:t>The typical T</w:t>
      </w:r>
      <w:r w:rsidRPr="00C55895">
        <w:rPr>
          <w:vertAlign w:val="subscript"/>
        </w:rPr>
        <w:t xml:space="preserve">max </w:t>
      </w:r>
      <w:r w:rsidRPr="00C55895">
        <w:t>for avanafil in the fasted state was 0.75 hours and in the fed state was 2 hours (Study VIVU-RAS-002).</w:t>
      </w:r>
    </w:p>
    <w:p w:rsidR="00D25A10" w:rsidRPr="00D25A10" w:rsidRDefault="00D25A10" w:rsidP="00D25A10">
      <w:pPr>
        <w:pStyle w:val="Heading5"/>
      </w:pPr>
      <w:bookmarkStart w:id="49" w:name="_Toc241374287"/>
      <w:bookmarkStart w:id="50" w:name="_Toc272414620"/>
      <w:bookmarkStart w:id="51" w:name="_Toc290846243"/>
      <w:bookmarkStart w:id="52" w:name="_Toc422725470"/>
      <w:r w:rsidRPr="00D25A10">
        <w:lastRenderedPageBreak/>
        <w:t>Bioavailability</w:t>
      </w:r>
      <w:bookmarkEnd w:id="49"/>
      <w:bookmarkEnd w:id="50"/>
      <w:bookmarkEnd w:id="51"/>
      <w:bookmarkEnd w:id="52"/>
    </w:p>
    <w:p w:rsidR="00D25A10" w:rsidRPr="00D25A10" w:rsidRDefault="00D25A10" w:rsidP="00D25A10">
      <w:pPr>
        <w:pStyle w:val="Heading6"/>
      </w:pPr>
      <w:r w:rsidRPr="00D25A10">
        <w:t>Absolute bioavailability</w:t>
      </w:r>
    </w:p>
    <w:p w:rsidR="00D25A10" w:rsidRPr="00D25A10" w:rsidRDefault="00D25A10" w:rsidP="00D25A10">
      <w:r w:rsidRPr="00D25A10">
        <w:t>Absolute bioavailablity data were not provided.</w:t>
      </w:r>
    </w:p>
    <w:p w:rsidR="00D25A10" w:rsidRPr="00D25A10" w:rsidRDefault="00D25A10" w:rsidP="00D25A10">
      <w:pPr>
        <w:pStyle w:val="Heading6"/>
      </w:pPr>
      <w:r w:rsidRPr="00D25A10">
        <w:t>Bioavailability relative to an oral solution or micronised suspension</w:t>
      </w:r>
    </w:p>
    <w:p w:rsidR="00D25A10" w:rsidRPr="00D25A10" w:rsidRDefault="00D25A10" w:rsidP="00D25A10">
      <w:r w:rsidRPr="00D25A10">
        <w:t>Data for bioavailability relative to an oral solution or micronised suspension were not provided.</w:t>
      </w:r>
    </w:p>
    <w:p w:rsidR="00D25A10" w:rsidRPr="00D25A10" w:rsidRDefault="00D25A10" w:rsidP="00D25A10">
      <w:pPr>
        <w:pStyle w:val="Heading6"/>
      </w:pPr>
      <w:r w:rsidRPr="00D25A10">
        <w:t>Bioequivalence of clinical trial and market formulations</w:t>
      </w:r>
    </w:p>
    <w:p w:rsidR="00D25A10" w:rsidRPr="00D25A10" w:rsidRDefault="00D25A10" w:rsidP="00D25A10">
      <w:r w:rsidRPr="00D25A10">
        <w:t>The</w:t>
      </w:r>
      <w:r w:rsidR="00A22BC4">
        <w:t xml:space="preserve"> formulation used in the Phase III</w:t>
      </w:r>
      <w:r w:rsidRPr="00D25A10">
        <w:t xml:space="preserve"> studies is the same as that intended for marketing in Australia.</w:t>
      </w:r>
    </w:p>
    <w:p w:rsidR="00D25A10" w:rsidRPr="00D25A10" w:rsidRDefault="00D25A10" w:rsidP="00D25A10">
      <w:pPr>
        <w:pStyle w:val="Heading6"/>
      </w:pPr>
      <w:bookmarkStart w:id="53" w:name="_Bioequivalence_of_different"/>
      <w:bookmarkEnd w:id="53"/>
      <w:r w:rsidRPr="00D25A10">
        <w:t>Bioequivalence of different dosage forms and strengths</w:t>
      </w:r>
    </w:p>
    <w:p w:rsidR="00D25A10" w:rsidRPr="001327D2" w:rsidRDefault="00D25A10" w:rsidP="00D25A10">
      <w:r w:rsidRPr="001327D2">
        <w:t xml:space="preserve">The 50 mg, 100 mg and 200 mg tablet strengths are bioequivalent in the fasted state (Table </w:t>
      </w:r>
      <w:r w:rsidR="00F21ECC" w:rsidRPr="001327D2">
        <w:t>2</w:t>
      </w:r>
      <w:r w:rsidR="00A22BC4" w:rsidRPr="001327D2">
        <w:t xml:space="preserve">). </w:t>
      </w:r>
      <w:r w:rsidRPr="001327D2">
        <w:t>However, absorption was faster with the 50 mg tablet strength compared to the 200 mg tablet strength: median t</w:t>
      </w:r>
      <w:r w:rsidRPr="001327D2">
        <w:rPr>
          <w:vertAlign w:val="subscript"/>
        </w:rPr>
        <w:t>max</w:t>
      </w:r>
      <w:r w:rsidRPr="001327D2">
        <w:t xml:space="preserve"> 0.5 hours compared to 0.75 hours respectively.</w:t>
      </w:r>
    </w:p>
    <w:p w:rsidR="00F21ECC" w:rsidRDefault="00F21ECC" w:rsidP="00F21ECC">
      <w:pPr>
        <w:pStyle w:val="Tabletitle"/>
      </w:pPr>
      <w:r w:rsidRPr="001327D2">
        <w:t>Table 2: Pharmacokinetic results</w:t>
      </w:r>
    </w:p>
    <w:p w:rsidR="00F21ECC" w:rsidRPr="00D25A10" w:rsidRDefault="00F21ECC" w:rsidP="00D25A10">
      <w:r w:rsidRPr="00DA7397">
        <w:rPr>
          <w:noProof/>
          <w:lang w:eastAsia="en-AU"/>
        </w:rPr>
        <w:drawing>
          <wp:inline distT="0" distB="0" distL="0" distR="0" wp14:anchorId="09F479D6" wp14:editId="02F2B979">
            <wp:extent cx="4770755" cy="4202430"/>
            <wp:effectExtent l="0" t="0" r="0" b="7620"/>
            <wp:docPr id="48" name="Picture 48" descr="Table 2: Pharmacokinetic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lum bright="-20000" contrast="40000"/>
                      <a:extLst>
                        <a:ext uri="{28A0092B-C50C-407E-A947-70E740481C1C}">
                          <a14:useLocalDpi xmlns:a14="http://schemas.microsoft.com/office/drawing/2010/main" val="0"/>
                        </a:ext>
                      </a:extLst>
                    </a:blip>
                    <a:srcRect/>
                    <a:stretch>
                      <a:fillRect/>
                    </a:stretch>
                  </pic:blipFill>
                  <pic:spPr bwMode="auto">
                    <a:xfrm>
                      <a:off x="0" y="0"/>
                      <a:ext cx="4770755" cy="4202430"/>
                    </a:xfrm>
                    <a:prstGeom prst="rect">
                      <a:avLst/>
                    </a:prstGeom>
                    <a:noFill/>
                    <a:ln>
                      <a:noFill/>
                    </a:ln>
                  </pic:spPr>
                </pic:pic>
              </a:graphicData>
            </a:graphic>
          </wp:inline>
        </w:drawing>
      </w:r>
    </w:p>
    <w:p w:rsidR="00D25A10" w:rsidRPr="00D25A10" w:rsidRDefault="00D25A10" w:rsidP="00D25A10">
      <w:pPr>
        <w:pStyle w:val="Heading6"/>
      </w:pPr>
      <w:r w:rsidRPr="00D25A10">
        <w:t>Bioequivalence to relevant registered products</w:t>
      </w:r>
    </w:p>
    <w:p w:rsidR="00D25A10" w:rsidRPr="00D25A10" w:rsidRDefault="00D25A10" w:rsidP="00D25A10">
      <w:r w:rsidRPr="00D25A10">
        <w:t>Not applicable.</w:t>
      </w:r>
    </w:p>
    <w:p w:rsidR="00D25A10" w:rsidRPr="00D25A10" w:rsidRDefault="00D25A10" w:rsidP="00D25A10">
      <w:pPr>
        <w:pStyle w:val="Heading6"/>
      </w:pPr>
      <w:bookmarkStart w:id="54" w:name="_Influence_of_food"/>
      <w:bookmarkEnd w:id="54"/>
      <w:r w:rsidRPr="00D25A10">
        <w:t>Influence of food</w:t>
      </w:r>
    </w:p>
    <w:p w:rsidR="00D25A10" w:rsidRDefault="00D25A10" w:rsidP="00A22BC4">
      <w:r w:rsidRPr="00A22BC4">
        <w:t>Compared to the fasted state, food delays absorption and decreases C</w:t>
      </w:r>
      <w:r w:rsidRPr="00A22BC4">
        <w:rPr>
          <w:vertAlign w:val="subscript"/>
        </w:rPr>
        <w:t>max</w:t>
      </w:r>
      <w:r w:rsidRPr="00A22BC4">
        <w:t xml:space="preserve"> for avanafil, but overall exposure is unchanged (Study TA-020, </w:t>
      </w:r>
      <w:hyperlink w:anchor="Table_1_1_1" w:history="1">
        <w:r w:rsidRPr="001327D2">
          <w:t xml:space="preserve">Table </w:t>
        </w:r>
        <w:r w:rsidR="00F21ECC" w:rsidRPr="001327D2">
          <w:t>2</w:t>
        </w:r>
      </w:hyperlink>
      <w:r w:rsidR="00A22BC4" w:rsidRPr="001327D2">
        <w:t xml:space="preserve">). </w:t>
      </w:r>
      <w:r w:rsidRPr="001327D2">
        <w:t>In Study TA-020, the mean % ratio (90% CI) fed to fasted for C</w:t>
      </w:r>
      <w:r w:rsidRPr="001327D2">
        <w:rPr>
          <w:vertAlign w:val="subscript"/>
        </w:rPr>
        <w:t>max</w:t>
      </w:r>
      <w:r w:rsidRPr="001327D2">
        <w:t xml:space="preserve"> was 61.0 (52.57 to 70.79) and for AUC</w:t>
      </w:r>
      <w:r w:rsidRPr="001327D2">
        <w:rPr>
          <w:vertAlign w:val="subscript"/>
        </w:rPr>
        <w:t>0-in</w:t>
      </w:r>
      <w:r w:rsidR="00A22BC4" w:rsidRPr="001327D2">
        <w:rPr>
          <w:vertAlign w:val="subscript"/>
        </w:rPr>
        <w:t xml:space="preserve">f </w:t>
      </w:r>
      <w:r w:rsidR="00A22BC4" w:rsidRPr="001327D2">
        <w:t xml:space="preserve">was 96.20 (88.86 to 104.14). </w:t>
      </w:r>
      <w:r w:rsidRPr="001327D2">
        <w:t>The median (range) t</w:t>
      </w:r>
      <w:r w:rsidRPr="001327D2">
        <w:rPr>
          <w:vertAlign w:val="subscript"/>
        </w:rPr>
        <w:t>max</w:t>
      </w:r>
      <w:r w:rsidRPr="001327D2">
        <w:t xml:space="preserve"> was 0.75 (0.47 to 2.0) hours for fasted and 2</w:t>
      </w:r>
      <w:r w:rsidR="00A22BC4" w:rsidRPr="001327D2">
        <w:t xml:space="preserve">.0 (1.2 to 4.0) hours for fed. </w:t>
      </w:r>
      <w:r w:rsidRPr="001327D2">
        <w:t>In Study HP-01, at the 100 mg dose level, food decreased C</w:t>
      </w:r>
      <w:r w:rsidRPr="001327D2">
        <w:rPr>
          <w:vertAlign w:val="subscript"/>
        </w:rPr>
        <w:t>max</w:t>
      </w:r>
      <w:r w:rsidRPr="001327D2">
        <w:t xml:space="preserve"> by 25% and median t</w:t>
      </w:r>
      <w:r w:rsidRPr="001327D2">
        <w:rPr>
          <w:vertAlign w:val="subscript"/>
        </w:rPr>
        <w:t>max</w:t>
      </w:r>
      <w:r w:rsidRPr="001327D2">
        <w:t xml:space="preserve"> increased </w:t>
      </w:r>
      <w:r w:rsidRPr="001327D2">
        <w:lastRenderedPageBreak/>
        <w:t>from 0.63 hours to 1.73 hours, while there was no significant change in AUC</w:t>
      </w:r>
      <w:r w:rsidRPr="001327D2">
        <w:rPr>
          <w:vertAlign w:val="subscript"/>
        </w:rPr>
        <w:t xml:space="preserve">0-inf </w:t>
      </w:r>
      <w:r w:rsidRPr="001327D2">
        <w:t>(</w:t>
      </w:r>
      <w:hyperlink w:anchor="Table_1_1_3" w:history="1">
        <w:r w:rsidRPr="001327D2">
          <w:t xml:space="preserve">Table </w:t>
        </w:r>
        <w:r w:rsidR="00F21ECC" w:rsidRPr="001327D2">
          <w:t>3</w:t>
        </w:r>
      </w:hyperlink>
      <w:r w:rsidR="00A22BC4" w:rsidRPr="001327D2">
        <w:t xml:space="preserve">). </w:t>
      </w:r>
      <w:r w:rsidRPr="001327D2">
        <w:t>The effects of food on C</w:t>
      </w:r>
      <w:r w:rsidRPr="001327D2">
        <w:rPr>
          <w:vertAlign w:val="subscript"/>
        </w:rPr>
        <w:t>max</w:t>
      </w:r>
      <w:r w:rsidRPr="001327D2">
        <w:t xml:space="preserve"> and T</w:t>
      </w:r>
      <w:r w:rsidRPr="001327D2">
        <w:rPr>
          <w:vertAlign w:val="subscript"/>
        </w:rPr>
        <w:t>max</w:t>
      </w:r>
      <w:r w:rsidRPr="001327D2">
        <w:t xml:space="preserve"> were confirmed in the population pharmacokinetic study (Study VIVU-RAS-002</w:t>
      </w:r>
      <w:r w:rsidR="00F21ECC" w:rsidRPr="001327D2">
        <w:t>)</w:t>
      </w:r>
      <w:r w:rsidRPr="001327D2">
        <w:t>.</w:t>
      </w:r>
    </w:p>
    <w:p w:rsidR="00F21ECC" w:rsidRDefault="00F21ECC" w:rsidP="00F21ECC">
      <w:pPr>
        <w:pStyle w:val="Tabletitle"/>
      </w:pPr>
      <w:r>
        <w:t>Table 3: Pharmacokinetic results</w:t>
      </w:r>
    </w:p>
    <w:p w:rsidR="00F21ECC" w:rsidRPr="00A22BC4" w:rsidRDefault="00F21ECC" w:rsidP="00A22BC4">
      <w:r w:rsidRPr="00992FEC">
        <w:rPr>
          <w:rFonts w:ascii="Times New Roman" w:hAnsi="Times New Roman"/>
          <w:noProof/>
          <w:sz w:val="20"/>
          <w:szCs w:val="20"/>
          <w:lang w:eastAsia="en-AU"/>
        </w:rPr>
        <w:drawing>
          <wp:inline distT="0" distB="0" distL="0" distR="0" wp14:anchorId="34C2094F" wp14:editId="12EBF7F1">
            <wp:extent cx="4448175" cy="1546605"/>
            <wp:effectExtent l="0" t="0" r="0" b="0"/>
            <wp:docPr id="54" name="Picture 54" descr="Table 3: Pharmacokinetic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lum bright="-20000" contrast="40000"/>
                      <a:extLst>
                        <a:ext uri="{28A0092B-C50C-407E-A947-70E740481C1C}">
                          <a14:useLocalDpi xmlns:a14="http://schemas.microsoft.com/office/drawing/2010/main" val="0"/>
                        </a:ext>
                      </a:extLst>
                    </a:blip>
                    <a:srcRect/>
                    <a:stretch>
                      <a:fillRect/>
                    </a:stretch>
                  </pic:blipFill>
                  <pic:spPr bwMode="auto">
                    <a:xfrm>
                      <a:off x="0" y="0"/>
                      <a:ext cx="4456356" cy="1549449"/>
                    </a:xfrm>
                    <a:prstGeom prst="rect">
                      <a:avLst/>
                    </a:prstGeom>
                    <a:noFill/>
                    <a:ln>
                      <a:noFill/>
                    </a:ln>
                  </pic:spPr>
                </pic:pic>
              </a:graphicData>
            </a:graphic>
          </wp:inline>
        </w:drawing>
      </w:r>
    </w:p>
    <w:p w:rsidR="00D25A10" w:rsidRPr="00D25A10" w:rsidRDefault="00D25A10" w:rsidP="00D25A10">
      <w:pPr>
        <w:pStyle w:val="Heading6"/>
      </w:pPr>
      <w:bookmarkStart w:id="55" w:name="_Dose_proportionality"/>
      <w:bookmarkEnd w:id="55"/>
      <w:r w:rsidRPr="00D25A10">
        <w:t>Dose proportionality</w:t>
      </w:r>
    </w:p>
    <w:p w:rsidR="00D25A10" w:rsidRDefault="00D25A10" w:rsidP="00A22BC4">
      <w:r w:rsidRPr="001327D2">
        <w:t xml:space="preserve">There was dose proportionality between a 50 mg and a 200 mg dose in the fasted state (Study TA-020, </w:t>
      </w:r>
      <w:hyperlink w:anchor="Table_1_1_1" w:history="1">
        <w:r w:rsidRPr="001327D2">
          <w:t xml:space="preserve">Table </w:t>
        </w:r>
        <w:r w:rsidR="00F21ECC" w:rsidRPr="001327D2">
          <w:t>2</w:t>
        </w:r>
      </w:hyperlink>
      <w:r w:rsidR="00A22BC4" w:rsidRPr="001327D2">
        <w:t xml:space="preserve">). </w:t>
      </w:r>
      <w:r w:rsidRPr="001327D2">
        <w:t>In Study HP-01 there was dose proportionality from 12.5 mg up to 60</w:t>
      </w:r>
      <w:r w:rsidR="001327D2">
        <w:t>0 mg</w:t>
      </w:r>
      <w:r w:rsidRPr="001327D2">
        <w:t xml:space="preserve"> (</w:t>
      </w:r>
      <w:hyperlink w:anchor="Table_1_1_3" w:history="1">
        <w:r w:rsidRPr="001327D2">
          <w:t xml:space="preserve">Table </w:t>
        </w:r>
        <w:r w:rsidR="00F21ECC" w:rsidRPr="001327D2">
          <w:t>4</w:t>
        </w:r>
      </w:hyperlink>
      <w:r w:rsidRPr="001327D2">
        <w:t>).</w:t>
      </w:r>
    </w:p>
    <w:p w:rsidR="00F21ECC" w:rsidRDefault="00F21ECC" w:rsidP="00F21ECC">
      <w:pPr>
        <w:pStyle w:val="Tabletitle"/>
      </w:pPr>
      <w:r>
        <w:t>Table 4: Pharmacokinetic results for increasing doses</w:t>
      </w:r>
    </w:p>
    <w:p w:rsidR="00F21ECC" w:rsidRPr="00D25A10" w:rsidRDefault="00F21ECC" w:rsidP="00A22BC4">
      <w:r w:rsidRPr="00992FEC">
        <w:rPr>
          <w:noProof/>
          <w:lang w:eastAsia="en-AU"/>
        </w:rPr>
        <w:drawing>
          <wp:inline distT="0" distB="0" distL="0" distR="0" wp14:anchorId="019393AC" wp14:editId="1594ED07">
            <wp:extent cx="4810760" cy="3673475"/>
            <wp:effectExtent l="0" t="0" r="8890" b="3175"/>
            <wp:docPr id="52" name="Picture 52" descr="Table 4: Pharmacokinetic results for increasing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lum bright="-20000" contrast="40000"/>
                      <a:extLst>
                        <a:ext uri="{28A0092B-C50C-407E-A947-70E740481C1C}">
                          <a14:useLocalDpi xmlns:a14="http://schemas.microsoft.com/office/drawing/2010/main" val="0"/>
                        </a:ext>
                      </a:extLst>
                    </a:blip>
                    <a:srcRect/>
                    <a:stretch>
                      <a:fillRect/>
                    </a:stretch>
                  </pic:blipFill>
                  <pic:spPr bwMode="auto">
                    <a:xfrm>
                      <a:off x="0" y="0"/>
                      <a:ext cx="4810760" cy="3673475"/>
                    </a:xfrm>
                    <a:prstGeom prst="rect">
                      <a:avLst/>
                    </a:prstGeom>
                    <a:noFill/>
                    <a:ln>
                      <a:noFill/>
                    </a:ln>
                  </pic:spPr>
                </pic:pic>
              </a:graphicData>
            </a:graphic>
          </wp:inline>
        </w:drawing>
      </w:r>
    </w:p>
    <w:p w:rsidR="00D25A10" w:rsidRDefault="00D25A10" w:rsidP="00A22BC4">
      <w:r w:rsidRPr="001327D2">
        <w:t>Dose proportionality was maintained during multiple dosing in the 50 mg to 200 mg dose range (</w:t>
      </w:r>
      <w:hyperlink w:anchor="Table_1_1_4" w:history="1">
        <w:r w:rsidRPr="001327D2">
          <w:t xml:space="preserve">Table </w:t>
        </w:r>
        <w:r w:rsidR="00325E52" w:rsidRPr="001327D2">
          <w:t>5</w:t>
        </w:r>
      </w:hyperlink>
      <w:r w:rsidRPr="001327D2">
        <w:t>).</w:t>
      </w:r>
    </w:p>
    <w:p w:rsidR="00325E52" w:rsidRPr="00A22BC4" w:rsidRDefault="00325E52" w:rsidP="00922589">
      <w:pPr>
        <w:pStyle w:val="Tabletitle"/>
      </w:pPr>
      <w:r>
        <w:lastRenderedPageBreak/>
        <w:t>Table 5: Dose proportionality</w:t>
      </w:r>
      <w:r w:rsidRPr="00C83476">
        <w:rPr>
          <w:rFonts w:ascii="Times New Roman" w:hAnsi="Times New Roman"/>
          <w:noProof/>
          <w:sz w:val="24"/>
          <w:lang w:eastAsia="en-AU"/>
        </w:rPr>
        <w:drawing>
          <wp:inline distT="0" distB="0" distL="0" distR="0" wp14:anchorId="0D55DA39" wp14:editId="31A16FEC">
            <wp:extent cx="5192426" cy="2809875"/>
            <wp:effectExtent l="0" t="0" r="8255" b="0"/>
            <wp:docPr id="59" name="Picture 59" descr="Table 5: Dose propor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lum bright="-20000" contrast="40000"/>
                      <a:extLst>
                        <a:ext uri="{28A0092B-C50C-407E-A947-70E740481C1C}">
                          <a14:useLocalDpi xmlns:a14="http://schemas.microsoft.com/office/drawing/2010/main" val="0"/>
                        </a:ext>
                      </a:extLst>
                    </a:blip>
                    <a:srcRect/>
                    <a:stretch>
                      <a:fillRect/>
                    </a:stretch>
                  </pic:blipFill>
                  <pic:spPr bwMode="auto">
                    <a:xfrm>
                      <a:off x="0" y="0"/>
                      <a:ext cx="5190126" cy="2808630"/>
                    </a:xfrm>
                    <a:prstGeom prst="rect">
                      <a:avLst/>
                    </a:prstGeom>
                    <a:noFill/>
                    <a:ln>
                      <a:noFill/>
                    </a:ln>
                  </pic:spPr>
                </pic:pic>
              </a:graphicData>
            </a:graphic>
          </wp:inline>
        </w:drawing>
      </w:r>
    </w:p>
    <w:p w:rsidR="00D25A10" w:rsidRPr="00D25A10" w:rsidRDefault="00D25A10" w:rsidP="00A22BC4">
      <w:r w:rsidRPr="00A22BC4">
        <w:t>There was dose proportionality between 100 mg and 800 mg single doses for avanafil, M4 and M6 (Study TA-140</w:t>
      </w:r>
      <w:r w:rsidR="00A22BC4">
        <w:t xml:space="preserve">). </w:t>
      </w:r>
      <w:r w:rsidRPr="00A22BC4">
        <w:t>For avanafil the mean (SD) AUC</w:t>
      </w:r>
      <w:r w:rsidRPr="00EB795A">
        <w:rPr>
          <w:vertAlign w:val="subscript"/>
        </w:rPr>
        <w:t>0-inf</w:t>
      </w:r>
      <w:r w:rsidRPr="00A22BC4">
        <w:t xml:space="preserve"> for 100 mg was 2657 (1014) ng*hour/mL and for 800 mg was 27879 (11555) ng*hour/mL, and C</w:t>
      </w:r>
      <w:r w:rsidRPr="00A22BC4">
        <w:rPr>
          <w:vertAlign w:val="subscript"/>
        </w:rPr>
        <w:t>max</w:t>
      </w:r>
      <w:r w:rsidRPr="00A22BC4">
        <w:t xml:space="preserve"> was 980 (3430) ng/mL and 6</w:t>
      </w:r>
      <w:r w:rsidR="00A22BC4">
        <w:t xml:space="preserve">802 (2873) ng/mL respectively. </w:t>
      </w:r>
      <w:r w:rsidRPr="00A22BC4">
        <w:t>For M4 the mean (SD) AUC</w:t>
      </w:r>
      <w:r w:rsidRPr="00EB795A">
        <w:rPr>
          <w:vertAlign w:val="subscript"/>
        </w:rPr>
        <w:t>0-inf</w:t>
      </w:r>
      <w:r w:rsidRPr="00A22BC4">
        <w:t xml:space="preserve"> for 100 mg was 1081 (290) ng*hour/mL and for 800 mg was 9740 (3271) ng*hour/mL, and C</w:t>
      </w:r>
      <w:r w:rsidRPr="00A22BC4">
        <w:rPr>
          <w:vertAlign w:val="subscript"/>
        </w:rPr>
        <w:t>max</w:t>
      </w:r>
      <w:r w:rsidRPr="00A22BC4">
        <w:t xml:space="preserve"> was 248 (77.0) ng/mL and </w:t>
      </w:r>
      <w:r w:rsidR="00A22BC4">
        <w:t xml:space="preserve">1521 (506) ng/mL respectively. </w:t>
      </w:r>
      <w:r w:rsidRPr="00A22BC4">
        <w:t>For M16 the mean (SD) AUC</w:t>
      </w:r>
      <w:r w:rsidRPr="00A22BC4">
        <w:rPr>
          <w:vertAlign w:val="subscript"/>
        </w:rPr>
        <w:t xml:space="preserve">0-inf </w:t>
      </w:r>
      <w:r w:rsidRPr="00A22BC4">
        <w:t xml:space="preserve">for 100 mg was 838 (220) ng*hour/mL and for 800 mg was 8198 (2868) </w:t>
      </w:r>
      <w:r w:rsidRPr="00D25A10">
        <w:t xml:space="preserve">ng*hour/mL, </w:t>
      </w:r>
      <w:r w:rsidRPr="001327D2">
        <w:t>and C</w:t>
      </w:r>
      <w:r w:rsidRPr="001327D2">
        <w:rPr>
          <w:vertAlign w:val="subscript"/>
        </w:rPr>
        <w:t>max</w:t>
      </w:r>
      <w:r w:rsidRPr="001327D2">
        <w:t xml:space="preserve"> was 359 (120) ng/mL and 2098 (883) ng/mL respectively.</w:t>
      </w:r>
    </w:p>
    <w:p w:rsidR="00D25A10" w:rsidRPr="00D25A10" w:rsidRDefault="00D25A10" w:rsidP="00D25A10">
      <w:pPr>
        <w:pStyle w:val="Heading6"/>
      </w:pPr>
      <w:bookmarkStart w:id="56" w:name="_Bioavailability_during_multiple-dos"/>
      <w:bookmarkEnd w:id="56"/>
      <w:r w:rsidRPr="00D25A10">
        <w:t>Bioavailability during multiple-dosing</w:t>
      </w:r>
    </w:p>
    <w:p w:rsidR="00D25A10" w:rsidRPr="00D25A10" w:rsidRDefault="00D25A10" w:rsidP="00D25A10">
      <w:r w:rsidRPr="00D25A10">
        <w:t xml:space="preserve">There were no changes in bioavailability noted during multiple daily dosing in the 50 mg to 200 mg dose </w:t>
      </w:r>
      <w:r w:rsidRPr="001327D2">
        <w:t>range (</w:t>
      </w:r>
      <w:hyperlink w:anchor="Table_1_1_4" w:history="1">
        <w:r w:rsidRPr="001327D2">
          <w:t xml:space="preserve">Table </w:t>
        </w:r>
        <w:r w:rsidR="00325E52" w:rsidRPr="001327D2">
          <w:t>5</w:t>
        </w:r>
      </w:hyperlink>
      <w:r w:rsidR="00A22BC4" w:rsidRPr="001327D2">
        <w:t xml:space="preserve">). </w:t>
      </w:r>
      <w:r w:rsidRPr="001327D2">
        <w:t>There was no accumulation with twice daily dosing of 200 mg over a one week period</w:t>
      </w:r>
      <w:r w:rsidR="00A22BC4" w:rsidRPr="001327D2">
        <w:t xml:space="preserve">. </w:t>
      </w:r>
      <w:r w:rsidRPr="001327D2">
        <w:t>Steady state was achieved</w:t>
      </w:r>
      <w:r w:rsidRPr="00D25A10">
        <w:t xml:space="preserve"> within 48 hours.</w:t>
      </w:r>
    </w:p>
    <w:p w:rsidR="00D25A10" w:rsidRPr="00D25A10" w:rsidRDefault="00D25A10" w:rsidP="00D25A10">
      <w:pPr>
        <w:pStyle w:val="Heading6"/>
      </w:pPr>
      <w:r w:rsidRPr="00D25A10">
        <w:t>Effect of administration timing</w:t>
      </w:r>
    </w:p>
    <w:p w:rsidR="00D25A10" w:rsidRPr="00D25A10" w:rsidRDefault="00D25A10" w:rsidP="00D25A10">
      <w:r w:rsidRPr="00D25A10">
        <w:t>The effect of administration timing was not addressed in the PK studies.</w:t>
      </w:r>
    </w:p>
    <w:p w:rsidR="00D25A10" w:rsidRPr="00D25A10" w:rsidRDefault="00D25A10" w:rsidP="00D25A10">
      <w:pPr>
        <w:pStyle w:val="Heading5"/>
      </w:pPr>
      <w:bookmarkStart w:id="57" w:name="_Toc241374288"/>
      <w:bookmarkStart w:id="58" w:name="_Toc272414621"/>
      <w:bookmarkStart w:id="59" w:name="_Toc290846244"/>
      <w:bookmarkStart w:id="60" w:name="_Toc422725471"/>
      <w:r w:rsidRPr="00D25A10">
        <w:t>Distribution</w:t>
      </w:r>
      <w:bookmarkEnd w:id="57"/>
      <w:bookmarkEnd w:id="58"/>
      <w:bookmarkEnd w:id="59"/>
      <w:bookmarkEnd w:id="60"/>
    </w:p>
    <w:p w:rsidR="00D25A10" w:rsidRPr="00D25A10" w:rsidRDefault="00D25A10" w:rsidP="00D25A10">
      <w:pPr>
        <w:pStyle w:val="Heading6"/>
      </w:pPr>
      <w:bookmarkStart w:id="61" w:name="_Volume_of_distribution"/>
      <w:bookmarkEnd w:id="61"/>
      <w:r w:rsidRPr="00D25A10">
        <w:t>Volume of distribution</w:t>
      </w:r>
    </w:p>
    <w:p w:rsidR="00D25A10" w:rsidRPr="00D25A10" w:rsidRDefault="00D25A10" w:rsidP="00D25A10">
      <w:r w:rsidRPr="00D25A10">
        <w:t>In Study HP-01, the volume of distribution is in the range 47 to 83 L</w:t>
      </w:r>
      <w:r w:rsidR="00A22BC4">
        <w:t xml:space="preserve">. </w:t>
      </w:r>
      <w:r w:rsidRPr="00D25A10">
        <w:t xml:space="preserve">In Study TA-02 volume of distribution was in the range 89 to 102 L in </w:t>
      </w:r>
      <w:r w:rsidR="00A22BC4">
        <w:t xml:space="preserve">the dose range 50 g to 200 mg. </w:t>
      </w:r>
      <w:r w:rsidRPr="00D25A10">
        <w:t>The volume of distribution increases with body weight (Study VIVU-RAS-002).</w:t>
      </w:r>
    </w:p>
    <w:p w:rsidR="00D25A10" w:rsidRPr="00D25A10" w:rsidRDefault="00D25A10" w:rsidP="00D25A10">
      <w:pPr>
        <w:pStyle w:val="Heading6"/>
      </w:pPr>
      <w:r w:rsidRPr="00D25A10">
        <w:t>Plasma protein binding</w:t>
      </w:r>
    </w:p>
    <w:p w:rsidR="00D25A10" w:rsidRPr="00D25A10" w:rsidRDefault="00D25A10" w:rsidP="00D25A10">
      <w:r w:rsidRPr="00D25A10">
        <w:t>Avanafil and its M4 metabolite are highly protein bound: 98.6% to 99.1% and 95.5% to 97.2% respectively (Study TA-012</w:t>
      </w:r>
      <w:r w:rsidR="00A22BC4">
        <w:t>).</w:t>
      </w:r>
      <w:r w:rsidRPr="00D25A10">
        <w:t xml:space="preserve"> The M16 metabolite is moderately </w:t>
      </w:r>
      <w:r w:rsidR="00A22BC4">
        <w:t xml:space="preserve">protein bound: 81.2% to 85.7%. </w:t>
      </w:r>
      <w:r w:rsidRPr="00D25A10">
        <w:t>In Study TA-014 avanafil plasma protein binding was approximately 99%.</w:t>
      </w:r>
    </w:p>
    <w:p w:rsidR="00D25A10" w:rsidRPr="00D25A10" w:rsidRDefault="00D25A10" w:rsidP="00D25A10">
      <w:pPr>
        <w:pStyle w:val="Heading6"/>
      </w:pPr>
      <w:r w:rsidRPr="00D25A10">
        <w:t>Erythrocyte distribution</w:t>
      </w:r>
    </w:p>
    <w:p w:rsidR="00D25A10" w:rsidRPr="00D25A10" w:rsidRDefault="00D25A10" w:rsidP="00D25A10">
      <w:r w:rsidRPr="00D25A10">
        <w:t>Erythrocyte distribution was not described in the data.</w:t>
      </w:r>
    </w:p>
    <w:p w:rsidR="00D25A10" w:rsidRPr="00D25A10" w:rsidRDefault="00D25A10" w:rsidP="00D25A10">
      <w:pPr>
        <w:pStyle w:val="Heading6"/>
      </w:pPr>
      <w:bookmarkStart w:id="62" w:name="_Tissue_distribution"/>
      <w:bookmarkEnd w:id="62"/>
      <w:r w:rsidRPr="00D25A10">
        <w:t>Tissue distribution</w:t>
      </w:r>
    </w:p>
    <w:p w:rsidR="00D25A10" w:rsidRDefault="00D25A10" w:rsidP="00D25A10">
      <w:r w:rsidRPr="00D25A10">
        <w:t xml:space="preserve">Following oral dosing, avanafil demonstrates a biexponential elimination pattern, indicating a redistribution </w:t>
      </w:r>
      <w:r w:rsidRPr="001327D2">
        <w:t>phase (</w:t>
      </w:r>
      <w:hyperlink w:anchor="Figure_4_2_2_3_4_1" w:history="1">
        <w:r w:rsidRPr="001327D2">
          <w:t xml:space="preserve">Figure </w:t>
        </w:r>
        <w:r w:rsidR="00325E52" w:rsidRPr="001327D2">
          <w:t>1</w:t>
        </w:r>
      </w:hyperlink>
      <w:r w:rsidRPr="001327D2">
        <w:t>).</w:t>
      </w:r>
    </w:p>
    <w:p w:rsidR="00325E52" w:rsidRDefault="00325E52" w:rsidP="00714B60">
      <w:pPr>
        <w:pStyle w:val="FigureTitle"/>
      </w:pPr>
      <w:r>
        <w:lastRenderedPageBreak/>
        <w:t xml:space="preserve">Figure 1: </w:t>
      </w:r>
      <w:r w:rsidRPr="00C83476">
        <w:t>Mean ± SD plasma concentration versus time profiles after single oral administration of avanafil in healthy volunteers (semi-log scale)</w:t>
      </w:r>
    </w:p>
    <w:p w:rsidR="00325E52" w:rsidRPr="00D25A10" w:rsidRDefault="00325E52" w:rsidP="00D25A10">
      <w:r w:rsidRPr="00C83476">
        <w:rPr>
          <w:rFonts w:ascii="Times New Roman" w:hAnsi="Times New Roman"/>
          <w:noProof/>
          <w:sz w:val="24"/>
          <w:lang w:eastAsia="en-AU"/>
        </w:rPr>
        <w:drawing>
          <wp:inline distT="0" distB="0" distL="0" distR="0" wp14:anchorId="194F7D34" wp14:editId="1982E229">
            <wp:extent cx="4606364" cy="2752725"/>
            <wp:effectExtent l="0" t="0" r="3810" b="0"/>
            <wp:docPr id="55" name="Picture 55" descr="Figure 1: Mean ± SD plasma concentration versus time profiles after single oral administration of avanafil in healthy volunteers (semi-log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lum bright="-20000" contrast="40000"/>
                      <a:extLst>
                        <a:ext uri="{28A0092B-C50C-407E-A947-70E740481C1C}">
                          <a14:useLocalDpi xmlns:a14="http://schemas.microsoft.com/office/drawing/2010/main" val="0"/>
                        </a:ext>
                      </a:extLst>
                    </a:blip>
                    <a:srcRect l="4540" t="2804" b="7166"/>
                    <a:stretch/>
                  </pic:blipFill>
                  <pic:spPr bwMode="auto">
                    <a:xfrm>
                      <a:off x="0" y="0"/>
                      <a:ext cx="4613246" cy="2756838"/>
                    </a:xfrm>
                    <a:prstGeom prst="rect">
                      <a:avLst/>
                    </a:prstGeom>
                    <a:noFill/>
                    <a:ln>
                      <a:noFill/>
                    </a:ln>
                    <a:extLst>
                      <a:ext uri="{53640926-AAD7-44D8-BBD7-CCE9431645EC}">
                        <a14:shadowObscured xmlns:a14="http://schemas.microsoft.com/office/drawing/2010/main"/>
                      </a:ext>
                    </a:extLst>
                  </pic:spPr>
                </pic:pic>
              </a:graphicData>
            </a:graphic>
          </wp:inline>
        </w:drawing>
      </w:r>
    </w:p>
    <w:p w:rsidR="00714B60" w:rsidRDefault="00D25A10" w:rsidP="00D25A10">
      <w:r w:rsidRPr="001327D2">
        <w:t xml:space="preserve">The mean avanafil concentration 1 hour post-dose in seminal fluid was 151 ng/mL (Study TA-014, </w:t>
      </w:r>
      <w:hyperlink w:anchor="Table_1_1_7" w:history="1">
        <w:r w:rsidRPr="001327D2">
          <w:t xml:space="preserve">Table </w:t>
        </w:r>
        <w:r w:rsidR="00325E52" w:rsidRPr="001327D2">
          <w:t>6</w:t>
        </w:r>
      </w:hyperlink>
      <w:r w:rsidRPr="001327D2">
        <w:t>).</w:t>
      </w:r>
    </w:p>
    <w:p w:rsidR="00325E52" w:rsidRPr="00325E52" w:rsidRDefault="00325E52" w:rsidP="00325E52">
      <w:pPr>
        <w:pStyle w:val="Tabletitle"/>
      </w:pPr>
      <w:r>
        <w:t xml:space="preserve">Table 6: Pharmacokientics of avanafil, M4 and M16 isomers </w:t>
      </w:r>
      <w:r>
        <w:rPr>
          <w:noProof/>
          <w:lang w:eastAsia="en-AU"/>
        </w:rPr>
        <w:drawing>
          <wp:inline distT="0" distB="0" distL="0" distR="0" wp14:anchorId="26E51391" wp14:editId="3D2C5EAB">
            <wp:extent cx="4644191" cy="4552950"/>
            <wp:effectExtent l="0" t="0" r="4445" b="0"/>
            <wp:docPr id="16" name="Picture 16" descr="Table 6: Pharmacokientics of avanafil, M4 and M16 iso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1365" r="3048" b="1365"/>
                    <a:stretch/>
                  </pic:blipFill>
                  <pic:spPr bwMode="auto">
                    <a:xfrm>
                      <a:off x="0" y="0"/>
                      <a:ext cx="4644191" cy="4552950"/>
                    </a:xfrm>
                    <a:prstGeom prst="rect">
                      <a:avLst/>
                    </a:prstGeom>
                    <a:ln>
                      <a:noFill/>
                    </a:ln>
                    <a:extLst>
                      <a:ext uri="{53640926-AAD7-44D8-BBD7-CCE9431645EC}">
                        <a14:shadowObscured xmlns:a14="http://schemas.microsoft.com/office/drawing/2010/main"/>
                      </a:ext>
                    </a:extLst>
                  </pic:spPr>
                </pic:pic>
              </a:graphicData>
            </a:graphic>
          </wp:inline>
        </w:drawing>
      </w:r>
    </w:p>
    <w:p w:rsidR="00D25A10" w:rsidRDefault="00D25A10" w:rsidP="00D25A10">
      <w:r w:rsidRPr="00D25A10">
        <w:t>The mean M4 concentration in seminal fluid was 531 ng/mL</w:t>
      </w:r>
      <w:r w:rsidR="00A22BC4">
        <w:t xml:space="preserve">. </w:t>
      </w:r>
      <w:r w:rsidRPr="00D25A10">
        <w:t>The mean M16 concentration i</w:t>
      </w:r>
      <w:r w:rsidR="00A22BC4">
        <w:t xml:space="preserve">n seminal fluid was 588 ng/mL. </w:t>
      </w:r>
      <w:r w:rsidRPr="00D25A10">
        <w:t xml:space="preserve">The mean avanafil, M4 isomers and M16 isomers semen/plasma </w:t>
      </w:r>
      <w:r w:rsidRPr="00D25A10">
        <w:lastRenderedPageBreak/>
        <w:t>concentration ratios were 0.07,</w:t>
      </w:r>
      <w:r w:rsidR="00A22BC4">
        <w:t xml:space="preserve"> 0.83, and 0.74, respectively. </w:t>
      </w:r>
      <w:r w:rsidRPr="00D25A10">
        <w:t>There were similar findings in a second study of avanafil and metabolites in seminal fluid (</w:t>
      </w:r>
      <w:r w:rsidRPr="00922589">
        <w:t xml:space="preserve">Study TA-021, </w:t>
      </w:r>
      <w:r w:rsidR="00325E52" w:rsidRPr="00922589">
        <w:t xml:space="preserve">Table </w:t>
      </w:r>
      <w:hyperlink w:anchor="Table_4_2_2_3_4_1" w:history="1">
        <w:r w:rsidR="00325E52" w:rsidRPr="00922589">
          <w:t>7</w:t>
        </w:r>
      </w:hyperlink>
      <w:r w:rsidRPr="00922589">
        <w:t>).</w:t>
      </w:r>
    </w:p>
    <w:p w:rsidR="00325E52" w:rsidRDefault="00325E52" w:rsidP="00325E52">
      <w:pPr>
        <w:pStyle w:val="Tabletitle"/>
      </w:pPr>
      <w:r>
        <w:t xml:space="preserve">Table 7: </w:t>
      </w:r>
      <w:r w:rsidRPr="00C83476">
        <w:rPr>
          <w:lang w:val="en-NZ"/>
        </w:rPr>
        <w:t>Arithmetic Mean (SD) and Geometric Mean Pharmacokinetic Parameters for Plasma Avanafil, M4, and M16</w:t>
      </w:r>
    </w:p>
    <w:p w:rsidR="00325E52" w:rsidRPr="00D25A10" w:rsidRDefault="00325E52" w:rsidP="00D25A10">
      <w:r w:rsidRPr="00C83476">
        <w:rPr>
          <w:rFonts w:ascii="Times New Roman" w:hAnsi="Times New Roman"/>
          <w:noProof/>
          <w:sz w:val="24"/>
          <w:lang w:eastAsia="en-AU"/>
        </w:rPr>
        <w:drawing>
          <wp:inline distT="0" distB="0" distL="0" distR="0" wp14:anchorId="6A389A6A" wp14:editId="1888BB9D">
            <wp:extent cx="4400550" cy="3076575"/>
            <wp:effectExtent l="19050" t="19050" r="19050" b="28575"/>
            <wp:docPr id="101" name="Picture 101" descr="Table 7: Arithmetic Mean (SD) and Geometric Mean Pharmacokinetic Parameters for Plasma Avanafil, M4, and M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lum bright="-20000" contrast="40000"/>
                      <a:extLst>
                        <a:ext uri="{28A0092B-C50C-407E-A947-70E740481C1C}">
                          <a14:useLocalDpi xmlns:a14="http://schemas.microsoft.com/office/drawing/2010/main" val="0"/>
                        </a:ext>
                      </a:extLst>
                    </a:blip>
                    <a:srcRect t="1462" r="2305" b="4093"/>
                    <a:stretch/>
                  </pic:blipFill>
                  <pic:spPr bwMode="auto">
                    <a:xfrm>
                      <a:off x="0" y="0"/>
                      <a:ext cx="4403239" cy="3078455"/>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A10" w:rsidRPr="00D25A10" w:rsidRDefault="00D25A10" w:rsidP="00D25A10">
      <w:pPr>
        <w:pStyle w:val="Heading5"/>
      </w:pPr>
      <w:bookmarkStart w:id="63" w:name="_Toc272414622"/>
      <w:bookmarkStart w:id="64" w:name="_Toc290846245"/>
      <w:bookmarkStart w:id="65" w:name="_Toc422725472"/>
      <w:r w:rsidRPr="00D25A10">
        <w:t>Metabolism</w:t>
      </w:r>
      <w:bookmarkEnd w:id="63"/>
      <w:bookmarkEnd w:id="64"/>
      <w:bookmarkEnd w:id="65"/>
    </w:p>
    <w:p w:rsidR="00D25A10" w:rsidRPr="00D25A10" w:rsidRDefault="00D25A10" w:rsidP="00D25A10">
      <w:pPr>
        <w:pStyle w:val="Heading6"/>
      </w:pPr>
      <w:r w:rsidRPr="00D25A10">
        <w:t>Interconversion between enantiomers</w:t>
      </w:r>
    </w:p>
    <w:p w:rsidR="00D25A10" w:rsidRPr="00D25A10" w:rsidRDefault="00D25A10" w:rsidP="00D25A10">
      <w:r w:rsidRPr="00D25A10">
        <w:t>No data were included in the submission with regard to interconversion between anantomers.</w:t>
      </w:r>
    </w:p>
    <w:p w:rsidR="00D25A10" w:rsidRPr="00D25A10" w:rsidRDefault="00D25A10" w:rsidP="00D25A10">
      <w:pPr>
        <w:pStyle w:val="Heading6"/>
      </w:pPr>
      <w:r w:rsidRPr="00D25A10">
        <w:t>Sites of metabolism and mechanisms</w:t>
      </w:r>
      <w:r w:rsidR="00704CF9">
        <w:t>/</w:t>
      </w:r>
      <w:r w:rsidRPr="00D25A10">
        <w:t>enzyme systems involved</w:t>
      </w:r>
    </w:p>
    <w:p w:rsidR="00D25A10" w:rsidRPr="00D25A10" w:rsidRDefault="00D25A10" w:rsidP="00D25A10">
      <w:r w:rsidRPr="00D25A10">
        <w:t>Avanafil is predominantly metabolised in the liver by CYP3A4 and to a lesser extent CYP2C9.</w:t>
      </w:r>
    </w:p>
    <w:p w:rsidR="00D25A10" w:rsidRPr="00D25A10" w:rsidRDefault="00D25A10" w:rsidP="00D25A10">
      <w:pPr>
        <w:pStyle w:val="Heading6"/>
      </w:pPr>
      <w:r w:rsidRPr="00D25A10">
        <w:t>Non-renal clearance</w:t>
      </w:r>
    </w:p>
    <w:p w:rsidR="00D25A10" w:rsidRPr="00D25A10" w:rsidRDefault="00D25A10" w:rsidP="00D25A10">
      <w:r w:rsidRPr="00D25A10">
        <w:t>The predominant route of elimination of avanafil is in the faeces.</w:t>
      </w:r>
    </w:p>
    <w:p w:rsidR="00D25A10" w:rsidRPr="00E30D00" w:rsidRDefault="00D25A10" w:rsidP="00E30D00">
      <w:pPr>
        <w:pStyle w:val="Heading6"/>
      </w:pPr>
      <w:r w:rsidRPr="00E30D00">
        <w:t>Metabolites identified in humans</w:t>
      </w:r>
    </w:p>
    <w:p w:rsidR="00D25A10" w:rsidRPr="00E30D00" w:rsidRDefault="00D25A10" w:rsidP="00E30D00">
      <w:pPr>
        <w:pStyle w:val="Heading7"/>
      </w:pPr>
      <w:r w:rsidRPr="00E30D00">
        <w:t>Active metabolites</w:t>
      </w:r>
    </w:p>
    <w:p w:rsidR="00D25A10" w:rsidRPr="00E30D00" w:rsidRDefault="00D25A10" w:rsidP="00D25A10">
      <w:r w:rsidRPr="00E30D00">
        <w:t xml:space="preserve">The M4 metabolite has an in vitro inhibitory potency for PDE5 that is 18% </w:t>
      </w:r>
      <w:r w:rsidR="00A22BC4">
        <w:t xml:space="preserve">that of the parent (avanafil). </w:t>
      </w:r>
      <w:r w:rsidRPr="00E30D00">
        <w:t>The M4 metabolite is predicted to account for approximately 4% of t</w:t>
      </w:r>
      <w:r w:rsidR="00A22BC4">
        <w:t xml:space="preserve">otal pharmacological activity. </w:t>
      </w:r>
      <w:r w:rsidRPr="00E30D00">
        <w:t>The M16 metabolite is inactive.</w:t>
      </w:r>
    </w:p>
    <w:p w:rsidR="00D25A10" w:rsidRPr="00E30D00" w:rsidRDefault="00D25A10" w:rsidP="00E30D00">
      <w:pPr>
        <w:pStyle w:val="Heading7"/>
      </w:pPr>
      <w:r w:rsidRPr="00E30D00">
        <w:t>Other metabolites</w:t>
      </w:r>
    </w:p>
    <w:p w:rsidR="00D25A10" w:rsidRPr="00E30D00" w:rsidRDefault="00D25A10" w:rsidP="00E30D00">
      <w:r w:rsidRPr="00E30D00">
        <w:t>In vitro, avanafil underwent extensive biotransformation in human liver microsomes with at least 11 metabolites identified.</w:t>
      </w:r>
    </w:p>
    <w:p w:rsidR="00D25A10" w:rsidRPr="00E30D00" w:rsidRDefault="00D25A10" w:rsidP="00E30D00">
      <w:pPr>
        <w:pStyle w:val="Heading6"/>
      </w:pPr>
      <w:r w:rsidRPr="00E30D00">
        <w:t>Pharmacokinetics of metabolites</w:t>
      </w:r>
    </w:p>
    <w:p w:rsidR="00D25A10" w:rsidRPr="001327D2" w:rsidRDefault="00D25A10" w:rsidP="00E30D00">
      <w:r w:rsidRPr="00E30D00">
        <w:t xml:space="preserve">In the dose range 12.5 mg to 800 mg, single dose, plasma </w:t>
      </w:r>
      <w:r w:rsidRPr="001327D2">
        <w:t>concentrations of the primary metabolites were not sufficient to enable the estimation of the PK parameters (</w:t>
      </w:r>
      <w:hyperlink w:anchor="Table_1_1_3" w:history="1">
        <w:r w:rsidRPr="001327D2">
          <w:t xml:space="preserve">Table </w:t>
        </w:r>
        <w:r w:rsidR="00C072A1" w:rsidRPr="001327D2">
          <w:t>4</w:t>
        </w:r>
      </w:hyperlink>
      <w:r w:rsidR="00A22BC4" w:rsidRPr="001327D2">
        <w:t>).</w:t>
      </w:r>
    </w:p>
    <w:p w:rsidR="00D25A10" w:rsidRPr="001327D2" w:rsidRDefault="00D25A10" w:rsidP="00E30D00">
      <w:pPr>
        <w:pStyle w:val="Heading6"/>
      </w:pPr>
      <w:r w:rsidRPr="001327D2">
        <w:t>Consequences of genetic polymorphism</w:t>
      </w:r>
    </w:p>
    <w:p w:rsidR="00D25A10" w:rsidRPr="001327D2" w:rsidRDefault="00D25A10" w:rsidP="00E30D00">
      <w:r w:rsidRPr="001327D2">
        <w:t>No pharmacogenetic data were included in the submission.</w:t>
      </w:r>
    </w:p>
    <w:p w:rsidR="00D25A10" w:rsidRPr="001327D2" w:rsidRDefault="00D25A10" w:rsidP="00D25A10">
      <w:pPr>
        <w:pStyle w:val="Heading5"/>
      </w:pPr>
      <w:bookmarkStart w:id="66" w:name="_Toc241374289"/>
      <w:bookmarkStart w:id="67" w:name="_Toc272414623"/>
      <w:bookmarkStart w:id="68" w:name="_Toc290846246"/>
      <w:bookmarkStart w:id="69" w:name="_Toc422725473"/>
      <w:r w:rsidRPr="001327D2">
        <w:lastRenderedPageBreak/>
        <w:t>E</w:t>
      </w:r>
      <w:bookmarkEnd w:id="66"/>
      <w:r w:rsidRPr="001327D2">
        <w:t>xcretion</w:t>
      </w:r>
      <w:bookmarkEnd w:id="67"/>
      <w:bookmarkEnd w:id="68"/>
      <w:bookmarkEnd w:id="69"/>
    </w:p>
    <w:p w:rsidR="00D25A10" w:rsidRPr="001327D2" w:rsidRDefault="00D25A10" w:rsidP="00E30D00">
      <w:pPr>
        <w:pStyle w:val="Heading6"/>
      </w:pPr>
      <w:r w:rsidRPr="001327D2">
        <w:t>Routes and mechanisms of excretion</w:t>
      </w:r>
    </w:p>
    <w:p w:rsidR="00D25A10" w:rsidRPr="00E30D00" w:rsidRDefault="00D25A10" w:rsidP="00D25A10">
      <w:r w:rsidRPr="001327D2">
        <w:t>Apparent clearance (CL/F) is around 60 L/hour (</w:t>
      </w:r>
      <w:hyperlink w:anchor="Table_1_1_4" w:history="1">
        <w:r w:rsidRPr="001327D2">
          <w:t xml:space="preserve">Table </w:t>
        </w:r>
        <w:r w:rsidR="00C072A1" w:rsidRPr="001327D2">
          <w:t>3</w:t>
        </w:r>
      </w:hyperlink>
      <w:r w:rsidRPr="001327D2">
        <w:t>).</w:t>
      </w:r>
    </w:p>
    <w:p w:rsidR="00D25A10" w:rsidRPr="00E30D00" w:rsidRDefault="00D25A10" w:rsidP="00E30D00">
      <w:pPr>
        <w:pStyle w:val="Heading6"/>
      </w:pPr>
      <w:bookmarkStart w:id="70" w:name="_Mass_balance_studies"/>
      <w:bookmarkEnd w:id="70"/>
      <w:r w:rsidRPr="00E30D00">
        <w:t>Mass balance studies</w:t>
      </w:r>
    </w:p>
    <w:p w:rsidR="00D25A10" w:rsidRPr="00E30D00" w:rsidRDefault="00D25A10" w:rsidP="00E30D00">
      <w:r w:rsidRPr="00E30D00">
        <w:t>In the mass balance study, Study TA-010, mean (CV%) CL/F of unchanged avanafil was 65.86 (14) L/ho</w:t>
      </w:r>
      <w:r w:rsidR="00A22BC4">
        <w:t>ur and t½ was 12.74 (39) hours.</w:t>
      </w:r>
      <w:r w:rsidRPr="00E30D00">
        <w:t xml:space="preserve"> Approximately 21% of the administered dose was excreted in the urine, but onl</w:t>
      </w:r>
      <w:r w:rsidR="00A22BC4">
        <w:t xml:space="preserve">y 0.02% as unchanged avanafil. </w:t>
      </w:r>
      <w:r w:rsidRPr="00E30D00">
        <w:t>The main urinary metabolite was M16 (an open pyrrolidine r</w:t>
      </w:r>
      <w:r w:rsidR="00A22BC4">
        <w:t xml:space="preserve">ing carboxylic acid avanafil). </w:t>
      </w:r>
      <w:r w:rsidRPr="00E30D00">
        <w:t>Approximately 62% of administered dose was recovered in the faeces, primarily in the form of metabolites, the major faecal metabolites being M10 (carb</w:t>
      </w:r>
      <w:r w:rsidR="00A22BC4">
        <w:t xml:space="preserve">oxylic acid avanafil) and M16. </w:t>
      </w:r>
      <w:r w:rsidRPr="00E30D00">
        <w:t>In one subject only 46% of the administered dose was recovered in the faeces.</w:t>
      </w:r>
    </w:p>
    <w:p w:rsidR="00D25A10" w:rsidRPr="00E30D00" w:rsidRDefault="00D25A10" w:rsidP="00E30D00">
      <w:pPr>
        <w:pStyle w:val="Heading6"/>
      </w:pPr>
      <w:r w:rsidRPr="00E30D00">
        <w:t>Renal clearance</w:t>
      </w:r>
    </w:p>
    <w:p w:rsidR="00D25A10" w:rsidRPr="001327D2" w:rsidRDefault="00D25A10" w:rsidP="00E30D00">
      <w:r w:rsidRPr="00E30D00">
        <w:t xml:space="preserve">Renal </w:t>
      </w:r>
      <w:r w:rsidRPr="001327D2">
        <w:t>clearance of unchanged avanafil is in the range 0.037 to 0.051 mL/min in the dose range 12.</w:t>
      </w:r>
      <w:r w:rsidR="001327D2">
        <w:t>5 mg</w:t>
      </w:r>
      <w:r w:rsidRPr="001327D2">
        <w:t xml:space="preserve"> to 100 mg (</w:t>
      </w:r>
      <w:hyperlink w:anchor="Table_1_1_3" w:history="1">
        <w:r w:rsidRPr="001327D2">
          <w:t xml:space="preserve">Table </w:t>
        </w:r>
        <w:r w:rsidR="00C072A1" w:rsidRPr="001327D2">
          <w:t>4</w:t>
        </w:r>
      </w:hyperlink>
      <w:r w:rsidRPr="001327D2">
        <w:t>).</w:t>
      </w:r>
    </w:p>
    <w:p w:rsidR="00D25A10" w:rsidRPr="00D25A10" w:rsidRDefault="00D25A10" w:rsidP="00D25A10">
      <w:pPr>
        <w:pStyle w:val="Heading5"/>
      </w:pPr>
      <w:bookmarkStart w:id="71" w:name="_Toc241374291"/>
      <w:bookmarkStart w:id="72" w:name="_Toc272414624"/>
      <w:bookmarkStart w:id="73" w:name="_Toc290846247"/>
      <w:bookmarkStart w:id="74" w:name="_Toc422725474"/>
      <w:r w:rsidRPr="001327D2">
        <w:t>Intra- and inter-individual</w:t>
      </w:r>
      <w:r w:rsidRPr="00D25A10">
        <w:t xml:space="preserve"> variability</w:t>
      </w:r>
      <w:bookmarkEnd w:id="71"/>
      <w:r w:rsidRPr="00D25A10">
        <w:t xml:space="preserve"> of pharmacokinetics</w:t>
      </w:r>
      <w:bookmarkEnd w:id="72"/>
      <w:bookmarkEnd w:id="73"/>
      <w:bookmarkEnd w:id="74"/>
    </w:p>
    <w:p w:rsidR="00D25A10" w:rsidRPr="00E30D00" w:rsidRDefault="00D25A10" w:rsidP="00E30D00">
      <w:r w:rsidRPr="00E30D00">
        <w:t>Inter-individual and intra-individual variabili</w:t>
      </w:r>
      <w:r w:rsidR="00A22BC4">
        <w:t xml:space="preserve">ty of avanafil was acceptable. </w:t>
      </w:r>
      <w:r w:rsidRPr="00E30D00">
        <w:t>Volume of distribution increases with weight (Study VIVU-RAS-002</w:t>
      </w:r>
      <w:r w:rsidR="00A22BC4">
        <w:t xml:space="preserve">). </w:t>
      </w:r>
      <w:r w:rsidRPr="00E30D00">
        <w:t>The other factors influencing PK were food and CYP Inhibitors.</w:t>
      </w:r>
    </w:p>
    <w:p w:rsidR="00D25A10" w:rsidRPr="00E30D00" w:rsidRDefault="00D25A10" w:rsidP="00E30D00">
      <w:pPr>
        <w:pStyle w:val="Heading4"/>
      </w:pPr>
      <w:bookmarkStart w:id="75" w:name="_Toc241374292"/>
      <w:bookmarkStart w:id="76" w:name="_Ref271189131"/>
      <w:bookmarkStart w:id="77" w:name="_Ref271189136"/>
      <w:bookmarkStart w:id="78" w:name="_Toc272414625"/>
      <w:bookmarkStart w:id="79" w:name="_Toc290846248"/>
      <w:bookmarkStart w:id="80" w:name="_Toc422725475"/>
      <w:r w:rsidRPr="00E30D00">
        <w:t>Pharmacokinetics in the target population</w:t>
      </w:r>
      <w:bookmarkEnd w:id="75"/>
      <w:bookmarkEnd w:id="76"/>
      <w:bookmarkEnd w:id="77"/>
      <w:bookmarkEnd w:id="78"/>
      <w:bookmarkEnd w:id="79"/>
      <w:bookmarkEnd w:id="80"/>
    </w:p>
    <w:p w:rsidR="00D25A10" w:rsidRPr="00E30D00" w:rsidRDefault="00D25A10" w:rsidP="00E30D00">
      <w:r w:rsidRPr="00E30D00">
        <w:t>No PK data in the target population w</w:t>
      </w:r>
      <w:bookmarkStart w:id="81" w:name="_Toc241374293"/>
      <w:r w:rsidR="00E30D00" w:rsidRPr="00E30D00">
        <w:t>ere included in the submission.</w:t>
      </w:r>
    </w:p>
    <w:p w:rsidR="00D25A10" w:rsidRPr="00E30D00" w:rsidRDefault="00D25A10" w:rsidP="00E30D00">
      <w:pPr>
        <w:pStyle w:val="Heading4"/>
      </w:pPr>
      <w:bookmarkStart w:id="82" w:name="_Toc272414626"/>
      <w:bookmarkStart w:id="83" w:name="_Toc290846249"/>
      <w:bookmarkStart w:id="84" w:name="_Toc422725476"/>
      <w:r w:rsidRPr="00E30D00">
        <w:t>Pharmacokinetics in other special populations</w:t>
      </w:r>
      <w:bookmarkEnd w:id="81"/>
      <w:bookmarkEnd w:id="82"/>
      <w:bookmarkEnd w:id="83"/>
      <w:bookmarkEnd w:id="84"/>
    </w:p>
    <w:p w:rsidR="00D25A10" w:rsidRPr="00E30D00" w:rsidRDefault="00D25A10" w:rsidP="00E30D00">
      <w:pPr>
        <w:pStyle w:val="Heading5"/>
      </w:pPr>
      <w:bookmarkStart w:id="85" w:name="_Pharmacokinetics_in_subjects"/>
      <w:bookmarkStart w:id="86" w:name="_Toc272414627"/>
      <w:bookmarkStart w:id="87" w:name="_Toc290846250"/>
      <w:bookmarkStart w:id="88" w:name="_Toc422725477"/>
      <w:bookmarkEnd w:id="85"/>
      <w:r w:rsidRPr="00E30D00">
        <w:t>Pharmacokinetics in subjects with impaired hepatic function</w:t>
      </w:r>
      <w:bookmarkEnd w:id="86"/>
      <w:bookmarkEnd w:id="87"/>
      <w:bookmarkEnd w:id="88"/>
    </w:p>
    <w:p w:rsidR="00D25A10" w:rsidRPr="00E30D00" w:rsidRDefault="00D25A10" w:rsidP="00E30D00">
      <w:r w:rsidRPr="00DC32DE">
        <w:t>In subjects with mild hepatic impairment, there was no significant difference in exposure to avanafil or the M4 metabolite, but there was a 50% increase in exposure to the M16 metabolite (Study TA-012</w:t>
      </w:r>
      <w:r w:rsidR="00A22BC4">
        <w:t xml:space="preserve">). </w:t>
      </w:r>
      <w:r w:rsidRPr="00DC32DE">
        <w:t>For avanafil the % mean ratio (90% CI), mild hepatic impairment</w:t>
      </w:r>
      <w:r w:rsidR="00704CF9">
        <w:t>/</w:t>
      </w:r>
      <w:r w:rsidRPr="00DC32DE">
        <w:t>normal, was 99.90 (67.08 to 148.78) for AUC</w:t>
      </w:r>
      <w:r w:rsidRPr="00A22BC4">
        <w:rPr>
          <w:vertAlign w:val="subscript"/>
        </w:rPr>
        <w:t>0-inf</w:t>
      </w:r>
      <w:r w:rsidRPr="00DC32DE">
        <w:t xml:space="preserve"> and 96.05 (62.61 to 147.34) for C</w:t>
      </w:r>
      <w:r w:rsidRPr="00A22BC4">
        <w:rPr>
          <w:vertAlign w:val="subscript"/>
        </w:rPr>
        <w:t>max</w:t>
      </w:r>
      <w:r w:rsidR="00A22BC4">
        <w:t xml:space="preserve">. </w:t>
      </w:r>
      <w:r w:rsidRPr="00DC32DE">
        <w:t>For M4 the % mean ratio (90% CI), mild hepatic impairment</w:t>
      </w:r>
      <w:r w:rsidR="00704CF9">
        <w:t>/</w:t>
      </w:r>
      <w:r w:rsidRPr="00DC32DE">
        <w:t>normal, was 101.02 (75.92 to 134.41) for AUC</w:t>
      </w:r>
      <w:r w:rsidRPr="00A22BC4">
        <w:rPr>
          <w:vertAlign w:val="subscript"/>
        </w:rPr>
        <w:t xml:space="preserve">0-inf </w:t>
      </w:r>
      <w:r w:rsidRPr="00DC32DE">
        <w:t>and 96.89 (61.92 to 151.60) for C</w:t>
      </w:r>
      <w:r w:rsidRPr="00A22BC4">
        <w:rPr>
          <w:vertAlign w:val="subscript"/>
        </w:rPr>
        <w:t>max</w:t>
      </w:r>
      <w:r w:rsidR="00A22BC4">
        <w:t xml:space="preserve">. </w:t>
      </w:r>
      <w:r w:rsidRPr="00DC32DE">
        <w:t>For M16 the % mean ratio (90% CI), mild hepatic impairment</w:t>
      </w:r>
      <w:r w:rsidR="00704CF9">
        <w:t>/</w:t>
      </w:r>
      <w:r w:rsidRPr="00DC32DE">
        <w:t>normal, was 149.91 (102.74 to 218.74) for AUC</w:t>
      </w:r>
      <w:r w:rsidRPr="00A22BC4">
        <w:rPr>
          <w:vertAlign w:val="subscript"/>
        </w:rPr>
        <w:t xml:space="preserve">0-inf </w:t>
      </w:r>
      <w:r w:rsidRPr="00DC32DE">
        <w:t>and 137.04 (89.65 to 209.48) for C</w:t>
      </w:r>
      <w:r w:rsidRPr="00A22BC4">
        <w:rPr>
          <w:vertAlign w:val="subscript"/>
        </w:rPr>
        <w:t>max</w:t>
      </w:r>
      <w:r w:rsidR="00A22BC4">
        <w:t xml:space="preserve">. </w:t>
      </w:r>
      <w:r w:rsidRPr="00DC32DE">
        <w:t>T</w:t>
      </w:r>
      <w:r w:rsidRPr="00A22BC4">
        <w:rPr>
          <w:vertAlign w:val="subscript"/>
        </w:rPr>
        <w:t>max</w:t>
      </w:r>
      <w:r w:rsidRPr="00DC32DE">
        <w:t xml:space="preserve"> and t½ were similar for the two groups.</w:t>
      </w:r>
    </w:p>
    <w:p w:rsidR="00D25A10" w:rsidRPr="00E30D00" w:rsidRDefault="00D25A10" w:rsidP="00E30D00">
      <w:r w:rsidRPr="00E30D00">
        <w:t>In subjects with moderate hepatic impairment, avanafil C</w:t>
      </w:r>
      <w:r w:rsidRPr="00A22BC4">
        <w:rPr>
          <w:vertAlign w:val="subscript"/>
        </w:rPr>
        <w:t>max</w:t>
      </w:r>
      <w:r w:rsidRPr="00E30D00">
        <w:t xml:space="preserve"> was decreased by 60%, % mean ratio (90% CI) 42.68 (27.82 to 65.47), but overall exposure was unchanged, AUC</w:t>
      </w:r>
      <w:r w:rsidRPr="00A22BC4">
        <w:rPr>
          <w:vertAlign w:val="subscript"/>
        </w:rPr>
        <w:t xml:space="preserve">0-inf </w:t>
      </w:r>
      <w:r w:rsidRPr="00E30D00">
        <w:t>% mean ratio (90% CI) 102.53 (67.52 to 155.69)</w:t>
      </w:r>
      <w:r w:rsidR="00A22BC4">
        <w:t xml:space="preserve">. </w:t>
      </w:r>
      <w:r w:rsidRPr="00E30D00">
        <w:t>Also for the M4 metabolite C</w:t>
      </w:r>
      <w:r w:rsidRPr="00A22BC4">
        <w:rPr>
          <w:vertAlign w:val="subscript"/>
        </w:rPr>
        <w:t>max</w:t>
      </w:r>
      <w:r w:rsidRPr="00E30D00">
        <w:t xml:space="preserve"> was decreased by 44%, % mean ratio (90% CI) 46.03 (29.42 to 72.02), but there was no significant change in overall exposure, AUC</w:t>
      </w:r>
      <w:r w:rsidRPr="00A22BC4">
        <w:rPr>
          <w:vertAlign w:val="subscript"/>
        </w:rPr>
        <w:t xml:space="preserve">0-inf </w:t>
      </w:r>
      <w:r w:rsidRPr="00E30D00">
        <w:t>% mean ratio (90</w:t>
      </w:r>
      <w:r w:rsidR="00A22BC4">
        <w:t xml:space="preserve">% CI) 88.55 (63.94 to 122.62). </w:t>
      </w:r>
      <w:r w:rsidRPr="00E30D00">
        <w:t>M16 exposure was similar for the two groups: C</w:t>
      </w:r>
      <w:r w:rsidRPr="00A22BC4">
        <w:rPr>
          <w:vertAlign w:val="subscript"/>
        </w:rPr>
        <w:t>max</w:t>
      </w:r>
      <w:r w:rsidRPr="00E30D00">
        <w:t xml:space="preserve"> % mean ratio (90% CI) 72.45 (47.40 to 110.75) and for AUC</w:t>
      </w:r>
      <w:r w:rsidRPr="00A22BC4">
        <w:rPr>
          <w:vertAlign w:val="subscript"/>
        </w:rPr>
        <w:t xml:space="preserve">0-inf </w:t>
      </w:r>
      <w:r w:rsidR="00A22BC4">
        <w:t xml:space="preserve">118.48 (78.16 to 179.59). </w:t>
      </w:r>
      <w:r w:rsidRPr="00E30D00">
        <w:t>T</w:t>
      </w:r>
      <w:r w:rsidRPr="00A22BC4">
        <w:rPr>
          <w:vertAlign w:val="subscript"/>
        </w:rPr>
        <w:t>max</w:t>
      </w:r>
      <w:r w:rsidRPr="00E30D00">
        <w:t xml:space="preserve"> and t½ w</w:t>
      </w:r>
      <w:r w:rsidR="00E30D00" w:rsidRPr="00E30D00">
        <w:t>ere similar for the two groups.</w:t>
      </w:r>
    </w:p>
    <w:p w:rsidR="00D25A10" w:rsidRPr="00E30D00" w:rsidRDefault="00D25A10" w:rsidP="00E30D00">
      <w:pPr>
        <w:pStyle w:val="Heading5"/>
      </w:pPr>
      <w:bookmarkStart w:id="89" w:name="_Pharmacokinetics_in_subjects_1"/>
      <w:bookmarkStart w:id="90" w:name="_Toc272414628"/>
      <w:bookmarkStart w:id="91" w:name="_Toc290846251"/>
      <w:bookmarkStart w:id="92" w:name="_Toc422725478"/>
      <w:bookmarkEnd w:id="89"/>
      <w:r w:rsidRPr="00E30D00">
        <w:t>Pharmacokinetics in subjects with impaired renal function</w:t>
      </w:r>
      <w:bookmarkEnd w:id="90"/>
      <w:bookmarkEnd w:id="91"/>
      <w:bookmarkEnd w:id="92"/>
    </w:p>
    <w:p w:rsidR="00D25A10" w:rsidRPr="00E30D00" w:rsidRDefault="00D25A10" w:rsidP="00E30D00">
      <w:r w:rsidRPr="00E30D00">
        <w:t>In subjects with mild impairment of renal function, in comparison with normal renal function, there was similar exposure to avanafil: C</w:t>
      </w:r>
      <w:r w:rsidRPr="00A22BC4">
        <w:rPr>
          <w:vertAlign w:val="subscript"/>
        </w:rPr>
        <w:t>max</w:t>
      </w:r>
      <w:r w:rsidRPr="00E30D00">
        <w:t xml:space="preserve"> mean ratio (90% CI), mild renal impairment</w:t>
      </w:r>
      <w:r w:rsidR="00704CF9">
        <w:t>/</w:t>
      </w:r>
      <w:r w:rsidRPr="00E30D00">
        <w:t>normal renal function, 104.02 (73.34 to 147.53) and for AUC</w:t>
      </w:r>
      <w:r w:rsidRPr="00A22BC4">
        <w:rPr>
          <w:vertAlign w:val="subscript"/>
        </w:rPr>
        <w:t>0-inf</w:t>
      </w:r>
      <w:r w:rsidRPr="00E30D00">
        <w:t xml:space="preserve"> 88.09 (61.43 to 126.31)</w:t>
      </w:r>
      <w:r w:rsidR="00A22BC4">
        <w:t xml:space="preserve">. </w:t>
      </w:r>
      <w:r w:rsidRPr="00E30D00">
        <w:t>There was no significant difference in exposure to the M4 metabolite: mean ratio (90% CI) for C</w:t>
      </w:r>
      <w:r w:rsidRPr="00594C38">
        <w:rPr>
          <w:vertAlign w:val="subscript"/>
        </w:rPr>
        <w:t>max</w:t>
      </w:r>
      <w:r w:rsidRPr="00E30D00">
        <w:t xml:space="preserve"> 116.21 (85.51 to 157.93) and for AUC</w:t>
      </w:r>
      <w:r w:rsidRPr="00594C38">
        <w:rPr>
          <w:vertAlign w:val="subscript"/>
        </w:rPr>
        <w:t xml:space="preserve">0-inf </w:t>
      </w:r>
      <w:r w:rsidR="00594C38">
        <w:t xml:space="preserve">107.38 (87.42 to 131.90). </w:t>
      </w:r>
      <w:r w:rsidRPr="00E30D00">
        <w:t>For the M16 metabolite there was no significant difference for C</w:t>
      </w:r>
      <w:r w:rsidRPr="00594C38">
        <w:rPr>
          <w:vertAlign w:val="subscript"/>
        </w:rPr>
        <w:t>max</w:t>
      </w:r>
      <w:r w:rsidRPr="00E30D00">
        <w:t>: 133.40 (91.76 to 193.93); but AUC</w:t>
      </w:r>
      <w:r w:rsidRPr="00594C38">
        <w:rPr>
          <w:vertAlign w:val="subscript"/>
        </w:rPr>
        <w:t>0-inf</w:t>
      </w:r>
      <w:r w:rsidRPr="00E30D00">
        <w:t xml:space="preserve"> was increased by 48%: 148.30 (104.44 to 2</w:t>
      </w:r>
      <w:r w:rsidR="00594C38">
        <w:t xml:space="preserve">10.57). </w:t>
      </w:r>
      <w:r w:rsidRPr="00E30D00">
        <w:t>T</w:t>
      </w:r>
      <w:r w:rsidRPr="00594C38">
        <w:rPr>
          <w:vertAlign w:val="subscript"/>
        </w:rPr>
        <w:t>max</w:t>
      </w:r>
      <w:r w:rsidRPr="00594C38">
        <w:t xml:space="preserve"> </w:t>
      </w:r>
      <w:r w:rsidRPr="00E30D00">
        <w:t>and t½ were similar for the two groups.</w:t>
      </w:r>
    </w:p>
    <w:p w:rsidR="00D25A10" w:rsidRPr="00E30D00" w:rsidRDefault="00D25A10" w:rsidP="00E30D00">
      <w:r w:rsidRPr="00E30D00">
        <w:lastRenderedPageBreak/>
        <w:t>In subjects with moderate impairment of renal function, in comparison with normal renal function, there was similar exposure to avanafil: the mean ratio (90% CI), mild renal impairment</w:t>
      </w:r>
      <w:r w:rsidR="00704CF9">
        <w:t>/</w:t>
      </w:r>
      <w:r w:rsidRPr="00E30D00">
        <w:t>normal renal function, for C</w:t>
      </w:r>
      <w:r w:rsidRPr="00594C38">
        <w:rPr>
          <w:vertAlign w:val="subscript"/>
        </w:rPr>
        <w:t>max</w:t>
      </w:r>
      <w:r w:rsidRPr="00E30D00">
        <w:t xml:space="preserve"> was 99.96 (70.48 to 141.78) and for AUC</w:t>
      </w:r>
      <w:r w:rsidRPr="00594C38">
        <w:rPr>
          <w:vertAlign w:val="subscript"/>
        </w:rPr>
        <w:t xml:space="preserve">0-inf </w:t>
      </w:r>
      <w:r w:rsidRPr="00E30D00">
        <w:t>118.93 (80.86 to 174.92)</w:t>
      </w:r>
      <w:r w:rsidR="00594C38">
        <w:t xml:space="preserve">. </w:t>
      </w:r>
      <w:r w:rsidRPr="00E30D00">
        <w:t>For M4 there was a similar C</w:t>
      </w:r>
      <w:r w:rsidRPr="00594C38">
        <w:rPr>
          <w:vertAlign w:val="subscript"/>
        </w:rPr>
        <w:t>max</w:t>
      </w:r>
      <w:r w:rsidRPr="00E30D00">
        <w:t xml:space="preserve"> but overall exposure was greater: the mean ratio (90% CI) for C</w:t>
      </w:r>
      <w:r w:rsidRPr="00594C38">
        <w:rPr>
          <w:vertAlign w:val="subscript"/>
        </w:rPr>
        <w:t>max</w:t>
      </w:r>
      <w:r w:rsidRPr="00E30D00">
        <w:t xml:space="preserve"> was 100.29 (73.80 to 136.29) and for AUC</w:t>
      </w:r>
      <w:r w:rsidRPr="00594C38">
        <w:rPr>
          <w:vertAlign w:val="subscript"/>
        </w:rPr>
        <w:t xml:space="preserve">0-inf </w:t>
      </w:r>
      <w:r w:rsidR="00594C38">
        <w:t xml:space="preserve">135.55 (109.66 to 167.54). </w:t>
      </w:r>
      <w:r w:rsidRPr="00E30D00">
        <w:t>Also for M16 there was a similar C</w:t>
      </w:r>
      <w:r w:rsidRPr="00594C38">
        <w:rPr>
          <w:vertAlign w:val="subscript"/>
        </w:rPr>
        <w:t>max</w:t>
      </w:r>
      <w:r w:rsidRPr="00E30D00">
        <w:t xml:space="preserve"> but overall exposure was greater: the mean ratio (90% CI) for C</w:t>
      </w:r>
      <w:r w:rsidRPr="00594C38">
        <w:rPr>
          <w:vertAlign w:val="subscript"/>
        </w:rPr>
        <w:t>max</w:t>
      </w:r>
      <w:r w:rsidRPr="00E30D00">
        <w:t xml:space="preserve"> was 124.69 (85.77 to 181.27) and for AUC</w:t>
      </w:r>
      <w:r w:rsidRPr="00594C38">
        <w:rPr>
          <w:vertAlign w:val="subscript"/>
        </w:rPr>
        <w:t xml:space="preserve">0-inf </w:t>
      </w:r>
      <w:r w:rsidR="00594C38">
        <w:t xml:space="preserve">235.37 (163.59 to 338.66). </w:t>
      </w:r>
      <w:r w:rsidRPr="00E30D00">
        <w:t>T</w:t>
      </w:r>
      <w:r w:rsidRPr="00594C38">
        <w:rPr>
          <w:vertAlign w:val="subscript"/>
        </w:rPr>
        <w:t>max</w:t>
      </w:r>
      <w:r w:rsidRPr="00E30D00">
        <w:t xml:space="preserve"> and t½ w</w:t>
      </w:r>
      <w:r w:rsidR="00E30D00">
        <w:t>ere similar for the two groups.</w:t>
      </w:r>
    </w:p>
    <w:p w:rsidR="00D25A10" w:rsidRPr="00E30D00" w:rsidRDefault="00D25A10" w:rsidP="00E30D00">
      <w:pPr>
        <w:pStyle w:val="Heading5"/>
      </w:pPr>
      <w:bookmarkStart w:id="93" w:name="_Pharmacokinetics_according_to"/>
      <w:bookmarkStart w:id="94" w:name="_Toc272414629"/>
      <w:bookmarkStart w:id="95" w:name="_Toc290846252"/>
      <w:bookmarkStart w:id="96" w:name="_Toc422725479"/>
      <w:bookmarkEnd w:id="93"/>
      <w:r w:rsidRPr="00E30D00">
        <w:t>Pharmacokinetics according to age</w:t>
      </w:r>
      <w:bookmarkEnd w:id="94"/>
      <w:bookmarkEnd w:id="95"/>
      <w:bookmarkEnd w:id="96"/>
    </w:p>
    <w:p w:rsidR="00D25A10" w:rsidRPr="00E30D00" w:rsidRDefault="00D25A10" w:rsidP="00E30D00">
      <w:r w:rsidRPr="00E30D00">
        <w:t xml:space="preserve">There was no significant difference in PK </w:t>
      </w:r>
      <w:r w:rsidRPr="001327D2">
        <w:t xml:space="preserve">parameters between healthy young males and healthy elderly males for a 200 mg single dose (Study TA-014, </w:t>
      </w:r>
      <w:hyperlink w:anchor="Table_1_1_7" w:history="1">
        <w:r w:rsidRPr="001327D2">
          <w:t xml:space="preserve">Table </w:t>
        </w:r>
        <w:r w:rsidR="00754C98" w:rsidRPr="001327D2">
          <w:t>6</w:t>
        </w:r>
      </w:hyperlink>
      <w:r w:rsidR="00594C38" w:rsidRPr="001327D2">
        <w:t xml:space="preserve">). </w:t>
      </w:r>
      <w:r w:rsidRPr="001327D2">
        <w:t>The % mean ratio (90% CI) for AUC</w:t>
      </w:r>
      <w:r w:rsidRPr="001327D2">
        <w:rPr>
          <w:vertAlign w:val="subscript"/>
        </w:rPr>
        <w:t xml:space="preserve">0-inf </w:t>
      </w:r>
      <w:r w:rsidRPr="001327D2">
        <w:t>was 98.47 (77.46 to 125.18) % and for C</w:t>
      </w:r>
      <w:r w:rsidRPr="001327D2">
        <w:rPr>
          <w:vertAlign w:val="subscript"/>
        </w:rPr>
        <w:t>max</w:t>
      </w:r>
      <w:r w:rsidRPr="001327D2">
        <w:t xml:space="preserve"> w</w:t>
      </w:r>
      <w:r w:rsidR="00594C38" w:rsidRPr="001327D2">
        <w:t>as 100.38 (</w:t>
      </w:r>
      <w:r w:rsidR="00594C38">
        <w:t xml:space="preserve">80.42 to 125.29) %. </w:t>
      </w:r>
      <w:r w:rsidRPr="00E30D00">
        <w:t>There was greater exposure to the M16 metabolite in elderly subjects: % mean ratio (90% CI) for AUC</w:t>
      </w:r>
      <w:r w:rsidRPr="00594C38">
        <w:rPr>
          <w:vertAlign w:val="subscript"/>
        </w:rPr>
        <w:t xml:space="preserve">0-inf </w:t>
      </w:r>
      <w:r w:rsidRPr="00E30D00">
        <w:t>was 169.84 (147.73 to 195.26) % and for C</w:t>
      </w:r>
      <w:r w:rsidRPr="00594C38">
        <w:rPr>
          <w:vertAlign w:val="subscript"/>
        </w:rPr>
        <w:t>max</w:t>
      </w:r>
      <w:r w:rsidRPr="00E30D00">
        <w:t xml:space="preserve"> wa</w:t>
      </w:r>
      <w:r w:rsidR="00594C38">
        <w:t xml:space="preserve">s 151.18 (117.34 to 194.77) %. </w:t>
      </w:r>
      <w:r w:rsidRPr="00E30D00">
        <w:t>There was no significant increase in exposure to the M4 metabolite.</w:t>
      </w:r>
    </w:p>
    <w:p w:rsidR="00D25A10" w:rsidRPr="00E30D00" w:rsidRDefault="00D25A10" w:rsidP="00E30D00">
      <w:pPr>
        <w:pStyle w:val="Heading5"/>
      </w:pPr>
      <w:bookmarkStart w:id="97" w:name="_Toc272414630"/>
      <w:bookmarkStart w:id="98" w:name="_Toc290846253"/>
      <w:bookmarkStart w:id="99" w:name="_Toc422725480"/>
      <w:r w:rsidRPr="00E30D00">
        <w:t>Pharmacokinetics related to genetic factors</w:t>
      </w:r>
      <w:bookmarkEnd w:id="97"/>
      <w:bookmarkEnd w:id="98"/>
      <w:bookmarkEnd w:id="99"/>
    </w:p>
    <w:p w:rsidR="00D25A10" w:rsidRPr="00E30D00" w:rsidRDefault="00D25A10" w:rsidP="00E30D00">
      <w:r w:rsidRPr="00E30D00">
        <w:t>PK in relation to genetic factors was not addressed in the submission.</w:t>
      </w:r>
    </w:p>
    <w:p w:rsidR="00D25A10" w:rsidRPr="00E30D00" w:rsidRDefault="00D25A10" w:rsidP="00E30D00">
      <w:pPr>
        <w:pStyle w:val="Heading4"/>
      </w:pPr>
      <w:bookmarkStart w:id="100" w:name="_Toc241374294"/>
      <w:bookmarkStart w:id="101" w:name="_Toc272414632"/>
      <w:bookmarkStart w:id="102" w:name="_Toc290846255"/>
      <w:bookmarkStart w:id="103" w:name="_Toc422725481"/>
      <w:r w:rsidRPr="00E30D00">
        <w:t>Pharmacokinetic interactions</w:t>
      </w:r>
      <w:bookmarkEnd w:id="100"/>
      <w:bookmarkEnd w:id="101"/>
      <w:bookmarkEnd w:id="102"/>
      <w:bookmarkEnd w:id="103"/>
    </w:p>
    <w:p w:rsidR="00D25A10" w:rsidRPr="00E30D00" w:rsidRDefault="00D25A10" w:rsidP="00E30D00">
      <w:pPr>
        <w:pStyle w:val="Heading5"/>
      </w:pPr>
      <w:bookmarkStart w:id="104" w:name="_Pharmacokinetic_interactions_demons"/>
      <w:bookmarkStart w:id="105" w:name="_Toc272414633"/>
      <w:bookmarkStart w:id="106" w:name="_Toc290846256"/>
      <w:bookmarkStart w:id="107" w:name="_Toc422725482"/>
      <w:bookmarkEnd w:id="104"/>
      <w:r w:rsidRPr="00E30D00">
        <w:t>Pharmacokinetic interactions demonstrated in human studies</w:t>
      </w:r>
      <w:bookmarkEnd w:id="105"/>
      <w:bookmarkEnd w:id="106"/>
      <w:bookmarkEnd w:id="107"/>
    </w:p>
    <w:p w:rsidR="00D25A10" w:rsidRPr="00E30D00" w:rsidRDefault="00D25A10" w:rsidP="00E30D00">
      <w:r w:rsidRPr="00E30D00">
        <w:t>The population PK study indicated that CYP Inhibitors result in a clinically significant increase in exposure to avanafil (Study VIVU-RAS-002).</w:t>
      </w:r>
    </w:p>
    <w:p w:rsidR="00D25A10" w:rsidRPr="00E30D00" w:rsidRDefault="00D25A10" w:rsidP="00E30D00">
      <w:r w:rsidRPr="00E30D00">
        <w:t>Ketoconazole increased exposure to avanafil thirteen-fold, increased exposure to the M4 metabolite by 20% and decreased exposure to the M16 metabolite by 40%</w:t>
      </w:r>
      <w:r w:rsidR="000D6103">
        <w:t xml:space="preserve">. </w:t>
      </w:r>
      <w:r w:rsidRPr="00E30D00">
        <w:t>The % mean ratio, avanafil + ketoconzole</w:t>
      </w:r>
      <w:r w:rsidR="00704CF9">
        <w:t>/</w:t>
      </w:r>
      <w:r w:rsidRPr="00E30D00">
        <w:t>avanafil for AUC</w:t>
      </w:r>
      <w:r w:rsidRPr="00EB795A">
        <w:rPr>
          <w:vertAlign w:val="subscript"/>
        </w:rPr>
        <w:t xml:space="preserve">0-t </w:t>
      </w:r>
      <w:r w:rsidRPr="00E30D00">
        <w:t>was 1346.85 (1138.27 to 1652.70) for avanafil, 121.42 (104.61 to 140.94) for M4 and 57.18 (47.72 to 68.52) for M16. The mean t½ for avanafil increased from 1.39 hours t</w:t>
      </w:r>
      <w:r w:rsidR="00E30D00" w:rsidRPr="00E30D00">
        <w:t>o 8.50 hours with ketoconazole.</w:t>
      </w:r>
    </w:p>
    <w:p w:rsidR="00D25A10" w:rsidRPr="00E30D00" w:rsidRDefault="00D25A10" w:rsidP="00E30D00">
      <w:r w:rsidRPr="00E30D00">
        <w:t>Erythromycin increased exposure to avanafil threefold, increased exposure to the M4 metabolite by 90% and did not significantly alter exposure to the M16 metabolite</w:t>
      </w:r>
      <w:r w:rsidR="000D6103">
        <w:t xml:space="preserve">. </w:t>
      </w:r>
      <w:r w:rsidRPr="00E30D00">
        <w:t>The % mean ratio, avanafil + erythromycin</w:t>
      </w:r>
      <w:r w:rsidR="00704CF9">
        <w:t>/</w:t>
      </w:r>
      <w:r w:rsidRPr="00E30D00">
        <w:t>avanafil for AUC</w:t>
      </w:r>
      <w:r w:rsidRPr="00EB795A">
        <w:rPr>
          <w:vertAlign w:val="subscript"/>
        </w:rPr>
        <w:t>0-t</w:t>
      </w:r>
      <w:r w:rsidRPr="00E30D00">
        <w:t xml:space="preserve"> was 348.81 (285.65 to 425.94) for avanafil, 190.02 (161.83 to 223.12) for M4 and 117</w:t>
      </w:r>
      <w:r w:rsidR="000D6103">
        <w:t xml:space="preserve">.42 (98.53 to 139.93) for M16. </w:t>
      </w:r>
      <w:r w:rsidRPr="00E30D00">
        <w:t>The mean t½ for avanafil increased from 2.22 hours to 7.81 hours with erythromycin.</w:t>
      </w:r>
    </w:p>
    <w:p w:rsidR="00D25A10" w:rsidRPr="00E30D00" w:rsidRDefault="00D25A10" w:rsidP="00E30D00">
      <w:r w:rsidRPr="00E30D00">
        <w:t>Ritonavir increased exposure to avanafil thirteen-fold, decreased exposure to the M4 metabolite by 32% and decreased exposure to the M16 metabolite by 57%</w:t>
      </w:r>
      <w:r w:rsidR="000D6103">
        <w:t xml:space="preserve">. </w:t>
      </w:r>
      <w:r w:rsidRPr="00E30D00">
        <w:t>The % mean ratio, avanafil + ritonavir</w:t>
      </w:r>
      <w:r w:rsidR="00704CF9">
        <w:t>/</w:t>
      </w:r>
      <w:r w:rsidRPr="00E30D00">
        <w:t>avanafil for AUC</w:t>
      </w:r>
      <w:r w:rsidRPr="00EB795A">
        <w:rPr>
          <w:vertAlign w:val="subscript"/>
        </w:rPr>
        <w:t>0-t</w:t>
      </w:r>
      <w:r w:rsidRPr="00E30D00">
        <w:t xml:space="preserve"> was 1266.86 (1023.93 to 1567.43) for avanafil, 68.39 (54.90 to 85.91) for M4 and </w:t>
      </w:r>
      <w:r w:rsidR="000D6103">
        <w:t>42.77 (31.42 to 58.23) for M16.</w:t>
      </w:r>
    </w:p>
    <w:p w:rsidR="00D25A10" w:rsidRPr="00E30D00" w:rsidRDefault="00D25A10" w:rsidP="00E30D00">
      <w:r w:rsidRPr="00E30D00">
        <w:t>Avanafil did not have any clinically significant effects on exposure to warfarin</w:t>
      </w:r>
      <w:r w:rsidR="000D6103">
        <w:t xml:space="preserve">. </w:t>
      </w:r>
      <w:r w:rsidRPr="00E30D00">
        <w:t>Following a 25 mg single dose of warfarin, the % mean ratio (90% CI), warfarin + avanafil</w:t>
      </w:r>
      <w:r w:rsidR="00704CF9">
        <w:t>/</w:t>
      </w:r>
      <w:r w:rsidRPr="00E30D00">
        <w:t>warfarin + placebo, for AUC</w:t>
      </w:r>
      <w:r w:rsidRPr="000D6103">
        <w:rPr>
          <w:vertAlign w:val="subscript"/>
        </w:rPr>
        <w:t xml:space="preserve">0-inf </w:t>
      </w:r>
      <w:r w:rsidRPr="00E30D00">
        <w:t>was 100.74 (97.88 to 103.68) for R-warfarin and 102.20 (10</w:t>
      </w:r>
      <w:r w:rsidR="00E30D00">
        <w:t>0.19 to 104.26) for S-warfarin.</w:t>
      </w:r>
    </w:p>
    <w:p w:rsidR="00D25A10" w:rsidRPr="00E30D00" w:rsidRDefault="00D25A10" w:rsidP="00E30D00">
      <w:r w:rsidRPr="00E30D00">
        <w:t>Avanafil did not have any clinically significant effects on exposure to omeprazole</w:t>
      </w:r>
      <w:r w:rsidR="000D6103">
        <w:t>.</w:t>
      </w:r>
      <w:r w:rsidRPr="00E30D00">
        <w:t xml:space="preserve"> Following 40 mg omeprazole, at steady state, there was a 12% increase in AUC and 17% increase in C</w:t>
      </w:r>
      <w:r w:rsidRPr="000D6103">
        <w:rPr>
          <w:vertAlign w:val="subscript"/>
        </w:rPr>
        <w:t>max</w:t>
      </w:r>
      <w:r w:rsidRPr="00E30D00">
        <w:t>: % mean ratio (90% CI), omeprazole + avanafil</w:t>
      </w:r>
      <w:r w:rsidR="00704CF9">
        <w:t>/</w:t>
      </w:r>
      <w:r w:rsidRPr="00E30D00">
        <w:t>omeprazole, for AUC</w:t>
      </w:r>
      <w:r w:rsidRPr="00EB795A">
        <w:rPr>
          <w:vertAlign w:val="subscript"/>
        </w:rPr>
        <w:t xml:space="preserve">0-t </w:t>
      </w:r>
      <w:r w:rsidRPr="00E30D00">
        <w:t>was 111.91 (103.85 to 120.60) and for C</w:t>
      </w:r>
      <w:r w:rsidRPr="000D6103">
        <w:rPr>
          <w:vertAlign w:val="subscript"/>
        </w:rPr>
        <w:t>max</w:t>
      </w:r>
      <w:r w:rsidR="00E30D00" w:rsidRPr="00E30D00">
        <w:t xml:space="preserve"> was 116.73 (99.68 to 136.70).</w:t>
      </w:r>
    </w:p>
    <w:p w:rsidR="00D25A10" w:rsidRPr="00E30D00" w:rsidRDefault="00D25A10" w:rsidP="00E30D00">
      <w:r w:rsidRPr="00E30D00">
        <w:t>Avanafil did not have any clinically significant effects on exposure to rosiglitazone. Following 8 mg rosiglitazone, single dose, there was no significant effect on AUC but a 12% decrease in C</w:t>
      </w:r>
      <w:r w:rsidRPr="000D6103">
        <w:rPr>
          <w:vertAlign w:val="subscript"/>
        </w:rPr>
        <w:t>max</w:t>
      </w:r>
      <w:r w:rsidRPr="00E30D00">
        <w:t>: % mean ratio (90% CI), rosiglitazone + avanafil</w:t>
      </w:r>
      <w:r w:rsidR="00704CF9">
        <w:t>/</w:t>
      </w:r>
      <w:r w:rsidRPr="00E30D00">
        <w:t>rosiglitazone, for AUC</w:t>
      </w:r>
      <w:r w:rsidRPr="00EB795A">
        <w:rPr>
          <w:vertAlign w:val="subscript"/>
        </w:rPr>
        <w:t>0-t</w:t>
      </w:r>
      <w:r w:rsidRPr="00E30D00">
        <w:t xml:space="preserve"> was 103.49 (100.41 to 106.66) and for C</w:t>
      </w:r>
      <w:r w:rsidRPr="000D6103">
        <w:rPr>
          <w:vertAlign w:val="subscript"/>
        </w:rPr>
        <w:t>max</w:t>
      </w:r>
      <w:r w:rsidR="00E30D00">
        <w:t xml:space="preserve"> was 87.84 (80.40 to 95.97).</w:t>
      </w:r>
    </w:p>
    <w:p w:rsidR="00D25A10" w:rsidRPr="00E30D00" w:rsidRDefault="00D25A10" w:rsidP="00E30D00">
      <w:r w:rsidRPr="00E30D00">
        <w:lastRenderedPageBreak/>
        <w:t>Avanafil did not have any clinically significant effects on exposure to desipramine</w:t>
      </w:r>
      <w:r w:rsidR="000D6103">
        <w:t xml:space="preserve">. </w:t>
      </w:r>
      <w:r w:rsidRPr="00E30D00">
        <w:t>Following 50 mg desipramine, single dose, there was no significant effect on AUC or C</w:t>
      </w:r>
      <w:r w:rsidRPr="000D6103">
        <w:rPr>
          <w:vertAlign w:val="subscript"/>
        </w:rPr>
        <w:t>max</w:t>
      </w:r>
      <w:r w:rsidRPr="00E30D00">
        <w:t>: % mean ratio (90% CI), desipramine + avanafil</w:t>
      </w:r>
      <w:r w:rsidR="00704CF9">
        <w:t>/</w:t>
      </w:r>
      <w:r w:rsidRPr="00E30D00">
        <w:t>desipramine, for AUC</w:t>
      </w:r>
      <w:r w:rsidRPr="00EB795A">
        <w:rPr>
          <w:vertAlign w:val="subscript"/>
        </w:rPr>
        <w:t xml:space="preserve">0-t </w:t>
      </w:r>
      <w:r w:rsidRPr="00E30D00">
        <w:t>was 104.08 (98.82 to 109.62) and for C</w:t>
      </w:r>
      <w:r w:rsidRPr="000D6103">
        <w:rPr>
          <w:vertAlign w:val="subscript"/>
        </w:rPr>
        <w:t>max</w:t>
      </w:r>
      <w:r w:rsidR="00E30D00">
        <w:t xml:space="preserve"> was 103.30 (97.10 to 109.89).</w:t>
      </w:r>
    </w:p>
    <w:p w:rsidR="00D25A10" w:rsidRPr="00E30D00" w:rsidRDefault="00D25A10" w:rsidP="00E30D00">
      <w:r w:rsidRPr="00E30D00">
        <w:t>Avanafil did not have any clinically significant effects on exposure to amlodipine (Study TA-019,</w:t>
      </w:r>
      <w:r w:rsidR="000D6103">
        <w:t xml:space="preserve">). </w:t>
      </w:r>
      <w:r w:rsidRPr="00E30D00">
        <w:t>Following 5 mg amlodipine, at steady state, there was no significant effect on AUC or C</w:t>
      </w:r>
      <w:r w:rsidRPr="000D6103">
        <w:rPr>
          <w:vertAlign w:val="subscript"/>
        </w:rPr>
        <w:t>max</w:t>
      </w:r>
      <w:r w:rsidRPr="00E30D00">
        <w:t>: % mean ratio (90% CI), amlodipine + avanafil</w:t>
      </w:r>
      <w:r w:rsidR="00704CF9">
        <w:t>/</w:t>
      </w:r>
      <w:r w:rsidRPr="00E30D00">
        <w:t>amlodipine, for AUC</w:t>
      </w:r>
      <w:r w:rsidRPr="00EB795A">
        <w:rPr>
          <w:vertAlign w:val="subscript"/>
        </w:rPr>
        <w:t xml:space="preserve">0-t </w:t>
      </w:r>
      <w:r w:rsidRPr="00E30D00">
        <w:t>was 94.39 (91.24 to 97.64) and for C</w:t>
      </w:r>
      <w:r w:rsidRPr="000D6103">
        <w:rPr>
          <w:vertAlign w:val="subscript"/>
        </w:rPr>
        <w:t>max</w:t>
      </w:r>
      <w:r w:rsidR="000D6103">
        <w:t xml:space="preserve"> was 89.37 (86.21 to 92.65). </w:t>
      </w:r>
      <w:r w:rsidRPr="00E30D00">
        <w:t>However, amlodipine increased exposure to avanafil by 60% and increased its t½: % mean ratio (90% CI), amlodipine + avanafil</w:t>
      </w:r>
      <w:r w:rsidR="00704CF9">
        <w:t>/</w:t>
      </w:r>
      <w:r w:rsidRPr="00E30D00">
        <w:t>avanafil, for AUC</w:t>
      </w:r>
      <w:r w:rsidRPr="00EB795A">
        <w:rPr>
          <w:vertAlign w:val="subscript"/>
        </w:rPr>
        <w:t xml:space="preserve">0-t </w:t>
      </w:r>
      <w:r w:rsidRPr="00E30D00">
        <w:t>was 159.87 (135.25 to 188.98) and for C</w:t>
      </w:r>
      <w:r w:rsidRPr="000D6103">
        <w:rPr>
          <w:vertAlign w:val="subscript"/>
        </w:rPr>
        <w:t>max</w:t>
      </w:r>
      <w:r w:rsidRPr="00E30D00">
        <w:t xml:space="preserve"> was 128.48 (101.89 to 162.02); median t½ increased from 6.2 hours to 8.2 hours</w:t>
      </w:r>
      <w:r w:rsidR="000D6103">
        <w:t>.</w:t>
      </w:r>
    </w:p>
    <w:p w:rsidR="00D25A10" w:rsidRPr="00E30D00" w:rsidRDefault="00D25A10" w:rsidP="00E30D00">
      <w:pPr>
        <w:pStyle w:val="Heading5"/>
      </w:pPr>
      <w:bookmarkStart w:id="108" w:name="_Toc272414634"/>
      <w:bookmarkStart w:id="109" w:name="_Toc290846257"/>
      <w:bookmarkStart w:id="110" w:name="_Toc422725483"/>
      <w:r w:rsidRPr="00E30D00">
        <w:t>Clinical implications of in vitro findings</w:t>
      </w:r>
      <w:bookmarkEnd w:id="108"/>
      <w:bookmarkEnd w:id="109"/>
      <w:bookmarkEnd w:id="110"/>
    </w:p>
    <w:p w:rsidR="00D25A10" w:rsidRPr="00E30D00" w:rsidRDefault="00D25A10" w:rsidP="00E30D00">
      <w:r w:rsidRPr="00E30D00">
        <w:t>Membrane permeability studies indicated that avanafil has high passive permeability and is unlikely to have significant int</w:t>
      </w:r>
      <w:r w:rsidR="000D6103">
        <w:t xml:space="preserve">eractions with P-glycoprotein. </w:t>
      </w:r>
      <w:r w:rsidRPr="00E30D00">
        <w:t>Study 10-AVANAFIL-BCS-01 indicated that avanafil has high passive permeability, and is a modest P-glycoprot</w:t>
      </w:r>
      <w:r w:rsidR="001577F0">
        <w:t xml:space="preserve">ein substrate in Caco-2 cells. </w:t>
      </w:r>
      <w:r w:rsidRPr="00E30D00">
        <w:t>Study 10-AVANAFIL-PGP-01 indicated avanafil is a weak substrate of P-glycoprotein and there was no clear indication o</w:t>
      </w:r>
      <w:r w:rsidR="001577F0">
        <w:t>f inhibition of P-glycoprotein.</w:t>
      </w:r>
    </w:p>
    <w:p w:rsidR="00D25A10" w:rsidRPr="00E30D00" w:rsidRDefault="00D25A10" w:rsidP="00E30D00">
      <w:pPr>
        <w:pStyle w:val="Heading3"/>
      </w:pPr>
      <w:bookmarkStart w:id="111" w:name="_Toc241374296"/>
      <w:bookmarkStart w:id="112" w:name="_Ref269982040"/>
      <w:bookmarkStart w:id="113" w:name="_Ref271018704"/>
      <w:bookmarkStart w:id="114" w:name="_Ref271018755"/>
      <w:bookmarkStart w:id="115" w:name="_Toc272414635"/>
      <w:bookmarkStart w:id="116" w:name="_Toc290846258"/>
      <w:bookmarkStart w:id="117" w:name="_Toc422725484"/>
      <w:bookmarkStart w:id="118" w:name="_Toc466365777"/>
      <w:r w:rsidRPr="00E30D00">
        <w:t>Evaluator’s overall conclusions on pharmacokinetics</w:t>
      </w:r>
      <w:bookmarkEnd w:id="111"/>
      <w:bookmarkEnd w:id="112"/>
      <w:bookmarkEnd w:id="113"/>
      <w:bookmarkEnd w:id="114"/>
      <w:bookmarkEnd w:id="115"/>
      <w:bookmarkEnd w:id="116"/>
      <w:bookmarkEnd w:id="117"/>
      <w:bookmarkEnd w:id="118"/>
    </w:p>
    <w:p w:rsidR="00D25A10" w:rsidRPr="00E30D00" w:rsidRDefault="00D25A10" w:rsidP="00E30D00">
      <w:r w:rsidRPr="00E30D00">
        <w:t xml:space="preserve">The pharmacokinetics of avanafil have </w:t>
      </w:r>
      <w:r w:rsidR="001577F0">
        <w:t xml:space="preserve">been adequately characterised. </w:t>
      </w:r>
      <w:r w:rsidRPr="00E30D00">
        <w:t>The dosing recommendations in the proposed PI with regard to hepatic impairment, renal impairment, age and drug interactions</w:t>
      </w:r>
      <w:r w:rsidR="00E30D00">
        <w:t xml:space="preserve"> are supported by the PK data.</w:t>
      </w:r>
    </w:p>
    <w:p w:rsidR="00D25A10" w:rsidRPr="00E30D00" w:rsidRDefault="00D25A10" w:rsidP="00E30D00">
      <w:r w:rsidRPr="00E30D00">
        <w:t>However, the PK data indicate that the 50 mg formulation was absorbed more rapidly than the 200 mg formulation; and that food increases T</w:t>
      </w:r>
      <w:r w:rsidRPr="001577F0">
        <w:rPr>
          <w:vertAlign w:val="subscript"/>
        </w:rPr>
        <w:t>max</w:t>
      </w:r>
      <w:r w:rsidR="001577F0">
        <w:t xml:space="preserve"> from 0.75 hours to 2.0 hours. </w:t>
      </w:r>
      <w:r w:rsidRPr="00E30D00">
        <w:t>These findings are important because the potential for rapid onset of action would be an advantage for avanafil in comparison with current</w:t>
      </w:r>
      <w:r w:rsidR="00E30D00">
        <w:t>ly available treatments for ED.</w:t>
      </w:r>
    </w:p>
    <w:p w:rsidR="00586F98" w:rsidRDefault="00586F98" w:rsidP="00586F98">
      <w:pPr>
        <w:pStyle w:val="Heading2"/>
      </w:pPr>
      <w:bookmarkStart w:id="119" w:name="_Toc466365778"/>
      <w:r>
        <w:t>Pharmacodynamics</w:t>
      </w:r>
      <w:bookmarkEnd w:id="119"/>
    </w:p>
    <w:p w:rsidR="00F90FA5" w:rsidRPr="00F90FA5" w:rsidRDefault="00F90FA5" w:rsidP="00F90FA5">
      <w:pPr>
        <w:pStyle w:val="Heading3"/>
      </w:pPr>
      <w:bookmarkStart w:id="120" w:name="_Toc272414637"/>
      <w:bookmarkStart w:id="121" w:name="_Toc290846260"/>
      <w:bookmarkStart w:id="122" w:name="_Toc422725486"/>
      <w:bookmarkStart w:id="123" w:name="_Toc466365779"/>
      <w:r w:rsidRPr="00F90FA5">
        <w:t>Studies providing pharmacodynamic data</w:t>
      </w:r>
      <w:bookmarkEnd w:id="120"/>
      <w:bookmarkEnd w:id="121"/>
      <w:bookmarkEnd w:id="122"/>
      <w:bookmarkEnd w:id="123"/>
    </w:p>
    <w:p w:rsidR="00F90FA5" w:rsidRPr="001327D2" w:rsidRDefault="00F90FA5" w:rsidP="00F90FA5">
      <w:r w:rsidRPr="001327D2">
        <w:t xml:space="preserve">Table </w:t>
      </w:r>
      <w:r w:rsidR="00754C98" w:rsidRPr="001327D2">
        <w:t>8</w:t>
      </w:r>
      <w:r w:rsidRPr="001327D2">
        <w:t xml:space="preserve"> shows the studies relating to each pharmacodynamic topic and the location of each study summary.</w:t>
      </w:r>
    </w:p>
    <w:p w:rsidR="00F90FA5" w:rsidRPr="00F90FA5" w:rsidRDefault="00F90FA5" w:rsidP="00714B60">
      <w:pPr>
        <w:pStyle w:val="Tabletitle"/>
      </w:pPr>
      <w:bookmarkStart w:id="124" w:name="_Ref269985397"/>
      <w:bookmarkStart w:id="125" w:name="_Toc290888902"/>
      <w:r w:rsidRPr="001327D2">
        <w:t xml:space="preserve">Table </w:t>
      </w:r>
      <w:bookmarkEnd w:id="124"/>
      <w:r w:rsidR="00754C98" w:rsidRPr="001327D2">
        <w:t>8:</w:t>
      </w:r>
      <w:r w:rsidRPr="001327D2">
        <w:t xml:space="preserve"> Submitted pharmacodynamic studies</w:t>
      </w:r>
      <w:bookmarkEnd w:id="125"/>
    </w:p>
    <w:tbl>
      <w:tblPr>
        <w:tblStyle w:val="TableTGAblue"/>
        <w:tblW w:w="8897" w:type="dxa"/>
        <w:tblLayout w:type="fixed"/>
        <w:tblLook w:val="00A0" w:firstRow="1" w:lastRow="0" w:firstColumn="1" w:lastColumn="0" w:noHBand="0" w:noVBand="0"/>
      </w:tblPr>
      <w:tblGrid>
        <w:gridCol w:w="3085"/>
        <w:gridCol w:w="3969"/>
        <w:gridCol w:w="1843"/>
      </w:tblGrid>
      <w:tr w:rsidR="00754C98" w:rsidRPr="00714B60" w:rsidTr="00714B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5" w:type="dxa"/>
          </w:tcPr>
          <w:p w:rsidR="00754C98" w:rsidRPr="00714B60" w:rsidRDefault="00754C98" w:rsidP="00714B60">
            <w:pPr>
              <w:rPr>
                <w:sz w:val="20"/>
                <w:szCs w:val="20"/>
              </w:rPr>
            </w:pPr>
            <w:r w:rsidRPr="00714B60">
              <w:rPr>
                <w:sz w:val="20"/>
                <w:szCs w:val="20"/>
              </w:rPr>
              <w:t>PD Topic</w:t>
            </w:r>
          </w:p>
        </w:tc>
        <w:tc>
          <w:tcPr>
            <w:tcW w:w="3969" w:type="dxa"/>
          </w:tcPr>
          <w:p w:rsidR="00754C98" w:rsidRPr="00714B60" w:rsidRDefault="00754C98" w:rsidP="00714B60">
            <w:pPr>
              <w:cnfStyle w:val="100000000000" w:firstRow="1" w:lastRow="0" w:firstColumn="0" w:lastColumn="0" w:oddVBand="0" w:evenVBand="0" w:oddHBand="0" w:evenHBand="0" w:firstRowFirstColumn="0" w:firstRowLastColumn="0" w:lastRowFirstColumn="0" w:lastRowLastColumn="0"/>
              <w:rPr>
                <w:sz w:val="20"/>
                <w:szCs w:val="20"/>
              </w:rPr>
            </w:pPr>
            <w:r w:rsidRPr="00714B60">
              <w:rPr>
                <w:sz w:val="20"/>
                <w:szCs w:val="20"/>
              </w:rPr>
              <w:t>Subtopic</w:t>
            </w:r>
          </w:p>
        </w:tc>
        <w:tc>
          <w:tcPr>
            <w:tcW w:w="1843" w:type="dxa"/>
          </w:tcPr>
          <w:p w:rsidR="00754C98" w:rsidRPr="00714B60" w:rsidRDefault="00754C98" w:rsidP="00714B60">
            <w:pPr>
              <w:cnfStyle w:val="100000000000" w:firstRow="1" w:lastRow="0" w:firstColumn="0" w:lastColumn="0" w:oddVBand="0" w:evenVBand="0" w:oddHBand="0" w:evenHBand="0" w:firstRowFirstColumn="0" w:firstRowLastColumn="0" w:lastRowFirstColumn="0" w:lastRowLastColumn="0"/>
              <w:rPr>
                <w:sz w:val="20"/>
                <w:szCs w:val="20"/>
              </w:rPr>
            </w:pPr>
            <w:r w:rsidRPr="00714B60">
              <w:rPr>
                <w:sz w:val="20"/>
                <w:szCs w:val="20"/>
              </w:rPr>
              <w:t>Study ID</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val="restart"/>
          </w:tcPr>
          <w:p w:rsidR="00754C98" w:rsidRPr="00714B60" w:rsidRDefault="00754C98" w:rsidP="00714B60">
            <w:pPr>
              <w:rPr>
                <w:sz w:val="20"/>
                <w:szCs w:val="20"/>
              </w:rPr>
            </w:pPr>
            <w:r w:rsidRPr="00714B60">
              <w:rPr>
                <w:sz w:val="20"/>
                <w:szCs w:val="20"/>
              </w:rPr>
              <w:t>Secondary Pharmacology</w:t>
            </w:r>
          </w:p>
        </w:tc>
        <w:tc>
          <w:tcPr>
            <w:tcW w:w="3969" w:type="dxa"/>
            <w:vMerge w:val="restart"/>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Effect on sperm function</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 xml:space="preserve">Study TA-014, </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vMerge/>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Study TA-021</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Effect on colour vision</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 xml:space="preserve">Study TA-016 </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Effect on QT interval</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Study TA-140</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val="restart"/>
          </w:tcPr>
          <w:p w:rsidR="00754C98" w:rsidRPr="00714B60" w:rsidRDefault="00754C98" w:rsidP="00714B60">
            <w:pPr>
              <w:rPr>
                <w:sz w:val="20"/>
                <w:szCs w:val="20"/>
              </w:rPr>
            </w:pPr>
            <w:r w:rsidRPr="00714B60">
              <w:rPr>
                <w:sz w:val="20"/>
                <w:szCs w:val="20"/>
              </w:rPr>
              <w:t>PD Interactions</w:t>
            </w: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Warfarin</w:t>
            </w:r>
          </w:p>
        </w:tc>
        <w:tc>
          <w:tcPr>
            <w:tcW w:w="1843" w:type="dxa"/>
          </w:tcPr>
          <w:p w:rsidR="00754C98" w:rsidRPr="00714B60" w:rsidRDefault="00714B60" w:rsidP="00714B60">
            <w:pPr>
              <w:cnfStyle w:val="000000000000" w:firstRow="0" w:lastRow="0" w:firstColumn="0" w:lastColumn="0" w:oddVBand="0" w:evenVBand="0" w:oddHBand="0" w:evenHBand="0" w:firstRowFirstColumn="0" w:firstRowLastColumn="0" w:lastRowFirstColumn="0" w:lastRowLastColumn="0"/>
              <w:rPr>
                <w:sz w:val="20"/>
                <w:szCs w:val="20"/>
              </w:rPr>
            </w:pPr>
            <w:hyperlink w:anchor="Table_1_2_6" w:history="1">
              <w:r w:rsidR="00754C98" w:rsidRPr="00714B60">
                <w:rPr>
                  <w:rStyle w:val="Hyperlink"/>
                  <w:color w:val="auto"/>
                  <w:sz w:val="20"/>
                  <w:szCs w:val="20"/>
                  <w:u w:val="none"/>
                </w:rPr>
                <w:t>Study</w:t>
              </w:r>
            </w:hyperlink>
            <w:r w:rsidR="00754C98" w:rsidRPr="00714B60">
              <w:rPr>
                <w:color w:val="auto"/>
                <w:sz w:val="20"/>
                <w:szCs w:val="20"/>
              </w:rPr>
              <w:t xml:space="preserve"> </w:t>
            </w:r>
            <w:r w:rsidR="00754C98" w:rsidRPr="00714B60">
              <w:rPr>
                <w:sz w:val="20"/>
                <w:szCs w:val="20"/>
              </w:rPr>
              <w:t>TA-016</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Glyceryl trinitrate</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 xml:space="preserve">Study TA-04 </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Ethanol</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Study TA-015</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Doxazosin, tamsulosin</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Study TA-017</w:t>
            </w:r>
          </w:p>
        </w:tc>
      </w:tr>
      <w:tr w:rsidR="00754C98" w:rsidRPr="00714B60" w:rsidTr="00714B60">
        <w:tc>
          <w:tcPr>
            <w:cnfStyle w:val="001000000000" w:firstRow="0" w:lastRow="0" w:firstColumn="1" w:lastColumn="0" w:oddVBand="0" w:evenVBand="0" w:oddHBand="0" w:evenHBand="0" w:firstRowFirstColumn="0" w:firstRowLastColumn="0" w:lastRowFirstColumn="0" w:lastRowLastColumn="0"/>
            <w:tcW w:w="3085" w:type="dxa"/>
            <w:vMerge/>
          </w:tcPr>
          <w:p w:rsidR="00754C98" w:rsidRPr="00714B60" w:rsidRDefault="00754C98" w:rsidP="00714B60">
            <w:pPr>
              <w:rPr>
                <w:sz w:val="20"/>
                <w:szCs w:val="20"/>
              </w:rPr>
            </w:pPr>
          </w:p>
        </w:tc>
        <w:tc>
          <w:tcPr>
            <w:tcW w:w="3969"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Enalapril, amlodipine</w:t>
            </w:r>
          </w:p>
        </w:tc>
        <w:tc>
          <w:tcPr>
            <w:tcW w:w="1843" w:type="dxa"/>
          </w:tcPr>
          <w:p w:rsidR="00754C98" w:rsidRPr="00714B60" w:rsidRDefault="00754C98" w:rsidP="00714B60">
            <w:pPr>
              <w:cnfStyle w:val="000000000000" w:firstRow="0" w:lastRow="0" w:firstColumn="0" w:lastColumn="0" w:oddVBand="0" w:evenVBand="0" w:oddHBand="0" w:evenHBand="0" w:firstRowFirstColumn="0" w:firstRowLastColumn="0" w:lastRowFirstColumn="0" w:lastRowLastColumn="0"/>
              <w:rPr>
                <w:sz w:val="20"/>
                <w:szCs w:val="20"/>
              </w:rPr>
            </w:pPr>
            <w:r w:rsidRPr="00714B60">
              <w:rPr>
                <w:sz w:val="20"/>
                <w:szCs w:val="20"/>
              </w:rPr>
              <w:t>Study TA-019</w:t>
            </w:r>
          </w:p>
        </w:tc>
      </w:tr>
    </w:tbl>
    <w:p w:rsidR="00F90FA5" w:rsidRPr="00F90FA5" w:rsidRDefault="00F90FA5" w:rsidP="00714B60">
      <w:r w:rsidRPr="00F90FA5">
        <w:t>None of the pharmacodynamic studies had deficiencies that excluded their results from consideration.</w:t>
      </w:r>
    </w:p>
    <w:p w:rsidR="00F90FA5" w:rsidRPr="00F90FA5" w:rsidRDefault="00F90FA5" w:rsidP="00F90FA5">
      <w:pPr>
        <w:pStyle w:val="Heading3"/>
      </w:pPr>
      <w:bookmarkStart w:id="126" w:name="_Ref269119989"/>
      <w:bookmarkStart w:id="127" w:name="_Toc272414639"/>
      <w:bookmarkStart w:id="128" w:name="_Toc290846261"/>
      <w:bookmarkStart w:id="129" w:name="_Toc422725487"/>
      <w:bookmarkStart w:id="130" w:name="_Toc466365780"/>
      <w:r w:rsidRPr="00F90FA5">
        <w:t>Summary of pharmacodynamics</w:t>
      </w:r>
      <w:bookmarkEnd w:id="126"/>
      <w:bookmarkEnd w:id="127"/>
      <w:bookmarkEnd w:id="128"/>
      <w:bookmarkEnd w:id="129"/>
      <w:bookmarkEnd w:id="130"/>
    </w:p>
    <w:p w:rsidR="00F90FA5" w:rsidRPr="00F90FA5" w:rsidRDefault="00F90FA5" w:rsidP="00F90FA5">
      <w:r w:rsidRPr="00F90FA5">
        <w:t>The information in the following summary is derived from conventional pharmacodynamic studies in humans unless otherwise stated.</w:t>
      </w:r>
    </w:p>
    <w:p w:rsidR="00F90FA5" w:rsidRPr="00F90FA5" w:rsidRDefault="00F90FA5" w:rsidP="00F90FA5">
      <w:pPr>
        <w:pStyle w:val="Heading4"/>
      </w:pPr>
      <w:bookmarkStart w:id="131" w:name="_Toc241374299"/>
      <w:bookmarkStart w:id="132" w:name="_Toc272414640"/>
      <w:bookmarkStart w:id="133" w:name="_Toc290846262"/>
      <w:bookmarkStart w:id="134" w:name="_Toc422725488"/>
      <w:r w:rsidRPr="00F90FA5">
        <w:t>Mechanism of action</w:t>
      </w:r>
      <w:bookmarkEnd w:id="131"/>
      <w:bookmarkEnd w:id="132"/>
      <w:bookmarkEnd w:id="133"/>
      <w:bookmarkEnd w:id="134"/>
    </w:p>
    <w:p w:rsidR="00F90FA5" w:rsidRPr="00F90FA5" w:rsidRDefault="00F90FA5" w:rsidP="00F90FA5">
      <w:r w:rsidRPr="00F90FA5">
        <w:t>Avanafil is a highly selective and potent, reversible inhibitor of cyclic guanosine monophosphate (cGMP)-specific ph</w:t>
      </w:r>
      <w:r>
        <w:t xml:space="preserve">osphodiesterase type 5 (PDE5). </w:t>
      </w:r>
      <w:r w:rsidRPr="00F90FA5">
        <w:t>When sexual stimulation causes the local release of nitric oxide, inhibition of PDE5 by avanafil produces increased levels of cGMP in the c</w:t>
      </w:r>
      <w:r>
        <w:t xml:space="preserve">orpus cavernosum of the penis. </w:t>
      </w:r>
      <w:r w:rsidRPr="00F90FA5">
        <w:t xml:space="preserve">This results in smooth muscle relaxation and inflow of blood into the penile tissues, </w:t>
      </w:r>
      <w:r>
        <w:t xml:space="preserve">thereby producing an erection. </w:t>
      </w:r>
      <w:r w:rsidRPr="00F90FA5">
        <w:t>Avanafil has no effect in the absence of sexual stimulation.</w:t>
      </w:r>
    </w:p>
    <w:p w:rsidR="00F90FA5" w:rsidRPr="00F90FA5" w:rsidRDefault="00F90FA5" w:rsidP="00F90FA5">
      <w:pPr>
        <w:pStyle w:val="Heading4"/>
      </w:pPr>
      <w:bookmarkStart w:id="135" w:name="_Toc241374300"/>
      <w:bookmarkStart w:id="136" w:name="_Toc272414641"/>
      <w:bookmarkStart w:id="137" w:name="_Toc290846263"/>
      <w:bookmarkStart w:id="138" w:name="_Toc422725489"/>
      <w:r w:rsidRPr="00F90FA5">
        <w:t>Pharmacodynamic effects</w:t>
      </w:r>
      <w:bookmarkEnd w:id="135"/>
      <w:bookmarkEnd w:id="136"/>
      <w:bookmarkEnd w:id="137"/>
      <w:bookmarkEnd w:id="138"/>
    </w:p>
    <w:p w:rsidR="00F90FA5" w:rsidRPr="00F90FA5" w:rsidRDefault="00F90FA5" w:rsidP="00F90FA5">
      <w:pPr>
        <w:pStyle w:val="Heading5"/>
      </w:pPr>
      <w:bookmarkStart w:id="139" w:name="_Toc272414642"/>
      <w:bookmarkStart w:id="140" w:name="_Toc290846264"/>
      <w:bookmarkStart w:id="141" w:name="_Toc422725490"/>
      <w:r w:rsidRPr="00F90FA5">
        <w:t>Primary pharmacodynamic effects</w:t>
      </w:r>
      <w:bookmarkEnd w:id="139"/>
      <w:bookmarkEnd w:id="140"/>
      <w:bookmarkEnd w:id="141"/>
    </w:p>
    <w:p w:rsidR="00F90FA5" w:rsidRPr="00F90FA5" w:rsidRDefault="00F90FA5" w:rsidP="00F90FA5">
      <w:r w:rsidRPr="00F90FA5">
        <w:t>The primary pharmacodynamic effects were not investigated in the clinical pharmacology studies.</w:t>
      </w:r>
    </w:p>
    <w:p w:rsidR="00F90FA5" w:rsidRPr="00F90FA5" w:rsidRDefault="00F90FA5" w:rsidP="00F90FA5">
      <w:pPr>
        <w:pStyle w:val="Heading5"/>
      </w:pPr>
      <w:bookmarkStart w:id="142" w:name="_Secondary_pharmacodynamic_effects"/>
      <w:bookmarkStart w:id="143" w:name="_Toc272414643"/>
      <w:bookmarkStart w:id="144" w:name="_Toc290846265"/>
      <w:bookmarkStart w:id="145" w:name="_Toc422725491"/>
      <w:bookmarkEnd w:id="142"/>
      <w:r w:rsidRPr="00F90FA5">
        <w:t>Secondary pharmacodynamic effects</w:t>
      </w:r>
      <w:bookmarkEnd w:id="143"/>
      <w:bookmarkEnd w:id="144"/>
      <w:bookmarkEnd w:id="145"/>
    </w:p>
    <w:p w:rsidR="00F90FA5" w:rsidRPr="00F90FA5" w:rsidRDefault="00F90FA5" w:rsidP="00F90FA5">
      <w:r w:rsidRPr="00F90FA5">
        <w:t>Following a single dose of avanafil 200 mg, mean sperm motility one hour post dose</w:t>
      </w:r>
      <w:r>
        <w:t xml:space="preserve"> did not change by </w:t>
      </w:r>
      <w:r w:rsidR="00922589">
        <w:t>≥</w:t>
      </w:r>
      <w:r>
        <w:t xml:space="preserve"> </w:t>
      </w:r>
      <w:r w:rsidRPr="00F90FA5">
        <w:t>20% from baseline and there was no acute effect on morphological normal forms, sperm count, sperm concentrations and forward progress (Study TA-014</w:t>
      </w:r>
      <w:r w:rsidR="00754C98">
        <w:t>)</w:t>
      </w:r>
      <w:r w:rsidRPr="00F90FA5">
        <w:t>.</w:t>
      </w:r>
      <w:r>
        <w:t xml:space="preserve"> </w:t>
      </w:r>
      <w:r w:rsidRPr="00F90FA5">
        <w:t>Avanafil 200 mg did not affect semen volume, sperm concentration, total sperm count, % normal forms, total motile count, % motility, forward progression, WHO calculated forward progression, or vitality (Study TA-021)</w:t>
      </w:r>
    </w:p>
    <w:p w:rsidR="00F90FA5" w:rsidRPr="001327D2" w:rsidRDefault="00F90FA5" w:rsidP="00F90FA5">
      <w:r w:rsidRPr="00F90FA5">
        <w:t>Effects of avanafil on colour vision were assessed in Study TA-016 using the Farnsworth-Munsell 100-Hue test</w:t>
      </w:r>
      <w:r>
        <w:t xml:space="preserve">. </w:t>
      </w:r>
      <w:r w:rsidRPr="00F90FA5">
        <w:t xml:space="preserve">In combination with warfarin, there was no significant effect of avanafil on the measures of </w:t>
      </w:r>
      <w:r w:rsidRPr="001327D2">
        <w:t>colour vision.</w:t>
      </w:r>
    </w:p>
    <w:p w:rsidR="00F90FA5" w:rsidRDefault="005F5480" w:rsidP="00F90FA5">
      <w:r w:rsidRPr="001327D2">
        <w:t>Study TA-140 was a T</w:t>
      </w:r>
      <w:r w:rsidR="00F90FA5" w:rsidRPr="001327D2">
        <w:t xml:space="preserve">horough QT study that explored the effects of avanafil 100 mg and 800 mg on QT interval </w:t>
      </w:r>
      <w:hyperlink w:anchor="Table_1_2_6" w:history="1">
        <w:r w:rsidR="00F90FA5" w:rsidRPr="001327D2">
          <w:t xml:space="preserve">Table </w:t>
        </w:r>
        <w:r w:rsidRPr="001327D2">
          <w:t>9</w:t>
        </w:r>
      </w:hyperlink>
      <w:r w:rsidR="00F90FA5" w:rsidRPr="001327D2">
        <w:t>). There were no concerns with regard the 100 mg dose level, but for the 800 mg dose level at 3 hours, the upper 90% CI was &gt; 10 (</w:t>
      </w:r>
      <w:r w:rsidR="00922589">
        <w:t>that is,</w:t>
      </w:r>
      <w:r w:rsidR="00F90FA5" w:rsidRPr="001327D2">
        <w:t xml:space="preserve"> above the boundary for regulatory concern). This issue is discussed further in S</w:t>
      </w:r>
      <w:r w:rsidR="001327D2">
        <w:t>afety below</w:t>
      </w:r>
      <w:r w:rsidR="00F90FA5" w:rsidRPr="001327D2">
        <w:t>.</w:t>
      </w:r>
    </w:p>
    <w:p w:rsidR="005F5480" w:rsidRDefault="005F5480" w:rsidP="005F5480">
      <w:pPr>
        <w:pStyle w:val="Tabletitle"/>
      </w:pPr>
      <w:r>
        <w:lastRenderedPageBreak/>
        <w:t>Table 9: Effect on QT interval</w:t>
      </w:r>
    </w:p>
    <w:p w:rsidR="005F5480" w:rsidRPr="00F90FA5" w:rsidRDefault="005F5480" w:rsidP="00F90FA5">
      <w:r>
        <w:rPr>
          <w:noProof/>
          <w:lang w:eastAsia="en-AU"/>
        </w:rPr>
        <w:drawing>
          <wp:inline distT="0" distB="0" distL="0" distR="0" wp14:anchorId="5092271D" wp14:editId="11F35C67">
            <wp:extent cx="4808220" cy="3143250"/>
            <wp:effectExtent l="0" t="0" r="0" b="0"/>
            <wp:docPr id="123" name="Picture 123" descr="Table 9: Effect on QT inter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lum bright="-20000" contrast="40000"/>
                      <a:extLst>
                        <a:ext uri="{28A0092B-C50C-407E-A947-70E740481C1C}">
                          <a14:useLocalDpi xmlns:a14="http://schemas.microsoft.com/office/drawing/2010/main" val="0"/>
                        </a:ext>
                      </a:extLst>
                    </a:blip>
                    <a:srcRect b="4069"/>
                    <a:stretch/>
                  </pic:blipFill>
                  <pic:spPr bwMode="auto">
                    <a:xfrm>
                      <a:off x="0" y="0"/>
                      <a:ext cx="4808220" cy="3143250"/>
                    </a:xfrm>
                    <a:prstGeom prst="rect">
                      <a:avLst/>
                    </a:prstGeom>
                    <a:noFill/>
                    <a:ln>
                      <a:noFill/>
                    </a:ln>
                    <a:extLst>
                      <a:ext uri="{53640926-AAD7-44D8-BBD7-CCE9431645EC}">
                        <a14:shadowObscured xmlns:a14="http://schemas.microsoft.com/office/drawing/2010/main"/>
                      </a:ext>
                    </a:extLst>
                  </pic:spPr>
                </pic:pic>
              </a:graphicData>
            </a:graphic>
          </wp:inline>
        </w:drawing>
      </w:r>
    </w:p>
    <w:p w:rsidR="00F90FA5" w:rsidRPr="00F90FA5" w:rsidRDefault="00F90FA5" w:rsidP="00F90FA5">
      <w:pPr>
        <w:pStyle w:val="Heading4"/>
      </w:pPr>
      <w:bookmarkStart w:id="146" w:name="_Toc272414644"/>
      <w:bookmarkStart w:id="147" w:name="_Toc290846266"/>
      <w:bookmarkStart w:id="148" w:name="_Toc422725492"/>
      <w:r w:rsidRPr="00F90FA5">
        <w:t>Time course of pharmacodynamic effects</w:t>
      </w:r>
      <w:bookmarkEnd w:id="146"/>
      <w:bookmarkEnd w:id="147"/>
      <w:bookmarkEnd w:id="148"/>
    </w:p>
    <w:p w:rsidR="00F90FA5" w:rsidRPr="00F90FA5" w:rsidRDefault="00F90FA5" w:rsidP="00F90FA5">
      <w:r w:rsidRPr="00F90FA5">
        <w:t>Time course of eff</w:t>
      </w:r>
      <w:r>
        <w:t>ect was addressed in the Phase III</w:t>
      </w:r>
      <w:r w:rsidRPr="00F90FA5">
        <w:t xml:space="preserve"> studies.</w:t>
      </w:r>
    </w:p>
    <w:p w:rsidR="00F90FA5" w:rsidRPr="00F90FA5" w:rsidRDefault="00F90FA5" w:rsidP="00F90FA5">
      <w:pPr>
        <w:pStyle w:val="Heading4"/>
      </w:pPr>
      <w:bookmarkStart w:id="149" w:name="_Toc272414645"/>
      <w:bookmarkStart w:id="150" w:name="_Toc290846267"/>
      <w:bookmarkStart w:id="151" w:name="_Toc422725493"/>
      <w:r w:rsidRPr="00F90FA5">
        <w:t>Relationship between drug concentration and pharmacodynamic effects</w:t>
      </w:r>
      <w:bookmarkEnd w:id="149"/>
      <w:bookmarkEnd w:id="150"/>
      <w:bookmarkEnd w:id="151"/>
    </w:p>
    <w:p w:rsidR="00F90FA5" w:rsidRPr="00F90FA5" w:rsidRDefault="00F90FA5" w:rsidP="00F90FA5">
      <w:r w:rsidRPr="00F90FA5">
        <w:t>The pharmacokinetic</w:t>
      </w:r>
      <w:r w:rsidR="00704CF9">
        <w:t>/</w:t>
      </w:r>
      <w:r w:rsidRPr="00F90FA5">
        <w:t>pharmacodynamic relationships were not investigated in the clinical pharmacology studies.</w:t>
      </w:r>
    </w:p>
    <w:p w:rsidR="00F90FA5" w:rsidRPr="00F90FA5" w:rsidRDefault="00F90FA5" w:rsidP="00F90FA5">
      <w:pPr>
        <w:pStyle w:val="Heading4"/>
      </w:pPr>
      <w:bookmarkStart w:id="152" w:name="_Toc241374304"/>
      <w:bookmarkStart w:id="153" w:name="_Toc272414646"/>
      <w:bookmarkStart w:id="154" w:name="_Toc290846268"/>
      <w:bookmarkStart w:id="155" w:name="_Toc422725494"/>
      <w:r w:rsidRPr="00F90FA5">
        <w:t>Genetic-, and age-related differences in pharmacodynamic response</w:t>
      </w:r>
      <w:bookmarkEnd w:id="152"/>
      <w:bookmarkEnd w:id="153"/>
      <w:bookmarkEnd w:id="154"/>
      <w:bookmarkEnd w:id="155"/>
    </w:p>
    <w:p w:rsidR="00F90FA5" w:rsidRPr="00F90FA5" w:rsidRDefault="00F90FA5" w:rsidP="00F90FA5">
      <w:r w:rsidRPr="00F90FA5">
        <w:t>Genetic and age-related differences in pharmacodynamic response were not addressed in the clinical pharmacology studies.</w:t>
      </w:r>
    </w:p>
    <w:p w:rsidR="00F90FA5" w:rsidRPr="00F90FA5" w:rsidRDefault="00F90FA5" w:rsidP="00F90FA5">
      <w:pPr>
        <w:pStyle w:val="Heading4"/>
      </w:pPr>
      <w:bookmarkStart w:id="156" w:name="_Pharmacodynamic_interactions"/>
      <w:bookmarkStart w:id="157" w:name="_Toc241374303"/>
      <w:bookmarkStart w:id="158" w:name="_Toc272414647"/>
      <w:bookmarkStart w:id="159" w:name="_Toc290846269"/>
      <w:bookmarkStart w:id="160" w:name="_Toc422725495"/>
      <w:bookmarkEnd w:id="156"/>
      <w:r w:rsidRPr="00F90FA5">
        <w:t>Pharmacodynamic interactions</w:t>
      </w:r>
      <w:bookmarkEnd w:id="157"/>
      <w:bookmarkEnd w:id="158"/>
      <w:bookmarkEnd w:id="159"/>
      <w:bookmarkEnd w:id="160"/>
    </w:p>
    <w:p w:rsidR="00F90FA5" w:rsidRPr="00F90FA5" w:rsidRDefault="00F90FA5" w:rsidP="00F90FA5">
      <w:r w:rsidRPr="00F90FA5">
        <w:t>Avanafil did not have any significant effect on the ant</w:t>
      </w:r>
      <w:r w:rsidR="005F5480">
        <w:t>icoagulant effects of warfarin</w:t>
      </w:r>
      <w:r>
        <w:t xml:space="preserve">. </w:t>
      </w:r>
      <w:r w:rsidRPr="00F90FA5">
        <w:t>The % mean ratio (90% CI), warfarin + avanafil</w:t>
      </w:r>
      <w:r w:rsidR="00704CF9">
        <w:t>/</w:t>
      </w:r>
      <w:r w:rsidRPr="00F90FA5">
        <w:t>warfarin + placebo for INR was 99.08 (90.82 to 107.33) for AUEC0-168 and 95.82 (89.30 to 102.34) for E</w:t>
      </w:r>
      <w:r w:rsidRPr="00F90FA5">
        <w:rPr>
          <w:vertAlign w:val="subscript"/>
        </w:rPr>
        <w:t>max</w:t>
      </w:r>
      <w:r>
        <w:t xml:space="preserve">. </w:t>
      </w:r>
      <w:r w:rsidRPr="00F90FA5">
        <w:t>Avanafil had no significant effect on platelet aggregation in combination with warfarin.</w:t>
      </w:r>
    </w:p>
    <w:p w:rsidR="00F90FA5" w:rsidRPr="00F90FA5" w:rsidRDefault="00F90FA5" w:rsidP="00F90FA5">
      <w:r w:rsidRPr="00F90FA5">
        <w:t>There was a clinically significant fall in sitting systolic blood pressure (SBP), of approximately 4 mmHg, when glyceryl trinitrate (GTN) was administered 0.5 hours after avanafil, but not when administered 1 hour or more after avanafil (Study TA-04</w:t>
      </w:r>
      <w:r>
        <w:t xml:space="preserve">). </w:t>
      </w:r>
      <w:r w:rsidRPr="00F90FA5">
        <w:t xml:space="preserve">The drop in sitting SBP was similar to </w:t>
      </w:r>
      <w:r>
        <w:t xml:space="preserve">that observed with sildenafil. </w:t>
      </w:r>
      <w:r w:rsidRPr="00F90FA5">
        <w:t>There was a si</w:t>
      </w:r>
      <w:r>
        <w:t>milar decrease in standing SBP.</w:t>
      </w:r>
      <w:r w:rsidRPr="00F90FA5">
        <w:t xml:space="preserve"> There was also an increase in pulse rate of 3 bpm.</w:t>
      </w:r>
      <w:r>
        <w:t xml:space="preserve"> </w:t>
      </w:r>
      <w:r w:rsidRPr="00F90FA5">
        <w:t>Symptomatic hypotension was reported following GTN for 28 (27%) with avanafil, 28 (29%) with sildenafil and 12 (12%) with placebo.</w:t>
      </w:r>
    </w:p>
    <w:p w:rsidR="00F90FA5" w:rsidRPr="00F90FA5" w:rsidRDefault="00F90FA5" w:rsidP="00F90FA5">
      <w:r w:rsidRPr="00F90FA5">
        <w:t>Following a single standard drink of ethanol, in subjects treated with avanafil there was a clinically non-significant fall in SBP and DBP of approximately 3 mmHg and rise in pulse rate of 4 bpm</w:t>
      </w:r>
      <w:r>
        <w:t xml:space="preserve">. </w:t>
      </w:r>
      <w:r w:rsidRPr="00F90FA5">
        <w:t xml:space="preserve">Combining avanafil with ethanol (single standard measure) produced a mean fall in SBP of 3.53 mmHg, a fall in DBP of 4.54 mmHg and a </w:t>
      </w:r>
      <w:r>
        <w:t>rise in pulse rate of 9.33 bpm.</w:t>
      </w:r>
    </w:p>
    <w:p w:rsidR="00F90FA5" w:rsidRPr="00F90FA5" w:rsidRDefault="00F90FA5" w:rsidP="00F90FA5">
      <w:r w:rsidRPr="00F90FA5">
        <w:t>In subjects treated with doxazosin, the addition of avanafil 200 mg resulted in a mean decrease in standing DBP of 6.42 bpm and an increase in pulse rate of 7.21 bpm</w:t>
      </w:r>
      <w:r>
        <w:t xml:space="preserve">. </w:t>
      </w:r>
      <w:r w:rsidRPr="00F90FA5">
        <w:t>There was a decrease in supine SBP of 6.00 mmHg and DBP of 5.58 mmHg, with an incre</w:t>
      </w:r>
      <w:r>
        <w:t xml:space="preserve">ase in pulse rate of 3.75 bpm. </w:t>
      </w:r>
      <w:r w:rsidRPr="00F90FA5">
        <w:t xml:space="preserve">In </w:t>
      </w:r>
      <w:r w:rsidRPr="00F90FA5">
        <w:lastRenderedPageBreak/>
        <w:t>combination, three subjects had standing SBP</w:t>
      </w:r>
      <w:r>
        <w:t xml:space="preserve"> </w:t>
      </w:r>
      <w:r w:rsidRPr="00F90FA5">
        <w:t>&lt;</w:t>
      </w:r>
      <w:r>
        <w:t xml:space="preserve"> </w:t>
      </w:r>
      <w:r w:rsidRPr="00F90FA5">
        <w:t>85 mmHg, one had standing SBP decrease &gt;</w:t>
      </w:r>
      <w:r>
        <w:t xml:space="preserve"> </w:t>
      </w:r>
      <w:r w:rsidRPr="00F90FA5">
        <w:t>30 mmHg, two had DBP &lt;</w:t>
      </w:r>
      <w:r>
        <w:t xml:space="preserve"> </w:t>
      </w:r>
      <w:r w:rsidRPr="00F90FA5">
        <w:t>45 mmHg and four had decrease in standing DBP &gt;</w:t>
      </w:r>
      <w:r>
        <w:t xml:space="preserve"> </w:t>
      </w:r>
      <w:r w:rsidRPr="00F90FA5">
        <w:t>20 mmHg.</w:t>
      </w:r>
    </w:p>
    <w:p w:rsidR="00F90FA5" w:rsidRPr="00F90FA5" w:rsidRDefault="00F90FA5" w:rsidP="00F90FA5">
      <w:r w:rsidRPr="00F90FA5">
        <w:t>In subjects treated with tamsulosin, the addition of avanafil 200 mg resulted in a mean decrease in standing DBP of 3.70 bpm and an increase in pulse rate of 2.46 bpm</w:t>
      </w:r>
      <w:r>
        <w:t xml:space="preserve">. </w:t>
      </w:r>
      <w:r w:rsidRPr="00F90FA5">
        <w:t>There was a decrease in supine SBP of 3.13 mmHg and DBP of 3.33 mmHg, with an increase in pulse rate of 4.67 bpm</w:t>
      </w:r>
      <w:r>
        <w:t xml:space="preserve">. </w:t>
      </w:r>
      <w:r w:rsidRPr="00F90FA5">
        <w:t>In combination, two subjects had standing SBP</w:t>
      </w:r>
      <w:r>
        <w:t xml:space="preserve"> </w:t>
      </w:r>
      <w:r w:rsidRPr="00F90FA5">
        <w:t>&lt;</w:t>
      </w:r>
      <w:r>
        <w:t xml:space="preserve"> </w:t>
      </w:r>
      <w:r w:rsidRPr="00F90FA5">
        <w:t>85 mmHg, one had standing SBP decrease &gt;</w:t>
      </w:r>
      <w:r>
        <w:t xml:space="preserve"> </w:t>
      </w:r>
      <w:r w:rsidRPr="00F90FA5">
        <w:t>30 mmHg, two had DBP &lt;</w:t>
      </w:r>
      <w:r>
        <w:t xml:space="preserve"> </w:t>
      </w:r>
      <w:r w:rsidRPr="00F90FA5">
        <w:t>45 mmHg and four had decrease in standing DBP &gt;</w:t>
      </w:r>
      <w:r>
        <w:t xml:space="preserve"> 20 mmHg. </w:t>
      </w:r>
      <w:r w:rsidRPr="00F90FA5">
        <w:t>One subject had decrease in supine DBP &gt;</w:t>
      </w:r>
      <w:r w:rsidR="005667BD">
        <w:t xml:space="preserve"> </w:t>
      </w:r>
      <w:r w:rsidRPr="00F90FA5">
        <w:t>20 mmHg.</w:t>
      </w:r>
    </w:p>
    <w:p w:rsidR="00F90FA5" w:rsidRPr="00F90FA5" w:rsidRDefault="00F90FA5" w:rsidP="00F90FA5">
      <w:r w:rsidRPr="00F90FA5">
        <w:t>In subjects treated with enalapril, the addition of avanafil 200 mg did not result in any significant change in standing vital signs</w:t>
      </w:r>
      <w:r w:rsidR="005667BD">
        <w:t xml:space="preserve">. </w:t>
      </w:r>
      <w:r w:rsidRPr="00F90FA5">
        <w:t>There was a decrease in supine SBP of 1.75 mmHg and DBP of 3.46 mmHg, with an incre</w:t>
      </w:r>
      <w:r w:rsidR="005667BD">
        <w:t xml:space="preserve">ase in pulse rate of 0.96 bpm. </w:t>
      </w:r>
      <w:r w:rsidRPr="00F90FA5">
        <w:t>One subject each had decrease in supine SBP &gt;</w:t>
      </w:r>
      <w:r w:rsidR="005667BD">
        <w:t xml:space="preserve"> </w:t>
      </w:r>
      <w:r w:rsidRPr="00F90FA5">
        <w:t>30 mmHg, supine DBP &lt;</w:t>
      </w:r>
      <w:r w:rsidR="005667BD">
        <w:t xml:space="preserve"> </w:t>
      </w:r>
      <w:r w:rsidRPr="00F90FA5">
        <w:t>45 mmHg and decrease in supine DBP &gt;</w:t>
      </w:r>
      <w:r w:rsidR="005667BD">
        <w:t xml:space="preserve"> </w:t>
      </w:r>
      <w:r w:rsidRPr="00F90FA5">
        <w:t>20 mmHg.</w:t>
      </w:r>
    </w:p>
    <w:p w:rsidR="00F90FA5" w:rsidRPr="00F90FA5" w:rsidRDefault="00F90FA5" w:rsidP="00F90FA5">
      <w:r w:rsidRPr="00F90FA5">
        <w:t>In subjects treated with amlodipine, the addition of avanafil 200 mg did not result in any clinically significant change in standing vital signs</w:t>
      </w:r>
      <w:r w:rsidR="005667BD">
        <w:t xml:space="preserve">. </w:t>
      </w:r>
      <w:r w:rsidRPr="00F90FA5">
        <w:t>There was a decrease in supine SBP of 1.18 mmHg and DBP of 1.47 mmHg, with an incr</w:t>
      </w:r>
      <w:r w:rsidR="005667BD">
        <w:t>ease in pulse rate of 1.00 bpm.</w:t>
      </w:r>
      <w:r w:rsidRPr="00F90FA5">
        <w:t xml:space="preserve"> One subject had a decrease in supine DBP &gt;</w:t>
      </w:r>
      <w:r w:rsidR="005667BD">
        <w:t xml:space="preserve"> </w:t>
      </w:r>
      <w:r w:rsidRPr="00F90FA5">
        <w:t>20 mmHg.</w:t>
      </w:r>
    </w:p>
    <w:p w:rsidR="00F90FA5" w:rsidRPr="00F90FA5" w:rsidRDefault="00F90FA5" w:rsidP="00F90FA5">
      <w:pPr>
        <w:pStyle w:val="Heading3"/>
      </w:pPr>
      <w:bookmarkStart w:id="161" w:name="_Ref269983272"/>
      <w:bookmarkStart w:id="162" w:name="_Toc272414648"/>
      <w:bookmarkStart w:id="163" w:name="_Toc290846270"/>
      <w:bookmarkStart w:id="164" w:name="_Toc422725496"/>
      <w:bookmarkStart w:id="165" w:name="_Toc466365781"/>
      <w:r w:rsidRPr="00F90FA5">
        <w:t>Evaluator’s overall conclusions on pharmacodynamics</w:t>
      </w:r>
      <w:bookmarkEnd w:id="161"/>
      <w:bookmarkEnd w:id="162"/>
      <w:bookmarkEnd w:id="163"/>
      <w:bookmarkEnd w:id="164"/>
      <w:bookmarkEnd w:id="165"/>
    </w:p>
    <w:p w:rsidR="00F90FA5" w:rsidRPr="00F90FA5" w:rsidRDefault="00F90FA5" w:rsidP="00F90FA5">
      <w:r w:rsidRPr="00F90FA5">
        <w:t>The pharmacodynamic data addressed the issues of disturbance of colour vision, effects on sperm</w:t>
      </w:r>
      <w:r w:rsidR="005667BD">
        <w:t xml:space="preserve"> function and QT prolongation. </w:t>
      </w:r>
      <w:r w:rsidRPr="00F90FA5">
        <w:t>There was no effect on co</w:t>
      </w:r>
      <w:r w:rsidR="005667BD">
        <w:t xml:space="preserve">lour vision or sperm function. </w:t>
      </w:r>
      <w:r w:rsidRPr="00F90FA5">
        <w:t>The data on QTc prolongation were equivocal.</w:t>
      </w:r>
    </w:p>
    <w:p w:rsidR="00F90FA5" w:rsidRPr="00F90FA5" w:rsidRDefault="00F90FA5" w:rsidP="00F90FA5">
      <w:r w:rsidRPr="00F90FA5">
        <w:t>Avanafil did not intera</w:t>
      </w:r>
      <w:r w:rsidR="005667BD">
        <w:t xml:space="preserve">ct with ethanol or amlodipine. </w:t>
      </w:r>
      <w:r w:rsidRPr="00F90FA5">
        <w:t>However, in combination with glyceryl trinitrate, enalapril or alpha blockers there were decreases in blood pressure that may be clinically significant.</w:t>
      </w:r>
    </w:p>
    <w:p w:rsidR="00586F98" w:rsidRDefault="00C22678" w:rsidP="00586F98">
      <w:pPr>
        <w:pStyle w:val="Heading2"/>
      </w:pPr>
      <w:bookmarkStart w:id="166" w:name="_Toc466365782"/>
      <w:r>
        <w:t>Dosage selection for the pivotal studies</w:t>
      </w:r>
      <w:bookmarkEnd w:id="166"/>
    </w:p>
    <w:p w:rsidR="005667BD" w:rsidRPr="005667BD" w:rsidRDefault="005667BD" w:rsidP="005667BD">
      <w:pPr>
        <w:pStyle w:val="Heading3"/>
      </w:pPr>
      <w:bookmarkStart w:id="167" w:name="_Toc422725498"/>
      <w:bookmarkStart w:id="168" w:name="_Toc466365783"/>
      <w:r w:rsidRPr="005667BD">
        <w:t>Study TA-01</w:t>
      </w:r>
      <w:bookmarkEnd w:id="167"/>
      <w:bookmarkEnd w:id="168"/>
    </w:p>
    <w:p w:rsidR="005667BD" w:rsidRPr="005667BD" w:rsidRDefault="005667BD" w:rsidP="005667BD">
      <w:r w:rsidRPr="005667BD">
        <w:t>Study TA-01 was a single blind, randomised, crossover, dose finding study of avanafil in conjunction with visual sexual stimulation (VSS) in subjects with erectile dysfunction</w:t>
      </w:r>
      <w:r>
        <w:t xml:space="preserve">. </w:t>
      </w:r>
      <w:r w:rsidRPr="005667BD">
        <w:t>The study was conducted at 8 centres in the US from March 2002 to August 2002</w:t>
      </w:r>
      <w:r>
        <w:t xml:space="preserve">. </w:t>
      </w:r>
      <w:r w:rsidRPr="005667BD">
        <w:t>The study included male subjects,</w:t>
      </w:r>
      <w:r>
        <w:t xml:space="preserve"> 35 to 70 years of age, with a ≥</w:t>
      </w:r>
      <w:r w:rsidRPr="005667BD">
        <w:t xml:space="preserve"> 6-month history of mild-to-moderate ED; who were not using androgen therapy that had not been stable for 3 months or other prohibited therapies; with no history of chronic blood pressure &lt;</w:t>
      </w:r>
      <w:r>
        <w:t xml:space="preserve"> </w:t>
      </w:r>
      <w:r w:rsidRPr="005667BD">
        <w:t>90/50 mmHg or &gt;</w:t>
      </w:r>
      <w:r>
        <w:t xml:space="preserve"> </w:t>
      </w:r>
      <w:r w:rsidRPr="005667BD">
        <w:t>170/100 mmHg or recent stroke or myocardial infarction; and with no significant medical condition or social problem that would interfere with study evaluations or otherwise contr</w:t>
      </w:r>
      <w:r>
        <w:t xml:space="preserve">aindicate study participation. </w:t>
      </w:r>
      <w:r w:rsidRPr="005667BD">
        <w:t>The study treatments were:</w:t>
      </w:r>
    </w:p>
    <w:p w:rsidR="005667BD" w:rsidRPr="005667BD" w:rsidRDefault="005667BD" w:rsidP="005667BD">
      <w:pPr>
        <w:pStyle w:val="Numberbullet0"/>
      </w:pPr>
      <w:r w:rsidRPr="005667BD">
        <w:t xml:space="preserve">Avanafil: </w:t>
      </w:r>
      <w:r w:rsidR="00922589">
        <w:t>at</w:t>
      </w:r>
      <w:r>
        <w:t xml:space="preserve"> 50 mg, 100 mg or 200 mg. </w:t>
      </w:r>
      <w:r w:rsidRPr="005667BD">
        <w:t>These dose groups were recruited sequentially</w:t>
      </w:r>
    </w:p>
    <w:p w:rsidR="005667BD" w:rsidRPr="005667BD" w:rsidRDefault="005667BD" w:rsidP="005667BD">
      <w:pPr>
        <w:pStyle w:val="Numberbullet0"/>
      </w:pPr>
      <w:r w:rsidRPr="005667BD">
        <w:t>Placebo</w:t>
      </w:r>
    </w:p>
    <w:p w:rsidR="005667BD" w:rsidRPr="005667BD" w:rsidRDefault="005667BD" w:rsidP="005667BD">
      <w:pPr>
        <w:pStyle w:val="Numberbullet0"/>
      </w:pPr>
      <w:r w:rsidRPr="005667BD">
        <w:t>Sildenafil 50 mg</w:t>
      </w:r>
    </w:p>
    <w:p w:rsidR="005667BD" w:rsidRPr="005667BD" w:rsidRDefault="005667BD" w:rsidP="005667BD">
      <w:r w:rsidRPr="005667BD">
        <w:t>The study treatments were administered as three single doses on separ</w:t>
      </w:r>
      <w:r>
        <w:t xml:space="preserve">ate days in a random sequence. </w:t>
      </w:r>
      <w:r w:rsidRPr="005667BD">
        <w:t>The primary outcome measure was measured using the RigiScan</w:t>
      </w:r>
      <w:r>
        <w:t xml:space="preserve">. </w:t>
      </w:r>
      <w:r w:rsidRPr="005667BD">
        <w:t>The reporters were bl</w:t>
      </w:r>
      <w:r>
        <w:t xml:space="preserve">inded to treatment allocation. </w:t>
      </w:r>
      <w:r w:rsidRPr="005667BD">
        <w:t>The outcome measures were:</w:t>
      </w:r>
    </w:p>
    <w:p w:rsidR="005667BD" w:rsidRPr="005667BD" w:rsidRDefault="005667BD" w:rsidP="005667BD">
      <w:pPr>
        <w:pStyle w:val="ListBullet"/>
      </w:pPr>
      <w:r>
        <w:t>Time to ≥</w:t>
      </w:r>
      <w:r w:rsidRPr="005667BD">
        <w:t xml:space="preserve"> 60% rigidity (tip and base)</w:t>
      </w:r>
      <w:r>
        <w:t>:</w:t>
      </w:r>
    </w:p>
    <w:p w:rsidR="005667BD" w:rsidRPr="005667BD" w:rsidRDefault="005667BD" w:rsidP="005667BD">
      <w:pPr>
        <w:pStyle w:val="ListBullet"/>
      </w:pPr>
      <w:r>
        <w:t>Duration of ≥</w:t>
      </w:r>
      <w:r w:rsidRPr="005667BD">
        <w:t xml:space="preserve"> 60% rigidity (tip and base)</w:t>
      </w:r>
    </w:p>
    <w:p w:rsidR="005667BD" w:rsidRPr="005667BD" w:rsidRDefault="005667BD" w:rsidP="005667BD">
      <w:pPr>
        <w:pStyle w:val="ListBullet"/>
      </w:pPr>
      <w:r w:rsidRPr="005667BD">
        <w:lastRenderedPageBreak/>
        <w:t>Maximum rigidity (tip and base)</w:t>
      </w:r>
    </w:p>
    <w:p w:rsidR="005667BD" w:rsidRPr="005667BD" w:rsidRDefault="005667BD" w:rsidP="005667BD">
      <w:pPr>
        <w:pStyle w:val="ListBullet"/>
      </w:pPr>
      <w:r w:rsidRPr="005667BD">
        <w:t>Tumescent Activity Units - TAU (tip and base)</w:t>
      </w:r>
    </w:p>
    <w:p w:rsidR="005667BD" w:rsidRPr="005667BD" w:rsidRDefault="005667BD" w:rsidP="005667BD">
      <w:pPr>
        <w:pStyle w:val="ListBullet"/>
      </w:pPr>
      <w:r w:rsidRPr="005667BD">
        <w:t>Rigidity Activity Units – RAU (tip and base)</w:t>
      </w:r>
    </w:p>
    <w:p w:rsidR="005667BD" w:rsidRPr="005667BD" w:rsidRDefault="005667BD" w:rsidP="005667BD">
      <w:pPr>
        <w:pStyle w:val="ListBullet"/>
      </w:pPr>
      <w:r w:rsidRPr="005667BD">
        <w:t>Responses to the 5-point Erection Assessment Scale (EAS)</w:t>
      </w:r>
    </w:p>
    <w:p w:rsidR="005667BD" w:rsidRPr="005667BD" w:rsidRDefault="005667BD" w:rsidP="005667BD">
      <w:r w:rsidRPr="005667BD">
        <w:t>The safety outcome measures were vital signs and adverse events.</w:t>
      </w:r>
    </w:p>
    <w:p w:rsidR="005667BD" w:rsidRPr="005667BD" w:rsidRDefault="005667BD" w:rsidP="005667BD">
      <w:r w:rsidRPr="005667BD">
        <w:t>There were 297 subjects screened, and 83 were randomised and received study drug: 27 were treated with avanafil 50 mg, 28 with 100 mg, and 28 with 200 mg</w:t>
      </w:r>
      <w:r>
        <w:t xml:space="preserve">. </w:t>
      </w:r>
      <w:r w:rsidRPr="005667BD">
        <w:t>One subject did not complete</w:t>
      </w:r>
      <w:r>
        <w:t xml:space="preserve">. </w:t>
      </w:r>
      <w:r w:rsidRPr="005667BD">
        <w:t>All subjects were male, and the age range was 26 to 70 years</w:t>
      </w:r>
      <w:r>
        <w:t xml:space="preserve">. </w:t>
      </w:r>
      <w:r w:rsidRPr="005667BD">
        <w:t>ED was organic for 50 (60.2%) subjects, psychological for 7 (8.</w:t>
      </w:r>
      <w:r>
        <w:t xml:space="preserve">4%) and mixed for 26 (31.3%). </w:t>
      </w:r>
      <w:r w:rsidRPr="005667BD">
        <w:t>Race was Caucasian for 56 (67.5%) subjects and Black for 20 (24.1%).</w:t>
      </w:r>
    </w:p>
    <w:p w:rsidR="005667BD" w:rsidRPr="005667BD" w:rsidRDefault="005667BD" w:rsidP="005667BD">
      <w:r w:rsidRPr="005667BD">
        <w:t>For the efficacy outcome measures:</w:t>
      </w:r>
    </w:p>
    <w:p w:rsidR="005667BD" w:rsidRPr="001327D2" w:rsidRDefault="005667BD" w:rsidP="005667BD">
      <w:pPr>
        <w:pStyle w:val="ListBullet"/>
      </w:pPr>
      <w:r>
        <w:t>Time to ≥</w:t>
      </w:r>
      <w:r w:rsidRPr="005667BD">
        <w:t xml:space="preserve"> 60% rigidity (tip and base) decreased with </w:t>
      </w:r>
      <w:r w:rsidRPr="001327D2">
        <w:t>increasing dose up to the 200 mg dose level with similar results to sildenafil, and improved compared to placebo (</w:t>
      </w:r>
      <w:hyperlink w:anchor="Table_6_1_1" w:history="1">
        <w:r w:rsidRPr="001327D2">
          <w:t xml:space="preserve">Table </w:t>
        </w:r>
        <w:r w:rsidR="00BD509F" w:rsidRPr="001327D2">
          <w:t>10</w:t>
        </w:r>
      </w:hyperlink>
      <w:r w:rsidRPr="001327D2">
        <w:t xml:space="preserve"> and </w:t>
      </w:r>
      <w:hyperlink w:anchor="Table_6_1_2" w:history="1">
        <w:r w:rsidRPr="001327D2">
          <w:t xml:space="preserve">Table </w:t>
        </w:r>
        <w:r w:rsidR="00BD509F" w:rsidRPr="001327D2">
          <w:t>11</w:t>
        </w:r>
      </w:hyperlink>
      <w:r w:rsidRPr="001327D2">
        <w:t>).</w:t>
      </w:r>
    </w:p>
    <w:p w:rsidR="005667BD" w:rsidRPr="001327D2" w:rsidRDefault="005667BD" w:rsidP="005667BD">
      <w:pPr>
        <w:pStyle w:val="ListBullet"/>
      </w:pPr>
      <w:r w:rsidRPr="001327D2">
        <w:t>Duration of ≥ 60% rigidity (tip and base) increased with increasing dose up to the 200 mg dose level, with similar effect to sildenafil at the 100 mg and 200 mg dose levels (</w:t>
      </w:r>
      <w:hyperlink w:anchor="Table_1_2_3" w:history="1">
        <w:r w:rsidRPr="001327D2">
          <w:t xml:space="preserve">Table </w:t>
        </w:r>
        <w:r w:rsidR="00BD509F" w:rsidRPr="001327D2">
          <w:t>12</w:t>
        </w:r>
      </w:hyperlink>
      <w:r w:rsidRPr="001327D2">
        <w:t xml:space="preserve"> and </w:t>
      </w:r>
      <w:hyperlink w:anchor="Table_6_1_4" w:history="1">
        <w:r w:rsidRPr="001327D2">
          <w:t xml:space="preserve">Table </w:t>
        </w:r>
        <w:r w:rsidR="00BD509F" w:rsidRPr="001327D2">
          <w:t>13</w:t>
        </w:r>
      </w:hyperlink>
      <w:r w:rsidRPr="001327D2">
        <w:t>).</w:t>
      </w:r>
    </w:p>
    <w:p w:rsidR="005667BD" w:rsidRDefault="005667BD" w:rsidP="005667BD">
      <w:pPr>
        <w:pStyle w:val="ListBullet"/>
      </w:pPr>
      <w:r w:rsidRPr="001327D2">
        <w:t>Maximum rigidity (tip and base) increased to the 200 mg dose level, was greater than placebo at all dose levels and was greater than sildenafil at the 200 mg dose level (</w:t>
      </w:r>
      <w:r w:rsidR="00BD509F" w:rsidRPr="001327D2">
        <w:t xml:space="preserve">Table </w:t>
      </w:r>
      <w:hyperlink w:anchor="Table_6_1_5" w:history="1">
        <w:r w:rsidR="00BD509F" w:rsidRPr="001327D2">
          <w:t>1</w:t>
        </w:r>
      </w:hyperlink>
      <w:r w:rsidR="00BD509F" w:rsidRPr="001327D2">
        <w:t>4</w:t>
      </w:r>
      <w:r w:rsidRPr="005667BD">
        <w:t>).</w:t>
      </w:r>
    </w:p>
    <w:p w:rsidR="00714B60" w:rsidRDefault="00BD509F" w:rsidP="00BD509F">
      <w:pPr>
        <w:pStyle w:val="Tabletitle"/>
        <w:rPr>
          <w:lang w:val="en-US"/>
        </w:rPr>
      </w:pPr>
      <w:bookmarkStart w:id="169" w:name="Table_6_1_1"/>
      <w:r>
        <w:t>Table 10:</w:t>
      </w:r>
      <w:bookmarkEnd w:id="169"/>
      <w:r>
        <w:t xml:space="preserve"> </w:t>
      </w:r>
      <w:r w:rsidRPr="00C83476">
        <w:rPr>
          <w:lang w:val="en-US"/>
        </w:rPr>
        <w:t>Summary of Cumulative Time to ≥ 60% Rigidity</w:t>
      </w:r>
    </w:p>
    <w:p w:rsidR="00BD509F" w:rsidRPr="00C83476" w:rsidRDefault="00BD509F" w:rsidP="00BD509F">
      <w:r w:rsidRPr="00C83476">
        <w:rPr>
          <w:noProof/>
          <w:lang w:eastAsia="en-AU"/>
        </w:rPr>
        <w:drawing>
          <wp:inline distT="0" distB="0" distL="0" distR="0" wp14:anchorId="1C20FBD7" wp14:editId="386A3A47">
            <wp:extent cx="5001625" cy="3390900"/>
            <wp:effectExtent l="0" t="0" r="8890" b="0"/>
            <wp:docPr id="102" name="Picture 102" descr="Table 10: Summary of Cumulative Time to ≥ 60% Rigid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lum bright="-20000" contrast="40000"/>
                      <a:extLst>
                        <a:ext uri="{28A0092B-C50C-407E-A947-70E740481C1C}">
                          <a14:useLocalDpi xmlns:a14="http://schemas.microsoft.com/office/drawing/2010/main" val="0"/>
                        </a:ext>
                      </a:extLst>
                    </a:blip>
                    <a:srcRect/>
                    <a:stretch>
                      <a:fillRect/>
                    </a:stretch>
                  </pic:blipFill>
                  <pic:spPr bwMode="auto">
                    <a:xfrm>
                      <a:off x="0" y="0"/>
                      <a:ext cx="5000553" cy="3390173"/>
                    </a:xfrm>
                    <a:prstGeom prst="rect">
                      <a:avLst/>
                    </a:prstGeom>
                    <a:noFill/>
                    <a:ln>
                      <a:noFill/>
                    </a:ln>
                  </pic:spPr>
                </pic:pic>
              </a:graphicData>
            </a:graphic>
          </wp:inline>
        </w:drawing>
      </w:r>
    </w:p>
    <w:p w:rsidR="00714B60" w:rsidRDefault="00BD509F" w:rsidP="00BD509F">
      <w:pPr>
        <w:pStyle w:val="Tabletitle"/>
        <w:rPr>
          <w:lang w:val="en-US"/>
        </w:rPr>
      </w:pPr>
      <w:bookmarkStart w:id="170" w:name="Table_6_1_2"/>
      <w:r>
        <w:lastRenderedPageBreak/>
        <w:t>Table 11:</w:t>
      </w:r>
      <w:bookmarkEnd w:id="170"/>
      <w:r>
        <w:t xml:space="preserve"> </w:t>
      </w:r>
      <w:r w:rsidRPr="00C83476">
        <w:rPr>
          <w:lang w:val="en-US"/>
        </w:rPr>
        <w:t>Summary of Time to ≥ 60% Rigidity</w:t>
      </w:r>
    </w:p>
    <w:p w:rsidR="00BD509F" w:rsidRPr="00C83476" w:rsidRDefault="00BD509F" w:rsidP="00BD509F">
      <w:r w:rsidRPr="00C83476">
        <w:rPr>
          <w:noProof/>
          <w:lang w:eastAsia="en-AU"/>
        </w:rPr>
        <w:drawing>
          <wp:inline distT="0" distB="0" distL="0" distR="0" wp14:anchorId="0A5D6A3F" wp14:editId="3CC19C06">
            <wp:extent cx="5324475" cy="4040770"/>
            <wp:effectExtent l="0" t="0" r="0" b="0"/>
            <wp:docPr id="112" name="Picture 112" descr="Table 11: Summary of Time to ≥ 60% Rigid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lum bright="-20000" contrast="40000"/>
                      <a:extLst>
                        <a:ext uri="{28A0092B-C50C-407E-A947-70E740481C1C}">
                          <a14:useLocalDpi xmlns:a14="http://schemas.microsoft.com/office/drawing/2010/main" val="0"/>
                        </a:ext>
                      </a:extLst>
                    </a:blip>
                    <a:srcRect/>
                    <a:stretch>
                      <a:fillRect/>
                    </a:stretch>
                  </pic:blipFill>
                  <pic:spPr bwMode="auto">
                    <a:xfrm>
                      <a:off x="0" y="0"/>
                      <a:ext cx="5323772" cy="4040236"/>
                    </a:xfrm>
                    <a:prstGeom prst="rect">
                      <a:avLst/>
                    </a:prstGeom>
                    <a:noFill/>
                    <a:ln>
                      <a:noFill/>
                    </a:ln>
                  </pic:spPr>
                </pic:pic>
              </a:graphicData>
            </a:graphic>
          </wp:inline>
        </w:drawing>
      </w:r>
    </w:p>
    <w:p w:rsidR="00BD509F" w:rsidRPr="00C83476" w:rsidRDefault="00BD509F" w:rsidP="00BD509F">
      <w:pPr>
        <w:pStyle w:val="Tabletitle"/>
      </w:pPr>
      <w:bookmarkStart w:id="171" w:name="Table_6_1_3"/>
      <w:r>
        <w:t>Table 12:</w:t>
      </w:r>
      <w:bookmarkEnd w:id="171"/>
      <w:r>
        <w:t xml:space="preserve"> </w:t>
      </w:r>
      <w:r w:rsidRPr="00C83476">
        <w:rPr>
          <w:lang w:val="en-US"/>
        </w:rPr>
        <w:t>Summary of Cumulat</w:t>
      </w:r>
      <w:r>
        <w:rPr>
          <w:lang w:val="en-US"/>
        </w:rPr>
        <w:t>ive Duration of ≥ 60% Rigidity</w:t>
      </w:r>
    </w:p>
    <w:p w:rsidR="00BD509F" w:rsidRPr="00C83476" w:rsidRDefault="00BD509F" w:rsidP="00BD509F">
      <w:r w:rsidRPr="00C83476">
        <w:rPr>
          <w:noProof/>
          <w:lang w:eastAsia="en-AU"/>
        </w:rPr>
        <w:drawing>
          <wp:inline distT="0" distB="0" distL="0" distR="0" wp14:anchorId="6A8B614D" wp14:editId="0020BFFC">
            <wp:extent cx="5219700" cy="3194044"/>
            <wp:effectExtent l="0" t="0" r="0" b="6985"/>
            <wp:docPr id="113" name="Picture 113" descr="Table 12: Summary of Cumulative Duration of ≥ 60% Rig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18581" cy="3193359"/>
                    </a:xfrm>
                    <a:prstGeom prst="rect">
                      <a:avLst/>
                    </a:prstGeom>
                  </pic:spPr>
                </pic:pic>
              </a:graphicData>
            </a:graphic>
          </wp:inline>
        </w:drawing>
      </w:r>
    </w:p>
    <w:p w:rsidR="00714B60" w:rsidRDefault="00BD509F" w:rsidP="00BD509F">
      <w:pPr>
        <w:pStyle w:val="Tabletitle"/>
        <w:rPr>
          <w:lang w:val="en-US"/>
        </w:rPr>
      </w:pPr>
      <w:r>
        <w:rPr>
          <w:lang w:val="en-US"/>
        </w:rPr>
        <w:lastRenderedPageBreak/>
        <w:t xml:space="preserve">Table 13: </w:t>
      </w:r>
      <w:r w:rsidRPr="00C83476">
        <w:rPr>
          <w:lang w:val="en-US"/>
        </w:rPr>
        <w:t>Summary of Duration of ≥ 60% Rigidity</w:t>
      </w:r>
    </w:p>
    <w:p w:rsidR="00BD509F" w:rsidRPr="00C83476" w:rsidRDefault="00BD509F" w:rsidP="00BD509F">
      <w:r w:rsidRPr="00C83476">
        <w:rPr>
          <w:noProof/>
          <w:lang w:eastAsia="en-AU"/>
        </w:rPr>
        <w:drawing>
          <wp:inline distT="0" distB="0" distL="0" distR="0" wp14:anchorId="7BE54262" wp14:editId="25309F3E">
            <wp:extent cx="5024840" cy="3352800"/>
            <wp:effectExtent l="0" t="0" r="4445" b="0"/>
            <wp:docPr id="114" name="Picture 114" descr="Table 13: Summary of Duration of ≥ 60% Rigid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lum bright="-20000" contrast="40000"/>
                      <a:extLst>
                        <a:ext uri="{28A0092B-C50C-407E-A947-70E740481C1C}">
                          <a14:useLocalDpi xmlns:a14="http://schemas.microsoft.com/office/drawing/2010/main" val="0"/>
                        </a:ext>
                      </a:extLst>
                    </a:blip>
                    <a:srcRect/>
                    <a:stretch>
                      <a:fillRect/>
                    </a:stretch>
                  </pic:blipFill>
                  <pic:spPr bwMode="auto">
                    <a:xfrm>
                      <a:off x="0" y="0"/>
                      <a:ext cx="5024084" cy="3352295"/>
                    </a:xfrm>
                    <a:prstGeom prst="rect">
                      <a:avLst/>
                    </a:prstGeom>
                    <a:noFill/>
                    <a:ln>
                      <a:noFill/>
                    </a:ln>
                  </pic:spPr>
                </pic:pic>
              </a:graphicData>
            </a:graphic>
          </wp:inline>
        </w:drawing>
      </w:r>
    </w:p>
    <w:p w:rsidR="00714B60" w:rsidRDefault="00BD509F" w:rsidP="00BD509F">
      <w:pPr>
        <w:pStyle w:val="Tabletitle"/>
        <w:rPr>
          <w:lang w:val="en-US"/>
        </w:rPr>
      </w:pPr>
      <w:r>
        <w:t xml:space="preserve">Table 14: </w:t>
      </w:r>
      <w:r w:rsidRPr="00C83476">
        <w:rPr>
          <w:lang w:val="en-US"/>
        </w:rPr>
        <w:t>Summary of Maximum Penile Rigidity</w:t>
      </w:r>
    </w:p>
    <w:p w:rsidR="00BD509F" w:rsidRPr="00C83476" w:rsidRDefault="00BD509F" w:rsidP="00BD509F">
      <w:r w:rsidRPr="00C83476">
        <w:rPr>
          <w:noProof/>
          <w:lang w:eastAsia="en-AU"/>
        </w:rPr>
        <w:drawing>
          <wp:inline distT="0" distB="0" distL="0" distR="0" wp14:anchorId="5B699179" wp14:editId="7BFEBF59">
            <wp:extent cx="4720977" cy="3067050"/>
            <wp:effectExtent l="0" t="0" r="3810" b="0"/>
            <wp:docPr id="115" name="Picture 115" descr="Table 14: Summary of Maximum Penile Rigid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bright="-20000" contrast="40000"/>
                      <a:extLst>
                        <a:ext uri="{28A0092B-C50C-407E-A947-70E740481C1C}">
                          <a14:useLocalDpi xmlns:a14="http://schemas.microsoft.com/office/drawing/2010/main" val="0"/>
                        </a:ext>
                      </a:extLst>
                    </a:blip>
                    <a:srcRect/>
                    <a:stretch>
                      <a:fillRect/>
                    </a:stretch>
                  </pic:blipFill>
                  <pic:spPr bwMode="auto">
                    <a:xfrm>
                      <a:off x="0" y="0"/>
                      <a:ext cx="4721030" cy="3067084"/>
                    </a:xfrm>
                    <a:prstGeom prst="rect">
                      <a:avLst/>
                    </a:prstGeom>
                    <a:noFill/>
                    <a:ln>
                      <a:noFill/>
                    </a:ln>
                  </pic:spPr>
                </pic:pic>
              </a:graphicData>
            </a:graphic>
          </wp:inline>
        </w:drawing>
      </w:r>
    </w:p>
    <w:p w:rsidR="005667BD" w:rsidRPr="001327D2" w:rsidRDefault="005667BD" w:rsidP="005667BD">
      <w:pPr>
        <w:pStyle w:val="ListBullet"/>
      </w:pPr>
      <w:r w:rsidRPr="005667BD">
        <w:t xml:space="preserve">Tumescent Activity Units - TAU (tip and base) increased with increasing dose up to the 200 mg dose level, with greater effect than </w:t>
      </w:r>
      <w:r w:rsidRPr="001327D2">
        <w:t>placebo at all dose levels and with similar effect to sildenafil at the 100 mg and 200 mg dose levels (</w:t>
      </w:r>
      <w:hyperlink w:anchor="Table_6_1_6" w:history="1">
        <w:r w:rsidRPr="001327D2">
          <w:t xml:space="preserve">Table </w:t>
        </w:r>
        <w:r w:rsidR="00BD509F" w:rsidRPr="001327D2">
          <w:t>15</w:t>
        </w:r>
      </w:hyperlink>
      <w:r w:rsidRPr="001327D2">
        <w:t xml:space="preserve"> and </w:t>
      </w:r>
      <w:hyperlink w:anchor="Table_6_1_7" w:history="1">
        <w:r w:rsidRPr="001327D2">
          <w:t xml:space="preserve">Table </w:t>
        </w:r>
        <w:r w:rsidR="00BD509F" w:rsidRPr="001327D2">
          <w:t>16</w:t>
        </w:r>
      </w:hyperlink>
      <w:r w:rsidRPr="001327D2">
        <w:t>).</w:t>
      </w:r>
    </w:p>
    <w:p w:rsidR="005667BD" w:rsidRPr="001327D2" w:rsidRDefault="005667BD" w:rsidP="005667BD">
      <w:pPr>
        <w:pStyle w:val="ListBullet"/>
      </w:pPr>
      <w:r w:rsidRPr="001327D2">
        <w:t>Rigidity Activity Units – RAU (tip and base) increased with increasing dose up to the 200 mg dose level, with greater effect than placebo at all dose levels and with similar effect to sildenafil at the 100 mg and 200 mg dose levels (</w:t>
      </w:r>
      <w:hyperlink w:anchor="Table_6_1_8" w:history="1">
        <w:r w:rsidRPr="001327D2">
          <w:t xml:space="preserve">Table </w:t>
        </w:r>
        <w:r w:rsidR="00BD509F" w:rsidRPr="001327D2">
          <w:t>17</w:t>
        </w:r>
      </w:hyperlink>
      <w:r w:rsidRPr="001327D2">
        <w:t xml:space="preserve"> and </w:t>
      </w:r>
      <w:hyperlink w:anchor="Table_6_1_9" w:history="1">
        <w:r w:rsidRPr="001327D2">
          <w:t xml:space="preserve">Table </w:t>
        </w:r>
        <w:r w:rsidR="00BD509F" w:rsidRPr="001327D2">
          <w:t>18</w:t>
        </w:r>
      </w:hyperlink>
      <w:r w:rsidRPr="001327D2">
        <w:t>).</w:t>
      </w:r>
    </w:p>
    <w:p w:rsidR="005667BD" w:rsidRPr="001327D2" w:rsidRDefault="005667BD" w:rsidP="005667BD">
      <w:pPr>
        <w:pStyle w:val="ListBullet"/>
      </w:pPr>
      <w:r w:rsidRPr="001327D2">
        <w:t xml:space="preserve">Responses to the 5-point Erection Assessment Scale (EAS) was greater than placebo and sildenafil at the 40 minute time point for all dose levels, with increasing effect with dose up </w:t>
      </w:r>
      <w:r w:rsidRPr="001327D2">
        <w:lastRenderedPageBreak/>
        <w:t>to the 200 mg dose level (</w:t>
      </w:r>
      <w:hyperlink w:anchor="Table_6_1_10" w:history="1">
        <w:r w:rsidRPr="001327D2">
          <w:t xml:space="preserve">Table </w:t>
        </w:r>
        <w:r w:rsidR="00BD509F" w:rsidRPr="001327D2">
          <w:t>19</w:t>
        </w:r>
      </w:hyperlink>
      <w:r w:rsidRPr="001327D2">
        <w:t>). There was similar effect for avanafil 200 mg and sildenafil 50 mg at the 80 minute and 120 minute time points.</w:t>
      </w:r>
    </w:p>
    <w:p w:rsidR="00714B60" w:rsidRDefault="00BD509F" w:rsidP="00BD509F">
      <w:pPr>
        <w:pStyle w:val="Tabletitle"/>
        <w:rPr>
          <w:lang w:val="en-US"/>
        </w:rPr>
      </w:pPr>
      <w:bookmarkStart w:id="172" w:name="Table_6_1_6"/>
      <w:r>
        <w:t>Table 15:</w:t>
      </w:r>
      <w:bookmarkEnd w:id="172"/>
      <w:r>
        <w:t xml:space="preserve"> </w:t>
      </w:r>
      <w:r w:rsidRPr="00C83476">
        <w:rPr>
          <w:lang w:val="en-US"/>
        </w:rPr>
        <w:t>Summary of Cumulative Tumescent Activity Units (TAU)</w:t>
      </w:r>
    </w:p>
    <w:p w:rsidR="00BD509F" w:rsidRPr="00C83476" w:rsidRDefault="00BD509F" w:rsidP="00BD509F">
      <w:r w:rsidRPr="00C83476">
        <w:rPr>
          <w:noProof/>
          <w:lang w:eastAsia="en-AU"/>
        </w:rPr>
        <w:drawing>
          <wp:inline distT="0" distB="0" distL="0" distR="0" wp14:anchorId="46E71490" wp14:editId="2A0CB513">
            <wp:extent cx="4673694" cy="2962275"/>
            <wp:effectExtent l="0" t="0" r="0" b="0"/>
            <wp:docPr id="116" name="Picture 116" descr="Table 15: Summary of Cumulative Tumescent Activity Units (T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lum bright="-20000" contrast="40000"/>
                      <a:extLst>
                        <a:ext uri="{28A0092B-C50C-407E-A947-70E740481C1C}">
                          <a14:useLocalDpi xmlns:a14="http://schemas.microsoft.com/office/drawing/2010/main" val="0"/>
                        </a:ext>
                      </a:extLst>
                    </a:blip>
                    <a:srcRect/>
                    <a:stretch>
                      <a:fillRect/>
                    </a:stretch>
                  </pic:blipFill>
                  <pic:spPr bwMode="auto">
                    <a:xfrm>
                      <a:off x="0" y="0"/>
                      <a:ext cx="4675482" cy="2963408"/>
                    </a:xfrm>
                    <a:prstGeom prst="rect">
                      <a:avLst/>
                    </a:prstGeom>
                    <a:noFill/>
                    <a:ln>
                      <a:noFill/>
                    </a:ln>
                  </pic:spPr>
                </pic:pic>
              </a:graphicData>
            </a:graphic>
          </wp:inline>
        </w:drawing>
      </w:r>
    </w:p>
    <w:p w:rsidR="00714B60" w:rsidRDefault="00BD509F" w:rsidP="00BD509F">
      <w:pPr>
        <w:pStyle w:val="Tabletitle"/>
        <w:rPr>
          <w:lang w:val="en-US"/>
        </w:rPr>
      </w:pPr>
      <w:bookmarkStart w:id="173" w:name="Table_6_1_7"/>
      <w:r>
        <w:t>Table 16:</w:t>
      </w:r>
      <w:bookmarkEnd w:id="173"/>
      <w:r>
        <w:t xml:space="preserve"> </w:t>
      </w:r>
      <w:r w:rsidRPr="00BD509F">
        <w:rPr>
          <w:lang w:val="en-US"/>
        </w:rPr>
        <w:t>Tumescent Activity Units (TAU) During each Post-dosing Time Window</w:t>
      </w:r>
    </w:p>
    <w:p w:rsidR="00BD509F" w:rsidRPr="00C83476" w:rsidRDefault="00BD509F" w:rsidP="00BD509F">
      <w:r w:rsidRPr="00C83476">
        <w:rPr>
          <w:noProof/>
          <w:lang w:eastAsia="en-AU"/>
        </w:rPr>
        <w:drawing>
          <wp:inline distT="0" distB="0" distL="0" distR="0" wp14:anchorId="3E606645" wp14:editId="134040EE">
            <wp:extent cx="4562475" cy="2979568"/>
            <wp:effectExtent l="0" t="0" r="0" b="0"/>
            <wp:docPr id="117" name="Picture 117" descr="Table 16: Tumescent Activity Units (TAU) During each Post-dosing Time Wi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lum bright="-20000" contrast="40000"/>
                      <a:extLst>
                        <a:ext uri="{28A0092B-C50C-407E-A947-70E740481C1C}">
                          <a14:useLocalDpi xmlns:a14="http://schemas.microsoft.com/office/drawing/2010/main" val="0"/>
                        </a:ext>
                      </a:extLst>
                    </a:blip>
                    <a:srcRect/>
                    <a:stretch>
                      <a:fillRect/>
                    </a:stretch>
                  </pic:blipFill>
                  <pic:spPr bwMode="auto">
                    <a:xfrm>
                      <a:off x="0" y="0"/>
                      <a:ext cx="4563779" cy="2980419"/>
                    </a:xfrm>
                    <a:prstGeom prst="rect">
                      <a:avLst/>
                    </a:prstGeom>
                    <a:noFill/>
                    <a:ln>
                      <a:noFill/>
                    </a:ln>
                  </pic:spPr>
                </pic:pic>
              </a:graphicData>
            </a:graphic>
          </wp:inline>
        </w:drawing>
      </w:r>
    </w:p>
    <w:p w:rsidR="00714B60" w:rsidRDefault="00BD509F" w:rsidP="00BD509F">
      <w:pPr>
        <w:pStyle w:val="Tabletitle"/>
        <w:rPr>
          <w:lang w:val="en-US"/>
        </w:rPr>
      </w:pPr>
      <w:bookmarkStart w:id="174" w:name="Table_6_1_8"/>
      <w:r>
        <w:lastRenderedPageBreak/>
        <w:t>Table 17:</w:t>
      </w:r>
      <w:bookmarkEnd w:id="174"/>
      <w:r>
        <w:t xml:space="preserve"> </w:t>
      </w:r>
      <w:r w:rsidRPr="00C83476">
        <w:rPr>
          <w:lang w:val="en-US"/>
        </w:rPr>
        <w:t>Summary of Cumulative Rigidity Activity Units (RAU)</w:t>
      </w:r>
    </w:p>
    <w:p w:rsidR="00BD509F" w:rsidRPr="00C83476" w:rsidRDefault="00BD509F" w:rsidP="00BD509F">
      <w:r w:rsidRPr="00C83476">
        <w:rPr>
          <w:noProof/>
          <w:lang w:eastAsia="en-AU"/>
        </w:rPr>
        <w:drawing>
          <wp:inline distT="0" distB="0" distL="0" distR="0" wp14:anchorId="79D82B9A" wp14:editId="750DB924">
            <wp:extent cx="5199257" cy="3324225"/>
            <wp:effectExtent l="0" t="0" r="1905" b="0"/>
            <wp:docPr id="118" name="Picture 118" descr="Table 17: Summary of Cumulative Rigidity Activity Units (R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5198142" cy="3323512"/>
                    </a:xfrm>
                    <a:prstGeom prst="rect">
                      <a:avLst/>
                    </a:prstGeom>
                  </pic:spPr>
                </pic:pic>
              </a:graphicData>
            </a:graphic>
          </wp:inline>
        </w:drawing>
      </w:r>
    </w:p>
    <w:p w:rsidR="00714B60" w:rsidRDefault="00BD509F" w:rsidP="00BD509F">
      <w:pPr>
        <w:pStyle w:val="Tabletitle"/>
        <w:rPr>
          <w:lang w:val="en-US"/>
        </w:rPr>
      </w:pPr>
      <w:bookmarkStart w:id="175" w:name="Table_6_1_9"/>
      <w:r>
        <w:t>Table 18:</w:t>
      </w:r>
      <w:bookmarkEnd w:id="175"/>
      <w:r>
        <w:t xml:space="preserve"> </w:t>
      </w:r>
      <w:r w:rsidRPr="00C83476">
        <w:rPr>
          <w:lang w:val="en-US"/>
        </w:rPr>
        <w:t>Rigidity Activity Units (RAU) During each Post-dosing Time Window</w:t>
      </w:r>
    </w:p>
    <w:p w:rsidR="00BD509F" w:rsidRPr="00C83476" w:rsidRDefault="00BD509F" w:rsidP="00BD509F">
      <w:r w:rsidRPr="00C83476">
        <w:rPr>
          <w:noProof/>
          <w:lang w:eastAsia="en-AU"/>
        </w:rPr>
        <w:drawing>
          <wp:inline distT="0" distB="0" distL="0" distR="0" wp14:anchorId="0FB9A66F" wp14:editId="6032BC3A">
            <wp:extent cx="5126347" cy="3314700"/>
            <wp:effectExtent l="0" t="0" r="0" b="0"/>
            <wp:docPr id="119" name="Picture 119" descr="Table 18: Rigidity Activity Units (RAU) During each Post-dosing Time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7615" cy="3315520"/>
                    </a:xfrm>
                    <a:prstGeom prst="rect">
                      <a:avLst/>
                    </a:prstGeom>
                    <a:noFill/>
                    <a:ln>
                      <a:noFill/>
                    </a:ln>
                  </pic:spPr>
                </pic:pic>
              </a:graphicData>
            </a:graphic>
          </wp:inline>
        </w:drawing>
      </w:r>
    </w:p>
    <w:p w:rsidR="00BD509F" w:rsidRPr="00C83476" w:rsidRDefault="00F91E09" w:rsidP="00F91E09">
      <w:pPr>
        <w:pStyle w:val="Tabletitle"/>
      </w:pPr>
      <w:bookmarkStart w:id="176" w:name="Table_6_1_10"/>
      <w:r>
        <w:lastRenderedPageBreak/>
        <w:t>Table 19:</w:t>
      </w:r>
      <w:bookmarkEnd w:id="176"/>
      <w:r>
        <w:t xml:space="preserve"> </w:t>
      </w:r>
      <w:r w:rsidR="00BD509F" w:rsidRPr="00C83476">
        <w:rPr>
          <w:lang w:val="en-US"/>
        </w:rPr>
        <w:t>Erection Assessment Scale: Number (%) of Subjects with EAS Ratings of ≥ 3 (Full Penile Enlargement) or ≥ 4 (Erection Sufficient for Intercourse) at the Completion of Each Post-</w:t>
      </w:r>
      <w:r>
        <w:rPr>
          <w:lang w:val="en-US"/>
        </w:rPr>
        <w:t>dosing Time Window</w:t>
      </w:r>
    </w:p>
    <w:p w:rsidR="00BD509F" w:rsidRPr="00C83476" w:rsidRDefault="00BD509F" w:rsidP="00F91E09">
      <w:r w:rsidRPr="00C83476">
        <w:rPr>
          <w:noProof/>
          <w:lang w:eastAsia="en-AU"/>
        </w:rPr>
        <w:drawing>
          <wp:inline distT="0" distB="0" distL="0" distR="0" wp14:anchorId="156BD6FD" wp14:editId="65235A2F">
            <wp:extent cx="5217775" cy="3095625"/>
            <wp:effectExtent l="0" t="0" r="2540" b="0"/>
            <wp:docPr id="120" name="Picture 120" descr="Table 19: Erection Assessment Scale: Number (%) of Subjects with EAS Ratings of ≥ 3 (Full Penile Enlargement) or ≥ 4 (Erection Sufficient for Intercourse) at the Completion of Each Post-dosing Tim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lum bright="-20000" contrast="40000"/>
                      <a:extLst>
                        <a:ext uri="{28A0092B-C50C-407E-A947-70E740481C1C}">
                          <a14:useLocalDpi xmlns:a14="http://schemas.microsoft.com/office/drawing/2010/main" val="0"/>
                        </a:ext>
                      </a:extLst>
                    </a:blip>
                    <a:srcRect/>
                    <a:stretch>
                      <a:fillRect/>
                    </a:stretch>
                  </pic:blipFill>
                  <pic:spPr bwMode="auto">
                    <a:xfrm>
                      <a:off x="0" y="0"/>
                      <a:ext cx="5216981" cy="3095154"/>
                    </a:xfrm>
                    <a:prstGeom prst="rect">
                      <a:avLst/>
                    </a:prstGeom>
                    <a:noFill/>
                    <a:ln>
                      <a:noFill/>
                    </a:ln>
                  </pic:spPr>
                </pic:pic>
              </a:graphicData>
            </a:graphic>
          </wp:inline>
        </w:drawing>
      </w:r>
    </w:p>
    <w:p w:rsidR="005667BD" w:rsidRPr="005667BD" w:rsidRDefault="005667BD" w:rsidP="005667BD">
      <w:pPr>
        <w:pStyle w:val="Heading3"/>
      </w:pPr>
      <w:bookmarkStart w:id="177" w:name="_Study_TA-03"/>
      <w:bookmarkStart w:id="178" w:name="_Toc422725499"/>
      <w:bookmarkStart w:id="179" w:name="_Toc466365784"/>
      <w:bookmarkEnd w:id="177"/>
      <w:r w:rsidRPr="005667BD">
        <w:t>Study TA-03</w:t>
      </w:r>
      <w:bookmarkEnd w:id="178"/>
      <w:bookmarkEnd w:id="179"/>
    </w:p>
    <w:p w:rsidR="005667BD" w:rsidRDefault="005667BD" w:rsidP="005667BD">
      <w:r w:rsidRPr="005667BD">
        <w:t>Study TA-03 (Module 5, Section 5.3.5.1) was a double blind, randomised, three-way crossover study to evaluate efficacy, onset of effect and duration of effect of avanafil 200 mg at home in subject with mild to moderate ED</w:t>
      </w:r>
      <w:r>
        <w:t xml:space="preserve">. </w:t>
      </w:r>
      <w:r w:rsidRPr="005667BD">
        <w:t>The study was conducted at 3 centres in the US f</w:t>
      </w:r>
      <w:r>
        <w:t xml:space="preserve">rom July 2003 to January 2004. </w:t>
      </w:r>
      <w:r w:rsidRPr="005667BD">
        <w:t>The study included males,</w:t>
      </w:r>
      <w:r>
        <w:t xml:space="preserve"> 35 to 70 years of age, with a ≥ </w:t>
      </w:r>
      <w:r w:rsidRPr="005667BD">
        <w:t>3-month history of unsatisfactory sexual intercourse due to mild to moderate ED; in a monogamous,</w:t>
      </w:r>
      <w:r>
        <w:t xml:space="preserve"> heterosexual relationship for ≥</w:t>
      </w:r>
      <w:r w:rsidRPr="005667BD">
        <w:t xml:space="preserve"> 3 months; not using androgen therapy that had not been stable for 3 months; with no history of chronic high or low blood pressure defined as &lt;</w:t>
      </w:r>
      <w:r>
        <w:t xml:space="preserve"> </w:t>
      </w:r>
      <w:r w:rsidRPr="005667BD">
        <w:t>90/50 or &gt;</w:t>
      </w:r>
      <w:r>
        <w:t xml:space="preserve"> </w:t>
      </w:r>
      <w:r w:rsidRPr="005667BD">
        <w:t>170/100 mmHg or recent stroke, myocardial infarction, or life-threatening arrhythmia; and with no significant medical condition or social problem that would interfere with study evaluations or otherwise contraindicate study participation.</w:t>
      </w:r>
      <w:r>
        <w:t xml:space="preserve"> </w:t>
      </w:r>
      <w:r w:rsidRPr="005667BD">
        <w:t xml:space="preserve">The study treatments were 6 individual doses of each of avanafil 200 mg 5 to 10 minutes prior to </w:t>
      </w:r>
      <w:r w:rsidRPr="001327D2">
        <w:t>intercourse, avanafil 200 mg 2 hours prior to intercourse, and sildenafil 5 to 10 minutes prior to intercourse. There were no significant differences between the treatments in penetration success rate (</w:t>
      </w:r>
      <w:hyperlink w:anchor="Table_6_2_1" w:history="1">
        <w:r w:rsidR="00F91E09" w:rsidRPr="001327D2">
          <w:t>Table 20</w:t>
        </w:r>
      </w:hyperlink>
      <w:r w:rsidRPr="001327D2">
        <w:t>). Intercourse success rate was lower with avanafil at 5 to 10 minutes compared to the other two treatments. There was no significant difference between the treatments in time from dosing to achieving erection sufficient for intercourse. There was no significant difference between the</w:t>
      </w:r>
      <w:r w:rsidRPr="005667BD">
        <w:t xml:space="preserve"> groups in the Global Assessment Questionnaire or the Erectile Function Domain score.</w:t>
      </w:r>
    </w:p>
    <w:p w:rsidR="00714B60" w:rsidRDefault="00F91E09" w:rsidP="00F91E09">
      <w:pPr>
        <w:pStyle w:val="Tabletitle"/>
        <w:rPr>
          <w:lang w:val="en-US"/>
        </w:rPr>
      </w:pPr>
      <w:r>
        <w:rPr>
          <w:lang w:val="en-US"/>
        </w:rPr>
        <w:lastRenderedPageBreak/>
        <w:t xml:space="preserve">Table 20: </w:t>
      </w:r>
      <w:r w:rsidRPr="00C83476">
        <w:rPr>
          <w:lang w:val="en-US"/>
        </w:rPr>
        <w:t>Penetration Success Rate, Intercourse Success Rate, and Time from Dosing to Achieving an Erection Sufficient for Intercourse (EE Population)</w:t>
      </w:r>
    </w:p>
    <w:p w:rsidR="00F91E09" w:rsidRPr="005667BD" w:rsidRDefault="00F91E09" w:rsidP="005667BD">
      <w:r w:rsidRPr="00C83476">
        <w:rPr>
          <w:rFonts w:ascii="Times New Roman" w:hAnsi="Times New Roman"/>
          <w:noProof/>
          <w:sz w:val="24"/>
          <w:lang w:eastAsia="en-AU"/>
        </w:rPr>
        <w:drawing>
          <wp:inline distT="0" distB="0" distL="0" distR="0" wp14:anchorId="6A8F6AC1" wp14:editId="1AFF68EC">
            <wp:extent cx="4610100" cy="3920660"/>
            <wp:effectExtent l="0" t="0" r="0" b="3810"/>
            <wp:docPr id="121" name="Picture 121" descr="Table 20: Penetration Success Rate, Intercourse Success Rate, and Time from Dosing to Achieving an Erection Sufficient for Intercourse (E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lum bright="-20000" contrast="40000"/>
                      <a:extLst>
                        <a:ext uri="{28A0092B-C50C-407E-A947-70E740481C1C}">
                          <a14:useLocalDpi xmlns:a14="http://schemas.microsoft.com/office/drawing/2010/main" val="0"/>
                        </a:ext>
                      </a:extLst>
                    </a:blip>
                    <a:srcRect/>
                    <a:stretch>
                      <a:fillRect/>
                    </a:stretch>
                  </pic:blipFill>
                  <pic:spPr bwMode="auto">
                    <a:xfrm>
                      <a:off x="0" y="0"/>
                      <a:ext cx="4608058" cy="3918924"/>
                    </a:xfrm>
                    <a:prstGeom prst="rect">
                      <a:avLst/>
                    </a:prstGeom>
                    <a:noFill/>
                    <a:ln>
                      <a:noFill/>
                    </a:ln>
                  </pic:spPr>
                </pic:pic>
              </a:graphicData>
            </a:graphic>
          </wp:inline>
        </w:drawing>
      </w:r>
    </w:p>
    <w:p w:rsidR="005667BD" w:rsidRPr="005667BD" w:rsidRDefault="005667BD" w:rsidP="005667BD">
      <w:pPr>
        <w:pStyle w:val="Heading3"/>
      </w:pPr>
      <w:bookmarkStart w:id="180" w:name="_Study_TA-05"/>
      <w:bookmarkStart w:id="181" w:name="_Toc422725500"/>
      <w:bookmarkStart w:id="182" w:name="_Toc466365785"/>
      <w:bookmarkEnd w:id="180"/>
      <w:r w:rsidRPr="005667BD">
        <w:t>Study TA-05</w:t>
      </w:r>
      <w:bookmarkEnd w:id="181"/>
      <w:bookmarkEnd w:id="182"/>
    </w:p>
    <w:p w:rsidR="005667BD" w:rsidRPr="005667BD" w:rsidRDefault="005667BD" w:rsidP="005667BD">
      <w:r w:rsidRPr="005667BD">
        <w:t>Study TA-05</w:t>
      </w:r>
      <w:r w:rsidR="00F91E09">
        <w:t xml:space="preserve"> </w:t>
      </w:r>
      <w:r w:rsidRPr="005667BD">
        <w:t>was a double blind, randomised, parallel group, dose finding study to evaluate the safety and efficacy of avanafil for the treatment of mild to moderate ED.</w:t>
      </w:r>
      <w:r>
        <w:t xml:space="preserve"> </w:t>
      </w:r>
      <w:r w:rsidRPr="005667BD">
        <w:t>The study was conducted at 22 centres in the US from April 2004 to May 2005</w:t>
      </w:r>
      <w:r>
        <w:t xml:space="preserve">. </w:t>
      </w:r>
      <w:r w:rsidRPr="005667BD">
        <w:t>The study included Males</w:t>
      </w:r>
      <w:r>
        <w:t xml:space="preserve"> 35 to 70 years of age, with a ≥ </w:t>
      </w:r>
      <w:r w:rsidRPr="005667BD">
        <w:t>6-month history of mild to moderate ED that did not result from spinal cord injury, diabetes, or radical prostatectomy; in a monogamous, heterosexual relationship for the 3 months; with no history of chronic blood pressure &lt;</w:t>
      </w:r>
      <w:r>
        <w:t xml:space="preserve"> </w:t>
      </w:r>
      <w:r w:rsidRPr="005667BD">
        <w:t>90/50 or &gt;</w:t>
      </w:r>
      <w:r>
        <w:t xml:space="preserve"> </w:t>
      </w:r>
      <w:r w:rsidRPr="005667BD">
        <w:t>170/100 mmHg or recent stroke, myocardial infarction, or life-threatening arrhythmia; and with no significant medical condition or social problem that would interfere with study evaluations or otherwise contraindicate study participation</w:t>
      </w:r>
      <w:r>
        <w:t xml:space="preserve">. </w:t>
      </w:r>
      <w:r w:rsidRPr="005667BD">
        <w:t>The study treatments were: avanafil 50 mg, avanafil 100 mg, avanafil 200 mg, avana</w:t>
      </w:r>
      <w:r>
        <w:t xml:space="preserve">fil 300 mg and placebo. </w:t>
      </w:r>
      <w:r w:rsidRPr="005667BD">
        <w:t>At least 6 doses of study drug to be taken 30 minutes prior to initiating sexual activity</w:t>
      </w:r>
      <w:r>
        <w:t xml:space="preserve"> over a 12 week period. </w:t>
      </w:r>
      <w:r w:rsidRPr="005667BD">
        <w:t>Subjects were randomised to treatment group</w:t>
      </w:r>
      <w:r>
        <w:t xml:space="preserve">. </w:t>
      </w:r>
      <w:r w:rsidRPr="005667BD">
        <w:t>The outcome measures were: successful penetration, successful intercourse, and the Erectile Function Domain score (EFS) from the IIEF Questionnaire.</w:t>
      </w:r>
    </w:p>
    <w:p w:rsidR="005667BD" w:rsidRPr="005667BD" w:rsidRDefault="005667BD" w:rsidP="005667BD">
      <w:r w:rsidRPr="005667BD">
        <w:t xml:space="preserve">A total of 460 subjects were screened, 371 entered run-in period, and 295 were randomised: 57 to 50 mg, 61 to 100 mg, 59 to 200 mg, </w:t>
      </w:r>
      <w:r>
        <w:t>59 to 300 mg and 59 to placebo.</w:t>
      </w:r>
      <w:r w:rsidRPr="005667BD">
        <w:t xml:space="preserve"> Of the randomised subjects 284 (96.3%) we</w:t>
      </w:r>
      <w:r>
        <w:t xml:space="preserve">re included in ITT population. </w:t>
      </w:r>
      <w:r w:rsidRPr="005667BD">
        <w:t>The age range was 32 to 70 years, 243 (85.6%) were Caucasian and 29 (10.2%) were Black; for 36 (65.5%) the ED was of organic aetiology, four (7.3%) psycho</w:t>
      </w:r>
      <w:r>
        <w:t xml:space="preserve">logical, and 15 (27.3%) mixed. </w:t>
      </w:r>
      <w:r w:rsidRPr="005667BD">
        <w:t>There was a higher proportion of subjects with mixed aetiology in the 100 mg and 200 mg groups.</w:t>
      </w:r>
      <w:r>
        <w:t xml:space="preserve"> </w:t>
      </w:r>
      <w:r w:rsidRPr="005667BD">
        <w:t>Erectile Function Domain scores were similar at baseline and end of run-in.</w:t>
      </w:r>
    </w:p>
    <w:p w:rsidR="00714B60" w:rsidRDefault="005667BD" w:rsidP="005667BD">
      <w:r w:rsidRPr="005667BD">
        <w:t xml:space="preserve">Penetration success rate increased with increasing </w:t>
      </w:r>
      <w:r w:rsidRPr="001327D2">
        <w:t>dose, and was statistically significant compared with placebo at the 100 mg and 300 mg dose levels (</w:t>
      </w:r>
      <w:hyperlink w:anchor="Table_6_3_3" w:history="1">
        <w:r w:rsidRPr="001327D2">
          <w:t xml:space="preserve">Table </w:t>
        </w:r>
      </w:hyperlink>
      <w:r w:rsidR="00F91E09" w:rsidRPr="001327D2">
        <w:t>21</w:t>
      </w:r>
      <w:r w:rsidRPr="001327D2">
        <w:t>).</w:t>
      </w:r>
    </w:p>
    <w:p w:rsidR="00714B60" w:rsidRDefault="00F91E09" w:rsidP="00F91E09">
      <w:pPr>
        <w:pStyle w:val="Tabletitle"/>
        <w:rPr>
          <w:lang w:val="en-US"/>
        </w:rPr>
      </w:pPr>
      <w:bookmarkStart w:id="183" w:name="Table_6_3_3"/>
      <w:r>
        <w:lastRenderedPageBreak/>
        <w:t>Table 21:</w:t>
      </w:r>
      <w:bookmarkEnd w:id="183"/>
      <w:r>
        <w:t xml:space="preserve"> </w:t>
      </w:r>
      <w:r w:rsidRPr="00C83476">
        <w:rPr>
          <w:lang w:val="en-US"/>
        </w:rPr>
        <w:t>Penetration Success Rate and Intercourse Success Rate (ITT Population)</w:t>
      </w:r>
    </w:p>
    <w:p w:rsidR="00F91E09" w:rsidRPr="00C83476" w:rsidRDefault="00F91E09" w:rsidP="00F91E09">
      <w:pPr>
        <w:rPr>
          <w:rFonts w:ascii="Times New Roman" w:hAnsi="Times New Roman"/>
          <w:sz w:val="24"/>
        </w:rPr>
      </w:pPr>
      <w:r w:rsidRPr="00C83476">
        <w:rPr>
          <w:rFonts w:ascii="Times New Roman" w:hAnsi="Times New Roman"/>
          <w:noProof/>
          <w:sz w:val="24"/>
          <w:lang w:eastAsia="en-AU"/>
        </w:rPr>
        <w:drawing>
          <wp:inline distT="0" distB="0" distL="0" distR="0" wp14:anchorId="2023C0BB" wp14:editId="16A5930A">
            <wp:extent cx="4965957" cy="4724400"/>
            <wp:effectExtent l="0" t="0" r="6350" b="0"/>
            <wp:docPr id="130" name="Picture 130" descr="Table 21: Penetration Success Rate and Intercourse Success Rate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lum bright="-20000" contrast="40000"/>
                      <a:extLst>
                        <a:ext uri="{28A0092B-C50C-407E-A947-70E740481C1C}">
                          <a14:useLocalDpi xmlns:a14="http://schemas.microsoft.com/office/drawing/2010/main" val="0"/>
                        </a:ext>
                      </a:extLst>
                    </a:blip>
                    <a:srcRect/>
                    <a:stretch>
                      <a:fillRect/>
                    </a:stretch>
                  </pic:blipFill>
                  <pic:spPr bwMode="auto">
                    <a:xfrm>
                      <a:off x="0" y="0"/>
                      <a:ext cx="4964892" cy="4723387"/>
                    </a:xfrm>
                    <a:prstGeom prst="rect">
                      <a:avLst/>
                    </a:prstGeom>
                    <a:noFill/>
                    <a:ln>
                      <a:noFill/>
                    </a:ln>
                  </pic:spPr>
                </pic:pic>
              </a:graphicData>
            </a:graphic>
          </wp:inline>
        </w:drawing>
      </w:r>
    </w:p>
    <w:p w:rsidR="00714B60" w:rsidRDefault="005667BD" w:rsidP="005667BD">
      <w:r w:rsidRPr="005667BD">
        <w:t>Intercourse success rate also increased with dose up to the 300 mg dose level, and was significantly greater th</w:t>
      </w:r>
      <w:r>
        <w:t xml:space="preserve">an placebo at all dose levels. </w:t>
      </w:r>
      <w:r w:rsidRPr="005667BD">
        <w:t xml:space="preserve">There was an improvement in Overall Erectile Function Domain score relative to placebo at all dose levels, but there was a plateau in effect from the 100 mg </w:t>
      </w:r>
      <w:r w:rsidRPr="001327D2">
        <w:t>dose level (</w:t>
      </w:r>
      <w:hyperlink w:anchor="Table_6_3_4" w:history="1">
        <w:r w:rsidRPr="001327D2">
          <w:t xml:space="preserve">Table </w:t>
        </w:r>
        <w:r w:rsidR="00F91E09" w:rsidRPr="001327D2">
          <w:t>22</w:t>
        </w:r>
      </w:hyperlink>
      <w:r w:rsidRPr="001327D2">
        <w:t>).</w:t>
      </w:r>
    </w:p>
    <w:p w:rsidR="00F91E09" w:rsidRPr="00C83476" w:rsidRDefault="00F91E09" w:rsidP="00F91E09">
      <w:pPr>
        <w:pStyle w:val="Tabletitle"/>
      </w:pPr>
      <w:bookmarkStart w:id="184" w:name="Table_6_3_4"/>
      <w:r>
        <w:lastRenderedPageBreak/>
        <w:t>Table 22:</w:t>
      </w:r>
      <w:bookmarkEnd w:id="184"/>
      <w:r>
        <w:t xml:space="preserve"> </w:t>
      </w:r>
      <w:r w:rsidRPr="00C83476">
        <w:rPr>
          <w:lang w:val="en-US"/>
        </w:rPr>
        <w:t>Overall Erectile Functio</w:t>
      </w:r>
      <w:r>
        <w:rPr>
          <w:lang w:val="en-US"/>
        </w:rPr>
        <w:t>n Domain Score (ITT Population)</w:t>
      </w:r>
    </w:p>
    <w:p w:rsidR="00F91E09" w:rsidRPr="00C83476" w:rsidRDefault="00F91E09" w:rsidP="00F91E09">
      <w:pPr>
        <w:rPr>
          <w:rFonts w:ascii="Times New Roman" w:hAnsi="Times New Roman"/>
          <w:sz w:val="24"/>
        </w:rPr>
      </w:pPr>
      <w:r w:rsidRPr="00C83476">
        <w:rPr>
          <w:rFonts w:ascii="Times New Roman" w:hAnsi="Times New Roman"/>
          <w:noProof/>
          <w:sz w:val="24"/>
          <w:lang w:eastAsia="en-AU"/>
        </w:rPr>
        <w:drawing>
          <wp:inline distT="0" distB="0" distL="0" distR="0" wp14:anchorId="40B1D94A" wp14:editId="01E9C833">
            <wp:extent cx="5065080" cy="3305175"/>
            <wp:effectExtent l="0" t="0" r="2540" b="0"/>
            <wp:docPr id="131" name="Picture 131" descr="Table 22: Overall Erectile Function Domain Scor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lum bright="-20000" contrast="40000"/>
                      <a:extLst>
                        <a:ext uri="{28A0092B-C50C-407E-A947-70E740481C1C}">
                          <a14:useLocalDpi xmlns:a14="http://schemas.microsoft.com/office/drawing/2010/main" val="0"/>
                        </a:ext>
                      </a:extLst>
                    </a:blip>
                    <a:srcRect/>
                    <a:stretch>
                      <a:fillRect/>
                    </a:stretch>
                  </pic:blipFill>
                  <pic:spPr bwMode="auto">
                    <a:xfrm>
                      <a:off x="0" y="0"/>
                      <a:ext cx="5063994" cy="3304466"/>
                    </a:xfrm>
                    <a:prstGeom prst="rect">
                      <a:avLst/>
                    </a:prstGeom>
                    <a:noFill/>
                    <a:ln>
                      <a:noFill/>
                    </a:ln>
                  </pic:spPr>
                </pic:pic>
              </a:graphicData>
            </a:graphic>
          </wp:inline>
        </w:drawing>
      </w:r>
    </w:p>
    <w:p w:rsidR="005667BD" w:rsidRDefault="005667BD" w:rsidP="005667BD">
      <w:r w:rsidRPr="005667BD">
        <w:t xml:space="preserve">There were </w:t>
      </w:r>
      <w:r w:rsidRPr="001327D2">
        <w:t>similar improvements in: percent of erections that achieved some enlargement, percent of times satisfied with erection and percent of times satisfied with sexual experience (</w:t>
      </w:r>
      <w:hyperlink w:anchor="Table_6_3_5" w:history="1">
        <w:r w:rsidRPr="001327D2">
          <w:t xml:space="preserve">Table </w:t>
        </w:r>
        <w:r w:rsidR="00F91E09" w:rsidRPr="001327D2">
          <w:t>23</w:t>
        </w:r>
      </w:hyperlink>
      <w:r w:rsidRPr="001327D2">
        <w:t>). There were improvements in the Erectile Function Scores from the IIEF Questionnaire, for all the dose levels, that appeared to plateau at the 100 mg dose level (</w:t>
      </w:r>
      <w:hyperlink w:anchor="Table_6_3_6" w:history="1">
        <w:r w:rsidRPr="001327D2">
          <w:t xml:space="preserve">Table </w:t>
        </w:r>
        <w:r w:rsidR="00F91E09" w:rsidRPr="001327D2">
          <w:t>24</w:t>
        </w:r>
      </w:hyperlink>
      <w:r w:rsidRPr="001327D2">
        <w:t>). The Global Assessment Question responses improved with increasing dose, and were significantly improved compared to placebo at all dose levels (</w:t>
      </w:r>
      <w:hyperlink w:anchor="Table_6_3_7" w:history="1">
        <w:r w:rsidRPr="001327D2">
          <w:t xml:space="preserve">Table </w:t>
        </w:r>
        <w:r w:rsidR="00F91E09" w:rsidRPr="001327D2">
          <w:t>25</w:t>
        </w:r>
      </w:hyperlink>
      <w:r w:rsidRPr="001327D2">
        <w:t>).</w:t>
      </w:r>
    </w:p>
    <w:bookmarkStart w:id="185" w:name="Table_6_3_5"/>
    <w:p w:rsidR="00714B60" w:rsidRDefault="00F91E09" w:rsidP="00F91E09">
      <w:pPr>
        <w:pStyle w:val="Tabletitle"/>
      </w:pPr>
      <w:r w:rsidRPr="00F91E09">
        <w:fldChar w:fldCharType="begin"/>
      </w:r>
      <w:r w:rsidRPr="00F91E09">
        <w:instrText xml:space="preserve"> HYPERLINK  \l "_Study_TA-05" </w:instrText>
      </w:r>
      <w:r w:rsidRPr="00F91E09">
        <w:fldChar w:fldCharType="separate"/>
      </w:r>
      <w:r w:rsidRPr="00F91E09">
        <w:rPr>
          <w:rStyle w:val="Hyperlink"/>
          <w:color w:val="auto"/>
          <w:u w:val="none"/>
        </w:rPr>
        <w:t>Table 23</w:t>
      </w:r>
      <w:bookmarkEnd w:id="185"/>
      <w:r w:rsidRPr="00F91E09">
        <w:fldChar w:fldCharType="end"/>
      </w:r>
      <w:r w:rsidRPr="00F91E09">
        <w:t>: Summary of Secondary Subject Diary Parameters During the Treatment Period (ITT Population)</w:t>
      </w:r>
    </w:p>
    <w:p w:rsidR="00F91E09" w:rsidRPr="00C83476" w:rsidRDefault="00F91E09" w:rsidP="00F91E09">
      <w:pPr>
        <w:rPr>
          <w:rFonts w:ascii="Times New Roman" w:hAnsi="Times New Roman"/>
          <w:sz w:val="24"/>
        </w:rPr>
      </w:pPr>
      <w:r w:rsidRPr="00C83476">
        <w:rPr>
          <w:rFonts w:ascii="Times New Roman" w:hAnsi="Times New Roman"/>
          <w:noProof/>
          <w:sz w:val="24"/>
          <w:lang w:eastAsia="en-AU"/>
        </w:rPr>
        <w:drawing>
          <wp:inline distT="0" distB="0" distL="0" distR="0" wp14:anchorId="12880DE8" wp14:editId="088A2BBE">
            <wp:extent cx="4643538" cy="2933700"/>
            <wp:effectExtent l="0" t="0" r="5080" b="0"/>
            <wp:docPr id="132" name="Picture 132" descr="Table 23: Summary of Secondary Subject Diary Parameters During the Treatment Period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lum bright="-20000" contrast="40000"/>
                      <a:extLst>
                        <a:ext uri="{28A0092B-C50C-407E-A947-70E740481C1C}">
                          <a14:useLocalDpi xmlns:a14="http://schemas.microsoft.com/office/drawing/2010/main" val="0"/>
                        </a:ext>
                      </a:extLst>
                    </a:blip>
                    <a:srcRect/>
                    <a:stretch>
                      <a:fillRect/>
                    </a:stretch>
                  </pic:blipFill>
                  <pic:spPr bwMode="auto">
                    <a:xfrm>
                      <a:off x="0" y="0"/>
                      <a:ext cx="4642543" cy="2933071"/>
                    </a:xfrm>
                    <a:prstGeom prst="rect">
                      <a:avLst/>
                    </a:prstGeom>
                    <a:noFill/>
                    <a:ln>
                      <a:noFill/>
                    </a:ln>
                  </pic:spPr>
                </pic:pic>
              </a:graphicData>
            </a:graphic>
          </wp:inline>
        </w:drawing>
      </w:r>
    </w:p>
    <w:p w:rsidR="00714B60" w:rsidRDefault="00F91E09" w:rsidP="00F91E09">
      <w:pPr>
        <w:pStyle w:val="Tabletitle"/>
        <w:rPr>
          <w:lang w:val="en-US"/>
        </w:rPr>
      </w:pPr>
      <w:bookmarkStart w:id="186" w:name="Table_6_3_6"/>
      <w:r>
        <w:lastRenderedPageBreak/>
        <w:t>Table 24:</w:t>
      </w:r>
      <w:bookmarkEnd w:id="186"/>
      <w:r>
        <w:t xml:space="preserve"> </w:t>
      </w:r>
      <w:r w:rsidRPr="00C83476">
        <w:rPr>
          <w:lang w:val="en-US"/>
        </w:rPr>
        <w:t>Erectile Function Scores from IIEF Questionnaire: Change From Baseline (Run-in) Pairwise P-value vs. Placebo (ITT Population)</w:t>
      </w:r>
    </w:p>
    <w:p w:rsidR="00F91E09" w:rsidRDefault="00F91E09" w:rsidP="00F91E09">
      <w:pPr>
        <w:rPr>
          <w:rFonts w:ascii="Times New Roman" w:hAnsi="Times New Roman"/>
          <w:sz w:val="24"/>
        </w:rPr>
      </w:pPr>
      <w:r w:rsidRPr="00C83476">
        <w:rPr>
          <w:rFonts w:ascii="Times New Roman" w:hAnsi="Times New Roman"/>
          <w:noProof/>
          <w:sz w:val="24"/>
          <w:lang w:eastAsia="en-AU"/>
        </w:rPr>
        <w:drawing>
          <wp:inline distT="0" distB="0" distL="0" distR="0" wp14:anchorId="74FF0228" wp14:editId="7602B43C">
            <wp:extent cx="4895850" cy="5401812"/>
            <wp:effectExtent l="0" t="0" r="0" b="8890"/>
            <wp:docPr id="135" name="Picture 135" descr="Table 24: Erectile Function Scores from IIEF Questionnaire: Change From Baseline (Run-in) Pairwise P-value vs. Placebo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01114" cy="5407620"/>
                    </a:xfrm>
                    <a:prstGeom prst="rect">
                      <a:avLst/>
                    </a:prstGeom>
                  </pic:spPr>
                </pic:pic>
              </a:graphicData>
            </a:graphic>
          </wp:inline>
        </w:drawing>
      </w:r>
    </w:p>
    <w:p w:rsidR="00F91E09" w:rsidRPr="00C83476" w:rsidRDefault="00F91E09" w:rsidP="00F91E09">
      <w:pPr>
        <w:pStyle w:val="Tabletitle"/>
      </w:pPr>
      <w:bookmarkStart w:id="187" w:name="Table_6_3_7"/>
      <w:r>
        <w:t>Table 25:</w:t>
      </w:r>
      <w:bookmarkEnd w:id="187"/>
      <w:r>
        <w:t xml:space="preserve"> </w:t>
      </w:r>
      <w:r w:rsidRPr="00C83476">
        <w:rPr>
          <w:lang w:val="en-US"/>
        </w:rPr>
        <w:t xml:space="preserve">Global Assessment Question (ITT Population) </w:t>
      </w:r>
      <w:r w:rsidRPr="00C83476">
        <w:rPr>
          <w:noProof/>
          <w:lang w:eastAsia="en-AU"/>
        </w:rPr>
        <w:drawing>
          <wp:inline distT="0" distB="0" distL="0" distR="0" wp14:anchorId="60C95DCD" wp14:editId="282072FE">
            <wp:extent cx="5010150" cy="1369871"/>
            <wp:effectExtent l="0" t="0" r="0" b="1905"/>
            <wp:docPr id="136" name="Picture 136" descr="Table 25: Global Assessment Question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lum bright="-20000" contrast="40000"/>
                      <a:extLst>
                        <a:ext uri="{28A0092B-C50C-407E-A947-70E740481C1C}">
                          <a14:useLocalDpi xmlns:a14="http://schemas.microsoft.com/office/drawing/2010/main" val="0"/>
                        </a:ext>
                      </a:extLst>
                    </a:blip>
                    <a:srcRect/>
                    <a:stretch>
                      <a:fillRect/>
                    </a:stretch>
                  </pic:blipFill>
                  <pic:spPr bwMode="auto">
                    <a:xfrm>
                      <a:off x="0" y="0"/>
                      <a:ext cx="5011041" cy="1370115"/>
                    </a:xfrm>
                    <a:prstGeom prst="rect">
                      <a:avLst/>
                    </a:prstGeom>
                    <a:noFill/>
                    <a:ln>
                      <a:noFill/>
                    </a:ln>
                  </pic:spPr>
                </pic:pic>
              </a:graphicData>
            </a:graphic>
          </wp:inline>
        </w:drawing>
      </w:r>
    </w:p>
    <w:p w:rsidR="005667BD" w:rsidRPr="005667BD" w:rsidRDefault="005667BD" w:rsidP="005667BD">
      <w:pPr>
        <w:pStyle w:val="Heading3"/>
      </w:pPr>
      <w:bookmarkStart w:id="188" w:name="_Toc422725501"/>
      <w:bookmarkStart w:id="189" w:name="_Toc466365786"/>
      <w:r w:rsidRPr="005667BD">
        <w:t>Evaluator’s overall conclusions on the dose finding studies</w:t>
      </w:r>
      <w:bookmarkEnd w:id="188"/>
      <w:bookmarkEnd w:id="189"/>
    </w:p>
    <w:p w:rsidR="005667BD" w:rsidRPr="005667BD" w:rsidRDefault="005667BD" w:rsidP="005667BD">
      <w:r w:rsidRPr="005667BD">
        <w:t>The dose finding studies were most supportive of the 100 mg dose level. The 300 mg dose level did not offer any advanta</w:t>
      </w:r>
      <w:r>
        <w:t xml:space="preserve">ge over the 200 mg dose level. </w:t>
      </w:r>
      <w:r w:rsidR="00F21ECC">
        <w:t xml:space="preserve">The sponsor </w:t>
      </w:r>
      <w:r w:rsidRPr="005667BD">
        <w:t>was justified in taking the 50 mg, 100 mg and 200 mg dose levels through to further development.</w:t>
      </w:r>
    </w:p>
    <w:p w:rsidR="00C22678" w:rsidRDefault="00C22678" w:rsidP="00C22678">
      <w:pPr>
        <w:pStyle w:val="Heading2"/>
      </w:pPr>
      <w:bookmarkStart w:id="190" w:name="_Toc466365787"/>
      <w:r>
        <w:lastRenderedPageBreak/>
        <w:t>Clinical efficacy</w:t>
      </w:r>
      <w:bookmarkEnd w:id="190"/>
    </w:p>
    <w:p w:rsidR="00FF0684" w:rsidRPr="00FF0684" w:rsidRDefault="00FF0684" w:rsidP="00F91E09">
      <w:pPr>
        <w:pStyle w:val="Heading3"/>
      </w:pPr>
      <w:bookmarkStart w:id="191" w:name="_Toc422725503"/>
      <w:bookmarkStart w:id="192" w:name="_Toc466365788"/>
      <w:r w:rsidRPr="00FF0684">
        <w:t xml:space="preserve">Erectile </w:t>
      </w:r>
      <w:r w:rsidR="00714B60">
        <w:t>d</w:t>
      </w:r>
      <w:r w:rsidRPr="00F91E09">
        <w:t>ysfunction</w:t>
      </w:r>
      <w:bookmarkEnd w:id="191"/>
      <w:bookmarkEnd w:id="192"/>
    </w:p>
    <w:p w:rsidR="00FF0684" w:rsidRPr="00FF0684" w:rsidRDefault="00FF0684" w:rsidP="00F91E09">
      <w:pPr>
        <w:pStyle w:val="Heading4"/>
      </w:pPr>
      <w:bookmarkStart w:id="193" w:name="_Ref271037274"/>
      <w:bookmarkStart w:id="194" w:name="_Toc272414652"/>
      <w:bookmarkStart w:id="195" w:name="_Toc290846274"/>
      <w:bookmarkStart w:id="196" w:name="_Toc422725504"/>
      <w:r w:rsidRPr="00FF0684">
        <w:t>Pivotal efficacy studies</w:t>
      </w:r>
      <w:bookmarkEnd w:id="193"/>
      <w:bookmarkEnd w:id="194"/>
      <w:bookmarkEnd w:id="195"/>
      <w:bookmarkEnd w:id="196"/>
    </w:p>
    <w:p w:rsidR="00FF0684" w:rsidRPr="00FF0684" w:rsidRDefault="00FF0684" w:rsidP="00F91E09">
      <w:pPr>
        <w:pStyle w:val="Heading5"/>
      </w:pPr>
      <w:bookmarkStart w:id="197" w:name="_Study_TA-301"/>
      <w:bookmarkStart w:id="198" w:name="_Ref243301615"/>
      <w:bookmarkStart w:id="199" w:name="_Ref271040927"/>
      <w:bookmarkStart w:id="200" w:name="_Ref271040932"/>
      <w:bookmarkStart w:id="201" w:name="_Toc272414653"/>
      <w:bookmarkStart w:id="202" w:name="_Toc290846275"/>
      <w:bookmarkStart w:id="203" w:name="_Toc422725505"/>
      <w:bookmarkEnd w:id="197"/>
      <w:r w:rsidRPr="00FF0684">
        <w:t xml:space="preserve">Study </w:t>
      </w:r>
      <w:bookmarkEnd w:id="198"/>
      <w:bookmarkEnd w:id="199"/>
      <w:bookmarkEnd w:id="200"/>
      <w:bookmarkEnd w:id="201"/>
      <w:bookmarkEnd w:id="202"/>
      <w:r w:rsidRPr="00FF0684">
        <w:t>TA-301</w:t>
      </w:r>
      <w:bookmarkEnd w:id="203"/>
    </w:p>
    <w:p w:rsidR="00FF0684" w:rsidRPr="00FF0684" w:rsidRDefault="00FF0684" w:rsidP="00FF0684">
      <w:pPr>
        <w:pStyle w:val="Heading6"/>
      </w:pPr>
      <w:r w:rsidRPr="00FF0684">
        <w:t>Study design, objectives, locations and dates</w:t>
      </w:r>
    </w:p>
    <w:p w:rsidR="00FF0684" w:rsidRPr="00FF0684" w:rsidRDefault="00FF0684" w:rsidP="00FF0684">
      <w:r w:rsidRPr="00FF0684">
        <w:t>Study TA-301 (Module 5, Section 5.3.5.1) double blind randomised placebo controlled efficacy and safety study of avanafil in subjects with mild to severe ED</w:t>
      </w:r>
      <w:r>
        <w:t xml:space="preserve">. </w:t>
      </w:r>
      <w:r w:rsidRPr="00FF0684">
        <w:t>The study was conducted at 42 centres in the US from</w:t>
      </w:r>
      <w:r>
        <w:t xml:space="preserve"> November 2008 to August 2009.</w:t>
      </w:r>
    </w:p>
    <w:p w:rsidR="00FF0684" w:rsidRPr="00B07F0C" w:rsidRDefault="00FF0684" w:rsidP="00F91E09">
      <w:pPr>
        <w:pStyle w:val="Heading6"/>
      </w:pPr>
      <w:r w:rsidRPr="00B07F0C">
        <w:t>Inclusion and exclusion criteria</w:t>
      </w:r>
    </w:p>
    <w:p w:rsidR="00FF0684" w:rsidRPr="00FF0684" w:rsidRDefault="00FF0684" w:rsidP="00FF0684">
      <w:r w:rsidRPr="00FF0684">
        <w:t>The inclusion criteria included:</w:t>
      </w:r>
    </w:p>
    <w:p w:rsidR="00FF0684" w:rsidRPr="00FF0684" w:rsidRDefault="00FF0684" w:rsidP="00FF0684">
      <w:pPr>
        <w:pStyle w:val="ListBullet"/>
      </w:pPr>
      <w:r>
        <w:t xml:space="preserve">Males ≥ </w:t>
      </w:r>
      <w:r w:rsidRPr="00FF0684">
        <w:t>18 years of age</w:t>
      </w:r>
    </w:p>
    <w:p w:rsidR="00FF0684" w:rsidRPr="00FF0684" w:rsidRDefault="00FF0684" w:rsidP="00FF0684">
      <w:pPr>
        <w:pStyle w:val="ListBullet"/>
      </w:pPr>
      <w:r w:rsidRPr="00FF0684">
        <w:t>History of mild to severe ED of at least 6 months duration, as evidenced by a history of inability to achieve vaginal penetration on at least 50% of attempts at sexual intercourse without the use of medical therapy</w:t>
      </w:r>
    </w:p>
    <w:p w:rsidR="00FF0684" w:rsidRPr="00FF0684" w:rsidRDefault="00FF0684" w:rsidP="00FF0684">
      <w:pPr>
        <w:pStyle w:val="ListBullet"/>
      </w:pPr>
      <w:r w:rsidRPr="00FF0684">
        <w:t>In a monogamous, heterosexual relationship for at least 3 months</w:t>
      </w:r>
    </w:p>
    <w:p w:rsidR="00FF0684" w:rsidRPr="00FF0684" w:rsidRDefault="00FF0684" w:rsidP="00FF0684">
      <w:pPr>
        <w:pStyle w:val="ListBullet"/>
      </w:pPr>
      <w:r w:rsidRPr="00FF0684">
        <w:t>Agreement to make at least 4 attempts at intercourse per month</w:t>
      </w:r>
    </w:p>
    <w:p w:rsidR="00FF0684" w:rsidRPr="00FF0684" w:rsidRDefault="00FF0684" w:rsidP="00FF0684">
      <w:pPr>
        <w:pStyle w:val="ListBullet"/>
      </w:pPr>
      <w:r w:rsidRPr="00FF0684">
        <w:t>Agreement not to use any other treatments for ED (including prescription or over-the-counter medications, herbal or naturopathic products, manual techniques, vacuum pumps, constriction devices, experimental techniques, psychological counseling, etc.) during the study</w:t>
      </w:r>
    </w:p>
    <w:p w:rsidR="00FF0684" w:rsidRPr="00FF0684" w:rsidRDefault="00FF0684" w:rsidP="00FF0684">
      <w:r w:rsidRPr="00FF0684">
        <w:t>The exclusion criteria included:</w:t>
      </w:r>
    </w:p>
    <w:p w:rsidR="00FF0684" w:rsidRPr="00FF0684" w:rsidRDefault="00FF0684" w:rsidP="00FF0684">
      <w:pPr>
        <w:pStyle w:val="ListBullet"/>
      </w:pPr>
      <w:r w:rsidRPr="00FF0684">
        <w:t>Allergy or hypersensitivity to avanafil, sildenafil, vardenafil, tadalafil, or any of the components of these drug products</w:t>
      </w:r>
    </w:p>
    <w:p w:rsidR="00FF0684" w:rsidRPr="00FF0684" w:rsidRDefault="00FF0684" w:rsidP="00FF0684">
      <w:pPr>
        <w:pStyle w:val="ListBullet"/>
      </w:pPr>
      <w:r w:rsidRPr="00FF0684">
        <w:t>History of dose-limiting adverse effects during therapy with a PDE5 inhibitor or history of consistent treatment failure with other PDE5 inhibitors for the treatment of ED</w:t>
      </w:r>
    </w:p>
    <w:p w:rsidR="00FF0684" w:rsidRPr="00FF0684" w:rsidRDefault="00FF0684" w:rsidP="00FF0684">
      <w:pPr>
        <w:pStyle w:val="ListBullet"/>
      </w:pPr>
      <w:r w:rsidRPr="00FF0684">
        <w:t>Current or expected use of organic nitrates at any time during the study</w:t>
      </w:r>
    </w:p>
    <w:p w:rsidR="00FF0684" w:rsidRPr="00FF0684" w:rsidRDefault="00FF0684" w:rsidP="00FF0684">
      <w:pPr>
        <w:pStyle w:val="ListBullet"/>
      </w:pPr>
      <w:r w:rsidRPr="00FF0684">
        <w:t>Anti-androgen therapy within 90 days of randomization or at any time during the study</w:t>
      </w:r>
    </w:p>
    <w:p w:rsidR="00FF0684" w:rsidRPr="00FF0684" w:rsidRDefault="00FF0684" w:rsidP="00FF0684">
      <w:pPr>
        <w:pStyle w:val="ListBullet"/>
      </w:pPr>
      <w:r w:rsidRPr="00FF0684">
        <w:t>Use of trazodone, ketoconazole, erythromycin, cimetidine, or any other prescription or over-the-counter drugs known to inhibit the activity of CYP3A4 within 28 days prior to randomization or at any time during the study</w:t>
      </w:r>
    </w:p>
    <w:p w:rsidR="00FF0684" w:rsidRPr="00FF0684" w:rsidRDefault="00FF0684" w:rsidP="00FF0684">
      <w:pPr>
        <w:pStyle w:val="ListBullet"/>
      </w:pPr>
      <w:r w:rsidRPr="00FF0684">
        <w:t>Androgen replacement therapy that had not been stable for at least 3 months</w:t>
      </w:r>
    </w:p>
    <w:p w:rsidR="00FF0684" w:rsidRPr="00FF0684" w:rsidRDefault="00FF0684" w:rsidP="00FF0684">
      <w:pPr>
        <w:pStyle w:val="ListBullet"/>
      </w:pPr>
      <w:r w:rsidRPr="00FF0684">
        <w:t>Initiation or change in dose of any alpha-adrenergic antagonist (alpha blocker) within 14 days prior to randomization</w:t>
      </w:r>
    </w:p>
    <w:p w:rsidR="00FF0684" w:rsidRPr="00FF0684" w:rsidRDefault="00FF0684" w:rsidP="00FF0684">
      <w:pPr>
        <w:pStyle w:val="ListBullet"/>
      </w:pPr>
      <w:r w:rsidRPr="00FF0684">
        <w:t>Erectile dysfunction as a result of spinal cord injury or radical prostatectomy</w:t>
      </w:r>
    </w:p>
    <w:p w:rsidR="00FF0684" w:rsidRPr="00FF0684" w:rsidRDefault="00FF0684" w:rsidP="00FF0684">
      <w:pPr>
        <w:pStyle w:val="ListBullet"/>
      </w:pPr>
      <w:r w:rsidRPr="00FF0684">
        <w:t>Untreated hypogonadism or serum total testosterone &lt;</w:t>
      </w:r>
      <w:r>
        <w:t xml:space="preserve"> </w:t>
      </w:r>
      <w:r w:rsidRPr="00FF0684">
        <w:t>325 ng/dL (early morning collection)</w:t>
      </w:r>
    </w:p>
    <w:p w:rsidR="00FF0684" w:rsidRPr="00FF0684" w:rsidRDefault="00FF0684" w:rsidP="00FF0684">
      <w:pPr>
        <w:pStyle w:val="ListBullet"/>
      </w:pPr>
      <w:r w:rsidRPr="00FF0684">
        <w:t>History of or predisposition to priapism (such as sickle cell disease, blood dyscrasias, or multiple myeloma)</w:t>
      </w:r>
    </w:p>
    <w:p w:rsidR="00FF0684" w:rsidRPr="00FF0684" w:rsidRDefault="00FF0684" w:rsidP="00FF0684">
      <w:pPr>
        <w:pStyle w:val="ListBullet"/>
      </w:pPr>
      <w:r w:rsidRPr="00FF0684">
        <w:t>Any penile implant</w:t>
      </w:r>
    </w:p>
    <w:p w:rsidR="00FF0684" w:rsidRPr="00FF0684" w:rsidRDefault="00FF0684" w:rsidP="00FF0684">
      <w:pPr>
        <w:pStyle w:val="ListBullet"/>
      </w:pPr>
      <w:r w:rsidRPr="00FF0684">
        <w:lastRenderedPageBreak/>
        <w:t>Prostate specific antigen &gt;</w:t>
      </w:r>
      <w:r>
        <w:t xml:space="preserve"> </w:t>
      </w:r>
      <w:r w:rsidRPr="00FF0684">
        <w:t>4 ng/mL, other evidence of prostate cancer, or previous radical prostatectomy</w:t>
      </w:r>
    </w:p>
    <w:p w:rsidR="00FF0684" w:rsidRPr="00FF0684" w:rsidRDefault="00FF0684" w:rsidP="00FF0684">
      <w:pPr>
        <w:pStyle w:val="ListBullet"/>
      </w:pPr>
      <w:r w:rsidRPr="00FF0684">
        <w:t>History of any malignancy (except basal cell carcinoma or squamous cell carcinoma of the skin successfully treated by curative excision)</w:t>
      </w:r>
    </w:p>
    <w:p w:rsidR="00FF0684" w:rsidRPr="00FF0684" w:rsidRDefault="00FF0684" w:rsidP="00FF0684">
      <w:pPr>
        <w:pStyle w:val="ListBullet"/>
      </w:pPr>
      <w:r w:rsidRPr="00FF0684">
        <w:t>History of type 1 or type 2 diabetes, history of use of any antidiabetic medication, haemoglobin A1c (HbA1c) &gt;</w:t>
      </w:r>
      <w:r>
        <w:t xml:space="preserve"> </w:t>
      </w:r>
      <w:r w:rsidRPr="00FF0684">
        <w:t>6.5%, and</w:t>
      </w:r>
      <w:r>
        <w:t xml:space="preserve">/or fasting blood glucose ≥ </w:t>
      </w:r>
      <w:r w:rsidRPr="00FF0684">
        <w:t>126 mg/dL (7 mmol/L)</w:t>
      </w:r>
    </w:p>
    <w:p w:rsidR="00FF0684" w:rsidRPr="00FF0684" w:rsidRDefault="00FF0684" w:rsidP="00FF0684">
      <w:pPr>
        <w:pStyle w:val="ListBullet"/>
      </w:pPr>
      <w:r w:rsidRPr="00FF0684">
        <w:t>Uncontrolled hypertension as evidenced by SBP &gt;</w:t>
      </w:r>
      <w:r>
        <w:t xml:space="preserve"> </w:t>
      </w:r>
      <w:r w:rsidRPr="00FF0684">
        <w:t>170 mmHg or DBP &gt;</w:t>
      </w:r>
      <w:r>
        <w:t xml:space="preserve"> </w:t>
      </w:r>
      <w:r w:rsidRPr="00FF0684">
        <w:t>100 mmHg at screening</w:t>
      </w:r>
    </w:p>
    <w:p w:rsidR="00FF0684" w:rsidRPr="00FF0684" w:rsidRDefault="00FF0684" w:rsidP="00FF0684">
      <w:pPr>
        <w:pStyle w:val="ListBullet"/>
      </w:pPr>
      <w:r w:rsidRPr="00FF0684">
        <w:t>Hypotension as evidenced by SBP &lt;</w:t>
      </w:r>
      <w:r>
        <w:t xml:space="preserve"> </w:t>
      </w:r>
      <w:r w:rsidRPr="00FF0684">
        <w:t>90 mmHg or DBP &lt;</w:t>
      </w:r>
      <w:r>
        <w:t xml:space="preserve"> </w:t>
      </w:r>
      <w:r w:rsidRPr="00FF0684">
        <w:t>50 mmHg at screening</w:t>
      </w:r>
    </w:p>
    <w:p w:rsidR="00FF0684" w:rsidRPr="00FF0684" w:rsidRDefault="00FF0684" w:rsidP="00FF0684">
      <w:pPr>
        <w:pStyle w:val="ListBullet"/>
      </w:pPr>
      <w:r w:rsidRPr="00FF0684">
        <w:t>Orthostatic hypotension as evidenced by a reduction of 20 mmHg or more in SBP, a reduction of 10 mmHg or more in DBP, or evidence of cerebral hypoperfusion upon standing from a seated position</w:t>
      </w:r>
    </w:p>
    <w:p w:rsidR="00FF0684" w:rsidRPr="00FF0684" w:rsidRDefault="00FF0684" w:rsidP="00FF0684">
      <w:pPr>
        <w:pStyle w:val="ListBullet"/>
      </w:pPr>
      <w:r w:rsidRPr="00FF0684">
        <w:t>Myocardial infarction, stroke, life-threatening arrhythmia, or coronary revascularization within the past 6 months</w:t>
      </w:r>
    </w:p>
    <w:p w:rsidR="00FF0684" w:rsidRPr="00FF0684" w:rsidRDefault="00FF0684" w:rsidP="00FF0684">
      <w:pPr>
        <w:pStyle w:val="ListBullet"/>
      </w:pPr>
      <w:r w:rsidRPr="00FF0684">
        <w:t>Unstable angina, angina with sexual intercourse, or congestive heart failure (greater than New York Heart Association Class II)</w:t>
      </w:r>
    </w:p>
    <w:p w:rsidR="00FF0684" w:rsidRPr="00FF0684" w:rsidRDefault="00FF0684" w:rsidP="00FF0684">
      <w:pPr>
        <w:pStyle w:val="ListBullet"/>
      </w:pPr>
      <w:r w:rsidRPr="00FF0684">
        <w:t>History or electrocardiogram (ECG) evidence of any high-risk arrhythmia or ECG judged by the investigator to be clinically significant</w:t>
      </w:r>
    </w:p>
    <w:p w:rsidR="00FF0684" w:rsidRPr="00FF0684" w:rsidRDefault="00FF0684" w:rsidP="00FF0684">
      <w:pPr>
        <w:pStyle w:val="ListBullet"/>
      </w:pPr>
      <w:r w:rsidRPr="00FF0684">
        <w:t>Hypertrophic, obstructive, or other clinically significant cardiomyopathy, or moderate or severe cardiac valvular disease</w:t>
      </w:r>
    </w:p>
    <w:p w:rsidR="00FF0684" w:rsidRPr="00FF0684" w:rsidRDefault="00FF0684" w:rsidP="00FF0684">
      <w:pPr>
        <w:pStyle w:val="ListBullet"/>
      </w:pPr>
      <w:r w:rsidRPr="00FF0684">
        <w:t>AST or ALT &gt;</w:t>
      </w:r>
      <w:r>
        <w:t xml:space="preserve"> </w:t>
      </w:r>
      <w:r w:rsidRPr="00FF0684">
        <w:t>2</w:t>
      </w:r>
      <w:r w:rsidR="00922589">
        <w:t xml:space="preserve"> x </w:t>
      </w:r>
      <w:r w:rsidRPr="00FF0684">
        <w:t>ULN or other evidence of significant hepatic impairment</w:t>
      </w:r>
    </w:p>
    <w:p w:rsidR="00FF0684" w:rsidRPr="00FF0684" w:rsidRDefault="00FF0684" w:rsidP="00FF0684">
      <w:pPr>
        <w:pStyle w:val="ListBullet"/>
      </w:pPr>
      <w:r w:rsidRPr="00FF0684">
        <w:t>Serum creatinine &gt;</w:t>
      </w:r>
      <w:r>
        <w:t xml:space="preserve"> </w:t>
      </w:r>
      <w:r w:rsidRPr="00FF0684">
        <w:t>2.5 mg/dL (221 mmol/L), estimated creatinine clearance &lt;</w:t>
      </w:r>
      <w:r>
        <w:t xml:space="preserve"> </w:t>
      </w:r>
      <w:r w:rsidRPr="00FF0684">
        <w:t>60 mL/min (Cockcroft-Gault), on dialysis, or history of renal transplantation</w:t>
      </w:r>
    </w:p>
    <w:p w:rsidR="00FF0684" w:rsidRPr="00FF0684" w:rsidRDefault="00FF0684" w:rsidP="00FF0684">
      <w:pPr>
        <w:pStyle w:val="ListBullet"/>
      </w:pPr>
      <w:r w:rsidRPr="00FF0684">
        <w:t>History of retinitis pigmentosa or non-arteritic anterior ischemic optic neuropathy</w:t>
      </w:r>
    </w:p>
    <w:p w:rsidR="00FF0684" w:rsidRPr="00FF0684" w:rsidRDefault="00FF0684" w:rsidP="00FF0684">
      <w:pPr>
        <w:pStyle w:val="ListBullet"/>
      </w:pPr>
      <w:r w:rsidRPr="00FF0684">
        <w:t>Positive test for sexually transmitted diseases (syphilis, gonorrhea, or chlamydia)</w:t>
      </w:r>
    </w:p>
    <w:p w:rsidR="00FF0684" w:rsidRPr="00FF0684" w:rsidRDefault="00FF0684" w:rsidP="00FF0684">
      <w:pPr>
        <w:pStyle w:val="ListBullet"/>
      </w:pPr>
      <w:r w:rsidRPr="00FF0684">
        <w:t>Positive test for human immunodeficiency virus, hepatitis C virus antibodies, and/or hepatitis B surface antigen</w:t>
      </w:r>
    </w:p>
    <w:p w:rsidR="00FF0684" w:rsidRPr="00FF0684" w:rsidRDefault="00FF0684" w:rsidP="00FF0684">
      <w:pPr>
        <w:pStyle w:val="ListBullet"/>
      </w:pPr>
      <w:r w:rsidRPr="00FF0684">
        <w:t>Clinically evident penile lesions, abrasions, anatomical deformities such as penile fibrosis, Peyronie’s disease, urinary tract or bladder infection, or sexually transmissible disease that the investigator deemed to be clinically significant</w:t>
      </w:r>
    </w:p>
    <w:p w:rsidR="00FF0684" w:rsidRPr="00FF0684" w:rsidRDefault="00FF0684" w:rsidP="00FF0684">
      <w:pPr>
        <w:pStyle w:val="ListBullet"/>
      </w:pPr>
      <w:r w:rsidRPr="00FF0684">
        <w:t>Use of any prescription, over-the-counter, herbal, naturopathic, or male enhancement treatment or device for erectile dysfunction other than study drug within 28 days prior to randomization or at any time during the study</w:t>
      </w:r>
    </w:p>
    <w:p w:rsidR="00FF0684" w:rsidRPr="00FF0684" w:rsidRDefault="00FF0684" w:rsidP="00FF0684">
      <w:pPr>
        <w:pStyle w:val="ListBullet"/>
      </w:pPr>
      <w:r w:rsidRPr="00FF0684">
        <w:t>Participation in another investigational study (drug or device) within 30 days of screening or at any time during the study</w:t>
      </w:r>
    </w:p>
    <w:p w:rsidR="00FF0684" w:rsidRPr="00FF0684" w:rsidRDefault="00FF0684" w:rsidP="00FF0684">
      <w:pPr>
        <w:pStyle w:val="ListBullet"/>
      </w:pPr>
      <w:r w:rsidRPr="00FF0684">
        <w:t>History of drug, alcohol, or substance abuse in the past 12 months, positive urine drug screen, or positive breath alcohol test at screening</w:t>
      </w:r>
    </w:p>
    <w:p w:rsidR="00FF0684" w:rsidRPr="00FF0684" w:rsidRDefault="00FF0684" w:rsidP="00FF0684">
      <w:pPr>
        <w:pStyle w:val="ListBullet"/>
      </w:pPr>
      <w:r w:rsidRPr="00FF0684">
        <w:t>History of bipolar disorder or psychosis, more than one lifetime episode of major depression, current depression of moderate or greater severity, or antidepressant use that had not been stable for at least 3 months</w:t>
      </w:r>
    </w:p>
    <w:p w:rsidR="00FF0684" w:rsidRPr="00FF0684" w:rsidRDefault="00FF0684" w:rsidP="00FF0684">
      <w:pPr>
        <w:pStyle w:val="ListBullet"/>
      </w:pPr>
      <w:r w:rsidRPr="00FF0684">
        <w:t>Sexual partner who was &lt;</w:t>
      </w:r>
      <w:r>
        <w:t xml:space="preserve"> </w:t>
      </w:r>
      <w:r w:rsidRPr="00FF0684">
        <w:t xml:space="preserve">18 years of age, nursing, known to be pregnant at screening, wished to become pregnant during the study period, had dyspareunia, and/or had any other </w:t>
      </w:r>
      <w:r w:rsidRPr="00FF0684">
        <w:lastRenderedPageBreak/>
        <w:t>gynecological problems or major medical conditions that would limit participation in sexual intercourse</w:t>
      </w:r>
    </w:p>
    <w:p w:rsidR="00FF0684" w:rsidRPr="00FF0684" w:rsidRDefault="00FF0684" w:rsidP="00FF0684">
      <w:pPr>
        <w:pStyle w:val="ListBullet"/>
      </w:pPr>
      <w:r w:rsidRPr="00FF0684">
        <w:t>History or evidence (through physical examination or laboratory tests) of any clinically significant medical, psychiatric, social, or other condition that, in the opinion of the investigator, would have contraindicated sexual activity or the administration of study drug, affected compliance, interfered with study evaluations, limited study participation, or confounded the interpretation of study results</w:t>
      </w:r>
    </w:p>
    <w:p w:rsidR="00FF0684" w:rsidRPr="00FF0684" w:rsidRDefault="00FF0684" w:rsidP="00FF0684">
      <w:r w:rsidRPr="00FF0684">
        <w:t>The randomisation criteria were:</w:t>
      </w:r>
    </w:p>
    <w:p w:rsidR="00FF0684" w:rsidRPr="002D32BA" w:rsidRDefault="00FF0684" w:rsidP="002D32BA">
      <w:pPr>
        <w:pStyle w:val="ListBullet"/>
      </w:pPr>
      <w:r w:rsidRPr="002D32BA">
        <w:t>A 50% or greater failure rate in maintaining an erection long enough to allow successful intercourse as recorded in the subject diary during the run-in period</w:t>
      </w:r>
    </w:p>
    <w:p w:rsidR="00FF0684" w:rsidRPr="002D32BA" w:rsidRDefault="00FF0684" w:rsidP="002D32BA">
      <w:pPr>
        <w:pStyle w:val="ListBullet"/>
      </w:pPr>
      <w:r w:rsidRPr="002D32BA">
        <w:t>An IIEF erectile function domain score of 5 to 25, inclusive</w:t>
      </w:r>
    </w:p>
    <w:p w:rsidR="00FF0684" w:rsidRPr="002D32BA" w:rsidRDefault="00FF0684" w:rsidP="002D32BA">
      <w:pPr>
        <w:pStyle w:val="ListBullet"/>
      </w:pPr>
      <w:r w:rsidRPr="002D32BA">
        <w:t>Documentation of at least 4 attempts at sexual inter</w:t>
      </w:r>
      <w:r w:rsidR="002D32BA">
        <w:t>course during the run-in period</w:t>
      </w:r>
    </w:p>
    <w:p w:rsidR="00FF0684" w:rsidRPr="00F91E09" w:rsidRDefault="00FF0684" w:rsidP="00F91E09">
      <w:pPr>
        <w:pStyle w:val="Heading6"/>
      </w:pPr>
      <w:r w:rsidRPr="00FF0684">
        <w:t>Study treatments</w:t>
      </w:r>
    </w:p>
    <w:p w:rsidR="00FF0684" w:rsidRPr="002D32BA" w:rsidRDefault="00FF0684" w:rsidP="002D32BA">
      <w:r w:rsidRPr="002D32BA">
        <w:t>The study treatments were:</w:t>
      </w:r>
    </w:p>
    <w:p w:rsidR="00FF0684" w:rsidRPr="002D32BA" w:rsidRDefault="00FF0684" w:rsidP="00E55BF2">
      <w:pPr>
        <w:pStyle w:val="Numberbullet0"/>
        <w:numPr>
          <w:ilvl w:val="0"/>
          <w:numId w:val="8"/>
        </w:numPr>
      </w:pPr>
      <w:r w:rsidRPr="002D32BA">
        <w:t>Avanafil 1 x 50 mg tablet</w:t>
      </w:r>
    </w:p>
    <w:p w:rsidR="00FF0684" w:rsidRPr="002D32BA" w:rsidRDefault="00FF0684" w:rsidP="00E55BF2">
      <w:pPr>
        <w:pStyle w:val="Numberbullet0"/>
        <w:numPr>
          <w:ilvl w:val="0"/>
          <w:numId w:val="8"/>
        </w:numPr>
      </w:pPr>
      <w:r w:rsidRPr="002D32BA">
        <w:t>Avanafil 2 x 50 mg tablet</w:t>
      </w:r>
    </w:p>
    <w:p w:rsidR="00FF0684" w:rsidRPr="002D32BA" w:rsidRDefault="00FF0684" w:rsidP="00E55BF2">
      <w:pPr>
        <w:pStyle w:val="Numberbullet0"/>
        <w:numPr>
          <w:ilvl w:val="0"/>
          <w:numId w:val="8"/>
        </w:numPr>
      </w:pPr>
      <w:r w:rsidRPr="002D32BA">
        <w:t>Avanafil 4 x 50 mg tablet</w:t>
      </w:r>
    </w:p>
    <w:p w:rsidR="00FF0684" w:rsidRPr="002D32BA" w:rsidRDefault="00FF0684" w:rsidP="00E55BF2">
      <w:pPr>
        <w:pStyle w:val="Numberbullet0"/>
        <w:numPr>
          <w:ilvl w:val="0"/>
          <w:numId w:val="8"/>
        </w:numPr>
      </w:pPr>
      <w:r w:rsidRPr="002D32BA">
        <w:t>Placebo</w:t>
      </w:r>
    </w:p>
    <w:p w:rsidR="00FF0684" w:rsidRPr="002D32BA" w:rsidRDefault="00FF0684" w:rsidP="002D32BA">
      <w:r w:rsidRPr="002D32BA">
        <w:t xml:space="preserve">All treatments were administered as four tablets, avanafil or placebo, 30 minutes prior to the </w:t>
      </w:r>
      <w:r w:rsidR="002D32BA">
        <w:t xml:space="preserve">initiation of sexual activity. </w:t>
      </w:r>
      <w:r w:rsidRPr="002D32BA">
        <w:t>No more than two doses of study drug were allowed in a 24 hour period.</w:t>
      </w:r>
    </w:p>
    <w:p w:rsidR="00FF0684" w:rsidRPr="00F91E09" w:rsidRDefault="00FF0684" w:rsidP="00F91E09">
      <w:pPr>
        <w:pStyle w:val="Heading6"/>
      </w:pPr>
      <w:bookmarkStart w:id="204" w:name="_Efficacy_variables_and"/>
      <w:bookmarkEnd w:id="204"/>
      <w:r w:rsidRPr="00FF0684">
        <w:t>Efficacy variables and outcomes</w:t>
      </w:r>
    </w:p>
    <w:p w:rsidR="00FF0684" w:rsidRPr="002D32BA" w:rsidRDefault="00FF0684" w:rsidP="002D32BA">
      <w:r w:rsidRPr="002D32BA">
        <w:t>The primary efficacy outcome measures were:</w:t>
      </w:r>
    </w:p>
    <w:p w:rsidR="00FF0684" w:rsidRPr="002D32BA" w:rsidRDefault="00FF0684" w:rsidP="002D32BA">
      <w:pPr>
        <w:pStyle w:val="ListBullet"/>
      </w:pPr>
      <w:r w:rsidRPr="002D32BA">
        <w:t>Change in the percentage of sexual attempts between the run-in period and the 12-week treatment period in which the subject was able to maintain an erection of sufficient duration to have successful intercourse (subject diary question 5, also referred to as Sexual Encounter Profile [SEP]3)</w:t>
      </w:r>
    </w:p>
    <w:p w:rsidR="00FF0684" w:rsidRPr="002D32BA" w:rsidRDefault="00FF0684" w:rsidP="002D32BA">
      <w:pPr>
        <w:pStyle w:val="ListBullet"/>
      </w:pPr>
      <w:r w:rsidRPr="002D32BA">
        <w:t>Change in the percentage of sexual attempts between the run-in period and the 12-week treatment period in which the subject was able to insert his penis into his partner’s vagina (subject diary question 4, also referred to as SEP2)</w:t>
      </w:r>
    </w:p>
    <w:p w:rsidR="00FF0684" w:rsidRPr="002D32BA" w:rsidRDefault="00FF0684" w:rsidP="002D32BA">
      <w:pPr>
        <w:pStyle w:val="ListBullet"/>
      </w:pPr>
      <w:r w:rsidRPr="002D32BA">
        <w:t>Change in IIEF erectile function domain score from baseline to end of the 12-week treatment period.</w:t>
      </w:r>
    </w:p>
    <w:p w:rsidR="00FF0684" w:rsidRPr="002D32BA" w:rsidRDefault="00FF0684" w:rsidP="002D32BA">
      <w:r w:rsidRPr="002D32BA">
        <w:t>The secondary efficacy outcome measures were:</w:t>
      </w:r>
    </w:p>
    <w:p w:rsidR="00FF0684" w:rsidRPr="002D32BA" w:rsidRDefault="00FF0684" w:rsidP="002D32BA">
      <w:pPr>
        <w:pStyle w:val="ListBullet"/>
      </w:pPr>
      <w:r w:rsidRPr="002D32BA">
        <w:t>Changes in IIEF domain scores and individual responses from baseline to Week 4, Week 8, Week 12, and end of the 12-week treatment period</w:t>
      </w:r>
    </w:p>
    <w:p w:rsidR="00FF0684" w:rsidRPr="002D32BA" w:rsidRDefault="00FF0684" w:rsidP="002D32BA">
      <w:pPr>
        <w:pStyle w:val="ListBullet"/>
      </w:pPr>
      <w:r w:rsidRPr="002D32BA">
        <w:t>Changes in the percentages of successful or satisfied responses to secondary subject diary questions between the run-in period and the 12-week treatment period</w:t>
      </w:r>
    </w:p>
    <w:p w:rsidR="00FF0684" w:rsidRPr="002D32BA" w:rsidRDefault="00FF0684" w:rsidP="002D32BA">
      <w:pPr>
        <w:pStyle w:val="ListBullet"/>
      </w:pPr>
      <w:r w:rsidRPr="002D32BA">
        <w:t>Responses to the Global Assessment Question on treatment effect and the Future Use Question at Week 12.</w:t>
      </w:r>
    </w:p>
    <w:p w:rsidR="00FF0684" w:rsidRPr="002D32BA" w:rsidRDefault="00FF0684" w:rsidP="002D32BA">
      <w:r w:rsidRPr="002D32BA">
        <w:t>The other efficacy outcome measures were the following:</w:t>
      </w:r>
    </w:p>
    <w:p w:rsidR="00FF0684" w:rsidRPr="002D32BA" w:rsidRDefault="00FF0684" w:rsidP="002D32BA">
      <w:pPr>
        <w:pStyle w:val="ListBullet"/>
      </w:pPr>
      <w:r w:rsidRPr="002D32BA">
        <w:t>Number and percentage of successful or satisfied responses to subject diary questions by time interval between dose admi</w:t>
      </w:r>
      <w:r w:rsidR="002D32BA">
        <w:t xml:space="preserve">nistration and sexual attempt (≤ </w:t>
      </w:r>
      <w:r w:rsidRPr="002D32BA">
        <w:t>15 minutes, &gt;</w:t>
      </w:r>
      <w:r w:rsidR="002D32BA">
        <w:t xml:space="preserve"> 15 minutes </w:t>
      </w:r>
      <w:r w:rsidR="002D32BA">
        <w:lastRenderedPageBreak/>
        <w:t xml:space="preserve">and ≤ </w:t>
      </w:r>
      <w:r w:rsidRPr="002D32BA">
        <w:t>30 minutes, &gt;</w:t>
      </w:r>
      <w:r w:rsidR="002D32BA">
        <w:t xml:space="preserve"> 30 minutes and ≤ </w:t>
      </w:r>
      <w:r w:rsidRPr="002D32BA">
        <w:t>45 minutes, &gt;</w:t>
      </w:r>
      <w:r w:rsidR="002D32BA">
        <w:t xml:space="preserve"> 45 minutes and ≤ </w:t>
      </w:r>
      <w:r w:rsidRPr="002D32BA">
        <w:t>60 minutes, &gt;</w:t>
      </w:r>
      <w:r w:rsidR="002D32BA">
        <w:t xml:space="preserve"> 60 minutes and ≤ </w:t>
      </w:r>
      <w:r w:rsidRPr="002D32BA">
        <w:t>120 minutes, &gt;</w:t>
      </w:r>
      <w:r w:rsidR="002D32BA">
        <w:t xml:space="preserve"> 120 minutes and ≤ </w:t>
      </w:r>
      <w:r w:rsidRPr="002D32BA">
        <w:t>240 minutes, &gt;</w:t>
      </w:r>
      <w:r w:rsidR="002D32BA">
        <w:t xml:space="preserve"> </w:t>
      </w:r>
      <w:r w:rsidRPr="002D32BA">
        <w:t xml:space="preserve">240 minutes </w:t>
      </w:r>
      <w:r w:rsidR="002D32BA">
        <w:t xml:space="preserve">and ≤ </w:t>
      </w:r>
      <w:r w:rsidRPr="002D32BA">
        <w:t>360 minutes, and &gt;</w:t>
      </w:r>
      <w:r w:rsidR="002D32BA">
        <w:t xml:space="preserve"> </w:t>
      </w:r>
      <w:r w:rsidRPr="002D32BA">
        <w:t>360 minutes)</w:t>
      </w:r>
    </w:p>
    <w:p w:rsidR="00FF0684" w:rsidRPr="002D32BA" w:rsidRDefault="00FF0684" w:rsidP="002D32BA">
      <w:pPr>
        <w:pStyle w:val="ListBullet"/>
      </w:pPr>
      <w:r w:rsidRPr="002D32BA">
        <w:t>Number and percentage of subjects with an improvement in IIEF erectile function domain score from baseline to end of treatment</w:t>
      </w:r>
    </w:p>
    <w:p w:rsidR="00FF0684" w:rsidRPr="002D32BA" w:rsidRDefault="00FF0684" w:rsidP="002D32BA">
      <w:pPr>
        <w:pStyle w:val="ListBullet"/>
      </w:pPr>
      <w:r w:rsidRPr="002D32BA">
        <w:t>Number and percentage of subjects with a normalized IIEF erectile function domain score (scor</w:t>
      </w:r>
      <w:r w:rsidR="002D32BA">
        <w:t xml:space="preserve">e ≥ </w:t>
      </w:r>
      <w:r w:rsidRPr="002D32BA">
        <w:t>26) at the end of treatment</w:t>
      </w:r>
    </w:p>
    <w:p w:rsidR="00FF0684" w:rsidRPr="002D32BA" w:rsidRDefault="00FF0684" w:rsidP="002D32BA">
      <w:pPr>
        <w:pStyle w:val="ListBullet"/>
      </w:pPr>
      <w:r w:rsidRPr="002D32BA">
        <w:t>Number of successful attempts at sexual activity (based on subject diary question 5, also referred to as SEP3)</w:t>
      </w:r>
    </w:p>
    <w:p w:rsidR="00FF0684" w:rsidRPr="002D32BA" w:rsidRDefault="00FF0684" w:rsidP="00FF0684">
      <w:pPr>
        <w:pStyle w:val="ListBullet"/>
      </w:pPr>
      <w:r w:rsidRPr="002D32BA">
        <w:t>Mean number of attempts at sexual activity per week</w:t>
      </w:r>
    </w:p>
    <w:p w:rsidR="00FF0684" w:rsidRPr="002D32BA" w:rsidRDefault="00FF0684" w:rsidP="00FF0684">
      <w:r w:rsidRPr="002D32BA">
        <w:t>The safety outcome measures were AEs, clinical laboratory evaluations, vital signs, physical examinations, and ECGs.</w:t>
      </w:r>
    </w:p>
    <w:p w:rsidR="00FF0684" w:rsidRPr="002D32BA" w:rsidRDefault="00FF0684" w:rsidP="002D32BA">
      <w:r w:rsidRPr="002D32BA">
        <w:t>Th</w:t>
      </w:r>
      <w:r w:rsidR="00F91E09">
        <w:t>e schedule of study procedures wa</w:t>
      </w:r>
      <w:r w:rsidRPr="002D32BA">
        <w:t>s summarised.</w:t>
      </w:r>
    </w:p>
    <w:p w:rsidR="00FF0684" w:rsidRPr="00FF0684" w:rsidRDefault="00FF0684" w:rsidP="00FF0684">
      <w:pPr>
        <w:pStyle w:val="Heading6"/>
      </w:pPr>
      <w:r w:rsidRPr="00FF0684">
        <w:t>Randomisation and blinding methods</w:t>
      </w:r>
    </w:p>
    <w:p w:rsidR="00FF0684" w:rsidRPr="002D32BA" w:rsidRDefault="00FF0684" w:rsidP="00FF0684">
      <w:r w:rsidRPr="002D32BA">
        <w:t>Subjects were randomised in</w:t>
      </w:r>
      <w:r w:rsidR="002D32BA">
        <w:t xml:space="preserve"> the ratio of 1:1:1:1 by IVRS. </w:t>
      </w:r>
      <w:r w:rsidRPr="002D32BA">
        <w:t>Blinding was maintained by using placebo tablets identical to the active treatment.</w:t>
      </w:r>
    </w:p>
    <w:p w:rsidR="00FF0684" w:rsidRPr="00FF0684" w:rsidRDefault="00FF0684" w:rsidP="00FF0684">
      <w:pPr>
        <w:pStyle w:val="Heading6"/>
      </w:pPr>
      <w:r w:rsidRPr="00FF0684">
        <w:t>Analysis populations</w:t>
      </w:r>
    </w:p>
    <w:p w:rsidR="00FF0684" w:rsidRPr="002D32BA" w:rsidDel="0081373E" w:rsidRDefault="00FF0684" w:rsidP="002D32BA">
      <w:r w:rsidRPr="002D32BA">
        <w:t xml:space="preserve">The ITT population was used for the analyses of efficacy and included all subjects who were randomised, took at least one dose of study drug and had at least one </w:t>
      </w:r>
      <w:r w:rsidR="002D32BA">
        <w:t xml:space="preserve">post-dose efficacy assessment. </w:t>
      </w:r>
      <w:r w:rsidRPr="002D32BA">
        <w:t>The safety population included all subjects who took at least one dose of study drug and had safety data available.</w:t>
      </w:r>
    </w:p>
    <w:p w:rsidR="00FF0684" w:rsidRPr="00FF0684" w:rsidDel="0081373E" w:rsidRDefault="00FF0684" w:rsidP="00FF0684">
      <w:pPr>
        <w:pStyle w:val="Heading6"/>
      </w:pPr>
      <w:r w:rsidRPr="00FF0684" w:rsidDel="0081373E">
        <w:t>Sample size</w:t>
      </w:r>
    </w:p>
    <w:p w:rsidR="00FF0684" w:rsidRPr="002D32BA" w:rsidRDefault="00FF0684" w:rsidP="002D32BA">
      <w:r w:rsidRPr="002D32BA">
        <w:t>The sample size calculation was based on all three primary efficacy outcome measures.</w:t>
      </w:r>
      <w:r w:rsidR="002D32BA">
        <w:t xml:space="preserve"> </w:t>
      </w:r>
      <w:r w:rsidRPr="002D32BA">
        <w:t>A sample size of 150 subjects in each group would provide the following power:</w:t>
      </w:r>
    </w:p>
    <w:p w:rsidR="00FF0684" w:rsidRPr="002D32BA" w:rsidRDefault="00FF0684" w:rsidP="002D32BA">
      <w:pPr>
        <w:pStyle w:val="ListBullet"/>
      </w:pPr>
      <w:r w:rsidRPr="002D32BA">
        <w:t>Successful penetration: using a SD of 32 for the change in percentage of subjects, there was &gt;</w:t>
      </w:r>
      <w:r w:rsidR="002D32BA">
        <w:t xml:space="preserve"> </w:t>
      </w:r>
      <w:r w:rsidRPr="002D32BA">
        <w:t>90% p</w:t>
      </w:r>
      <w:r w:rsidR="002D32BA">
        <w:t>ower to detect a 13% difference</w:t>
      </w:r>
    </w:p>
    <w:p w:rsidR="00FF0684" w:rsidRPr="002D32BA" w:rsidRDefault="00FF0684" w:rsidP="002D32BA">
      <w:pPr>
        <w:pStyle w:val="ListBullet"/>
      </w:pPr>
      <w:r w:rsidRPr="002D32BA">
        <w:t>Successful intercourse: using a SD of 33 for the change in percentage of subjects, there was &gt;</w:t>
      </w:r>
      <w:r w:rsidR="002D32BA">
        <w:t xml:space="preserve"> </w:t>
      </w:r>
      <w:r w:rsidRPr="002D32BA">
        <w:t>90% p</w:t>
      </w:r>
      <w:r w:rsidR="002D32BA">
        <w:t>ower to detect a 13% difference</w:t>
      </w:r>
    </w:p>
    <w:p w:rsidR="00FF0684" w:rsidRPr="002D32BA" w:rsidRDefault="00FF0684" w:rsidP="002D32BA">
      <w:pPr>
        <w:pStyle w:val="ListBullet"/>
      </w:pPr>
      <w:r w:rsidRPr="002D32BA">
        <w:t>IIEF erectile function domain score: using a SD of 7.0 for the change in IIEF erectile function domain score, there was 90% power to detect a mean difference of 3 poin</w:t>
      </w:r>
      <w:r w:rsidR="002D32BA">
        <w:t>ts</w:t>
      </w:r>
    </w:p>
    <w:p w:rsidR="00FF0684" w:rsidRPr="00FF0684" w:rsidRDefault="00FF0684" w:rsidP="00FF0684">
      <w:pPr>
        <w:pStyle w:val="Heading6"/>
      </w:pPr>
      <w:r w:rsidRPr="00FF0684">
        <w:t>Statistical methods</w:t>
      </w:r>
    </w:p>
    <w:p w:rsidR="00FF0684" w:rsidRPr="002D32BA" w:rsidRDefault="00FF0684" w:rsidP="002D32BA">
      <w:r w:rsidRPr="002D32BA">
        <w:t>ANCOVA models included baseline erectile dysfunction severity category and baseline values of the de</w:t>
      </w:r>
      <w:r w:rsidR="002D32BA">
        <w:t>pendent variable as covariates.</w:t>
      </w:r>
      <w:r w:rsidRPr="002D32BA">
        <w:t xml:space="preserve"> Missing data for the primary efficacy outcome measures were imputed using last observation carried </w:t>
      </w:r>
      <w:r w:rsidR="002D32BA">
        <w:t xml:space="preserve">forward (LOCF). </w:t>
      </w:r>
      <w:r w:rsidRPr="002D32BA">
        <w:t>Multiplicity was addressed by using a hierarchical approach to hypothesis testing, starting with the highest dose group.</w:t>
      </w:r>
    </w:p>
    <w:p w:rsidR="00FF0684" w:rsidRPr="00FF0684" w:rsidRDefault="00FF0684" w:rsidP="00FF0684">
      <w:pPr>
        <w:pStyle w:val="Heading6"/>
      </w:pPr>
      <w:bookmarkStart w:id="205" w:name="_Participant_flow"/>
      <w:bookmarkEnd w:id="205"/>
      <w:r w:rsidRPr="00FF0684">
        <w:t>Participant flow</w:t>
      </w:r>
    </w:p>
    <w:p w:rsidR="00FF0684" w:rsidRDefault="00FF0684" w:rsidP="002D32BA">
      <w:r w:rsidRPr="002D32BA">
        <w:t xml:space="preserve">There were 1509 subjects enrolled in the study, and 646 were randomised: 161 to avanafil 50 mg, 161 to 100 mg, 162 to 200 mg and 162 to </w:t>
      </w:r>
      <w:r w:rsidRPr="001327D2">
        <w:t>placebo (</w:t>
      </w:r>
      <w:hyperlink w:anchor="Table_7_1_1_1_2" w:history="1">
        <w:r w:rsidRPr="001327D2">
          <w:t xml:space="preserve">Table </w:t>
        </w:r>
        <w:r w:rsidR="00F91E09" w:rsidRPr="001327D2">
          <w:t>26</w:t>
        </w:r>
      </w:hyperlink>
      <w:r w:rsidR="002D32BA" w:rsidRPr="001327D2">
        <w:t xml:space="preserve">). </w:t>
      </w:r>
      <w:r w:rsidRPr="001327D2">
        <w:t>A total of 550</w:t>
      </w:r>
      <w:r w:rsidRPr="002D32BA">
        <w:t xml:space="preserve"> (85.1%) subjects completed the study: 131 (81.4%) in the avanafil 50 mg group, 141 (87.6%) in the 100 mg, 141 (87.0%) in the 200 mg and 137 (84.6%) in the placebo.  Only 17 (2.6%) subjects discontinued because of an adverse event.</w:t>
      </w:r>
    </w:p>
    <w:p w:rsidR="00714B60" w:rsidRDefault="00F91E09" w:rsidP="00F91E09">
      <w:pPr>
        <w:pStyle w:val="Tabletitle"/>
        <w:rPr>
          <w:lang w:val="en-US"/>
        </w:rPr>
      </w:pPr>
      <w:bookmarkStart w:id="206" w:name="Table_7_1_1_1_2"/>
      <w:r>
        <w:lastRenderedPageBreak/>
        <w:t>Table 26:</w:t>
      </w:r>
      <w:bookmarkEnd w:id="206"/>
      <w:r>
        <w:t xml:space="preserve"> </w:t>
      </w:r>
      <w:r w:rsidRPr="00C83476">
        <w:rPr>
          <w:lang w:val="en-US"/>
        </w:rPr>
        <w:t>Subject Disposition – All Enrolled Subjects</w:t>
      </w:r>
    </w:p>
    <w:p w:rsidR="00F91E09" w:rsidRPr="00C83476" w:rsidRDefault="00F91E09" w:rsidP="00F91E09">
      <w:pPr>
        <w:rPr>
          <w:rFonts w:ascii="Times New Roman" w:hAnsi="Times New Roman"/>
          <w:sz w:val="24"/>
        </w:rPr>
      </w:pPr>
      <w:r w:rsidRPr="00C83476">
        <w:rPr>
          <w:rFonts w:ascii="Times New Roman" w:hAnsi="Times New Roman"/>
          <w:noProof/>
          <w:sz w:val="24"/>
          <w:lang w:eastAsia="en-AU"/>
        </w:rPr>
        <w:drawing>
          <wp:inline distT="0" distB="0" distL="0" distR="0" wp14:anchorId="55CC9F68" wp14:editId="260C402F">
            <wp:extent cx="5289719" cy="2752725"/>
            <wp:effectExtent l="38100" t="38100" r="44450" b="28575"/>
            <wp:docPr id="128" name="Picture 128" descr="Table 26: Subject Disposition – All Enrolled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lum bright="-20000" contrast="40000"/>
                      <a:extLst>
                        <a:ext uri="{28A0092B-C50C-407E-A947-70E740481C1C}">
                          <a14:useLocalDpi xmlns:a14="http://schemas.microsoft.com/office/drawing/2010/main" val="0"/>
                        </a:ext>
                      </a:extLst>
                    </a:blip>
                    <a:srcRect r="1447" b="4491"/>
                    <a:stretch/>
                  </pic:blipFill>
                  <pic:spPr bwMode="auto">
                    <a:xfrm>
                      <a:off x="0" y="0"/>
                      <a:ext cx="5289719" cy="275272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FF0684" w:rsidRDefault="00FF0684" w:rsidP="00F91E09">
      <w:pPr>
        <w:pStyle w:val="Heading6"/>
      </w:pPr>
      <w:r w:rsidRPr="00FF0684">
        <w:t>Major protocol violations/deviations</w:t>
      </w:r>
    </w:p>
    <w:p w:rsidR="00FF0684" w:rsidRPr="002D32BA" w:rsidRDefault="00FF0684" w:rsidP="002D32BA">
      <w:r w:rsidRPr="002D32BA">
        <w:t>There were no protocol deviations that lead to exclusion form the analysis populations.</w:t>
      </w:r>
    </w:p>
    <w:p w:rsidR="00FF0684" w:rsidRPr="001940B2" w:rsidRDefault="00FF0684" w:rsidP="001940B2">
      <w:pPr>
        <w:pStyle w:val="Heading6"/>
      </w:pPr>
      <w:bookmarkStart w:id="207" w:name="_Baseline_data"/>
      <w:bookmarkEnd w:id="207"/>
      <w:r w:rsidRPr="00FF0684">
        <w:t>Baseline data</w:t>
      </w:r>
    </w:p>
    <w:p w:rsidR="00FF0684" w:rsidRPr="002D32BA" w:rsidRDefault="00FF0684" w:rsidP="002D32BA">
      <w:r w:rsidRPr="002D32BA">
        <w:t xml:space="preserve">The age range was 23 to 88 years, and there </w:t>
      </w:r>
      <w:r w:rsidR="002D32BA">
        <w:t xml:space="preserve">were 144 (22.3%) subjects aged ≥ 65 years. </w:t>
      </w:r>
      <w:r w:rsidRPr="002D32BA">
        <w:t>The treatment groups were similar in most demographic characteristics</w:t>
      </w:r>
      <w:r w:rsidR="002D32BA">
        <w:t xml:space="preserve">. </w:t>
      </w:r>
      <w:r w:rsidRPr="002D32BA">
        <w:t>However, there were fewer Black subjects in the avanafil 200 mg group.</w:t>
      </w:r>
      <w:r w:rsidR="002D32BA">
        <w:t xml:space="preserve"> </w:t>
      </w:r>
      <w:r w:rsidRPr="002D32BA">
        <w:t>There were 233 (36.2%) subjects with a history of hypertension and 61 (9.5%) with a history of coronary artery disease</w:t>
      </w:r>
      <w:r w:rsidR="002D32BA">
        <w:t xml:space="preserve">. </w:t>
      </w:r>
      <w:r w:rsidRPr="002D32BA">
        <w:t>The mean (SD) time from ingestion to initiation of sexual activity was 58.0 (68.</w:t>
      </w:r>
      <w:r w:rsidR="002D32BA">
        <w:t>43) minutes.</w:t>
      </w:r>
      <w:r w:rsidRPr="002D32BA">
        <w:t xml:space="preserve"> Concomitant antihypertensives were taken by 187 (29.0%) subjects, antidepressants by 49 (7.6%) and alpha blockers by 38 (5.9%).</w:t>
      </w:r>
    </w:p>
    <w:p w:rsidR="00FF0684" w:rsidRPr="00FF0684" w:rsidRDefault="00FF0684" w:rsidP="00FF0684">
      <w:pPr>
        <w:pStyle w:val="Heading6"/>
      </w:pPr>
      <w:bookmarkStart w:id="208" w:name="_Results_for_the"/>
      <w:bookmarkEnd w:id="208"/>
      <w:r w:rsidRPr="00FF0684">
        <w:t>Results for the primary efficacy outcome</w:t>
      </w:r>
    </w:p>
    <w:p w:rsidR="00FF0684" w:rsidRPr="002D32BA" w:rsidRDefault="00FF0684" w:rsidP="002D32BA">
      <w:pPr>
        <w:pStyle w:val="ListBullet"/>
      </w:pPr>
      <w:r w:rsidRPr="002D32BA">
        <w:t>Successful penetration: All the avanafil treatment groups were superior to placebo, and the 100 mg and 200 mg groups were superior to 50 mg</w:t>
      </w:r>
      <w:r w:rsidR="002D32BA">
        <w:t xml:space="preserve">. </w:t>
      </w:r>
      <w:r w:rsidRPr="002D32BA">
        <w:t>The mean (SD) change from baseline in % successful penetration was 7.1 (32.07) % for placebo, 18.9 (35.51) % for avanafil 50 mg, 27.3 (35.17) % for 100 mg and 29.0 (35.90) % for 200 mg.</w:t>
      </w:r>
    </w:p>
    <w:p w:rsidR="00FF0684" w:rsidRPr="002D32BA" w:rsidRDefault="00FF0684" w:rsidP="002D32BA">
      <w:pPr>
        <w:pStyle w:val="ListBullet"/>
      </w:pPr>
      <w:r w:rsidRPr="002D32BA">
        <w:t>Successful intercourse: All the avanafil treatment groups were superior to placebo, and the 100 mg and 200 mg groups were superior to 50 mg</w:t>
      </w:r>
      <w:r w:rsidR="002D32BA">
        <w:t xml:space="preserve">. </w:t>
      </w:r>
      <w:r w:rsidRPr="002D32BA">
        <w:t>The mean (SD) change from baseline in % successful intercourse was 14.4 (27.63) % for placebo, 27.8 (33.86) % for avanafil 50 mg, 43.2 (33.86) % for 100 mg and 44.6 (35.67) % for 200 mg.</w:t>
      </w:r>
    </w:p>
    <w:p w:rsidR="00FF0684" w:rsidRPr="002D32BA" w:rsidRDefault="00FF0684" w:rsidP="00FF0684">
      <w:pPr>
        <w:pStyle w:val="ListBullet"/>
      </w:pPr>
      <w:r w:rsidRPr="002D32BA">
        <w:t>The change in IIEF Erectile Function Domain Score was greater in all the avanafil treatment groups compared to placebo, and the 100 mg and 200 mg groups were superior to 50 mg</w:t>
      </w:r>
      <w:r w:rsidR="002D32BA">
        <w:t xml:space="preserve">. </w:t>
      </w:r>
      <w:r w:rsidRPr="002D32BA">
        <w:t xml:space="preserve">The mean (SD) change from baseline in IIEF Erectile Function Domain Score was 2.9 (6.38) for placebo, 5.4 (7.54) for avanafil 50 mg, 8.3 (7.67) for 100 </w:t>
      </w:r>
      <w:r w:rsidR="002D32BA">
        <w:t>mg and 9.5 (7.03) % for 200 mg.</w:t>
      </w:r>
    </w:p>
    <w:p w:rsidR="00FF0684" w:rsidRPr="00FF0684" w:rsidRDefault="00FF0684" w:rsidP="00FF0684">
      <w:pPr>
        <w:pStyle w:val="Heading6"/>
      </w:pPr>
      <w:bookmarkStart w:id="209" w:name="_Results_for_other"/>
      <w:bookmarkEnd w:id="209"/>
      <w:r w:rsidRPr="00FF0684">
        <w:t>Results for other efficacy outcomes</w:t>
      </w:r>
    </w:p>
    <w:p w:rsidR="00FF0684" w:rsidRPr="002D32BA" w:rsidRDefault="00FF0684" w:rsidP="002D32BA">
      <w:pPr>
        <w:pStyle w:val="ListBullet"/>
      </w:pPr>
      <w:r w:rsidRPr="002D32BA">
        <w:t>The change in IIEF Sexual Desire Domain Score was greater in all the avanafil treatment groups compared to placebo</w:t>
      </w:r>
      <w:r w:rsidR="002D32BA">
        <w:t>.</w:t>
      </w:r>
    </w:p>
    <w:p w:rsidR="00FF0684" w:rsidRPr="002D32BA" w:rsidRDefault="00FF0684" w:rsidP="002D32BA">
      <w:pPr>
        <w:pStyle w:val="ListBullet"/>
      </w:pPr>
      <w:r w:rsidRPr="002D32BA">
        <w:t>The change in IIEF Orgasmic Function Domain Score was greater in all the avanafil treatment groups compared to placebo</w:t>
      </w:r>
      <w:r w:rsidR="00E76733">
        <w:t>.</w:t>
      </w:r>
    </w:p>
    <w:p w:rsidR="00FF0684" w:rsidRPr="002D32BA" w:rsidRDefault="00FF0684" w:rsidP="002D32BA">
      <w:pPr>
        <w:pStyle w:val="ListBullet"/>
      </w:pPr>
      <w:r w:rsidRPr="002D32BA">
        <w:lastRenderedPageBreak/>
        <w:t>The change in IIEF Intercourse Satisfaction Domain Score was greater in all the avanafil treatment groups compared to placebo</w:t>
      </w:r>
      <w:r w:rsidR="00E76733">
        <w:t>.</w:t>
      </w:r>
    </w:p>
    <w:p w:rsidR="00FF0684" w:rsidRPr="002D32BA" w:rsidRDefault="00FF0684" w:rsidP="002D32BA">
      <w:pPr>
        <w:pStyle w:val="ListBullet"/>
      </w:pPr>
      <w:r w:rsidRPr="002D32BA">
        <w:t>The change in IIEF Overall Satisfaction Domain Score was greater in all the avanafil treatment groups compared to placebo</w:t>
      </w:r>
      <w:r w:rsidR="00E76733">
        <w:t>.</w:t>
      </w:r>
    </w:p>
    <w:p w:rsidR="00FF0684" w:rsidRPr="002D32BA" w:rsidRDefault="00FF0684" w:rsidP="002D32BA">
      <w:pPr>
        <w:pStyle w:val="ListBullet"/>
      </w:pPr>
      <w:r w:rsidRPr="002D32BA">
        <w:t>Ability to achieve an erection improved compared to placebo in all the treatment groups compared to placebo</w:t>
      </w:r>
      <w:r w:rsidR="00E76733">
        <w:t>.</w:t>
      </w:r>
    </w:p>
    <w:p w:rsidR="00FF0684" w:rsidRPr="00E76733" w:rsidRDefault="00FF0684" w:rsidP="002D32BA">
      <w:pPr>
        <w:pStyle w:val="ListBullet"/>
      </w:pPr>
      <w:r w:rsidRPr="00E76733">
        <w:t>Satisfaction with erection increased compared to placebo with all the treatment groups</w:t>
      </w:r>
      <w:r w:rsidR="00E76733" w:rsidRPr="00E76733">
        <w:t>.</w:t>
      </w:r>
    </w:p>
    <w:p w:rsidR="00FF0684" w:rsidRPr="00E76733" w:rsidRDefault="00FF0684" w:rsidP="002D32BA">
      <w:pPr>
        <w:pStyle w:val="ListBullet"/>
      </w:pPr>
      <w:r w:rsidRPr="00E76733">
        <w:t>The global response was improved compared to placebo in all the treatment groups</w:t>
      </w:r>
      <w:r w:rsidR="00E76733" w:rsidRPr="00E76733">
        <w:t>.</w:t>
      </w:r>
    </w:p>
    <w:p w:rsidR="00FF0684" w:rsidRPr="00E76733" w:rsidRDefault="00FF0684" w:rsidP="002D32BA">
      <w:pPr>
        <w:pStyle w:val="ListBullet"/>
      </w:pPr>
      <w:r w:rsidRPr="00E76733">
        <w:t>The percentage of subjects who would use the treatment again was 26.6% for placebo, 45.1% for 50 mg, 58.5% for 100 mg and 67.1% for 200 mg</w:t>
      </w:r>
      <w:r w:rsidR="00E76733" w:rsidRPr="00E76733">
        <w:t>.</w:t>
      </w:r>
    </w:p>
    <w:p w:rsidR="00FF0684" w:rsidRPr="00E76733" w:rsidRDefault="00FF0684" w:rsidP="002D32BA">
      <w:pPr>
        <w:pStyle w:val="ListBullet"/>
      </w:pPr>
      <w:r w:rsidRPr="00E76733">
        <w:t>The increase in the proportion of successful intercourse was from ≥</w:t>
      </w:r>
      <w:r w:rsidR="002D32BA" w:rsidRPr="00E76733">
        <w:t xml:space="preserve"> </w:t>
      </w:r>
      <w:r w:rsidRPr="00E76733">
        <w:t>15 minutes after ingestion (</w:t>
      </w:r>
      <w:hyperlink w:anchor="Table_7_1_1_1_15" w:history="1">
        <w:r w:rsidRPr="00E76733">
          <w:t xml:space="preserve">Table </w:t>
        </w:r>
        <w:r w:rsidR="00E76733" w:rsidRPr="00E76733">
          <w:t>27</w:t>
        </w:r>
      </w:hyperlink>
      <w:r w:rsidRPr="00E76733">
        <w:t>)</w:t>
      </w:r>
    </w:p>
    <w:p w:rsidR="00E76733" w:rsidRPr="00C83476" w:rsidRDefault="00E76733" w:rsidP="00E76733">
      <w:pPr>
        <w:pStyle w:val="Tabletitle"/>
      </w:pPr>
      <w:bookmarkStart w:id="210" w:name="Table_7_1_1_1_15"/>
      <w:r>
        <w:t>Table 27:</w:t>
      </w:r>
      <w:bookmarkEnd w:id="210"/>
      <w:r w:rsidR="00922589">
        <w:t xml:space="preserve"> </w:t>
      </w:r>
      <w:r>
        <w:t>S</w:t>
      </w:r>
      <w:r w:rsidRPr="00C83476">
        <w:rPr>
          <w:lang w:val="en-US"/>
        </w:rPr>
        <w:t>ummary of Attempts in Which Subjects Maintained an Erection of Sufficient Duration to Have Successful Intercourse by Time Interval (SEP3) – Intent-to-Treat Population</w:t>
      </w:r>
    </w:p>
    <w:p w:rsidR="00E76733" w:rsidRPr="00C83476" w:rsidRDefault="00E76733" w:rsidP="00E76733">
      <w:r w:rsidRPr="00C83476">
        <w:rPr>
          <w:noProof/>
          <w:lang w:eastAsia="en-AU"/>
        </w:rPr>
        <w:drawing>
          <wp:inline distT="0" distB="0" distL="0" distR="0" wp14:anchorId="3F071807" wp14:editId="0E318CED">
            <wp:extent cx="5819775" cy="4438650"/>
            <wp:effectExtent l="19050" t="19050" r="28575" b="19050"/>
            <wp:docPr id="147" name="Picture 147" descr="Table 27:  Summary of Attempts in Which Subjects Maintained an Erection of Sufficient Duration to Have Successful Intercourse by Time Interval (SEP3) –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lum bright="-20000" contrast="40000"/>
                      <a:extLst>
                        <a:ext uri="{28A0092B-C50C-407E-A947-70E740481C1C}">
                          <a14:useLocalDpi xmlns:a14="http://schemas.microsoft.com/office/drawing/2010/main" val="0"/>
                        </a:ext>
                      </a:extLst>
                    </a:blip>
                    <a:srcRect r="1768" b="3900"/>
                    <a:stretch/>
                  </pic:blipFill>
                  <pic:spPr bwMode="auto">
                    <a:xfrm>
                      <a:off x="0" y="0"/>
                      <a:ext cx="5818528" cy="443769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E76733" w:rsidRDefault="00FF0684" w:rsidP="002D32BA">
      <w:r w:rsidRPr="002D32BA">
        <w:t>There was no difference i</w:t>
      </w:r>
      <w:r w:rsidR="002D32BA">
        <w:t xml:space="preserve">n effect by age group or Race. </w:t>
      </w:r>
      <w:r w:rsidRPr="002D32BA">
        <w:t xml:space="preserve">However, for subjects in the severe group for Baseline Erectile Dysfunction severity, and those with </w:t>
      </w:r>
      <w:r w:rsidRPr="00E76733">
        <w:t>longer duration of ED, there was less effect for the avanafil 50 mg dose for successful penetration (</w:t>
      </w:r>
      <w:hyperlink w:anchor="Table_7_1_1_1_16" w:history="1">
        <w:r w:rsidRPr="00E76733">
          <w:t xml:space="preserve">Table </w:t>
        </w:r>
        <w:r w:rsidR="00E76733" w:rsidRPr="00E76733">
          <w:t>28</w:t>
        </w:r>
      </w:hyperlink>
      <w:r w:rsidR="00E76733" w:rsidRPr="00E76733">
        <w:t xml:space="preserve"> and Table 29</w:t>
      </w:r>
      <w:r w:rsidR="002D32BA" w:rsidRPr="00E76733">
        <w:t>).</w:t>
      </w:r>
    </w:p>
    <w:p w:rsidR="00E76733" w:rsidRPr="00922589" w:rsidRDefault="00E76733" w:rsidP="00922589">
      <w:pPr>
        <w:pStyle w:val="Tabletitle"/>
        <w:keepLines/>
      </w:pPr>
      <w:bookmarkStart w:id="211" w:name="Table_7_1_1_1_16"/>
      <w:r w:rsidRPr="00922589">
        <w:lastRenderedPageBreak/>
        <w:t>Table 28:</w:t>
      </w:r>
      <w:bookmarkEnd w:id="211"/>
      <w:r w:rsidRPr="00922589">
        <w:t xml:space="preserve"> Change in the Percentage of Sexual Attempts Between the Run-in Period and the Treatment Period in Which the Subject Was Able to Insert His Penis Into His Partner’s Vagina (SEP2) – Intent-to-Treat Population – Baseline Erectile Dysfunction Severity Subgroups</w:t>
      </w:r>
    </w:p>
    <w:p w:rsidR="00E76733" w:rsidRPr="00C83476" w:rsidRDefault="00E76733" w:rsidP="00714B60">
      <w:r w:rsidRPr="00C83476">
        <w:rPr>
          <w:noProof/>
          <w:lang w:eastAsia="en-AU"/>
        </w:rPr>
        <w:drawing>
          <wp:inline distT="0" distB="0" distL="0" distR="0" wp14:anchorId="7ECA436F" wp14:editId="3089E765">
            <wp:extent cx="5067300" cy="3362325"/>
            <wp:effectExtent l="38100" t="38100" r="38100" b="47625"/>
            <wp:docPr id="148" name="Picture 148" descr="Table 28: Change in the Percentage of Sexual Attempts Between the Run-in Period and the Treatment Period in Which the Subject Was Able to Insert His Penis Into His Partner’s Vagina (SEP2) – Intent-to-Treat Population – Baseline Erectile Dysfunction Severity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r="1396" b="4076"/>
                    <a:stretch/>
                  </pic:blipFill>
                  <pic:spPr bwMode="auto">
                    <a:xfrm>
                      <a:off x="0" y="0"/>
                      <a:ext cx="5067300" cy="336232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Start w:id="212" w:name="Table_7_1_1_1_17"/>
    <w:p w:rsidR="00E76733" w:rsidRPr="00C83476" w:rsidRDefault="00E76733" w:rsidP="00E76733">
      <w:pPr>
        <w:pStyle w:val="Tabletitle"/>
      </w:pPr>
      <w:r w:rsidRPr="00E76733">
        <w:fldChar w:fldCharType="begin"/>
      </w:r>
      <w:r w:rsidRPr="00E76733">
        <w:instrText xml:space="preserve"> HYPERLINK  \l "_Results_for_other" </w:instrText>
      </w:r>
      <w:r w:rsidRPr="00E76733">
        <w:fldChar w:fldCharType="separate"/>
      </w:r>
      <w:r w:rsidRPr="00E76733">
        <w:t>Table 29</w:t>
      </w:r>
      <w:bookmarkEnd w:id="212"/>
      <w:r w:rsidRPr="00E76733">
        <w:fldChar w:fldCharType="end"/>
      </w:r>
      <w:r w:rsidRPr="00E76733">
        <w:t>: Change in the Percentage of Sexual Attempts Between the Run-in Period and the Treatment Period in Which the Subject Was Able to Insert His Penis Into His Partner’s Vagina (SEP2) – Intent-to-Tre</w:t>
      </w:r>
      <w:r w:rsidRPr="00C83476">
        <w:rPr>
          <w:lang w:val="en-US"/>
        </w:rPr>
        <w:t>at Population – Duration of Erectile Dysfunction Subgroups</w:t>
      </w:r>
    </w:p>
    <w:p w:rsidR="00E76733" w:rsidRPr="00C83476" w:rsidRDefault="00E76733" w:rsidP="00E76733">
      <w:pPr>
        <w:rPr>
          <w:rFonts w:ascii="Times New Roman" w:hAnsi="Times New Roman"/>
          <w:sz w:val="24"/>
        </w:rPr>
      </w:pPr>
      <w:r w:rsidRPr="00C83476">
        <w:rPr>
          <w:rFonts w:ascii="Times New Roman" w:hAnsi="Times New Roman"/>
          <w:noProof/>
          <w:sz w:val="24"/>
          <w:lang w:eastAsia="en-AU"/>
        </w:rPr>
        <w:drawing>
          <wp:inline distT="0" distB="0" distL="0" distR="0" wp14:anchorId="0332E446" wp14:editId="526C05BB">
            <wp:extent cx="5048250" cy="3352800"/>
            <wp:effectExtent l="38100" t="38100" r="38100" b="38100"/>
            <wp:docPr id="150" name="Picture 150" descr="Table 29: Change in the Percentage of Sexual Attempts Between the Run-in Period and the Treatment Period in Which the Subject Was Able to Insert His Penis Into His Partner’s Vagina (SEP2) – Intent-to-Treat Population – Duration of Erectile Dysfunction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3820"/>
                    <a:stretch/>
                  </pic:blipFill>
                  <pic:spPr bwMode="auto">
                    <a:xfrm>
                      <a:off x="0" y="0"/>
                      <a:ext cx="5053162" cy="3356062"/>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FF0684" w:rsidRPr="00FF0684" w:rsidRDefault="00FF0684" w:rsidP="00FF0684">
      <w:pPr>
        <w:pStyle w:val="Heading5"/>
      </w:pPr>
      <w:bookmarkStart w:id="213" w:name="_Toc290846276"/>
      <w:bookmarkStart w:id="214" w:name="_Toc422725506"/>
      <w:r w:rsidRPr="00FF0684">
        <w:lastRenderedPageBreak/>
        <w:t xml:space="preserve">Study </w:t>
      </w:r>
      <w:bookmarkEnd w:id="213"/>
      <w:r w:rsidRPr="00FF0684">
        <w:t>TA-302</w:t>
      </w:r>
      <w:bookmarkEnd w:id="214"/>
    </w:p>
    <w:p w:rsidR="00FF0684" w:rsidRPr="00FF0684" w:rsidRDefault="00FF0684" w:rsidP="00FF0684">
      <w:pPr>
        <w:pStyle w:val="Heading6"/>
      </w:pPr>
      <w:r w:rsidRPr="00FF0684">
        <w:t>Study design, objectives, locations and dates</w:t>
      </w:r>
    </w:p>
    <w:p w:rsidR="00FF0684" w:rsidRPr="002D32BA" w:rsidRDefault="00FF0684" w:rsidP="002D32BA">
      <w:r w:rsidRPr="002D32BA">
        <w:t>Study TA-302 was a randomised, double blind, placebo controlled study of the efficacy of avanafil 100 mg and 200 mg in subjects with diabetes mellitus</w:t>
      </w:r>
      <w:r w:rsidR="002D32BA">
        <w:t xml:space="preserve">. </w:t>
      </w:r>
      <w:r w:rsidRPr="002D32BA">
        <w:t>The study was conducted at 39 centres in the US from December 2008 to February 2010.</w:t>
      </w:r>
    </w:p>
    <w:p w:rsidR="00FF0684" w:rsidRPr="00FF0684" w:rsidRDefault="00FF0684" w:rsidP="00FF0684">
      <w:pPr>
        <w:pStyle w:val="Heading6"/>
      </w:pPr>
      <w:r w:rsidRPr="00FF0684">
        <w:t>Inclusion and exclusion criteria</w:t>
      </w:r>
    </w:p>
    <w:p w:rsidR="00FF0684" w:rsidRPr="002D32BA" w:rsidRDefault="00FF0684" w:rsidP="002D32BA">
      <w:r w:rsidRPr="002D32BA">
        <w:t>The inclusion criteria were the same as for Study TA-301 with the exception of:</w:t>
      </w:r>
    </w:p>
    <w:p w:rsidR="00FF0684" w:rsidRPr="002D32BA" w:rsidRDefault="00FF0684" w:rsidP="002D32BA">
      <w:pPr>
        <w:pStyle w:val="ListBullet"/>
      </w:pPr>
      <w:r w:rsidRPr="002D32BA">
        <w:t>Documented diagnosis of diabetes (type 1 or type 2) prior to screening</w:t>
      </w:r>
    </w:p>
    <w:p w:rsidR="00FF0684" w:rsidRPr="002D32BA" w:rsidRDefault="00FF0684" w:rsidP="002D32BA">
      <w:r w:rsidRPr="002D32BA">
        <w:t>The exclusion criteria were the same as for Study TA-301 with the exception of:</w:t>
      </w:r>
    </w:p>
    <w:p w:rsidR="00FF0684" w:rsidRPr="002D32BA" w:rsidRDefault="00FF0684" w:rsidP="002D32BA">
      <w:pPr>
        <w:pStyle w:val="ListBullet"/>
      </w:pPr>
      <w:r w:rsidRPr="002D32BA">
        <w:t>History of 3 or more episodes of hypoglycemia requiring assistance within the last 2 years</w:t>
      </w:r>
    </w:p>
    <w:p w:rsidR="00FF0684" w:rsidRPr="002D32BA" w:rsidRDefault="00FF0684" w:rsidP="002D32BA">
      <w:pPr>
        <w:pStyle w:val="ListBullet"/>
      </w:pPr>
      <w:r w:rsidRPr="002D32BA">
        <w:t>Uncontrolled diabetes (h</w:t>
      </w:r>
      <w:r w:rsidR="00922589">
        <w:t>a</w:t>
      </w:r>
      <w:r w:rsidRPr="002D32BA">
        <w:t>emoglobin A1c [HbA1c] &gt;</w:t>
      </w:r>
      <w:r w:rsidR="002D32BA">
        <w:t xml:space="preserve"> </w:t>
      </w:r>
      <w:r w:rsidRPr="002D32BA">
        <w:t>9%)</w:t>
      </w:r>
    </w:p>
    <w:p w:rsidR="00FF0684" w:rsidRPr="002D32BA" w:rsidRDefault="00FF0684" w:rsidP="002D32BA">
      <w:pPr>
        <w:pStyle w:val="ListBullet"/>
      </w:pPr>
      <w:r w:rsidRPr="002D32BA">
        <w:t>Fasting blood glucose &gt;</w:t>
      </w:r>
      <w:r w:rsidR="002D32BA">
        <w:t xml:space="preserve"> </w:t>
      </w:r>
      <w:r w:rsidRPr="002D32BA">
        <w:t>270 mg/dL (15 mmol/L)</w:t>
      </w:r>
    </w:p>
    <w:p w:rsidR="00FF0684" w:rsidRPr="002D32BA" w:rsidRDefault="00FF0684" w:rsidP="002D32BA">
      <w:r w:rsidRPr="002D32BA">
        <w:t>The randomisation criteria wer</w:t>
      </w:r>
      <w:r w:rsidR="002D32BA" w:rsidRPr="002D32BA">
        <w:t>e the same as for Study TA-301.</w:t>
      </w:r>
    </w:p>
    <w:p w:rsidR="00FF0684" w:rsidRPr="00FF0684" w:rsidRDefault="00FF0684" w:rsidP="00FF0684">
      <w:pPr>
        <w:pStyle w:val="Heading6"/>
      </w:pPr>
      <w:r w:rsidRPr="00FF0684">
        <w:t>Study treatments</w:t>
      </w:r>
    </w:p>
    <w:p w:rsidR="00FF0684" w:rsidRPr="002D32BA" w:rsidRDefault="00FF0684" w:rsidP="002D32BA">
      <w:r w:rsidRPr="002D32BA">
        <w:t>The study treatments were:</w:t>
      </w:r>
    </w:p>
    <w:p w:rsidR="00FF0684" w:rsidRPr="002D32BA" w:rsidRDefault="00FF0684" w:rsidP="00E55BF2">
      <w:pPr>
        <w:pStyle w:val="Numberbullet0"/>
        <w:numPr>
          <w:ilvl w:val="0"/>
          <w:numId w:val="9"/>
        </w:numPr>
      </w:pPr>
      <w:r w:rsidRPr="002D32BA">
        <w:t>Avanafil 1 x 100 mg tablet</w:t>
      </w:r>
    </w:p>
    <w:p w:rsidR="00FF0684" w:rsidRPr="002D32BA" w:rsidRDefault="00FF0684" w:rsidP="00E55BF2">
      <w:pPr>
        <w:pStyle w:val="Numberbullet0"/>
        <w:numPr>
          <w:ilvl w:val="0"/>
          <w:numId w:val="9"/>
        </w:numPr>
      </w:pPr>
      <w:r w:rsidRPr="002D32BA">
        <w:t>Avanafil 2 x 100 mg tablets</w:t>
      </w:r>
    </w:p>
    <w:p w:rsidR="00FF0684" w:rsidRPr="002D32BA" w:rsidRDefault="00FF0684" w:rsidP="00E55BF2">
      <w:pPr>
        <w:pStyle w:val="Numberbullet0"/>
        <w:numPr>
          <w:ilvl w:val="0"/>
          <w:numId w:val="9"/>
        </w:numPr>
      </w:pPr>
      <w:r w:rsidRPr="002D32BA">
        <w:t>Placebo</w:t>
      </w:r>
    </w:p>
    <w:p w:rsidR="00FF0684" w:rsidRPr="002D32BA" w:rsidRDefault="00FF0684" w:rsidP="002D32BA">
      <w:r w:rsidRPr="002D32BA">
        <w:t>Subjects were instructed to take one dose (two tablets: active and/or placebo) 30 minutes prior to intercourse.</w:t>
      </w:r>
    </w:p>
    <w:p w:rsidR="00FF0684" w:rsidRPr="00FF0684" w:rsidRDefault="00FF0684" w:rsidP="00FF0684">
      <w:pPr>
        <w:pStyle w:val="Heading6"/>
      </w:pPr>
      <w:r w:rsidRPr="00FF0684">
        <w:t>Efficacy variables and outcomes</w:t>
      </w:r>
    </w:p>
    <w:p w:rsidR="00FF0684" w:rsidRPr="001327D2" w:rsidRDefault="00FF0684" w:rsidP="002D32BA">
      <w:r w:rsidRPr="001327D2">
        <w:t>The outcome measures were the same as for Study T</w:t>
      </w:r>
      <w:r w:rsidR="002D32BA" w:rsidRPr="001327D2">
        <w:t xml:space="preserve">A-301 (see </w:t>
      </w:r>
      <w:r w:rsidR="001327D2" w:rsidRPr="001327D2">
        <w:t>above</w:t>
      </w:r>
      <w:r w:rsidR="002D32BA" w:rsidRPr="001327D2">
        <w:t xml:space="preserve">). </w:t>
      </w:r>
      <w:r w:rsidRPr="001327D2">
        <w:t>The schedule of study visits was the same as for Study TA-301.</w:t>
      </w:r>
    </w:p>
    <w:p w:rsidR="00FF0684" w:rsidRPr="001327D2" w:rsidRDefault="00FF0684" w:rsidP="00FF0684">
      <w:pPr>
        <w:pStyle w:val="Heading6"/>
      </w:pPr>
      <w:r w:rsidRPr="001327D2">
        <w:t>Randomisation and blinding methods</w:t>
      </w:r>
    </w:p>
    <w:p w:rsidR="00FF0684" w:rsidRPr="001327D2" w:rsidRDefault="00FF0684" w:rsidP="002D32BA">
      <w:r w:rsidRPr="001327D2">
        <w:t>Randomisation was in the ratio 1:1:1 and blinding was maintained by using identical placebo tablets.</w:t>
      </w:r>
    </w:p>
    <w:p w:rsidR="00FF0684" w:rsidRPr="001327D2" w:rsidRDefault="00FF0684" w:rsidP="00FF0684">
      <w:pPr>
        <w:pStyle w:val="Heading6"/>
      </w:pPr>
      <w:r w:rsidRPr="001327D2">
        <w:t>Analysis populations</w:t>
      </w:r>
    </w:p>
    <w:p w:rsidR="00FF0684" w:rsidRPr="001327D2" w:rsidDel="0081373E" w:rsidRDefault="00FF0684" w:rsidP="002D32BA">
      <w:r w:rsidRPr="001327D2">
        <w:t>These were defined the same as for Study</w:t>
      </w:r>
      <w:r w:rsidR="002D32BA" w:rsidRPr="001327D2">
        <w:t xml:space="preserve"> TA-301 (see </w:t>
      </w:r>
      <w:r w:rsidR="001327D2" w:rsidRPr="001327D2">
        <w:t>above</w:t>
      </w:r>
      <w:r w:rsidR="002D32BA" w:rsidRPr="001327D2">
        <w:t>)</w:t>
      </w:r>
    </w:p>
    <w:p w:rsidR="00FF0684" w:rsidRPr="001327D2" w:rsidDel="0081373E" w:rsidRDefault="00FF0684" w:rsidP="00FF0684">
      <w:pPr>
        <w:pStyle w:val="Heading6"/>
      </w:pPr>
      <w:r w:rsidRPr="001327D2" w:rsidDel="0081373E">
        <w:t>Sample size</w:t>
      </w:r>
    </w:p>
    <w:p w:rsidR="00FF0684" w:rsidRPr="001327D2" w:rsidRDefault="00FF0684" w:rsidP="002D32BA">
      <w:r w:rsidRPr="001327D2">
        <w:t>The sample size calculation was based on all three prim</w:t>
      </w:r>
      <w:r w:rsidR="002D32BA" w:rsidRPr="001327D2">
        <w:t xml:space="preserve">ary efficacy outcome measures. </w:t>
      </w:r>
      <w:r w:rsidRPr="001327D2">
        <w:t>A sample size of 125 subjects in each group would provide the following power:</w:t>
      </w:r>
    </w:p>
    <w:p w:rsidR="00FF0684" w:rsidRPr="001327D2" w:rsidRDefault="00FF0684" w:rsidP="002D32BA">
      <w:pPr>
        <w:pStyle w:val="ListBullet"/>
      </w:pPr>
      <w:r w:rsidRPr="001327D2">
        <w:t>Successful penetration: using a SD of 32 for the change in percentage of subjects, there was &gt;</w:t>
      </w:r>
      <w:r w:rsidR="002D32BA" w:rsidRPr="001327D2">
        <w:t xml:space="preserve"> </w:t>
      </w:r>
      <w:r w:rsidRPr="001327D2">
        <w:t>90% p</w:t>
      </w:r>
      <w:r w:rsidR="002D32BA" w:rsidRPr="001327D2">
        <w:t>ower to detect a 13% difference</w:t>
      </w:r>
    </w:p>
    <w:p w:rsidR="00FF0684" w:rsidRPr="001327D2" w:rsidRDefault="00FF0684" w:rsidP="002D32BA">
      <w:pPr>
        <w:pStyle w:val="ListBullet"/>
      </w:pPr>
      <w:r w:rsidRPr="001327D2">
        <w:t>Successful intercourse: using a SD of 33 for the change in percentage of subjects, there was &gt;</w:t>
      </w:r>
      <w:r w:rsidR="002D32BA" w:rsidRPr="001327D2">
        <w:t xml:space="preserve"> </w:t>
      </w:r>
      <w:r w:rsidRPr="001327D2">
        <w:t>90% p</w:t>
      </w:r>
      <w:r w:rsidR="002D32BA" w:rsidRPr="001327D2">
        <w:t>ower to detect a 29% difference</w:t>
      </w:r>
    </w:p>
    <w:p w:rsidR="00FF0684" w:rsidRPr="001327D2" w:rsidRDefault="00FF0684" w:rsidP="002D32BA">
      <w:pPr>
        <w:pStyle w:val="ListBullet"/>
      </w:pPr>
      <w:r w:rsidRPr="001327D2">
        <w:t>IIEF erectile function domain score: using a SD of 7.0 for the change in IIEF erectile function domain score, there was 90% power to detec</w:t>
      </w:r>
      <w:r w:rsidR="002D32BA" w:rsidRPr="001327D2">
        <w:t>t a mean difference of 5 points</w:t>
      </w:r>
    </w:p>
    <w:p w:rsidR="00FF0684" w:rsidRPr="001327D2" w:rsidRDefault="00FF0684" w:rsidP="00FF0684">
      <w:pPr>
        <w:pStyle w:val="Heading6"/>
      </w:pPr>
      <w:r w:rsidRPr="001327D2">
        <w:t>Statistical methods</w:t>
      </w:r>
    </w:p>
    <w:p w:rsidR="00FF0684" w:rsidRPr="002D32BA" w:rsidRDefault="00FF0684" w:rsidP="002D32BA">
      <w:r w:rsidRPr="001327D2">
        <w:t xml:space="preserve">These were defined the same as for Study TA-301 (see </w:t>
      </w:r>
      <w:r w:rsidR="001327D2" w:rsidRPr="001327D2">
        <w:t>above</w:t>
      </w:r>
      <w:r w:rsidRPr="001327D2">
        <w:t>)</w:t>
      </w:r>
    </w:p>
    <w:p w:rsidR="00FF0684" w:rsidRPr="00FF0684" w:rsidRDefault="00FF0684" w:rsidP="00FF0684">
      <w:pPr>
        <w:pStyle w:val="Heading6"/>
      </w:pPr>
      <w:bookmarkStart w:id="215" w:name="_Participant_flow_1"/>
      <w:bookmarkEnd w:id="215"/>
      <w:r w:rsidRPr="00FF0684">
        <w:lastRenderedPageBreak/>
        <w:t>Participant flow</w:t>
      </w:r>
    </w:p>
    <w:p w:rsidR="00FF0684" w:rsidRDefault="00FF0684" w:rsidP="002D32BA">
      <w:r w:rsidRPr="002D32BA">
        <w:t xml:space="preserve">There were 1378 subjects enrolled in the study, and 390 were randomised: 129 to avanafil 100 mg, 131 to 200 mg and 130 to </w:t>
      </w:r>
      <w:r w:rsidRPr="00E76733">
        <w:t>placebo (</w:t>
      </w:r>
      <w:hyperlink w:anchor="Table_7_1_1_2_1" w:history="1">
        <w:r w:rsidRPr="00E76733">
          <w:t xml:space="preserve">Table </w:t>
        </w:r>
        <w:r w:rsidR="00E76733" w:rsidRPr="00E76733">
          <w:t>30</w:t>
        </w:r>
      </w:hyperlink>
      <w:r w:rsidR="002D32BA" w:rsidRPr="00E76733">
        <w:t xml:space="preserve">). </w:t>
      </w:r>
      <w:r w:rsidRPr="00E76733">
        <w:t>A total of 330 (85.4%) subjects completed the study: 109 (84.5%) in the avanafil 100 mg group, 114 (87.0%)</w:t>
      </w:r>
      <w:r w:rsidRPr="002D32BA">
        <w:t xml:space="preserve"> in the 200 mg and 110 (84.6%) in the placebo.  Only 4 (1.0%) subjects discontinued because of an adverse event.</w:t>
      </w:r>
    </w:p>
    <w:p w:rsidR="00E76733" w:rsidRPr="00C83476" w:rsidRDefault="00714B60" w:rsidP="00E76733">
      <w:pPr>
        <w:pStyle w:val="Tabletitle"/>
      </w:pPr>
      <w:hyperlink w:anchor="_Participant_flow_1" w:history="1">
        <w:r w:rsidR="00E76733" w:rsidRPr="00E76733">
          <w:t>Table 30:</w:t>
        </w:r>
      </w:hyperlink>
      <w:r w:rsidR="00E76733" w:rsidRPr="00E76733">
        <w:t xml:space="preserve"> Subject Disp</w:t>
      </w:r>
      <w:r w:rsidR="00E76733">
        <w:rPr>
          <w:bCs/>
          <w:lang w:val="en-US"/>
        </w:rPr>
        <w:t>osition All Enrolled Subjects</w:t>
      </w:r>
    </w:p>
    <w:p w:rsidR="00E76733" w:rsidRPr="00C83476" w:rsidRDefault="00E76733" w:rsidP="00E76733">
      <w:pPr>
        <w:rPr>
          <w:rFonts w:ascii="Times New Roman" w:hAnsi="Times New Roman"/>
          <w:sz w:val="24"/>
        </w:rPr>
      </w:pPr>
      <w:r w:rsidRPr="00C83476">
        <w:rPr>
          <w:rFonts w:ascii="Times New Roman" w:hAnsi="Times New Roman"/>
          <w:noProof/>
          <w:sz w:val="24"/>
          <w:lang w:eastAsia="en-AU"/>
        </w:rPr>
        <w:drawing>
          <wp:inline distT="0" distB="0" distL="0" distR="0" wp14:anchorId="1524A889" wp14:editId="3A6252D5">
            <wp:extent cx="5829300" cy="3086100"/>
            <wp:effectExtent l="38100" t="38100" r="38100" b="38100"/>
            <wp:docPr id="17" name="Picture 17" descr="Table 30: Subject Disposition – All Enroll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lum bright="-20000" contrast="40000"/>
                      <a:extLst>
                        <a:ext uri="{28A0092B-C50C-407E-A947-70E740481C1C}">
                          <a14:useLocalDpi xmlns:a14="http://schemas.microsoft.com/office/drawing/2010/main" val="0"/>
                        </a:ext>
                      </a:extLst>
                    </a:blip>
                    <a:srcRect r="1445" b="4706"/>
                    <a:stretch/>
                  </pic:blipFill>
                  <pic:spPr bwMode="auto">
                    <a:xfrm>
                      <a:off x="0" y="0"/>
                      <a:ext cx="5837706" cy="309055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FF0684" w:rsidRDefault="00FF0684" w:rsidP="00FF0684">
      <w:pPr>
        <w:pStyle w:val="Heading6"/>
      </w:pPr>
      <w:r w:rsidRPr="00FF0684">
        <w:t>Major protocol violations/deviations</w:t>
      </w:r>
    </w:p>
    <w:p w:rsidR="00FF0684" w:rsidRPr="002D32BA" w:rsidRDefault="00FF0684" w:rsidP="002D32BA">
      <w:r w:rsidRPr="002D32BA">
        <w:t>There were no protocol deviations that resulted in exclusion of a subject from an analysis population.</w:t>
      </w:r>
    </w:p>
    <w:p w:rsidR="00FF0684" w:rsidRPr="00FF0684" w:rsidRDefault="00FF0684" w:rsidP="00FF0684">
      <w:pPr>
        <w:pStyle w:val="Heading6"/>
      </w:pPr>
      <w:bookmarkStart w:id="216" w:name="_Baseline_data_1"/>
      <w:bookmarkEnd w:id="216"/>
      <w:r w:rsidRPr="00FF0684">
        <w:t>Baseline data</w:t>
      </w:r>
    </w:p>
    <w:p w:rsidR="00FF0684" w:rsidRDefault="00FF0684" w:rsidP="002D32BA">
      <w:r w:rsidRPr="002D32BA">
        <w:t xml:space="preserve">The age range was 30 to 78 years, and there </w:t>
      </w:r>
      <w:r w:rsidR="002D32BA">
        <w:t xml:space="preserve">were 105 (26.9%) subjects aged ≥ 65 years. </w:t>
      </w:r>
      <w:r w:rsidRPr="002D32BA">
        <w:t xml:space="preserve">The treatment groups were </w:t>
      </w:r>
      <w:r w:rsidRPr="001327D2">
        <w:t>disproportionate in race because there was a lower proportion of Black subjects in the avanafil 100 mg group (</w:t>
      </w:r>
      <w:hyperlink w:anchor="Table_7_1_1_2_2" w:history="1">
        <w:r w:rsidRPr="001327D2">
          <w:t xml:space="preserve">Table </w:t>
        </w:r>
        <w:r w:rsidR="005A2659" w:rsidRPr="001327D2">
          <w:t>31</w:t>
        </w:r>
      </w:hyperlink>
      <w:r w:rsidR="002D32BA" w:rsidRPr="001327D2">
        <w:t xml:space="preserve">). </w:t>
      </w:r>
      <w:r w:rsidRPr="001327D2">
        <w:t>However</w:t>
      </w:r>
      <w:r w:rsidRPr="002D32BA">
        <w:t>, the treatment groups were well matched in ED severity, other demographic characteristics</w:t>
      </w:r>
      <w:r w:rsidR="002D32BA">
        <w:t xml:space="preserve"> and diabetes characteristics. </w:t>
      </w:r>
      <w:r w:rsidRPr="002D32BA">
        <w:t>There were 260 (67.0%) subjects with a history of hypertension and 54 (13.9%) with a histo</w:t>
      </w:r>
      <w:r w:rsidR="002D32BA">
        <w:t xml:space="preserve">ry of coronary artery disease. </w:t>
      </w:r>
      <w:r w:rsidRPr="002D32BA">
        <w:t>The mean (SD) time from treatment administration to intercourse was 53.1 (31.61) minutes for avanafil 100 mg, 53.2 (43.63) minutes for 200 mg and 54</w:t>
      </w:r>
      <w:r w:rsidR="002D32BA">
        <w:t>.9 (42.81) minutes for placebo.</w:t>
      </w:r>
      <w:r w:rsidRPr="002D32BA">
        <w:t xml:space="preserve"> Common concomitant medications were antihypertensives for 239 (61.6%) subjects, alpha blockers for 24 (6.2%) and antidepressants for 23 (5.9%).</w:t>
      </w:r>
    </w:p>
    <w:p w:rsidR="005A2659" w:rsidRPr="005A2659" w:rsidRDefault="00714B60" w:rsidP="005A2659">
      <w:pPr>
        <w:pStyle w:val="Tabletitle"/>
      </w:pPr>
      <w:hyperlink w:anchor="_Baseline_data_1" w:history="1">
        <w:r w:rsidR="005A2659" w:rsidRPr="005A2659">
          <w:rPr>
            <w:rStyle w:val="Hyperlink"/>
            <w:color w:val="auto"/>
            <w:u w:val="none"/>
          </w:rPr>
          <w:t>Table 31:</w:t>
        </w:r>
      </w:hyperlink>
      <w:r w:rsidR="005A2659" w:rsidRPr="005A2659">
        <w:t xml:space="preserve"> Demographic and Baseline Characteristics – Randomized Population</w:t>
      </w:r>
    </w:p>
    <w:p w:rsidR="005A2659" w:rsidRPr="00C83476" w:rsidRDefault="005A2659" w:rsidP="005A2659">
      <w:pPr>
        <w:rPr>
          <w:rFonts w:ascii="Times New Roman" w:hAnsi="Times New Roman"/>
          <w:sz w:val="24"/>
        </w:rPr>
      </w:pPr>
      <w:r w:rsidRPr="00C83476">
        <w:rPr>
          <w:rFonts w:ascii="Times New Roman" w:hAnsi="Times New Roman"/>
          <w:noProof/>
          <w:sz w:val="24"/>
          <w:lang w:eastAsia="en-AU"/>
        </w:rPr>
        <w:drawing>
          <wp:inline distT="0" distB="0" distL="0" distR="0" wp14:anchorId="69107EA8" wp14:editId="38D7E599">
            <wp:extent cx="4905375" cy="5448300"/>
            <wp:effectExtent l="38100" t="38100" r="47625" b="38100"/>
            <wp:docPr id="153" name="Picture 153" descr="Table 31: Demographic and Baseline Characteristics – Randomiz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lum bright="-20000" contrast="40000"/>
                      <a:extLst>
                        <a:ext uri="{28A0092B-C50C-407E-A947-70E740481C1C}">
                          <a14:useLocalDpi xmlns:a14="http://schemas.microsoft.com/office/drawing/2010/main" val="0"/>
                        </a:ext>
                      </a:extLst>
                    </a:blip>
                    <a:srcRect r="961" b="2353"/>
                    <a:stretch/>
                  </pic:blipFill>
                  <pic:spPr bwMode="auto">
                    <a:xfrm>
                      <a:off x="0" y="0"/>
                      <a:ext cx="4906146" cy="5449156"/>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FF0684" w:rsidRDefault="00FF0684" w:rsidP="00FF0684">
      <w:pPr>
        <w:pStyle w:val="Heading6"/>
      </w:pPr>
      <w:bookmarkStart w:id="217" w:name="_Results_for_the_1"/>
      <w:bookmarkEnd w:id="217"/>
      <w:r w:rsidRPr="00FF0684">
        <w:t>Results for the primary efficacy outcome</w:t>
      </w:r>
    </w:p>
    <w:p w:rsidR="00FF0684" w:rsidRPr="0050488C" w:rsidRDefault="00FF0684" w:rsidP="0050488C">
      <w:pPr>
        <w:pStyle w:val="ListBullet"/>
      </w:pPr>
      <w:r w:rsidRPr="0050488C">
        <w:t>Successful intercourse: Both avanafil treatment groups were superior to placebo, and there was no difference in effect between the 100 mg and 200 mg groups</w:t>
      </w:r>
      <w:r w:rsidR="002D32BA" w:rsidRPr="0050488C">
        <w:t xml:space="preserve">. </w:t>
      </w:r>
      <w:r w:rsidRPr="0050488C">
        <w:t>The mean (SD) change from baseline in % successful intercourse was 10.5 (27.73) % for placebo, 26.2 (33.71) % for 100 mg and 32.1 (32.94) % for 200 mg.</w:t>
      </w:r>
    </w:p>
    <w:p w:rsidR="00FF0684" w:rsidRPr="0050488C" w:rsidRDefault="00FF0684" w:rsidP="0050488C">
      <w:pPr>
        <w:pStyle w:val="ListBullet"/>
      </w:pPr>
      <w:r w:rsidRPr="0050488C">
        <w:t>Successful penetration: Both avanafil treatment groups were superior to placebo, and there was no difference in effect between the 100 mg and 200 mg groups</w:t>
      </w:r>
      <w:r w:rsidR="002D32BA" w:rsidRPr="0050488C">
        <w:t xml:space="preserve">. </w:t>
      </w:r>
      <w:r w:rsidRPr="0050488C">
        <w:t>The mean (SD) change from baseline in % successful penetration was 5.9 (31.16) % for placebo, 21.5 (37.19) % for 100 mg and 22.0 (35.00) % for 200 mg.</w:t>
      </w:r>
    </w:p>
    <w:p w:rsidR="00FF0684" w:rsidRPr="0050488C" w:rsidRDefault="00FF0684" w:rsidP="0050488C">
      <w:pPr>
        <w:pStyle w:val="ListBullet"/>
      </w:pPr>
      <w:r w:rsidRPr="0050488C">
        <w:t>The change in IIEF Erectile Function Domain Score was greater for both avanafil treatment groups compared to placebo, and there was no significant difference between the avanafil 100 mg and 200 mg groups</w:t>
      </w:r>
      <w:r w:rsidR="0050488C">
        <w:t>.</w:t>
      </w:r>
      <w:r w:rsidRPr="0050488C">
        <w:t xml:space="preserve"> The mean (SD) change from baseline in IIEF Erectile Function Domain Score was 1.8 (6.24) for placebo, 4.6 (7.00) for avanafil 100 mg and 5.3 (7.50) % for 200 mg.</w:t>
      </w:r>
    </w:p>
    <w:p w:rsidR="00FF0684" w:rsidRPr="00FF0684" w:rsidRDefault="00FF0684" w:rsidP="00FF0684">
      <w:pPr>
        <w:pStyle w:val="Heading6"/>
      </w:pPr>
      <w:bookmarkStart w:id="218" w:name="_Results_for_other_1"/>
      <w:bookmarkEnd w:id="218"/>
      <w:r w:rsidRPr="00FF0684">
        <w:lastRenderedPageBreak/>
        <w:t>Results for other efficacy outcomes</w:t>
      </w:r>
    </w:p>
    <w:p w:rsidR="00FF0684" w:rsidRPr="0050488C" w:rsidRDefault="00FF0684" w:rsidP="0050488C">
      <w:pPr>
        <w:pStyle w:val="ListBullet"/>
      </w:pPr>
      <w:r w:rsidRPr="0050488C">
        <w:t>The change in IIEF Orgasmic Function Domain Score was greater for both avanafil treatment groups compared to placebo</w:t>
      </w:r>
      <w:r w:rsidR="000B6737">
        <w:t>.</w:t>
      </w:r>
    </w:p>
    <w:p w:rsidR="00FF0684" w:rsidRPr="0050488C" w:rsidRDefault="00FF0684" w:rsidP="0050488C">
      <w:pPr>
        <w:pStyle w:val="ListBullet"/>
      </w:pPr>
      <w:r w:rsidRPr="0050488C">
        <w:t>There was no significant difference between either avanafil dose and placebo in the change in IIEF Sexual Desire Domain Score</w:t>
      </w:r>
      <w:r w:rsidR="000B6737">
        <w:t>.</w:t>
      </w:r>
    </w:p>
    <w:p w:rsidR="00FF0684" w:rsidRPr="0050488C" w:rsidRDefault="00FF0684" w:rsidP="0050488C">
      <w:pPr>
        <w:pStyle w:val="ListBullet"/>
      </w:pPr>
      <w:r w:rsidRPr="0050488C">
        <w:t>The change in IIEF Intercourse Satisfaction Domain Score was greater for both avanafil treatment groups compared to placebo</w:t>
      </w:r>
      <w:r w:rsidR="000B6737">
        <w:t>.</w:t>
      </w:r>
    </w:p>
    <w:p w:rsidR="00FF0684" w:rsidRPr="0050488C" w:rsidRDefault="00FF0684" w:rsidP="0050488C">
      <w:pPr>
        <w:pStyle w:val="ListBullet"/>
      </w:pPr>
      <w:r w:rsidRPr="0050488C">
        <w:t>The change in IIEF Overall Satisfaction Domain Score was greater for both avanafil treatment groups compared to placebo</w:t>
      </w:r>
      <w:r w:rsidR="000B6737">
        <w:t>.</w:t>
      </w:r>
    </w:p>
    <w:p w:rsidR="00FF0684" w:rsidRPr="0050488C" w:rsidRDefault="00FF0684" w:rsidP="0050488C">
      <w:pPr>
        <w:pStyle w:val="ListBullet"/>
      </w:pPr>
      <w:r w:rsidRPr="0050488C">
        <w:t>There was a significant improvement in the ability to achieve an erection in the avanafil 200 mg group compared to placebo, but not in the 100 mg group</w:t>
      </w:r>
      <w:r w:rsidR="000B6737">
        <w:t>.</w:t>
      </w:r>
    </w:p>
    <w:p w:rsidR="00FF0684" w:rsidRPr="0050488C" w:rsidRDefault="00FF0684" w:rsidP="0050488C">
      <w:pPr>
        <w:pStyle w:val="ListBullet"/>
      </w:pPr>
      <w:r w:rsidRPr="0050488C">
        <w:t>Satisfaction with erection increased compared to placebo in both treatment groups</w:t>
      </w:r>
      <w:r w:rsidR="000B6737">
        <w:t>.</w:t>
      </w:r>
    </w:p>
    <w:p w:rsidR="00FF0684" w:rsidRPr="0050488C" w:rsidRDefault="00FF0684" w:rsidP="0050488C">
      <w:pPr>
        <w:pStyle w:val="ListBullet"/>
      </w:pPr>
      <w:r w:rsidRPr="0050488C">
        <w:t>The global response was improved compared to</w:t>
      </w:r>
      <w:r w:rsidR="000B6737">
        <w:t xml:space="preserve"> placebo both treatment groups.</w:t>
      </w:r>
    </w:p>
    <w:p w:rsidR="00FF0684" w:rsidRPr="0050488C" w:rsidRDefault="00FF0684" w:rsidP="0050488C">
      <w:pPr>
        <w:pStyle w:val="ListBullet"/>
      </w:pPr>
      <w:r w:rsidRPr="0050488C">
        <w:t>The percentage of subjects who would use the treatment again was 27% for placebo, 47% for 100 mg and 57% for 200 mg</w:t>
      </w:r>
      <w:r w:rsidR="000B6737">
        <w:t>.</w:t>
      </w:r>
    </w:p>
    <w:p w:rsidR="00FF0684" w:rsidRPr="0050488C" w:rsidRDefault="00FF0684" w:rsidP="0050488C">
      <w:pPr>
        <w:pStyle w:val="ListBullet"/>
      </w:pPr>
      <w:r w:rsidRPr="0050488C">
        <w:t>There was a difference in time of onset of effect between the avanafil 100 mg and 200 mg treatments. The increase in the proportion of s</w:t>
      </w:r>
      <w:r w:rsidR="0050488C">
        <w:t xml:space="preserve">uccessful intercourse was from ≥ </w:t>
      </w:r>
      <w:r w:rsidRPr="0050488C">
        <w:t>15 minutes after ingestion for 100 mg but from &gt;</w:t>
      </w:r>
      <w:r w:rsidR="0050488C">
        <w:t xml:space="preserve"> </w:t>
      </w:r>
      <w:r w:rsidRPr="0050488C">
        <w:t>15 minutes for 200 mg</w:t>
      </w:r>
      <w:r w:rsidR="0050488C">
        <w:t xml:space="preserve">. </w:t>
      </w:r>
      <w:r w:rsidRPr="0050488C">
        <w:t>There was a similar pattern for Satisfaction with Sexual Experience and propor</w:t>
      </w:r>
      <w:r w:rsidR="000B6737">
        <w:t>tion of successful penetration</w:t>
      </w:r>
      <w:r w:rsidRPr="0050488C">
        <w:t>.</w:t>
      </w:r>
    </w:p>
    <w:p w:rsidR="00FF0684" w:rsidRPr="0050488C" w:rsidRDefault="00FF0684" w:rsidP="0050488C">
      <w:r w:rsidRPr="0050488C">
        <w:t>There was no difference in efficacy by type of dia</w:t>
      </w:r>
      <w:r w:rsidR="0050488C">
        <w:t xml:space="preserve">betes or duration of diabetes. </w:t>
      </w:r>
      <w:r w:rsidRPr="0050488C">
        <w:t>The subgroup analysis indicated decreased effect in the Black subgroup, but this was based on a small sample size</w:t>
      </w:r>
      <w:r w:rsidR="0050488C">
        <w:t xml:space="preserve">. </w:t>
      </w:r>
      <w:r w:rsidRPr="0050488C">
        <w:t>There was no difference in effect by Baseline Erectile Dysfunction severity or duration of ED.</w:t>
      </w:r>
    </w:p>
    <w:p w:rsidR="00FF0684" w:rsidRPr="00FF0684" w:rsidRDefault="00FF0684" w:rsidP="00FF0684">
      <w:pPr>
        <w:pStyle w:val="Heading5"/>
      </w:pPr>
      <w:bookmarkStart w:id="219" w:name="_Toc422725507"/>
      <w:r w:rsidRPr="00FF0684">
        <w:t>Study TA-303</w:t>
      </w:r>
      <w:bookmarkEnd w:id="219"/>
    </w:p>
    <w:p w:rsidR="00FF0684" w:rsidRPr="00FF0684" w:rsidRDefault="00FF0684" w:rsidP="00FF0684">
      <w:pPr>
        <w:pStyle w:val="Heading6"/>
      </w:pPr>
      <w:r w:rsidRPr="00FF0684">
        <w:t>Study design, objectives, locations and dates</w:t>
      </w:r>
    </w:p>
    <w:p w:rsidR="00FF0684" w:rsidRPr="0050488C" w:rsidRDefault="0050488C" w:rsidP="0050488C">
      <w:r>
        <w:t>Study TA-303</w:t>
      </w:r>
      <w:r w:rsidR="00FF0684" w:rsidRPr="0050488C">
        <w:t xml:space="preserve"> was a randomised, double blind, placebo controlled study of the efficacy and safety of avanafil in subjects with ED following bilateral nerve-sparing radical prostatectomy</w:t>
      </w:r>
      <w:r>
        <w:t xml:space="preserve">. </w:t>
      </w:r>
      <w:r w:rsidR="00FF0684" w:rsidRPr="0050488C">
        <w:t>The study was conducted at 53 centres in the US from April 2009 to October 2011.</w:t>
      </w:r>
    </w:p>
    <w:p w:rsidR="00FF0684" w:rsidRPr="00FF0684" w:rsidRDefault="00FF0684" w:rsidP="00FF0684">
      <w:pPr>
        <w:pStyle w:val="Heading6"/>
      </w:pPr>
      <w:r w:rsidRPr="00FF0684">
        <w:t>Inclusion and exclusion criteria</w:t>
      </w:r>
    </w:p>
    <w:p w:rsidR="00FF0684" w:rsidRPr="0050488C" w:rsidRDefault="00FF0684" w:rsidP="0050488C">
      <w:r w:rsidRPr="0050488C">
        <w:t>The inclusion criteria were the same as for Study TA-301 with the exception of:</w:t>
      </w:r>
    </w:p>
    <w:p w:rsidR="00FF0684" w:rsidRPr="0050488C" w:rsidRDefault="0050488C" w:rsidP="0050488C">
      <w:pPr>
        <w:pStyle w:val="ListBullet"/>
      </w:pPr>
      <w:r>
        <w:t xml:space="preserve">Males ≥ </w:t>
      </w:r>
      <w:r w:rsidR="00FF0684" w:rsidRPr="0050488C">
        <w:t xml:space="preserve">18 </w:t>
      </w:r>
      <w:r>
        <w:t xml:space="preserve">years and ≤ </w:t>
      </w:r>
      <w:r w:rsidR="00FF0684" w:rsidRPr="0050488C">
        <w:t>70 years of age at the time of screening</w:t>
      </w:r>
    </w:p>
    <w:p w:rsidR="00FF0684" w:rsidRPr="0050488C" w:rsidRDefault="00FF0684" w:rsidP="0050488C">
      <w:pPr>
        <w:pStyle w:val="ListBullet"/>
      </w:pPr>
      <w:r w:rsidRPr="0050488C">
        <w:t>History of ED of at least 6 months duration following bilateral nerve-sparing retropubic radical prostatectomy, as evidenced by an inability to penetrate their partner on at least 50% of attempts at sexual intercourse without the use of medical therapy</w:t>
      </w:r>
    </w:p>
    <w:p w:rsidR="00FF0684" w:rsidRPr="0050488C" w:rsidRDefault="00FF0684" w:rsidP="0050488C">
      <w:pPr>
        <w:pStyle w:val="ListBullet"/>
      </w:pPr>
      <w:r w:rsidRPr="0050488C">
        <w:t>History of bilateral nerve-sparing retropubic radical prostatectomy for localized carcinoma of the prostate at least 6 months prior to screening</w:t>
      </w:r>
    </w:p>
    <w:p w:rsidR="00FF0684" w:rsidRPr="0050488C" w:rsidRDefault="0050488C" w:rsidP="0050488C">
      <w:pPr>
        <w:pStyle w:val="ListBullet"/>
      </w:pPr>
      <w:r>
        <w:t xml:space="preserve">Prostate carcinoma stage ≤ pT2 and Gleason score ≤ </w:t>
      </w:r>
      <w:r w:rsidR="00FF0684" w:rsidRPr="0050488C">
        <w:t>7 (4 + 3)</w:t>
      </w:r>
    </w:p>
    <w:p w:rsidR="00FF0684" w:rsidRPr="0050488C" w:rsidRDefault="00FF0684" w:rsidP="0050488C">
      <w:pPr>
        <w:pStyle w:val="ListBullet"/>
      </w:pPr>
      <w:r w:rsidRPr="0050488C">
        <w:t>Prostate specific antigen (PSA) level at screening consistent with the absence of residual prostate cancer</w:t>
      </w:r>
    </w:p>
    <w:p w:rsidR="00FF0684" w:rsidRPr="0050488C" w:rsidRDefault="00FF0684" w:rsidP="00FF0684">
      <w:pPr>
        <w:pStyle w:val="ListBullet"/>
      </w:pPr>
      <w:r w:rsidRPr="0050488C">
        <w:t>History of sexual potency prior to radical prostatectomy that did not require routine medical therapy to achieve or maintain an erection</w:t>
      </w:r>
    </w:p>
    <w:p w:rsidR="00FF0684" w:rsidRPr="0050488C" w:rsidRDefault="00FF0684" w:rsidP="0050488C">
      <w:r w:rsidRPr="0050488C">
        <w:t>The exclusion criteria were similar to those for Study TA-301, the important differences being:</w:t>
      </w:r>
    </w:p>
    <w:p w:rsidR="00FF0684" w:rsidRPr="0050488C" w:rsidRDefault="00FF0684" w:rsidP="0050488C">
      <w:pPr>
        <w:pStyle w:val="ListBullet"/>
      </w:pPr>
      <w:r w:rsidRPr="0050488C">
        <w:lastRenderedPageBreak/>
        <w:t>History of dose-limiting adverse effects during prior treatment with a PDE5 inhibitor or discontinued use of more than one PDE5 inhibitor more than 6 months post-operatively due to lack of efficacy at the highest tolerated dose</w:t>
      </w:r>
    </w:p>
    <w:p w:rsidR="00FF0684" w:rsidRPr="0050488C" w:rsidRDefault="00FF0684" w:rsidP="0050488C">
      <w:pPr>
        <w:pStyle w:val="ListBullet"/>
      </w:pPr>
      <w:r w:rsidRPr="0050488C">
        <w:t>History of severe erectile dysfunction requiring routine medical therapy prior to bilateral nerve-sparing radical prostatectomy</w:t>
      </w:r>
    </w:p>
    <w:p w:rsidR="00FF0684" w:rsidRPr="0050488C" w:rsidRDefault="00FF0684" w:rsidP="0050488C">
      <w:r w:rsidRPr="0050488C">
        <w:t>The randomisation criteria were the same as for Study TA-301.</w:t>
      </w:r>
    </w:p>
    <w:p w:rsidR="00FF0684" w:rsidRPr="00FF0684" w:rsidRDefault="00FF0684" w:rsidP="00FF0684">
      <w:pPr>
        <w:pStyle w:val="Heading6"/>
      </w:pPr>
      <w:r w:rsidRPr="00FF0684">
        <w:t>Study treatments</w:t>
      </w:r>
    </w:p>
    <w:p w:rsidR="00FF0684" w:rsidRPr="0050488C" w:rsidRDefault="00FF0684" w:rsidP="0050488C">
      <w:r w:rsidRPr="0050488C">
        <w:t>The study treatments were:</w:t>
      </w:r>
    </w:p>
    <w:p w:rsidR="00FF0684" w:rsidRPr="0050488C" w:rsidRDefault="00FF0684" w:rsidP="00E55BF2">
      <w:pPr>
        <w:pStyle w:val="Numberbullet0"/>
        <w:numPr>
          <w:ilvl w:val="0"/>
          <w:numId w:val="10"/>
        </w:numPr>
      </w:pPr>
      <w:r w:rsidRPr="0050488C">
        <w:t>Avanafil 1 x 100 mg tablet</w:t>
      </w:r>
    </w:p>
    <w:p w:rsidR="00FF0684" w:rsidRPr="0050488C" w:rsidRDefault="00FF0684" w:rsidP="00E55BF2">
      <w:pPr>
        <w:pStyle w:val="Numberbullet0"/>
        <w:numPr>
          <w:ilvl w:val="0"/>
          <w:numId w:val="10"/>
        </w:numPr>
      </w:pPr>
      <w:r w:rsidRPr="0050488C">
        <w:t>Avanafil 2 x 100 mg tablets</w:t>
      </w:r>
    </w:p>
    <w:p w:rsidR="00FF0684" w:rsidRPr="0050488C" w:rsidRDefault="00FF0684" w:rsidP="00E55BF2">
      <w:pPr>
        <w:pStyle w:val="Numberbullet0"/>
        <w:numPr>
          <w:ilvl w:val="0"/>
          <w:numId w:val="10"/>
        </w:numPr>
      </w:pPr>
      <w:r w:rsidRPr="0050488C">
        <w:t>Placebo</w:t>
      </w:r>
    </w:p>
    <w:p w:rsidR="00FF0684" w:rsidRPr="0050488C" w:rsidRDefault="00FF0684" w:rsidP="0050488C">
      <w:r w:rsidRPr="0050488C">
        <w:t>Subjects were instructed to take one dose (two tablets: active and/or placebo) 30 minutes prior to intercourse.</w:t>
      </w:r>
    </w:p>
    <w:p w:rsidR="00FF0684" w:rsidRPr="00FF0684" w:rsidRDefault="00FF0684" w:rsidP="00FF0684">
      <w:pPr>
        <w:pStyle w:val="Heading6"/>
      </w:pPr>
      <w:r w:rsidRPr="00FF0684">
        <w:t>Efficacy variables and outcomes</w:t>
      </w:r>
    </w:p>
    <w:p w:rsidR="00FF0684" w:rsidRPr="001327D2" w:rsidRDefault="00FF0684" w:rsidP="0050488C">
      <w:r w:rsidRPr="0050488C">
        <w:t xml:space="preserve">The outcome measures were the same as for </w:t>
      </w:r>
      <w:r w:rsidRPr="001327D2">
        <w:t>Study T</w:t>
      </w:r>
      <w:r w:rsidR="0050488C" w:rsidRPr="001327D2">
        <w:t xml:space="preserve">A-301 (see </w:t>
      </w:r>
      <w:r w:rsidR="001327D2" w:rsidRPr="001327D2">
        <w:t>above</w:t>
      </w:r>
      <w:r w:rsidR="0050488C" w:rsidRPr="001327D2">
        <w:t xml:space="preserve">). </w:t>
      </w:r>
      <w:r w:rsidRPr="001327D2">
        <w:t>The schedule of study visits was the same as for Study TA-301.</w:t>
      </w:r>
    </w:p>
    <w:p w:rsidR="00FF0684" w:rsidRPr="001327D2" w:rsidRDefault="00FF0684" w:rsidP="00FF0684">
      <w:pPr>
        <w:pStyle w:val="Heading6"/>
      </w:pPr>
      <w:r w:rsidRPr="001327D2">
        <w:t>Randomisation and blinding methods</w:t>
      </w:r>
    </w:p>
    <w:p w:rsidR="00FF0684" w:rsidRPr="001327D2" w:rsidRDefault="00FF0684" w:rsidP="0050488C">
      <w:r w:rsidRPr="001327D2">
        <w:t>Randomisation was stratified by IIEF Erectile Function Domain Score in a ratio 1:1:1 and conducted using IVRS.</w:t>
      </w:r>
    </w:p>
    <w:p w:rsidR="00FF0684" w:rsidRPr="001327D2" w:rsidRDefault="00FF0684" w:rsidP="00FF0684">
      <w:pPr>
        <w:pStyle w:val="Heading6"/>
      </w:pPr>
      <w:r w:rsidRPr="001327D2">
        <w:t>Analysis populations</w:t>
      </w:r>
    </w:p>
    <w:p w:rsidR="00FF0684" w:rsidRPr="001327D2" w:rsidDel="0081373E" w:rsidRDefault="00FF0684" w:rsidP="0050488C">
      <w:r w:rsidRPr="001327D2">
        <w:t xml:space="preserve">These were defined the same as for Study TA-301 (see </w:t>
      </w:r>
      <w:r w:rsidR="001327D2" w:rsidRPr="001327D2">
        <w:t>above</w:t>
      </w:r>
      <w:r w:rsidRPr="001327D2">
        <w:t>)</w:t>
      </w:r>
    </w:p>
    <w:p w:rsidR="00FF0684" w:rsidRPr="001327D2" w:rsidDel="0081373E" w:rsidRDefault="00FF0684" w:rsidP="00FF0684">
      <w:pPr>
        <w:pStyle w:val="Heading6"/>
      </w:pPr>
      <w:r w:rsidRPr="001327D2" w:rsidDel="0081373E">
        <w:t>Sample size</w:t>
      </w:r>
    </w:p>
    <w:p w:rsidR="00FF0684" w:rsidRPr="001327D2" w:rsidRDefault="00FF0684" w:rsidP="0050488C">
      <w:r w:rsidRPr="001327D2">
        <w:t>The sample size calculation was based on all three primary efficacy outcome measures and used prior data from a study of vardenafil con</w:t>
      </w:r>
      <w:r w:rsidR="0050488C" w:rsidRPr="001327D2">
        <w:t>ducted in a similar population.</w:t>
      </w:r>
      <w:r w:rsidRPr="001327D2">
        <w:t xml:space="preserve"> A sample size of 100 subjects in each group would provide the following power:</w:t>
      </w:r>
    </w:p>
    <w:p w:rsidR="00FF0684" w:rsidRPr="001327D2" w:rsidRDefault="00FF0684" w:rsidP="0050488C">
      <w:pPr>
        <w:pStyle w:val="ListBullet"/>
      </w:pPr>
      <w:r w:rsidRPr="001327D2">
        <w:t>Successful penetration: using a SD of 57.4 for the change in percentage of subjects, there was 86% pow</w:t>
      </w:r>
      <w:r w:rsidR="0050488C" w:rsidRPr="001327D2">
        <w:t>er to detect a 25.7% difference</w:t>
      </w:r>
    </w:p>
    <w:p w:rsidR="00FF0684" w:rsidRPr="001327D2" w:rsidRDefault="00FF0684" w:rsidP="0050488C">
      <w:pPr>
        <w:pStyle w:val="ListBullet"/>
      </w:pPr>
      <w:r w:rsidRPr="001327D2">
        <w:t>Successful intercourse: using a SD of 56 for the change in percentage of subjects, there was &gt;86% powe</w:t>
      </w:r>
      <w:r w:rsidR="0050488C" w:rsidRPr="001327D2">
        <w:t>r to detect a 24.3% difference</w:t>
      </w:r>
    </w:p>
    <w:p w:rsidR="00FF0684" w:rsidRPr="001327D2" w:rsidRDefault="00FF0684" w:rsidP="0050488C">
      <w:pPr>
        <w:pStyle w:val="ListBullet"/>
      </w:pPr>
      <w:r w:rsidRPr="001327D2">
        <w:t>IIEF erectile function domain score: using a SD of 11.8 for the change in IIEF erectile function domain score, there was 86% power to detect a mean difference of 6.1 points</w:t>
      </w:r>
    </w:p>
    <w:p w:rsidR="00FF0684" w:rsidRPr="001327D2" w:rsidRDefault="00FF0684" w:rsidP="00FF0684">
      <w:pPr>
        <w:pStyle w:val="Heading6"/>
      </w:pPr>
      <w:r w:rsidRPr="001327D2">
        <w:t>Statistical methods</w:t>
      </w:r>
    </w:p>
    <w:p w:rsidR="00FF0684" w:rsidRPr="001327D2" w:rsidRDefault="00FF0684" w:rsidP="00FF0684">
      <w:r w:rsidRPr="001327D2">
        <w:t xml:space="preserve">The statistical methods were the same as for Study TA-301 (see </w:t>
      </w:r>
      <w:r w:rsidR="001327D2" w:rsidRPr="001327D2">
        <w:t>above</w:t>
      </w:r>
      <w:r w:rsidRPr="001327D2">
        <w:t>).</w:t>
      </w:r>
    </w:p>
    <w:p w:rsidR="00FF0684" w:rsidRPr="001327D2" w:rsidRDefault="00FF0684" w:rsidP="00FF0684">
      <w:pPr>
        <w:pStyle w:val="Heading6"/>
      </w:pPr>
      <w:bookmarkStart w:id="220" w:name="_Participant_flow_2"/>
      <w:bookmarkEnd w:id="220"/>
      <w:r w:rsidRPr="001327D2">
        <w:t>Participant flow</w:t>
      </w:r>
    </w:p>
    <w:p w:rsidR="00FF0684" w:rsidRDefault="00FF0684" w:rsidP="0050488C">
      <w:r w:rsidRPr="001327D2">
        <w:t>There were 528 subjects enrolled in the study, and 298 were randomised to treatment: 99 to avanafil 100 mg, 99 to 200 mg and 100 to placebo (</w:t>
      </w:r>
      <w:hyperlink w:anchor="Table_7_1_1_3_1" w:history="1">
        <w:r w:rsidRPr="001327D2">
          <w:t xml:space="preserve">Table </w:t>
        </w:r>
        <w:r w:rsidR="005A2659" w:rsidRPr="001327D2">
          <w:t>32</w:t>
        </w:r>
      </w:hyperlink>
      <w:r w:rsidR="0050488C" w:rsidRPr="001327D2">
        <w:t xml:space="preserve">). </w:t>
      </w:r>
      <w:r w:rsidRPr="001327D2">
        <w:t xml:space="preserve">A total of 252 (84.6%) subjects completed the study: 85 (85.9%) in the avanafil 100 mg group, 91 (91.9%) in the 200 mg </w:t>
      </w:r>
      <w:r w:rsidR="0050488C" w:rsidRPr="001327D2">
        <w:t>and</w:t>
      </w:r>
      <w:r w:rsidR="0050488C">
        <w:t xml:space="preserve"> 76 (76.0%) in the placebo. </w:t>
      </w:r>
      <w:r w:rsidRPr="0050488C">
        <w:t>Five (1.7%) subjects discontinued because of an adverse event.</w:t>
      </w:r>
    </w:p>
    <w:bookmarkStart w:id="221" w:name="Table_7_1_1_3_1"/>
    <w:p w:rsidR="005A2659" w:rsidRPr="005A2659" w:rsidRDefault="005A2659" w:rsidP="005A2659">
      <w:pPr>
        <w:pStyle w:val="Tabletitle"/>
      </w:pPr>
      <w:r w:rsidRPr="005A2659">
        <w:lastRenderedPageBreak/>
        <w:fldChar w:fldCharType="begin"/>
      </w:r>
      <w:r w:rsidRPr="005A2659">
        <w:instrText xml:space="preserve"> HYPERLINK  \l "_Participant_flow_2" </w:instrText>
      </w:r>
      <w:r w:rsidRPr="005A2659">
        <w:fldChar w:fldCharType="separate"/>
      </w:r>
      <w:r w:rsidRPr="005A2659">
        <w:rPr>
          <w:rStyle w:val="Hyperlink"/>
          <w:color w:val="auto"/>
          <w:u w:val="none"/>
        </w:rPr>
        <w:t>Table 32:</w:t>
      </w:r>
      <w:bookmarkEnd w:id="221"/>
      <w:r w:rsidRPr="005A2659">
        <w:fldChar w:fldCharType="end"/>
      </w:r>
      <w:r w:rsidRPr="005A2659">
        <w:t xml:space="preserve"> Subject Disposition – All Enrolled Subjects</w:t>
      </w:r>
    </w:p>
    <w:p w:rsidR="005A2659" w:rsidRPr="00C83476" w:rsidRDefault="005A2659" w:rsidP="005A2659">
      <w:pPr>
        <w:rPr>
          <w:rFonts w:ascii="Times New Roman" w:hAnsi="Times New Roman"/>
          <w:sz w:val="24"/>
        </w:rPr>
      </w:pPr>
      <w:r w:rsidRPr="00C83476">
        <w:rPr>
          <w:rFonts w:ascii="Times New Roman" w:hAnsi="Times New Roman"/>
          <w:noProof/>
          <w:sz w:val="24"/>
          <w:lang w:eastAsia="en-AU"/>
        </w:rPr>
        <w:drawing>
          <wp:inline distT="0" distB="0" distL="0" distR="0" wp14:anchorId="4D8FEE01" wp14:editId="25AA8AE2">
            <wp:extent cx="5848350" cy="3619500"/>
            <wp:effectExtent l="38100" t="38100" r="38100" b="38100"/>
            <wp:docPr id="170" name="Picture 170" descr="Table 32: Subject Disposition – All Enroll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a:lum bright="-20000" contrast="40000"/>
                      <a:extLst>
                        <a:ext uri="{28A0092B-C50C-407E-A947-70E740481C1C}">
                          <a14:useLocalDpi xmlns:a14="http://schemas.microsoft.com/office/drawing/2010/main" val="0"/>
                        </a:ext>
                      </a:extLst>
                    </a:blip>
                    <a:srcRect r="1286" b="4018"/>
                    <a:stretch/>
                  </pic:blipFill>
                  <pic:spPr bwMode="auto">
                    <a:xfrm>
                      <a:off x="0" y="0"/>
                      <a:ext cx="5847096" cy="3618724"/>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FF0684" w:rsidRDefault="00FF0684" w:rsidP="00FF0684">
      <w:pPr>
        <w:pStyle w:val="Heading6"/>
      </w:pPr>
      <w:r w:rsidRPr="00FF0684">
        <w:t>Major protocol violations/deviations</w:t>
      </w:r>
    </w:p>
    <w:p w:rsidR="00FF0684" w:rsidRPr="0050488C" w:rsidRDefault="00FF0684" w:rsidP="0050488C">
      <w:r w:rsidRPr="0050488C">
        <w:t>There were no protocol deviations that resulted in a subject being excluded from an analysis population.</w:t>
      </w:r>
    </w:p>
    <w:p w:rsidR="00FF0684" w:rsidRPr="00FF0684" w:rsidRDefault="00FF0684" w:rsidP="00FF0684">
      <w:pPr>
        <w:pStyle w:val="Heading6"/>
      </w:pPr>
      <w:bookmarkStart w:id="222" w:name="_Baseline_data_2"/>
      <w:bookmarkEnd w:id="222"/>
      <w:r w:rsidRPr="00FF0684">
        <w:t>Baseline data</w:t>
      </w:r>
    </w:p>
    <w:p w:rsidR="00FF0684" w:rsidRDefault="00FF0684" w:rsidP="0050488C">
      <w:r w:rsidRPr="0050488C">
        <w:t>The age range was 40 to 70 years and there</w:t>
      </w:r>
      <w:r w:rsidR="0050488C">
        <w:t xml:space="preserve"> were 48 (16.1%) subjects aged ≥ 65 years. </w:t>
      </w:r>
      <w:r w:rsidRPr="0050488C">
        <w:t xml:space="preserve">The treatment groups were similar in demographic characteristics, baseline ED characteristics, prior treatment and </w:t>
      </w:r>
      <w:r w:rsidRPr="00645D5C">
        <w:t>rehabilitation (</w:t>
      </w:r>
      <w:hyperlink w:anchor="Table_7_1_1_3_2" w:history="1">
        <w:r w:rsidRPr="00645D5C">
          <w:t xml:space="preserve">Table </w:t>
        </w:r>
        <w:r w:rsidR="00645D5C" w:rsidRPr="00645D5C">
          <w:t>33</w:t>
        </w:r>
      </w:hyperlink>
      <w:r w:rsidR="0050488C" w:rsidRPr="00645D5C">
        <w:t xml:space="preserve">). </w:t>
      </w:r>
      <w:r w:rsidRPr="00645D5C">
        <w:t>There were</w:t>
      </w:r>
      <w:r w:rsidRPr="0050488C">
        <w:t xml:space="preserve"> 125 (41.9%) subjects with a history of hypertension, 38 (12.8%) with other cardiovascular disease and seven (2.3%)</w:t>
      </w:r>
      <w:r w:rsidR="0050488C">
        <w:t xml:space="preserve"> with coronary artery disease. </w:t>
      </w:r>
      <w:r w:rsidRPr="0050488C">
        <w:t xml:space="preserve">There were 118 (39.6%) taking concomitant antihypertensives, 28 (9.4%) antidepressants </w:t>
      </w:r>
      <w:r w:rsidR="0050488C">
        <w:t>and four (1.3%) alpha blockers.</w:t>
      </w:r>
    </w:p>
    <w:bookmarkStart w:id="223" w:name="Table_7_1_1_3_2"/>
    <w:p w:rsidR="00645D5C" w:rsidRDefault="00645D5C" w:rsidP="00645D5C">
      <w:pPr>
        <w:pStyle w:val="Tabletitle"/>
      </w:pPr>
      <w:r w:rsidRPr="00645D5C">
        <w:lastRenderedPageBreak/>
        <w:fldChar w:fldCharType="begin"/>
      </w:r>
      <w:r w:rsidRPr="00645D5C">
        <w:instrText xml:space="preserve"> HYPERLINK  \l "_Baseline_data_2" </w:instrText>
      </w:r>
      <w:r w:rsidRPr="00645D5C">
        <w:fldChar w:fldCharType="separate"/>
      </w:r>
      <w:r w:rsidRPr="00645D5C">
        <w:rPr>
          <w:rStyle w:val="Hyperlink"/>
          <w:color w:val="auto"/>
          <w:u w:val="none"/>
        </w:rPr>
        <w:t>Table 33</w:t>
      </w:r>
      <w:bookmarkEnd w:id="223"/>
      <w:r w:rsidRPr="00645D5C">
        <w:fldChar w:fldCharType="end"/>
      </w:r>
      <w:r w:rsidRPr="00645D5C">
        <w:t>: Demographic and Baseline Characteristics – Randomized Population</w:t>
      </w:r>
    </w:p>
    <w:p w:rsidR="00645D5C" w:rsidRPr="00645D5C" w:rsidRDefault="00645D5C" w:rsidP="00645D5C">
      <w:r>
        <w:rPr>
          <w:noProof/>
          <w:lang w:eastAsia="en-AU"/>
        </w:rPr>
        <w:drawing>
          <wp:inline distT="0" distB="0" distL="0" distR="0" wp14:anchorId="1A9ED6DF" wp14:editId="5AA5E986">
            <wp:extent cx="4448175" cy="7934325"/>
            <wp:effectExtent l="38100" t="38100" r="47625" b="47625"/>
            <wp:docPr id="18" name="Picture 18" descr="Table 33: Demographic and Baseline Characteristics – Randomiz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Lst>
                    </a:blip>
                    <a:srcRect l="3112" t="583" b="2205"/>
                    <a:stretch/>
                  </pic:blipFill>
                  <pic:spPr bwMode="auto">
                    <a:xfrm>
                      <a:off x="0" y="0"/>
                      <a:ext cx="4448175" cy="793432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FF0684" w:rsidRDefault="00FF0684" w:rsidP="00FF0684">
      <w:pPr>
        <w:pStyle w:val="Heading6"/>
      </w:pPr>
      <w:bookmarkStart w:id="224" w:name="_Results_for_the_2"/>
      <w:bookmarkEnd w:id="224"/>
      <w:r w:rsidRPr="00FF0684">
        <w:lastRenderedPageBreak/>
        <w:t>Results for the primary efficacy outcome</w:t>
      </w:r>
    </w:p>
    <w:p w:rsidR="00FF0684" w:rsidRPr="0050488C" w:rsidRDefault="00FF0684" w:rsidP="0050488C">
      <w:pPr>
        <w:pStyle w:val="ListBullet"/>
      </w:pPr>
      <w:r w:rsidRPr="0050488C">
        <w:t>Successful intercourse: Both avanafil treatment groups were superior to placebo, and there was no significant difference in effect between the 100 mg and 200 mg gr</w:t>
      </w:r>
      <w:r w:rsidR="00645D5C">
        <w:t>oups.</w:t>
      </w:r>
      <w:r w:rsidRPr="0050488C">
        <w:t>The mean (SD) change from baseline in % successful intercourse was 4.8 (19.89) % for placebo, 18.3 (30.18) % for 100 mg and 21.1 (31.83) % for 200 mg.</w:t>
      </w:r>
    </w:p>
    <w:p w:rsidR="00FF0684" w:rsidRPr="0050488C" w:rsidRDefault="00FF0684" w:rsidP="0050488C">
      <w:pPr>
        <w:pStyle w:val="ListBullet"/>
      </w:pPr>
      <w:r w:rsidRPr="0050488C">
        <w:t>Successful penetration: Both avanafil treatment groups were superior to placebo, and there was no significant difference in effect betwee</w:t>
      </w:r>
      <w:r w:rsidR="00645D5C">
        <w:t>n the 100 mg and 200 mg groups</w:t>
      </w:r>
      <w:r w:rsidRPr="0050488C">
        <w:t>. The mean (SD) change from baseline in % successful penetration was -0.4 (21.59) % for placebo, 15.3 (32.21) % for 100 mg and 20.8 (31.78) % for 200 mg.</w:t>
      </w:r>
    </w:p>
    <w:p w:rsidR="00FF0684" w:rsidRPr="0050488C" w:rsidRDefault="00FF0684" w:rsidP="00FF0684">
      <w:pPr>
        <w:pStyle w:val="ListBullet"/>
      </w:pPr>
      <w:r w:rsidRPr="0050488C">
        <w:t>The change in IIEF Erectile Function Domain Score was greater for both avanafil treatment groups compared to placebo, and there was no significant difference between the avanafil 100 mg and 200 mg groups</w:t>
      </w:r>
      <w:r w:rsidR="0050488C">
        <w:t xml:space="preserve">. </w:t>
      </w:r>
      <w:r w:rsidRPr="0050488C">
        <w:t>The mean (SD) change from baseline in IIEF Erectile Function Domain Score was 0.1 (3.56) for placebo, 3.6 (7.04) for avanafil 100 mg and 5.2 (7.00) % for 200 mg.</w:t>
      </w:r>
    </w:p>
    <w:p w:rsidR="00FF0684" w:rsidRPr="00FF0684" w:rsidRDefault="00FF0684" w:rsidP="00FF0684">
      <w:pPr>
        <w:pStyle w:val="Heading6"/>
      </w:pPr>
      <w:bookmarkStart w:id="225" w:name="_Results_for_other_2"/>
      <w:bookmarkEnd w:id="225"/>
      <w:r w:rsidRPr="00FF0684">
        <w:t>Results for other efficacy outcomes</w:t>
      </w:r>
    </w:p>
    <w:p w:rsidR="00FF0684" w:rsidRPr="0050488C" w:rsidRDefault="00FF0684" w:rsidP="0050488C">
      <w:pPr>
        <w:pStyle w:val="ListBullet"/>
      </w:pPr>
      <w:r w:rsidRPr="0050488C">
        <w:t>The change in IIEF Orgasmic Function Domain Score was greater for the avanafil treatment group compared to placebo, but there was no significant difference for the 100 mg group</w:t>
      </w:r>
      <w:r w:rsidR="00645D5C">
        <w:t>.</w:t>
      </w:r>
    </w:p>
    <w:p w:rsidR="00FF0684" w:rsidRPr="0050488C" w:rsidRDefault="00FF0684" w:rsidP="0050488C">
      <w:pPr>
        <w:pStyle w:val="ListBullet"/>
      </w:pPr>
      <w:r w:rsidRPr="0050488C">
        <w:t>There was no significant difference between either avanafil dose and placebo in the change in IIEF Sexual Desire Domain Score</w:t>
      </w:r>
      <w:r w:rsidR="00645D5C">
        <w:t>.</w:t>
      </w:r>
    </w:p>
    <w:p w:rsidR="00FF0684" w:rsidRPr="0050488C" w:rsidRDefault="00FF0684" w:rsidP="0050488C">
      <w:pPr>
        <w:pStyle w:val="ListBullet"/>
      </w:pPr>
      <w:r w:rsidRPr="0050488C">
        <w:t>The change in IIEF Intercourse Satisfaction Domain Score was greater both avanafil treatment groups compared to placebo</w:t>
      </w:r>
      <w:r w:rsidR="00645D5C">
        <w:t>.</w:t>
      </w:r>
    </w:p>
    <w:p w:rsidR="00FF0684" w:rsidRPr="0050488C" w:rsidRDefault="00FF0684" w:rsidP="0050488C">
      <w:pPr>
        <w:pStyle w:val="ListBullet"/>
      </w:pPr>
      <w:r w:rsidRPr="0050488C">
        <w:t>The change in IIEF Overall Satisfaction Domain Score was greater both avanafil treatment groups compared to placebo</w:t>
      </w:r>
      <w:r w:rsidR="00645D5C">
        <w:t>.</w:t>
      </w:r>
    </w:p>
    <w:p w:rsidR="00FF0684" w:rsidRPr="0050488C" w:rsidRDefault="00FF0684" w:rsidP="0050488C">
      <w:pPr>
        <w:pStyle w:val="ListBullet"/>
      </w:pPr>
      <w:r w:rsidRPr="0050488C">
        <w:t>There was a significant improvement in the ability to achieve an erection both avanafil groups compared to placebo</w:t>
      </w:r>
      <w:r w:rsidR="00645D5C">
        <w:t>.</w:t>
      </w:r>
    </w:p>
    <w:p w:rsidR="00FF0684" w:rsidRPr="0050488C" w:rsidRDefault="00FF0684" w:rsidP="0050488C">
      <w:pPr>
        <w:pStyle w:val="ListBullet"/>
      </w:pPr>
      <w:r w:rsidRPr="0050488C">
        <w:t>Satisfaction with erection increased compared to placebo in both treatment groups</w:t>
      </w:r>
      <w:r w:rsidR="00645D5C">
        <w:t>.</w:t>
      </w:r>
    </w:p>
    <w:p w:rsidR="00FF0684" w:rsidRPr="0050488C" w:rsidRDefault="00FF0684" w:rsidP="0050488C">
      <w:pPr>
        <w:pStyle w:val="ListBullet"/>
      </w:pPr>
      <w:r w:rsidRPr="0050488C">
        <w:t>Satisfaction with sexual experience increased compared to placebo in both treatment groups</w:t>
      </w:r>
      <w:r w:rsidR="00645D5C">
        <w:t>.</w:t>
      </w:r>
    </w:p>
    <w:p w:rsidR="00FF0684" w:rsidRPr="0050488C" w:rsidRDefault="00FF0684" w:rsidP="0050488C">
      <w:pPr>
        <w:pStyle w:val="ListBullet"/>
      </w:pPr>
      <w:r w:rsidRPr="0050488C">
        <w:t>The global response was improved compared to placebo both treatment groups</w:t>
      </w:r>
      <w:r w:rsidR="00645D5C">
        <w:t>.</w:t>
      </w:r>
    </w:p>
    <w:p w:rsidR="00FF0684" w:rsidRPr="0050488C" w:rsidRDefault="00FF0684" w:rsidP="0050488C">
      <w:pPr>
        <w:pStyle w:val="ListBullet"/>
      </w:pPr>
      <w:r w:rsidRPr="0050488C">
        <w:t>The percentage of subjects who would use the treatment again was 27.7% for placebo, 39.8% for 100 mg and 57.6% for 200 mg</w:t>
      </w:r>
      <w:r w:rsidR="00645D5C">
        <w:t>.</w:t>
      </w:r>
    </w:p>
    <w:p w:rsidR="00FF0684" w:rsidRPr="00645D5C" w:rsidRDefault="00FF0684" w:rsidP="0050488C">
      <w:pPr>
        <w:pStyle w:val="ListBullet"/>
      </w:pPr>
      <w:r w:rsidRPr="0050488C">
        <w:t>There was similar time of onset of effect for the avanafil</w:t>
      </w:r>
      <w:r w:rsidR="0050488C">
        <w:t xml:space="preserve"> 100 mg and 200 mg treatments. </w:t>
      </w:r>
      <w:r w:rsidRPr="0050488C">
        <w:t>However, the effect f</w:t>
      </w:r>
      <w:r w:rsidR="0050488C">
        <w:t xml:space="preserve">or the 100 mg dose was greater ≤ </w:t>
      </w:r>
      <w:r w:rsidRPr="0050488C">
        <w:t xml:space="preserve">15 minutes post ingestion than the 200 mg dose, but effect decreased from </w:t>
      </w:r>
      <w:r w:rsidRPr="00645D5C">
        <w:t>that time point (</w:t>
      </w:r>
      <w:hyperlink w:anchor="Table_7_1_1_3_14" w:history="1">
        <w:r w:rsidR="00645D5C" w:rsidRPr="00645D5C">
          <w:t>Table 34</w:t>
        </w:r>
      </w:hyperlink>
      <w:r w:rsidRPr="00645D5C">
        <w:t>). There was a similar pattern for proportion of successful penetration (</w:t>
      </w:r>
      <w:hyperlink w:anchor="Table_7_1_1_3_15" w:history="1">
        <w:r w:rsidRPr="00645D5C">
          <w:t xml:space="preserve">Table </w:t>
        </w:r>
        <w:r w:rsidR="00645D5C" w:rsidRPr="00645D5C">
          <w:t>35</w:t>
        </w:r>
      </w:hyperlink>
      <w:r w:rsidRPr="00645D5C">
        <w:t>).</w:t>
      </w:r>
    </w:p>
    <w:bookmarkStart w:id="226" w:name="Table_7_1_1_3_14"/>
    <w:p w:rsidR="00645D5C" w:rsidRPr="00645D5C" w:rsidRDefault="00645D5C" w:rsidP="00645D5C">
      <w:pPr>
        <w:pStyle w:val="Tabletitle"/>
      </w:pPr>
      <w:r w:rsidRPr="00645D5C">
        <w:lastRenderedPageBreak/>
        <w:fldChar w:fldCharType="begin"/>
      </w:r>
      <w:r w:rsidRPr="00645D5C">
        <w:instrText xml:space="preserve"> HYPERLINK  \l "_Results_for_other_2" </w:instrText>
      </w:r>
      <w:r w:rsidRPr="00645D5C">
        <w:fldChar w:fldCharType="separate"/>
      </w:r>
      <w:r w:rsidRPr="00645D5C">
        <w:rPr>
          <w:rStyle w:val="Hyperlink"/>
          <w:color w:val="auto"/>
          <w:u w:val="none"/>
        </w:rPr>
        <w:t>Table 34</w:t>
      </w:r>
      <w:bookmarkEnd w:id="226"/>
      <w:r w:rsidRPr="00645D5C">
        <w:fldChar w:fldCharType="end"/>
      </w:r>
      <w:r w:rsidRPr="00645D5C">
        <w:t>: Summary of Attempts in Which Subjects Maintained an Erection of Sufficient Duration to Have Successful Intercourse (SEP3) by Time Interval – Intent-to-Treat Population</w:t>
      </w:r>
    </w:p>
    <w:p w:rsidR="00645D5C" w:rsidRDefault="00645D5C" w:rsidP="00645D5C">
      <w:r w:rsidRPr="00C83476">
        <w:rPr>
          <w:noProof/>
          <w:lang w:eastAsia="en-AU"/>
        </w:rPr>
        <w:drawing>
          <wp:inline distT="0" distB="0" distL="0" distR="0" wp14:anchorId="29FCA295" wp14:editId="5BF5ECFE">
            <wp:extent cx="4486275" cy="3606834"/>
            <wp:effectExtent l="38100" t="38100" r="28575" b="31750"/>
            <wp:docPr id="184" name="Picture 184" descr="Table 34: Summary of Attempts in Which Subjects Maintained an Erection of Sufficient Duration to Have Successful Intercourse (SEP3) by Time Interval –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9">
                      <a:lum bright="-20000" contrast="40000"/>
                      <a:extLst>
                        <a:ext uri="{28A0092B-C50C-407E-A947-70E740481C1C}">
                          <a14:useLocalDpi xmlns:a14="http://schemas.microsoft.com/office/drawing/2010/main" val="0"/>
                        </a:ext>
                      </a:extLst>
                    </a:blip>
                    <a:srcRect r="1051" b="3316"/>
                    <a:stretch/>
                  </pic:blipFill>
                  <pic:spPr bwMode="auto">
                    <a:xfrm>
                      <a:off x="0" y="0"/>
                      <a:ext cx="4494736" cy="3613637"/>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Start w:id="227" w:name="Table_7_1_1_3_15"/>
    <w:p w:rsidR="00645D5C" w:rsidRPr="00645D5C" w:rsidRDefault="00645D5C" w:rsidP="00645D5C">
      <w:pPr>
        <w:pStyle w:val="Tabletitle"/>
      </w:pPr>
      <w:r w:rsidRPr="00645D5C">
        <w:lastRenderedPageBreak/>
        <w:fldChar w:fldCharType="begin"/>
      </w:r>
      <w:r w:rsidRPr="00645D5C">
        <w:instrText xml:space="preserve"> HYPERLINK  \l "_Results_for_other_2" </w:instrText>
      </w:r>
      <w:r w:rsidRPr="00645D5C">
        <w:fldChar w:fldCharType="separate"/>
      </w:r>
      <w:r w:rsidRPr="00645D5C">
        <w:rPr>
          <w:rStyle w:val="Hyperlink"/>
          <w:color w:val="auto"/>
          <w:u w:val="none"/>
        </w:rPr>
        <w:t>Table 35:</w:t>
      </w:r>
      <w:bookmarkEnd w:id="227"/>
      <w:r w:rsidRPr="00645D5C">
        <w:fldChar w:fldCharType="end"/>
      </w:r>
      <w:r w:rsidRPr="00645D5C">
        <w:t xml:space="preserve"> Summary of Attempts in Which Subjects Were Able to Insert Their Penis Into Their Partner’s Vagina (SEP2) by Time Interval – Intent-to-Treat Population</w:t>
      </w:r>
    </w:p>
    <w:p w:rsidR="00645D5C" w:rsidRPr="00C83476" w:rsidRDefault="00645D5C" w:rsidP="00645D5C">
      <w:r w:rsidRPr="00C83476">
        <w:rPr>
          <w:noProof/>
          <w:lang w:eastAsia="en-AU"/>
        </w:rPr>
        <w:drawing>
          <wp:inline distT="0" distB="0" distL="0" distR="0" wp14:anchorId="0491B554" wp14:editId="64E5FDF4">
            <wp:extent cx="5829300" cy="4749485"/>
            <wp:effectExtent l="38100" t="38100" r="38100" b="32385"/>
            <wp:docPr id="185" name="Picture 185" descr="Table 35: Summary of Attempts in Which Subjects Were Able to Insert Their Penis Into Their Partner’s Vagina (SEP2) by Time Interval –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0">
                      <a:lum bright="-20000" contrast="40000"/>
                      <a:extLst>
                        <a:ext uri="{28A0092B-C50C-407E-A947-70E740481C1C}">
                          <a14:useLocalDpi xmlns:a14="http://schemas.microsoft.com/office/drawing/2010/main" val="0"/>
                        </a:ext>
                      </a:extLst>
                    </a:blip>
                    <a:srcRect r="1449" b="3106"/>
                    <a:stretch/>
                  </pic:blipFill>
                  <pic:spPr bwMode="auto">
                    <a:xfrm>
                      <a:off x="0" y="0"/>
                      <a:ext cx="5837435" cy="4756113"/>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0684" w:rsidRPr="0050488C" w:rsidRDefault="00FF0684" w:rsidP="0050488C">
      <w:r w:rsidRPr="0050488C">
        <w:t>There was no apparent subgroup effect, but for many of the subgroups the numbers in each group were small.</w:t>
      </w:r>
    </w:p>
    <w:p w:rsidR="00FF0684" w:rsidRPr="00FF0684" w:rsidRDefault="00FF0684" w:rsidP="00FF0684">
      <w:pPr>
        <w:pStyle w:val="Heading5"/>
      </w:pPr>
      <w:bookmarkStart w:id="228" w:name="_Toc422725508"/>
      <w:r w:rsidRPr="00FF0684">
        <w:t>Study TA-501</w:t>
      </w:r>
      <w:bookmarkEnd w:id="228"/>
    </w:p>
    <w:p w:rsidR="00FF0684" w:rsidRPr="00FF0684" w:rsidRDefault="00FF0684" w:rsidP="00FF0684">
      <w:pPr>
        <w:pStyle w:val="Heading6"/>
      </w:pPr>
      <w:r w:rsidRPr="00FF0684">
        <w:t>Study design, objectives, locations and dates</w:t>
      </w:r>
    </w:p>
    <w:p w:rsidR="00FF0684" w:rsidRPr="0050488C" w:rsidRDefault="00FF0684" w:rsidP="0050488C">
      <w:r w:rsidRPr="0050488C">
        <w:t>Study TA-501 was a randomised, double-blind, placebo-controlled, parallel group, three-arm efficacy and safety trial of avanafil for on-demand treatment of men with ED</w:t>
      </w:r>
      <w:r w:rsidR="0050488C">
        <w:t xml:space="preserve">. </w:t>
      </w:r>
      <w:r w:rsidRPr="0050488C">
        <w:t>The study was conducted at 30 centres in the US from September 2012 to April 2013.</w:t>
      </w:r>
    </w:p>
    <w:p w:rsidR="00FF0684" w:rsidRPr="00FF0684" w:rsidRDefault="00FF0684" w:rsidP="00FF0684">
      <w:pPr>
        <w:pStyle w:val="Heading6"/>
      </w:pPr>
      <w:r w:rsidRPr="00FF0684">
        <w:t>Inclusion and exclusion criteria</w:t>
      </w:r>
    </w:p>
    <w:p w:rsidR="00FF0684" w:rsidRPr="001327D2" w:rsidRDefault="00FF0684" w:rsidP="0050488C">
      <w:r w:rsidRPr="0050488C">
        <w:t xml:space="preserve">The inclusion criteria were the same as for Study </w:t>
      </w:r>
      <w:r w:rsidRPr="001327D2">
        <w:t xml:space="preserve">TA-301 (see </w:t>
      </w:r>
      <w:r w:rsidR="001327D2" w:rsidRPr="001327D2">
        <w:t>above</w:t>
      </w:r>
      <w:r w:rsidRPr="001327D2">
        <w:t>) except for:</w:t>
      </w:r>
    </w:p>
    <w:p w:rsidR="00FF0684" w:rsidRPr="001327D2" w:rsidRDefault="00FF0684" w:rsidP="0050488C">
      <w:pPr>
        <w:pStyle w:val="ListBullet"/>
      </w:pPr>
      <w:r w:rsidRPr="001327D2">
        <w:t>Had a history of mild to severe erectile dysfunction of at least 6 months duration, as evidenced by a greater than 50% failure rate in maintaining an erection of sufficient duration to allow successful intercourse, without the use of medical therapy</w:t>
      </w:r>
    </w:p>
    <w:p w:rsidR="00FF0684" w:rsidRPr="001327D2" w:rsidRDefault="00FF0684" w:rsidP="0050488C">
      <w:r w:rsidRPr="001327D2">
        <w:t xml:space="preserve">The exclusion criteria were similar to those for Study TA-301 (see </w:t>
      </w:r>
      <w:r w:rsidR="001327D2" w:rsidRPr="001327D2">
        <w:t>above</w:t>
      </w:r>
      <w:r w:rsidRPr="001327D2">
        <w:t>).</w:t>
      </w:r>
    </w:p>
    <w:p w:rsidR="00FF0684" w:rsidRPr="0050488C" w:rsidRDefault="00FF0684" w:rsidP="0050488C">
      <w:r w:rsidRPr="001327D2">
        <w:t xml:space="preserve">The randomisation criteria were the same as for Study TA-301 (see </w:t>
      </w:r>
      <w:r w:rsidR="001327D2" w:rsidRPr="001327D2">
        <w:t>above</w:t>
      </w:r>
      <w:r w:rsidRPr="001327D2">
        <w:t>).</w:t>
      </w:r>
    </w:p>
    <w:p w:rsidR="00FF0684" w:rsidRPr="00FF0684" w:rsidRDefault="00FF0684" w:rsidP="008D6237">
      <w:pPr>
        <w:pStyle w:val="Heading6"/>
        <w:pageBreakBefore/>
      </w:pPr>
      <w:r w:rsidRPr="00FF0684">
        <w:lastRenderedPageBreak/>
        <w:t>Study treatments</w:t>
      </w:r>
    </w:p>
    <w:p w:rsidR="00FF0684" w:rsidRPr="0050488C" w:rsidRDefault="00FF0684" w:rsidP="0050488C">
      <w:r w:rsidRPr="0050488C">
        <w:t>The study treatments were:</w:t>
      </w:r>
    </w:p>
    <w:p w:rsidR="00FF0684" w:rsidRPr="0050488C" w:rsidRDefault="00FF0684" w:rsidP="00E55BF2">
      <w:pPr>
        <w:pStyle w:val="Numberbullet0"/>
        <w:numPr>
          <w:ilvl w:val="0"/>
          <w:numId w:val="11"/>
        </w:numPr>
      </w:pPr>
      <w:r w:rsidRPr="0050488C">
        <w:t>Avanafil 1 x 100 mg tablet</w:t>
      </w:r>
    </w:p>
    <w:p w:rsidR="00FF0684" w:rsidRPr="0050488C" w:rsidRDefault="00FF0684" w:rsidP="00E55BF2">
      <w:pPr>
        <w:pStyle w:val="Numberbullet0"/>
        <w:numPr>
          <w:ilvl w:val="0"/>
          <w:numId w:val="11"/>
        </w:numPr>
      </w:pPr>
      <w:r w:rsidRPr="0050488C">
        <w:t>Avanafil 2 x 100 mg tablets</w:t>
      </w:r>
    </w:p>
    <w:p w:rsidR="00FF0684" w:rsidRPr="0050488C" w:rsidRDefault="00FF0684" w:rsidP="00E55BF2">
      <w:pPr>
        <w:pStyle w:val="Numberbullet0"/>
        <w:numPr>
          <w:ilvl w:val="0"/>
          <w:numId w:val="11"/>
        </w:numPr>
      </w:pPr>
      <w:r w:rsidRPr="0050488C">
        <w:t>Placebo</w:t>
      </w:r>
    </w:p>
    <w:p w:rsidR="00FF0684" w:rsidRPr="0050488C" w:rsidRDefault="00FF0684" w:rsidP="0050488C">
      <w:r w:rsidRPr="0050488C">
        <w:t>Subjects were instructed to take one dose (two tablets: active and/or placebo) 1</w:t>
      </w:r>
      <w:r w:rsidR="0050488C">
        <w:t>5 minutes prior to intercourse.</w:t>
      </w:r>
      <w:r w:rsidRPr="0050488C">
        <w:t xml:space="preserve"> No more than one dose was allowed per 24 hour period.</w:t>
      </w:r>
    </w:p>
    <w:p w:rsidR="00FF0684" w:rsidRPr="00FF0684" w:rsidRDefault="00FF0684" w:rsidP="00FF0684">
      <w:pPr>
        <w:pStyle w:val="Heading6"/>
      </w:pPr>
      <w:bookmarkStart w:id="229" w:name="_Efficacy_variables_and_1"/>
      <w:bookmarkEnd w:id="229"/>
      <w:r w:rsidRPr="00FF0684">
        <w:t>Efficacy variables and outcomes</w:t>
      </w:r>
    </w:p>
    <w:p w:rsidR="00FF0684" w:rsidRPr="0050488C" w:rsidRDefault="00FF0684" w:rsidP="0050488C">
      <w:r w:rsidRPr="0050488C">
        <w:t>The primary efficacy outcome measure was:</w:t>
      </w:r>
    </w:p>
    <w:p w:rsidR="00FF0684" w:rsidRPr="0050488C" w:rsidRDefault="00FF0684" w:rsidP="0050488C">
      <w:pPr>
        <w:pStyle w:val="ListBullet"/>
      </w:pPr>
      <w:r w:rsidRPr="0050488C">
        <w:t>The per-subject proportion of sexual attempts that had an erectogenic effect within approximately 15 minutes following dosing, where an erectogenic effect was defined as an erection sufficient for vaginal penetration and that enabled satisfactory com</w:t>
      </w:r>
      <w:r w:rsidR="0050488C">
        <w:t xml:space="preserve">pletion of sexual intercourse. </w:t>
      </w:r>
      <w:r w:rsidRPr="0050488C">
        <w:t>This was</w:t>
      </w:r>
      <w:r w:rsidR="0050488C">
        <w:t xml:space="preserve"> subsequently defined as being ≤ </w:t>
      </w:r>
      <w:r w:rsidRPr="0050488C">
        <w:t>17 minutes after dosing.</w:t>
      </w:r>
    </w:p>
    <w:p w:rsidR="00FF0684" w:rsidRPr="0050488C" w:rsidRDefault="00FF0684" w:rsidP="0050488C">
      <w:r w:rsidRPr="0050488C">
        <w:t>The secondary efficacy outcome measures were:</w:t>
      </w:r>
    </w:p>
    <w:p w:rsidR="00FF0684" w:rsidRPr="0050488C" w:rsidRDefault="00FF0684" w:rsidP="0050488C">
      <w:pPr>
        <w:pStyle w:val="ListBullet"/>
      </w:pPr>
      <w:r w:rsidRPr="0050488C">
        <w:t>Earliest time point after dosing where there was a statistically significant treatment difference in the average per-subject proportion of sexual attempts that had an erectogenic effect</w:t>
      </w:r>
    </w:p>
    <w:p w:rsidR="00FF0684" w:rsidRPr="0050488C" w:rsidRDefault="00FF0684" w:rsidP="0050488C">
      <w:pPr>
        <w:pStyle w:val="ListBullet"/>
      </w:pPr>
      <w:r w:rsidRPr="0050488C">
        <w:t>Successful intercourse: Proportion of positive (</w:t>
      </w:r>
      <w:r w:rsidR="00922589">
        <w:t>‘</w:t>
      </w:r>
      <w:r w:rsidRPr="0050488C">
        <w:t>YES</w:t>
      </w:r>
      <w:r w:rsidR="00922589">
        <w:t>’</w:t>
      </w:r>
      <w:r w:rsidRPr="0050488C">
        <w:t>) responses to diary question 5 regarding the subject’s ability to maintain an erection sufficient for successful intercourse (SEP3)</w:t>
      </w:r>
    </w:p>
    <w:p w:rsidR="00FF0684" w:rsidRPr="0050488C" w:rsidRDefault="00FF0684" w:rsidP="00FF0684">
      <w:pPr>
        <w:pStyle w:val="ListBullet"/>
      </w:pPr>
      <w:r w:rsidRPr="0050488C">
        <w:t>Successful penetration: Proportion of positive (</w:t>
      </w:r>
      <w:r w:rsidR="00922589">
        <w:t>‘</w:t>
      </w:r>
      <w:r w:rsidRPr="0050488C">
        <w:t>YES</w:t>
      </w:r>
      <w:r w:rsidR="00922589">
        <w:t>’</w:t>
      </w:r>
      <w:r w:rsidRPr="0050488C">
        <w:t>) responses to diary question 4 regarding the subject’s ability to insert penis into the vagina (SEP2); IIEF-EF domain scores during the 8-week treatment period.</w:t>
      </w:r>
    </w:p>
    <w:p w:rsidR="00FF0684" w:rsidRPr="0050488C" w:rsidRDefault="00FF0684" w:rsidP="0050488C">
      <w:r w:rsidRPr="0050488C">
        <w:t>The safety outcome measures were: AEs, clinical lab</w:t>
      </w:r>
      <w:r w:rsidR="0050488C">
        <w:t xml:space="preserve">oratory evaluations, vital sign </w:t>
      </w:r>
      <w:r w:rsidRPr="0050488C">
        <w:t>measurements, and physical examinations.</w:t>
      </w:r>
    </w:p>
    <w:p w:rsidR="00FF0684" w:rsidRPr="0050488C" w:rsidRDefault="00645D5C" w:rsidP="0050488C">
      <w:r>
        <w:t>The schedule of study visits wa</w:t>
      </w:r>
      <w:r w:rsidR="00FF0684" w:rsidRPr="0050488C">
        <w:t>s summarised.</w:t>
      </w:r>
    </w:p>
    <w:p w:rsidR="00FF0684" w:rsidRPr="00FF0684" w:rsidRDefault="00FF0684" w:rsidP="00FF0684">
      <w:pPr>
        <w:pStyle w:val="Heading6"/>
      </w:pPr>
      <w:r w:rsidRPr="00FF0684">
        <w:t>Randomisation and blinding methods</w:t>
      </w:r>
    </w:p>
    <w:p w:rsidR="00FF0684" w:rsidRPr="0050488C" w:rsidRDefault="00FF0684" w:rsidP="0050488C">
      <w:r w:rsidRPr="0050488C">
        <w:t>Randomisation was by IVRS, in the ratio of 1:1:1 and stratified by IIE</w:t>
      </w:r>
      <w:r w:rsidR="0050488C">
        <w:t xml:space="preserve">F-EF domain score at baseline. </w:t>
      </w:r>
      <w:r w:rsidRPr="0050488C">
        <w:t>Blinding was maintained by using identical placebo tablets.</w:t>
      </w:r>
    </w:p>
    <w:p w:rsidR="00FF0684" w:rsidRPr="00FF0684" w:rsidRDefault="00FF0684" w:rsidP="00FF0684">
      <w:pPr>
        <w:pStyle w:val="Heading6"/>
      </w:pPr>
      <w:r w:rsidRPr="00FF0684">
        <w:t>Analysis populations</w:t>
      </w:r>
    </w:p>
    <w:p w:rsidR="00FF0684" w:rsidRPr="001327D2" w:rsidDel="0081373E" w:rsidRDefault="00FF0684" w:rsidP="0050488C">
      <w:r w:rsidRPr="0050488C">
        <w:t xml:space="preserve">These were defined the same as </w:t>
      </w:r>
      <w:r w:rsidRPr="001327D2">
        <w:t xml:space="preserve">for Study TA-301 (see </w:t>
      </w:r>
      <w:r w:rsidR="001327D2" w:rsidRPr="001327D2">
        <w:t>above</w:t>
      </w:r>
      <w:r w:rsidRPr="001327D2">
        <w:t>).</w:t>
      </w:r>
    </w:p>
    <w:p w:rsidR="00FF0684" w:rsidRPr="00FF0684" w:rsidDel="0081373E" w:rsidRDefault="00FF0684" w:rsidP="00FF0684">
      <w:pPr>
        <w:pStyle w:val="Heading6"/>
      </w:pPr>
      <w:r w:rsidRPr="001327D2" w:rsidDel="0081373E">
        <w:t>Sample size</w:t>
      </w:r>
    </w:p>
    <w:p w:rsidR="00FF0684" w:rsidRPr="0050488C" w:rsidRDefault="00FF0684" w:rsidP="0050488C">
      <w:r w:rsidRPr="0050488C">
        <w:t>The sample size calculation was determined for the primary efficacy outcome measure and was based on the prio</w:t>
      </w:r>
      <w:r w:rsidR="0050488C">
        <w:t xml:space="preserve">r data from the avanafil Phase III studies. </w:t>
      </w:r>
      <w:r w:rsidRPr="0050488C">
        <w:t>The sample size was based on comparing each active treatment group with placebo, but not on a comparison betwee</w:t>
      </w:r>
      <w:r w:rsidR="0050488C">
        <w:t xml:space="preserve">n the active treatment groups. </w:t>
      </w:r>
      <w:r w:rsidRPr="0050488C">
        <w:t>Assuming a treatment difference of 12.5%, and a SD of 30%, a sample size of 123 subjects per group would provide 90% power w</w:t>
      </w:r>
      <w:r w:rsidR="0050488C">
        <w:t xml:space="preserve">ith an alpha of 0.05. </w:t>
      </w:r>
      <w:r w:rsidRPr="0050488C">
        <w:t>Assuming a 12% drop-out rate, 140 subjects would be required in each treatment group.</w:t>
      </w:r>
    </w:p>
    <w:p w:rsidR="00FF0684" w:rsidRPr="00FF0684" w:rsidRDefault="00FF0684" w:rsidP="00FF0684">
      <w:pPr>
        <w:pStyle w:val="Heading6"/>
      </w:pPr>
      <w:r w:rsidRPr="00FF0684">
        <w:t>Statistical methods</w:t>
      </w:r>
    </w:p>
    <w:p w:rsidR="00FF0684" w:rsidRPr="004D6304" w:rsidRDefault="00FF0684" w:rsidP="00FF0684">
      <w:r w:rsidRPr="004D6304">
        <w:t>Hypothesis tests were performed using ANCOVA models with treatment, diabetes status, and baseline severity of erectile dysfunction included in the model as factors and with the baseline values of the dependent var</w:t>
      </w:r>
      <w:r w:rsidR="004D6304">
        <w:t xml:space="preserve">iable included as a covariate. </w:t>
      </w:r>
      <w:r w:rsidRPr="004D6304">
        <w:t xml:space="preserve">Missing </w:t>
      </w:r>
      <w:r w:rsidR="004D6304">
        <w:t>values were imputed using LOCF.</w:t>
      </w:r>
      <w:r w:rsidRPr="004D6304">
        <w:t xml:space="preserve"> Multiplicity was addressed using a step-down approach to hypothesis testing.</w:t>
      </w:r>
    </w:p>
    <w:p w:rsidR="00FF0684" w:rsidRPr="00FF0684" w:rsidRDefault="00FF0684" w:rsidP="00FF0684">
      <w:pPr>
        <w:pStyle w:val="Heading6"/>
      </w:pPr>
      <w:bookmarkStart w:id="230" w:name="_Participant_flow_3"/>
      <w:bookmarkEnd w:id="230"/>
      <w:r w:rsidRPr="00FF0684">
        <w:lastRenderedPageBreak/>
        <w:t>Participant flow</w:t>
      </w:r>
    </w:p>
    <w:p w:rsidR="00FF0684" w:rsidRDefault="00FF0684" w:rsidP="004D6304">
      <w:r w:rsidRPr="004D6304">
        <w:t xml:space="preserve">There were 832 subject enrolled and 440 were randomised to treatment: 147 to </w:t>
      </w:r>
      <w:r w:rsidRPr="00BF75C9">
        <w:t>avanafil 100 mg, 148</w:t>
      </w:r>
      <w:r w:rsidR="004D6304" w:rsidRPr="00BF75C9">
        <w:t xml:space="preserve"> to 200 mg and 145 to placebo. </w:t>
      </w:r>
      <w:r w:rsidRPr="00BF75C9">
        <w:t>There were 124 (84.4%) subjects in the avanafil 100 mg group, 127 (85.8%) in the 200 mg and 116 (80.0%) in the placebo who completed (</w:t>
      </w:r>
      <w:r w:rsidR="00BF75C9" w:rsidRPr="00BF75C9">
        <w:t xml:space="preserve">Table </w:t>
      </w:r>
      <w:hyperlink w:anchor="Table_7_1_1_4_2" w:history="1">
        <w:r w:rsidR="00BF75C9" w:rsidRPr="00BF75C9">
          <w:t>36</w:t>
        </w:r>
      </w:hyperlink>
      <w:r w:rsidR="004D6304" w:rsidRPr="00BF75C9">
        <w:t>).</w:t>
      </w:r>
      <w:r w:rsidRPr="00BF75C9">
        <w:t xml:space="preserve"> There were seven (1.6%) subjects </w:t>
      </w:r>
      <w:r w:rsidR="004D6304" w:rsidRPr="00BF75C9">
        <w:t xml:space="preserve">who withdrew because of an AE. </w:t>
      </w:r>
      <w:r w:rsidRPr="00BF75C9">
        <w:t>The ITT population included</w:t>
      </w:r>
      <w:r w:rsidRPr="004D6304">
        <w:t xml:space="preserve"> 139 (94.6%) subjects in the avanafil 100 mg group, 139 (93.9%) in the 200 mg and 136 (93.8%) in the placebo.</w:t>
      </w:r>
    </w:p>
    <w:bookmarkStart w:id="231" w:name="Table_7_1_1_4_2"/>
    <w:p w:rsidR="00645D5C" w:rsidRPr="00BF75C9" w:rsidRDefault="00645D5C" w:rsidP="00BF75C9">
      <w:pPr>
        <w:pStyle w:val="Tabletitle"/>
      </w:pPr>
      <w:r w:rsidRPr="00BF75C9">
        <w:fldChar w:fldCharType="begin"/>
      </w:r>
      <w:r w:rsidRPr="00BF75C9">
        <w:instrText xml:space="preserve"> HYPERLINK  \l "_Participant_flow_3" </w:instrText>
      </w:r>
      <w:r w:rsidRPr="00BF75C9">
        <w:fldChar w:fldCharType="separate"/>
      </w:r>
      <w:r w:rsidRPr="00BF75C9">
        <w:rPr>
          <w:rStyle w:val="Hyperlink"/>
          <w:color w:val="auto"/>
          <w:u w:val="none"/>
        </w:rPr>
        <w:t xml:space="preserve">Table </w:t>
      </w:r>
      <w:r w:rsidR="00BF75C9" w:rsidRPr="00BF75C9">
        <w:rPr>
          <w:rStyle w:val="Hyperlink"/>
          <w:color w:val="auto"/>
          <w:u w:val="none"/>
        </w:rPr>
        <w:t>36:</w:t>
      </w:r>
      <w:bookmarkEnd w:id="231"/>
      <w:r w:rsidRPr="00BF75C9">
        <w:fldChar w:fldCharType="end"/>
      </w:r>
      <w:r w:rsidR="00BF75C9" w:rsidRPr="00BF75C9">
        <w:t xml:space="preserve"> </w:t>
      </w:r>
      <w:r w:rsidRPr="00BF75C9">
        <w:t>Subject Disposition by Treatment (All Enrolled Sub</w:t>
      </w:r>
      <w:r w:rsidR="00BF75C9" w:rsidRPr="00BF75C9">
        <w:t>jects)</w:t>
      </w:r>
    </w:p>
    <w:p w:rsidR="00645D5C" w:rsidRPr="00C83476" w:rsidRDefault="00645D5C" w:rsidP="00645D5C">
      <w:pPr>
        <w:rPr>
          <w:rFonts w:ascii="Times New Roman" w:hAnsi="Times New Roman"/>
          <w:sz w:val="24"/>
        </w:rPr>
      </w:pPr>
      <w:r w:rsidRPr="00C83476">
        <w:rPr>
          <w:rFonts w:ascii="Times New Roman" w:hAnsi="Times New Roman"/>
          <w:noProof/>
          <w:sz w:val="24"/>
          <w:lang w:eastAsia="en-AU"/>
        </w:rPr>
        <w:drawing>
          <wp:inline distT="0" distB="0" distL="0" distR="0" wp14:anchorId="664C5A72" wp14:editId="1A36BB55">
            <wp:extent cx="4933950" cy="2599666"/>
            <wp:effectExtent l="0" t="0" r="0" b="0"/>
            <wp:docPr id="188" name="Picture 188" descr="Table 36: Subject Disposition by Treatment (All Enrolled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lum bright="-20000" contrast="40000"/>
                      <a:extLst>
                        <a:ext uri="{28A0092B-C50C-407E-A947-70E740481C1C}">
                          <a14:useLocalDpi xmlns:a14="http://schemas.microsoft.com/office/drawing/2010/main" val="0"/>
                        </a:ext>
                      </a:extLst>
                    </a:blip>
                    <a:srcRect/>
                    <a:stretch>
                      <a:fillRect/>
                    </a:stretch>
                  </pic:blipFill>
                  <pic:spPr bwMode="auto">
                    <a:xfrm>
                      <a:off x="0" y="0"/>
                      <a:ext cx="4932892" cy="2599109"/>
                    </a:xfrm>
                    <a:prstGeom prst="rect">
                      <a:avLst/>
                    </a:prstGeom>
                    <a:noFill/>
                    <a:ln>
                      <a:noFill/>
                    </a:ln>
                  </pic:spPr>
                </pic:pic>
              </a:graphicData>
            </a:graphic>
          </wp:inline>
        </w:drawing>
      </w:r>
    </w:p>
    <w:p w:rsidR="00FF0684" w:rsidRPr="00FF0684" w:rsidRDefault="00FF0684" w:rsidP="00FF0684">
      <w:pPr>
        <w:pStyle w:val="Heading6"/>
      </w:pPr>
      <w:r w:rsidRPr="00FF0684">
        <w:t>Major protocol violations/deviations</w:t>
      </w:r>
    </w:p>
    <w:p w:rsidR="00FF0684" w:rsidRPr="004D6304" w:rsidRDefault="00FF0684" w:rsidP="004D6304">
      <w:r w:rsidRPr="004D6304">
        <w:t>There were no protocol violations that resulted in a subject being excluded from the ITT or safety populations.</w:t>
      </w:r>
    </w:p>
    <w:p w:rsidR="00FF0684" w:rsidRPr="00FF0684" w:rsidRDefault="00FF0684" w:rsidP="00FF0684">
      <w:pPr>
        <w:pStyle w:val="Heading6"/>
      </w:pPr>
      <w:bookmarkStart w:id="232" w:name="_Baseline_data_3"/>
      <w:bookmarkEnd w:id="232"/>
      <w:r w:rsidRPr="00FF0684">
        <w:t>Baseline data</w:t>
      </w:r>
    </w:p>
    <w:p w:rsidR="00FF0684" w:rsidRDefault="00FF0684" w:rsidP="00CB484C">
      <w:r w:rsidRPr="004D6304">
        <w:t xml:space="preserve">The age range was 24 to 86 years and </w:t>
      </w:r>
      <w:r w:rsidR="004D6304">
        <w:t xml:space="preserve">129 (29.3%) subjects were aged ≥ </w:t>
      </w:r>
      <w:r w:rsidRPr="004D6304">
        <w:t>65 years.</w:t>
      </w:r>
      <w:r w:rsidR="004D6304">
        <w:t xml:space="preserve"> </w:t>
      </w:r>
      <w:r w:rsidRPr="004D6304">
        <w:t>There were 333 (75.7%) White subjects and 94 (21.</w:t>
      </w:r>
      <w:r w:rsidR="004D6304" w:rsidRPr="00BF75C9">
        <w:t xml:space="preserve">4%) Black or African American. </w:t>
      </w:r>
      <w:r w:rsidRPr="00BF75C9">
        <w:t>The treatment groups were similar in demographic characteristics (</w:t>
      </w:r>
      <w:hyperlink w:anchor="Table_7_1_1_4_3" w:history="1">
        <w:r w:rsidRPr="00BF75C9">
          <w:t xml:space="preserve">Table </w:t>
        </w:r>
        <w:r w:rsidR="00BF75C9" w:rsidRPr="00BF75C9">
          <w:t>37</w:t>
        </w:r>
      </w:hyperlink>
      <w:r w:rsidR="004D6304" w:rsidRPr="00BF75C9">
        <w:t xml:space="preserve">). </w:t>
      </w:r>
      <w:r w:rsidRPr="00BF75C9">
        <w:t>There were 240 (54.5%) subjects with a history of hypertension, 68 (15.5%) with other cardiovascular disease and 37 (8.4%)</w:t>
      </w:r>
      <w:r w:rsidR="00CB484C" w:rsidRPr="00BF75C9">
        <w:t xml:space="preserve"> with coronary artery disease. </w:t>
      </w:r>
      <w:r w:rsidRPr="00BF75C9">
        <w:t>There were 226 (52.0%) subjects taking</w:t>
      </w:r>
      <w:r w:rsidRPr="004D6304">
        <w:t xml:space="preserve"> concomitant antihypertensive medication, 57 (13.1%) taking alpha blockers and 28 (6.4%) taking antidepressan</w:t>
      </w:r>
      <w:r w:rsidR="00CB484C">
        <w:t>ts.</w:t>
      </w:r>
      <w:r w:rsidRPr="004D6304">
        <w:t xml:space="preserve"> ED treatment history was similar for the three treatment groups.</w:t>
      </w:r>
    </w:p>
    <w:bookmarkStart w:id="233" w:name="Table_7_1_1_4_3"/>
    <w:p w:rsidR="00BF75C9" w:rsidRPr="00BF75C9" w:rsidRDefault="00BF75C9" w:rsidP="00182234">
      <w:pPr>
        <w:pStyle w:val="Tabletitle"/>
      </w:pPr>
      <w:r w:rsidRPr="00BF75C9">
        <w:lastRenderedPageBreak/>
        <w:fldChar w:fldCharType="begin"/>
      </w:r>
      <w:r w:rsidRPr="00BF75C9">
        <w:instrText xml:space="preserve"> HYPERLINK  \l "_Baseline_data_3" </w:instrText>
      </w:r>
      <w:r w:rsidRPr="00BF75C9">
        <w:fldChar w:fldCharType="separate"/>
      </w:r>
      <w:r w:rsidRPr="00BF75C9">
        <w:rPr>
          <w:rStyle w:val="Hyperlink"/>
          <w:color w:val="auto"/>
          <w:u w:val="none"/>
        </w:rPr>
        <w:t>Table 37:</w:t>
      </w:r>
      <w:bookmarkEnd w:id="233"/>
      <w:r w:rsidRPr="00BF75C9">
        <w:fldChar w:fldCharType="end"/>
      </w:r>
      <w:r w:rsidRPr="00BF75C9">
        <w:t xml:space="preserve"> Demographics and Baseline Characteristics (Randomized Population)</w:t>
      </w:r>
      <w:r>
        <w:rPr>
          <w:noProof/>
          <w:lang w:eastAsia="en-AU"/>
        </w:rPr>
        <w:drawing>
          <wp:inline distT="0" distB="0" distL="0" distR="0" wp14:anchorId="40BD5F48" wp14:editId="3BFD17DC">
            <wp:extent cx="4105275" cy="7931281"/>
            <wp:effectExtent l="0" t="0" r="0" b="0"/>
            <wp:docPr id="19" name="Picture 19" descr="Table 37: Demographics and Baseline Characteristics (Randomiz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BEBA8EAE-BF5A-486C-A8C5-ECC9F3942E4B}">
                          <a14:imgProps xmlns:a14="http://schemas.microsoft.com/office/drawing/2010/main">
                            <a14:imgLayer r:embed="rId53">
                              <a14:imgEffect>
                                <a14:sharpenSoften amount="50000"/>
                              </a14:imgEffect>
                              <a14:imgEffect>
                                <a14:brightnessContrast contrast="-40000"/>
                              </a14:imgEffect>
                            </a14:imgLayer>
                          </a14:imgProps>
                        </a:ext>
                      </a:extLst>
                    </a:blip>
                    <a:stretch>
                      <a:fillRect/>
                    </a:stretch>
                  </pic:blipFill>
                  <pic:spPr>
                    <a:xfrm>
                      <a:off x="0" y="0"/>
                      <a:ext cx="4106459" cy="7933568"/>
                    </a:xfrm>
                    <a:prstGeom prst="rect">
                      <a:avLst/>
                    </a:prstGeom>
                  </pic:spPr>
                </pic:pic>
              </a:graphicData>
            </a:graphic>
          </wp:inline>
        </w:drawing>
      </w:r>
    </w:p>
    <w:p w:rsidR="00FF0684" w:rsidRPr="00FF0684" w:rsidRDefault="00FF0684" w:rsidP="00182234">
      <w:pPr>
        <w:pStyle w:val="Heading6"/>
      </w:pPr>
      <w:bookmarkStart w:id="234" w:name="_Results_for_the_3"/>
      <w:bookmarkEnd w:id="234"/>
      <w:r w:rsidRPr="00FF0684">
        <w:t>Results for the primary efficacy outcome</w:t>
      </w:r>
    </w:p>
    <w:p w:rsidR="00FF0684" w:rsidRDefault="00FF0684" w:rsidP="008D6237">
      <w:r w:rsidRPr="00CB484C">
        <w:t>Both active treatments h</w:t>
      </w:r>
      <w:r w:rsidR="00CB484C">
        <w:t xml:space="preserve">as superior erectogenic effect ≤ </w:t>
      </w:r>
      <w:r w:rsidRPr="00CB484C">
        <w:t xml:space="preserve">17 minutes after dosing compared to placebo, but there was no significant difference between the avanafil 100 mg and 200 mg dose </w:t>
      </w:r>
      <w:r w:rsidRPr="00DF5B34">
        <w:lastRenderedPageBreak/>
        <w:t>levels (</w:t>
      </w:r>
      <w:hyperlink w:anchor="Table_7_1_1_4_5" w:history="1">
        <w:r w:rsidRPr="00DF5B34">
          <w:t xml:space="preserve">Table </w:t>
        </w:r>
        <w:r w:rsidR="00DF5B34" w:rsidRPr="00DF5B34">
          <w:t>38</w:t>
        </w:r>
      </w:hyperlink>
      <w:r w:rsidR="00CB484C" w:rsidRPr="00DF5B34">
        <w:t xml:space="preserve">). </w:t>
      </w:r>
      <w:r w:rsidRPr="00DF5B34">
        <w:t>The</w:t>
      </w:r>
      <w:r w:rsidRPr="00CB484C">
        <w:t xml:space="preserve"> LS mean (SE) erectogenic effect was 24.71 (2.911) % for avanafil 100 mg, 28.18 (2.876) % for 200 mg an</w:t>
      </w:r>
      <w:r w:rsidR="00CB484C">
        <w:t xml:space="preserve">d 13.78 (2.905) % for placebo. </w:t>
      </w:r>
      <w:r w:rsidRPr="00CB484C">
        <w:t>The difference in LS mean (95% CI) compared to placebo was 10.93 (3.87 to 17.99) %, p = 0.002 for the avanafil 100 mg dose and 14.39 (7.35 to 21.44) %, p &lt;0.001</w:t>
      </w:r>
      <w:r w:rsidR="00CB484C">
        <w:t xml:space="preserve"> for the avanafil 200 mg dose. </w:t>
      </w:r>
      <w:r w:rsidRPr="00CB484C">
        <w:t>The difference in LS mean (95% CI) compared to avanafil 100 mg was 3.46 (-3.56 to 10.49) %,</w:t>
      </w:r>
      <w:r w:rsidR="00CB484C">
        <w:t xml:space="preserve"> p = 0.33 for avanafil 200 mg. </w:t>
      </w:r>
      <w:r w:rsidRPr="00CB484C">
        <w:t>There was no subgroup effect for severity of ED at baseline, diabetes status, age category, race or duration of ED.</w:t>
      </w:r>
    </w:p>
    <w:bookmarkStart w:id="235" w:name="Table_7_1_1_4_5"/>
    <w:p w:rsidR="00BF75C9" w:rsidRPr="00DF5B34" w:rsidRDefault="00BF75C9" w:rsidP="00DF5B34">
      <w:pPr>
        <w:pStyle w:val="Tabletitle"/>
      </w:pPr>
      <w:r w:rsidRPr="00DF5B34">
        <w:fldChar w:fldCharType="begin"/>
      </w:r>
      <w:r w:rsidRPr="00DF5B34">
        <w:instrText xml:space="preserve"> HYPERLINK  \l "_Results_for_the_3" </w:instrText>
      </w:r>
      <w:r w:rsidRPr="00DF5B34">
        <w:fldChar w:fldCharType="separate"/>
      </w:r>
      <w:r w:rsidRPr="00DF5B34">
        <w:rPr>
          <w:rStyle w:val="Hyperlink"/>
          <w:color w:val="auto"/>
          <w:u w:val="none"/>
        </w:rPr>
        <w:t xml:space="preserve">Table </w:t>
      </w:r>
      <w:r w:rsidR="00DF5B34" w:rsidRPr="00DF5B34">
        <w:rPr>
          <w:rStyle w:val="Hyperlink"/>
          <w:color w:val="auto"/>
          <w:u w:val="none"/>
        </w:rPr>
        <w:t>38</w:t>
      </w:r>
      <w:bookmarkEnd w:id="235"/>
      <w:r w:rsidRPr="00DF5B34">
        <w:fldChar w:fldCharType="end"/>
      </w:r>
      <w:r w:rsidR="00DF5B34" w:rsidRPr="00DF5B34">
        <w:t xml:space="preserve">: </w:t>
      </w:r>
      <w:r w:rsidRPr="00DF5B34">
        <w:t>Analysis of the Percentage of Sexual Attempts During the 8-Week Treatment Period in Which Subjects Maintained an Erection of Sufficient Duration to Have Successful Intercourse by Time Since Dose Administrati</w:t>
      </w:r>
      <w:r w:rsidR="00DF5B34" w:rsidRPr="00DF5B34">
        <w:t>on (Intent-to-Treat Population)</w:t>
      </w:r>
    </w:p>
    <w:p w:rsidR="00BF75C9" w:rsidRPr="00C83476" w:rsidRDefault="00BF75C9" w:rsidP="00BF75C9">
      <w:pPr>
        <w:rPr>
          <w:rFonts w:ascii="Times New Roman" w:hAnsi="Times New Roman"/>
          <w:sz w:val="24"/>
        </w:rPr>
      </w:pPr>
      <w:r w:rsidRPr="00C83476">
        <w:rPr>
          <w:rFonts w:ascii="Times New Roman" w:hAnsi="Times New Roman"/>
          <w:noProof/>
          <w:sz w:val="24"/>
          <w:lang w:eastAsia="en-AU"/>
        </w:rPr>
        <w:drawing>
          <wp:inline distT="0" distB="0" distL="0" distR="0" wp14:anchorId="7789306E" wp14:editId="6513E02C">
            <wp:extent cx="4429125" cy="4043984"/>
            <wp:effectExtent l="0" t="0" r="0" b="0"/>
            <wp:docPr id="193" name="Picture 193" descr="Table 38: Analysis of the Percentage of Sexual Attempts During the 8-Week Treatment Period in Which Subjects Maintained an Erection of Sufficient Duration to Have Successful Intercourse by Time Since Dose Administration (Intent-to-Treat Population)">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lum bright="-20000" contrast="40000"/>
                      <a:extLst>
                        <a:ext uri="{28A0092B-C50C-407E-A947-70E740481C1C}">
                          <a14:useLocalDpi xmlns:a14="http://schemas.microsoft.com/office/drawing/2010/main" val="0"/>
                        </a:ext>
                      </a:extLst>
                    </a:blip>
                    <a:srcRect/>
                    <a:stretch>
                      <a:fillRect/>
                    </a:stretch>
                  </pic:blipFill>
                  <pic:spPr bwMode="auto">
                    <a:xfrm>
                      <a:off x="0" y="0"/>
                      <a:ext cx="4428671" cy="4043569"/>
                    </a:xfrm>
                    <a:prstGeom prst="rect">
                      <a:avLst/>
                    </a:prstGeom>
                    <a:noFill/>
                    <a:ln>
                      <a:noFill/>
                    </a:ln>
                  </pic:spPr>
                </pic:pic>
              </a:graphicData>
            </a:graphic>
          </wp:inline>
        </w:drawing>
      </w:r>
    </w:p>
    <w:p w:rsidR="00FF0684" w:rsidRPr="00FF0684" w:rsidRDefault="00FF0684" w:rsidP="00FF0684">
      <w:pPr>
        <w:pStyle w:val="Heading6"/>
      </w:pPr>
      <w:bookmarkStart w:id="236" w:name="_Results_for_other_3"/>
      <w:bookmarkEnd w:id="236"/>
      <w:r w:rsidRPr="00FF0684">
        <w:t>Results for other efficacy outcomes</w:t>
      </w:r>
    </w:p>
    <w:p w:rsidR="00FF0684" w:rsidRPr="00CB484C" w:rsidRDefault="00FF0684" w:rsidP="00CB484C">
      <w:pPr>
        <w:pStyle w:val="ListBullet"/>
      </w:pPr>
      <w:r w:rsidRPr="00CB484C">
        <w:t>There was a significant erectogenic effect from 10 minutes after dosing for both avanafil doses</w:t>
      </w:r>
      <w:r w:rsidR="00CB484C">
        <w:t>.</w:t>
      </w:r>
    </w:p>
    <w:p w:rsidR="00FF0684" w:rsidRPr="009D1CEC" w:rsidRDefault="00FF0684" w:rsidP="00CB484C">
      <w:pPr>
        <w:pStyle w:val="ListBullet"/>
      </w:pPr>
      <w:r w:rsidRPr="00CB484C">
        <w:t xml:space="preserve">There was significantly greater proportion of successful intercourse for both </w:t>
      </w:r>
      <w:r w:rsidRPr="009D1CEC">
        <w:t>avanafil groups compared to placebo, but no significant difference between the avanafil dose levels (</w:t>
      </w:r>
      <w:hyperlink w:anchor="Table_7_1_1_4_6" w:history="1">
        <w:r w:rsidRPr="009D1CEC">
          <w:t xml:space="preserve">Table </w:t>
        </w:r>
        <w:r w:rsidR="009D1CEC" w:rsidRPr="009D1CEC">
          <w:t>39</w:t>
        </w:r>
      </w:hyperlink>
      <w:r w:rsidR="00CB484C" w:rsidRPr="009D1CEC">
        <w:t xml:space="preserve">). </w:t>
      </w:r>
      <w:r w:rsidRPr="009D1CEC">
        <w:t>The LS mean (SE) proportion of successful intercourse was 47.03 (3.340) % for avanafil 100 mg, 48.70 (3.299) % for 200 mg an</w:t>
      </w:r>
      <w:r w:rsidR="00CB484C" w:rsidRPr="009D1CEC">
        <w:t>d 27.69 (3.333) % for placebo.</w:t>
      </w:r>
    </w:p>
    <w:p w:rsidR="00FF0684" w:rsidRPr="009D1CEC" w:rsidRDefault="00FF0684" w:rsidP="00CB484C">
      <w:pPr>
        <w:pStyle w:val="ListBullet"/>
      </w:pPr>
      <w:r w:rsidRPr="009D1CEC">
        <w:t>There was a significantly greater proportion of successful penetration for both avanafil groups compared to placebo, but no significant difference between the avanafil dose levels (</w:t>
      </w:r>
      <w:hyperlink w:anchor="Table_7_1_1_4_7" w:history="1">
        <w:r w:rsidR="009D1CEC" w:rsidRPr="009D1CEC">
          <w:t xml:space="preserve">Table </w:t>
        </w:r>
      </w:hyperlink>
      <w:r w:rsidR="009D1CEC" w:rsidRPr="009D1CEC">
        <w:t>40</w:t>
      </w:r>
      <w:r w:rsidR="00F54383" w:rsidRPr="009D1CEC">
        <w:t xml:space="preserve">). </w:t>
      </w:r>
      <w:r w:rsidRPr="009D1CEC">
        <w:t>The LS mean (SE) proportion of successful penetration was 64.98 (3.202) % for avanafil 100 mg, 65.39 (3.159) % for 200 mg an</w:t>
      </w:r>
      <w:r w:rsidR="00F54383" w:rsidRPr="009D1CEC">
        <w:t>d 43.51 (3.191) % for placebo.</w:t>
      </w:r>
    </w:p>
    <w:p w:rsidR="00FF0684" w:rsidRDefault="00FF0684" w:rsidP="00CB484C">
      <w:pPr>
        <w:pStyle w:val="ListBullet"/>
      </w:pPr>
      <w:r w:rsidRPr="009D1CEC">
        <w:t>There was significantly improvement in IIEF for both avanafil groups compared to placebo, but no significant difference between the avanafil dose levels (</w:t>
      </w:r>
      <w:hyperlink w:anchor="Table_7_1_1_4_8" w:history="1">
        <w:r w:rsidRPr="009D1CEC">
          <w:t xml:space="preserve">Table </w:t>
        </w:r>
      </w:hyperlink>
      <w:r w:rsidR="009D1CEC" w:rsidRPr="009D1CEC">
        <w:t>41</w:t>
      </w:r>
      <w:r w:rsidR="00B507CF" w:rsidRPr="009D1CEC">
        <w:t xml:space="preserve">). </w:t>
      </w:r>
      <w:r w:rsidRPr="009D1CEC">
        <w:t>The LS mean (SE</w:t>
      </w:r>
      <w:r w:rsidRPr="00B507CF">
        <w:t xml:space="preserve">) domain score was 18.10 (0.802) for avanafil 100 mg, 19.12 (0.788) for 200 mg </w:t>
      </w:r>
      <w:r w:rsidR="00B507CF">
        <w:t>and 13.89 (0.805) for placebo.</w:t>
      </w:r>
    </w:p>
    <w:bookmarkStart w:id="237" w:name="Table_7_1_1_4_6"/>
    <w:p w:rsidR="009D1CEC" w:rsidRPr="009D1CEC" w:rsidRDefault="009D1CEC" w:rsidP="009D1CEC">
      <w:pPr>
        <w:pStyle w:val="Tabletitle"/>
      </w:pPr>
      <w:r w:rsidRPr="009D1CEC">
        <w:lastRenderedPageBreak/>
        <w:fldChar w:fldCharType="begin"/>
      </w:r>
      <w:r w:rsidRPr="009D1CEC">
        <w:instrText xml:space="preserve"> HYPERLINK  \l "_Results_for_other_3" </w:instrText>
      </w:r>
      <w:r w:rsidRPr="009D1CEC">
        <w:fldChar w:fldCharType="separate"/>
      </w:r>
      <w:r w:rsidRPr="009D1CEC">
        <w:rPr>
          <w:rStyle w:val="Hyperlink"/>
          <w:color w:val="auto"/>
          <w:u w:val="none"/>
        </w:rPr>
        <w:t xml:space="preserve">Table </w:t>
      </w:r>
      <w:r>
        <w:rPr>
          <w:rStyle w:val="Hyperlink"/>
          <w:color w:val="auto"/>
          <w:u w:val="none"/>
        </w:rPr>
        <w:t>39:</w:t>
      </w:r>
      <w:bookmarkEnd w:id="237"/>
      <w:r w:rsidRPr="009D1CEC">
        <w:fldChar w:fldCharType="end"/>
      </w:r>
      <w:r w:rsidRPr="009D1CEC">
        <w:t xml:space="preserve"> Analysis of the Percentage of Sexual Attempts During the 8-Week Treatment Period in Which Subjects Maintained an Erection of Sufficient Duration to Have Successful Intercourse (Intent-to-Treat Population)</w:t>
      </w:r>
    </w:p>
    <w:p w:rsidR="009D1CEC" w:rsidRDefault="009D1CEC" w:rsidP="009D1CEC">
      <w:r w:rsidRPr="00C83476">
        <w:rPr>
          <w:noProof/>
          <w:lang w:eastAsia="en-AU"/>
        </w:rPr>
        <w:drawing>
          <wp:inline distT="0" distB="0" distL="0" distR="0" wp14:anchorId="468BEDB2" wp14:editId="012AAD38">
            <wp:extent cx="4229100" cy="3827178"/>
            <wp:effectExtent l="0" t="0" r="0" b="1905"/>
            <wp:docPr id="196" name="Picture 196" descr="Table 39: Analysis of the Percentage of Sexual Attempts During the 8-Week Treatment Period in Which Subjects Maintained an Erection of Sufficient Duration to Have Successful Intercourse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lum bright="-20000" contrast="40000"/>
                      <a:extLst>
                        <a:ext uri="{28A0092B-C50C-407E-A947-70E740481C1C}">
                          <a14:useLocalDpi xmlns:a14="http://schemas.microsoft.com/office/drawing/2010/main" val="0"/>
                        </a:ext>
                      </a:extLst>
                    </a:blip>
                    <a:srcRect/>
                    <a:stretch>
                      <a:fillRect/>
                    </a:stretch>
                  </pic:blipFill>
                  <pic:spPr bwMode="auto">
                    <a:xfrm>
                      <a:off x="0" y="0"/>
                      <a:ext cx="4228193" cy="3826357"/>
                    </a:xfrm>
                    <a:prstGeom prst="rect">
                      <a:avLst/>
                    </a:prstGeom>
                    <a:noFill/>
                    <a:ln>
                      <a:noFill/>
                    </a:ln>
                  </pic:spPr>
                </pic:pic>
              </a:graphicData>
            </a:graphic>
          </wp:inline>
        </w:drawing>
      </w:r>
    </w:p>
    <w:bookmarkStart w:id="238" w:name="Table_7_1_1_4_7"/>
    <w:p w:rsidR="00714B60" w:rsidRDefault="009D1CEC" w:rsidP="009D1CEC">
      <w:pPr>
        <w:pStyle w:val="Tabletitle"/>
        <w:rPr>
          <w:lang w:val="en-NZ"/>
        </w:rPr>
      </w:pPr>
      <w:r w:rsidRPr="009D1CEC">
        <w:fldChar w:fldCharType="begin"/>
      </w:r>
      <w:r w:rsidRPr="009D1CEC">
        <w:instrText xml:space="preserve"> HYPERLINK  \l "_Results_for_other_3" </w:instrText>
      </w:r>
      <w:r w:rsidRPr="009D1CEC">
        <w:fldChar w:fldCharType="separate"/>
      </w:r>
      <w:r w:rsidRPr="009D1CEC">
        <w:t xml:space="preserve">Table </w:t>
      </w:r>
      <w:bookmarkEnd w:id="238"/>
      <w:r w:rsidRPr="009D1CEC">
        <w:fldChar w:fldCharType="end"/>
      </w:r>
      <w:r>
        <w:t>40</w:t>
      </w:r>
      <w:r w:rsidRPr="009D1CEC">
        <w:t xml:space="preserve">: Analysis of the Percentage of Sexual Attempts During the 8-week Treatment Period </w:t>
      </w:r>
      <w:r w:rsidRPr="00C83476">
        <w:rPr>
          <w:lang w:val="en-NZ"/>
        </w:rPr>
        <w:t>in Which Subjects Were Able to Insert the Penis into the Partner's Vagina (Intent-to-Treat Population)</w:t>
      </w:r>
    </w:p>
    <w:p w:rsidR="009D1CEC" w:rsidRPr="00C83476" w:rsidRDefault="009D1CEC" w:rsidP="009D1CEC">
      <w:r w:rsidRPr="00C83476">
        <w:rPr>
          <w:noProof/>
          <w:lang w:eastAsia="en-AU"/>
        </w:rPr>
        <w:drawing>
          <wp:inline distT="0" distB="0" distL="0" distR="0" wp14:anchorId="0DAE0171" wp14:editId="677A10C2">
            <wp:extent cx="3781425" cy="3432555"/>
            <wp:effectExtent l="0" t="0" r="0" b="0"/>
            <wp:docPr id="197" name="Picture 197" descr="Table 40: Analysis of the Percentage of Sexual Attempts During the 8-week Treatment Period in Which Subjects Were Able to Insert the Penis into the Partner's Vagina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lum bright="-20000" contrast="40000"/>
                      <a:extLst>
                        <a:ext uri="{28A0092B-C50C-407E-A947-70E740481C1C}">
                          <a14:useLocalDpi xmlns:a14="http://schemas.microsoft.com/office/drawing/2010/main" val="0"/>
                        </a:ext>
                      </a:extLst>
                    </a:blip>
                    <a:srcRect/>
                    <a:stretch>
                      <a:fillRect/>
                    </a:stretch>
                  </pic:blipFill>
                  <pic:spPr bwMode="auto">
                    <a:xfrm>
                      <a:off x="0" y="0"/>
                      <a:ext cx="3784940" cy="3435746"/>
                    </a:xfrm>
                    <a:prstGeom prst="rect">
                      <a:avLst/>
                    </a:prstGeom>
                    <a:noFill/>
                    <a:ln>
                      <a:noFill/>
                    </a:ln>
                  </pic:spPr>
                </pic:pic>
              </a:graphicData>
            </a:graphic>
          </wp:inline>
        </w:drawing>
      </w:r>
    </w:p>
    <w:bookmarkStart w:id="239" w:name="Table_7_1_1_4_8"/>
    <w:p w:rsidR="009D1CEC" w:rsidRDefault="009D1CEC" w:rsidP="009D1CEC">
      <w:pPr>
        <w:pStyle w:val="Tabletitle"/>
      </w:pPr>
      <w:r w:rsidRPr="009D1CEC">
        <w:lastRenderedPageBreak/>
        <w:fldChar w:fldCharType="begin"/>
      </w:r>
      <w:r w:rsidRPr="009D1CEC">
        <w:instrText xml:space="preserve"> HYPERLINK  \l "_Results_for_other_3" </w:instrText>
      </w:r>
      <w:r w:rsidRPr="009D1CEC">
        <w:fldChar w:fldCharType="separate"/>
      </w:r>
      <w:r w:rsidRPr="009D1CEC">
        <w:rPr>
          <w:rStyle w:val="Hyperlink"/>
          <w:color w:val="auto"/>
          <w:u w:val="none"/>
        </w:rPr>
        <w:t>Table 41</w:t>
      </w:r>
      <w:bookmarkEnd w:id="239"/>
      <w:r w:rsidRPr="009D1CEC">
        <w:fldChar w:fldCharType="end"/>
      </w:r>
      <w:r w:rsidRPr="009D1CEC">
        <w:t>: Analysis of the Erectile Function Domain Score on the International Index of Erectile Function Questionnaire by Visit and End-of-Treatment (Intent-to-Treat Population)</w:t>
      </w:r>
    </w:p>
    <w:p w:rsidR="009D1CEC" w:rsidRPr="009D1CEC" w:rsidRDefault="009D1CEC" w:rsidP="009D1CEC">
      <w:r>
        <w:rPr>
          <w:noProof/>
          <w:lang w:eastAsia="en-AU"/>
        </w:rPr>
        <w:drawing>
          <wp:inline distT="0" distB="0" distL="0" distR="0" wp14:anchorId="50E1D1F8" wp14:editId="0240FBBA">
            <wp:extent cx="4248150" cy="7924800"/>
            <wp:effectExtent l="0" t="0" r="0" b="0"/>
            <wp:docPr id="21" name="Picture 21" descr="Table 41: Analysis of the Erectile Function Domain Score on the International Index of Erectile Function Questionnaire by Visit and End-of-Treatment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Lst>
                    </a:blip>
                    <a:srcRect t="1070"/>
                    <a:stretch/>
                  </pic:blipFill>
                  <pic:spPr bwMode="auto">
                    <a:xfrm>
                      <a:off x="0" y="0"/>
                      <a:ext cx="4248150" cy="7924800"/>
                    </a:xfrm>
                    <a:prstGeom prst="rect">
                      <a:avLst/>
                    </a:prstGeom>
                    <a:ln>
                      <a:noFill/>
                    </a:ln>
                    <a:extLst>
                      <a:ext uri="{53640926-AAD7-44D8-BBD7-CCE9431645EC}">
                        <a14:shadowObscured xmlns:a14="http://schemas.microsoft.com/office/drawing/2010/main"/>
                      </a:ext>
                    </a:extLst>
                  </pic:spPr>
                </pic:pic>
              </a:graphicData>
            </a:graphic>
          </wp:inline>
        </w:drawing>
      </w:r>
    </w:p>
    <w:p w:rsidR="00FF0684" w:rsidRPr="00B507CF" w:rsidRDefault="00FF0684" w:rsidP="00FF0684">
      <w:pPr>
        <w:pStyle w:val="Heading4"/>
      </w:pPr>
      <w:bookmarkStart w:id="240" w:name="_Ref271037188"/>
      <w:bookmarkStart w:id="241" w:name="_Ref271037210"/>
      <w:bookmarkStart w:id="242" w:name="_Toc272414655"/>
      <w:bookmarkStart w:id="243" w:name="_Toc290846277"/>
      <w:bookmarkStart w:id="244" w:name="_Toc422725509"/>
      <w:bookmarkStart w:id="245" w:name="_Toc241374311"/>
      <w:bookmarkStart w:id="246" w:name="_Ref243294291"/>
      <w:r w:rsidRPr="00B507CF">
        <w:lastRenderedPageBreak/>
        <w:t>Other efficacy studies</w:t>
      </w:r>
      <w:bookmarkEnd w:id="240"/>
      <w:bookmarkEnd w:id="241"/>
      <w:bookmarkEnd w:id="242"/>
      <w:bookmarkEnd w:id="243"/>
      <w:bookmarkEnd w:id="244"/>
    </w:p>
    <w:p w:rsidR="00FF0684" w:rsidRPr="00B507CF" w:rsidRDefault="00FF0684" w:rsidP="00FF0684">
      <w:pPr>
        <w:pStyle w:val="Heading5"/>
      </w:pPr>
      <w:bookmarkStart w:id="247" w:name="_Study_@"/>
      <w:bookmarkStart w:id="248" w:name="_Study_TA-314"/>
      <w:bookmarkStart w:id="249" w:name="_Toc290846278"/>
      <w:bookmarkStart w:id="250" w:name="_Toc422725510"/>
      <w:bookmarkEnd w:id="245"/>
      <w:bookmarkEnd w:id="246"/>
      <w:bookmarkEnd w:id="247"/>
      <w:bookmarkEnd w:id="248"/>
      <w:r w:rsidRPr="00B507CF">
        <w:t xml:space="preserve">Study </w:t>
      </w:r>
      <w:bookmarkEnd w:id="249"/>
      <w:r w:rsidRPr="00B507CF">
        <w:t>TA-314</w:t>
      </w:r>
      <w:bookmarkEnd w:id="250"/>
    </w:p>
    <w:p w:rsidR="00FF0684" w:rsidRPr="00B507CF" w:rsidRDefault="00FF0684" w:rsidP="00B507CF">
      <w:r w:rsidRPr="00B507CF">
        <w:t>Study TA-314 was an open label extension of Study TA-301 and Study TA-302 to evaluate the long-term safety, tolerability and efficacy of avanafil in men with mild to severe ED</w:t>
      </w:r>
      <w:r w:rsidR="00B507CF">
        <w:t xml:space="preserve">. </w:t>
      </w:r>
      <w:r w:rsidRPr="00B507CF">
        <w:t xml:space="preserve">The study was conducted at 40 centres in the US from March 2009 to April 2010. The study included subjects who had completed </w:t>
      </w:r>
      <w:r w:rsidR="00B507CF">
        <w:t xml:space="preserve">Study TA-301 and Study TA-302. </w:t>
      </w:r>
      <w:r w:rsidRPr="00B507CF">
        <w:t>The study treatments were:</w:t>
      </w:r>
    </w:p>
    <w:p w:rsidR="00FF0684" w:rsidRPr="00B507CF" w:rsidRDefault="00FF0684" w:rsidP="00E55BF2">
      <w:pPr>
        <w:pStyle w:val="Numberbullet0"/>
        <w:numPr>
          <w:ilvl w:val="0"/>
          <w:numId w:val="12"/>
        </w:numPr>
      </w:pPr>
      <w:r w:rsidRPr="00B507CF">
        <w:t>Avanafil 50 mg tablet</w:t>
      </w:r>
    </w:p>
    <w:p w:rsidR="00FF0684" w:rsidRPr="00B507CF" w:rsidRDefault="00FF0684" w:rsidP="00E55BF2">
      <w:pPr>
        <w:pStyle w:val="Numberbullet0"/>
        <w:numPr>
          <w:ilvl w:val="0"/>
          <w:numId w:val="12"/>
        </w:numPr>
      </w:pPr>
      <w:r w:rsidRPr="00B507CF">
        <w:t>Avanafil 100 mg tablet</w:t>
      </w:r>
    </w:p>
    <w:p w:rsidR="00FF0684" w:rsidRPr="00B507CF" w:rsidRDefault="00FF0684" w:rsidP="00E55BF2">
      <w:pPr>
        <w:pStyle w:val="Numberbullet0"/>
        <w:numPr>
          <w:ilvl w:val="0"/>
          <w:numId w:val="12"/>
        </w:numPr>
      </w:pPr>
      <w:r w:rsidRPr="00B507CF">
        <w:t>Avanafil 200 mg tablet</w:t>
      </w:r>
    </w:p>
    <w:p w:rsidR="00FF0684" w:rsidRPr="00B507CF" w:rsidRDefault="00FF0684" w:rsidP="00FF0684">
      <w:r w:rsidRPr="00B507CF">
        <w:t>Ther</w:t>
      </w:r>
      <w:r w:rsidR="00B507CF">
        <w:t xml:space="preserve">e was no comparator treatment. </w:t>
      </w:r>
      <w:r w:rsidRPr="00B507CF">
        <w:t xml:space="preserve">Subjects were instructed to take one tablet with water approximately 30 minutes prior to the </w:t>
      </w:r>
      <w:r w:rsidR="00B507CF">
        <w:t xml:space="preserve">initiation of sexual activity. </w:t>
      </w:r>
      <w:r w:rsidRPr="00B507CF">
        <w:t>All subjects were initially allocated to avanafil 100 mg and dose adju</w:t>
      </w:r>
      <w:r w:rsidR="00B507CF">
        <w:t xml:space="preserve">stments were permitted. </w:t>
      </w:r>
      <w:r w:rsidRPr="00B507CF">
        <w:t xml:space="preserve">Up to two doses of study drug were permitted in a 24 hour period provided the second dose was not taken until at </w:t>
      </w:r>
      <w:r w:rsidR="00B507CF">
        <w:t>least 12 hours after the first.</w:t>
      </w:r>
      <w:r w:rsidRPr="00B507CF">
        <w:t xml:space="preserve"> The study used the same outcome measures as </w:t>
      </w:r>
      <w:r w:rsidR="00B507CF">
        <w:t xml:space="preserve">Study TA-301 and Study TA-302. </w:t>
      </w:r>
      <w:r w:rsidRPr="00B507CF">
        <w:t xml:space="preserve">The study included 712 subjects: 493 completed </w:t>
      </w:r>
      <w:r w:rsidR="00B507CF">
        <w:t xml:space="preserve">to Week 26 and 153 to Week 52. </w:t>
      </w:r>
      <w:r w:rsidRPr="00B507CF">
        <w:t xml:space="preserve">The age range was 23 </w:t>
      </w:r>
      <w:r w:rsidR="00B507CF">
        <w:t>to 88 years and 85% were White.</w:t>
      </w:r>
      <w:r w:rsidRPr="00B507CF">
        <w:t xml:space="preserve"> The demographic characteristics </w:t>
      </w:r>
      <w:r w:rsidR="000D4BE1">
        <w:t>were</w:t>
      </w:r>
      <w:r w:rsidRPr="00B507CF">
        <w:t xml:space="preserve"> summarised</w:t>
      </w:r>
      <w:r w:rsidR="00B507CF">
        <w:t xml:space="preserve">. </w:t>
      </w:r>
      <w:r w:rsidRPr="00B507CF">
        <w:t>The efficacy analyses were performed using the data from the subjects last study visit, but are pr</w:t>
      </w:r>
      <w:r w:rsidR="00B507CF">
        <w:t xml:space="preserve">esented as a 52 week analysis. </w:t>
      </w:r>
      <w:r w:rsidRPr="00B507CF">
        <w:t>Hence these should be interpreted as the res</w:t>
      </w:r>
      <w:r w:rsidR="00B507CF">
        <w:t xml:space="preserve">ults for the last study visit. </w:t>
      </w:r>
      <w:r w:rsidRPr="00B507CF">
        <w:t>There were</w:t>
      </w:r>
      <w:r w:rsidRPr="001802D9">
        <w:rPr>
          <w:rFonts w:ascii="Times New Roman" w:hAnsi="Times New Roman"/>
          <w:sz w:val="24"/>
        </w:rPr>
        <w:t xml:space="preserve"> </w:t>
      </w:r>
      <w:r w:rsidRPr="00B507CF">
        <w:t xml:space="preserve">insufficient data in the </w:t>
      </w:r>
      <w:r w:rsidR="00922589">
        <w:t>‘</w:t>
      </w:r>
      <w:r w:rsidRPr="00B507CF">
        <w:t>other doses</w:t>
      </w:r>
      <w:r w:rsidR="00922589">
        <w:t>’</w:t>
      </w:r>
      <w:r w:rsidRPr="00B507CF">
        <w:t xml:space="preserve"> group to provide meaning</w:t>
      </w:r>
      <w:r w:rsidR="00B507CF">
        <w:t xml:space="preserve">ful conclusions. </w:t>
      </w:r>
      <w:r w:rsidRPr="00B507CF">
        <w:t>At last study visit:</w:t>
      </w:r>
    </w:p>
    <w:p w:rsidR="00FF0684" w:rsidRPr="00B507CF" w:rsidRDefault="00FF0684" w:rsidP="00B507CF">
      <w:pPr>
        <w:pStyle w:val="ListBullet"/>
      </w:pPr>
      <w:r w:rsidRPr="00B507CF">
        <w:t>The proportion of subjects with successful intercourse was 67.7% for avanafil 100 mg and 66.3% for 100 mg and 200 mg combined</w:t>
      </w:r>
      <w:r w:rsidR="00B507CF">
        <w:t xml:space="preserve">. </w:t>
      </w:r>
      <w:r w:rsidRPr="00B507CF">
        <w:t>At Week 52, there were seven subjects in the avanafil 50 mg group, and the proportion of attempts with successful intercourse was 76.62%, seven in the 100 mg with 97.32% success and ten in the 200 mg with 96.25% success.</w:t>
      </w:r>
    </w:p>
    <w:p w:rsidR="00FF0684" w:rsidRPr="00B507CF" w:rsidRDefault="00FF0684" w:rsidP="00B507CF">
      <w:pPr>
        <w:pStyle w:val="ListBullet"/>
      </w:pPr>
      <w:r w:rsidRPr="00B507CF">
        <w:t>The proportion of subjects with successful penetration was 83.3% for avanafil 100 mg and 79.4% for 100 mg and 200 mg combined</w:t>
      </w:r>
      <w:r w:rsidR="00B507CF">
        <w:t>.</w:t>
      </w:r>
      <w:r w:rsidRPr="00B507CF">
        <w:t xml:space="preserve"> At Week 52, there were seven subjects in the avanafil 50 mg group, and the proportion of attempts with successful penetration was 51.98%, seven in the 100 mg with 35.48% success and ten in the 200 mg with 71.89% success.</w:t>
      </w:r>
    </w:p>
    <w:p w:rsidR="00FF0684" w:rsidRPr="00B507CF" w:rsidRDefault="00FF0684" w:rsidP="00B507CF">
      <w:pPr>
        <w:pStyle w:val="ListBullet"/>
      </w:pPr>
      <w:r w:rsidRPr="00B507CF">
        <w:t>Mean (SD) IIEF Erectile Function Domain score was 22.2 (8.57) for avanafil 100 mg and 22.7 (8.12) for 100 mg and 200 mg combined.</w:t>
      </w:r>
    </w:p>
    <w:p w:rsidR="00FF0684" w:rsidRPr="00B507CF" w:rsidRDefault="00FF0684" w:rsidP="00B507CF">
      <w:pPr>
        <w:pStyle w:val="ListBullet"/>
      </w:pPr>
      <w:r w:rsidRPr="00B507CF">
        <w:t>Global assessment (Has the treatment improved your erections?): 104 (77.0%) for avanafil 100 mg, 407 (80.3%) for 100 mg and 200 mg combined.</w:t>
      </w:r>
    </w:p>
    <w:p w:rsidR="00FF0684" w:rsidRPr="00B507CF" w:rsidRDefault="00FF0684" w:rsidP="00B507CF">
      <w:pPr>
        <w:pStyle w:val="ListBullet"/>
      </w:pPr>
      <w:r w:rsidRPr="00B507CF">
        <w:t>Future use: 123 (67.6%) for avanafil 50 mg, 118 (66.7%) for 100 mg and 137 (75.3%) for 200 mg.</w:t>
      </w:r>
    </w:p>
    <w:p w:rsidR="00FF0684" w:rsidRPr="00B507CF" w:rsidRDefault="00FF0684" w:rsidP="00B507CF">
      <w:r w:rsidRPr="00B507CF">
        <w:t>The secondary efficacy outcome measures were presented as summary statistics and were supportive of the primary efficacy outcome measures.</w:t>
      </w:r>
    </w:p>
    <w:p w:rsidR="00FF0684" w:rsidRPr="00FF0684" w:rsidRDefault="00FF0684" w:rsidP="00FF0684">
      <w:pPr>
        <w:pStyle w:val="Heading4"/>
      </w:pPr>
      <w:bookmarkStart w:id="251" w:name="_Analyses_performed_across"/>
      <w:bookmarkStart w:id="252" w:name="_Toc241374312"/>
      <w:bookmarkStart w:id="253" w:name="_Toc272414656"/>
      <w:bookmarkStart w:id="254" w:name="_Toc290846281"/>
      <w:bookmarkStart w:id="255" w:name="_Toc422725511"/>
      <w:bookmarkEnd w:id="251"/>
      <w:r w:rsidRPr="00FF0684">
        <w:t>Analyses performed across trials (pooled analyses and meta-analyses)</w:t>
      </w:r>
      <w:bookmarkEnd w:id="252"/>
      <w:bookmarkEnd w:id="253"/>
      <w:bookmarkEnd w:id="254"/>
      <w:bookmarkEnd w:id="255"/>
    </w:p>
    <w:p w:rsidR="00FF0684" w:rsidRDefault="00FF0684" w:rsidP="00FF0684">
      <w:r w:rsidRPr="00B507CF">
        <w:t xml:space="preserve">In the Summary of Clinical Efficacy </w:t>
      </w:r>
      <w:r w:rsidR="00704CF9">
        <w:t>the sponsor</w:t>
      </w:r>
      <w:r w:rsidRPr="00B507CF">
        <w:t xml:space="preserve"> provides data from a pooled analysis of Study TA-301,</w:t>
      </w:r>
      <w:r w:rsidR="00B507CF">
        <w:t xml:space="preserve"> Study TA-302 and Study TA-05. </w:t>
      </w:r>
      <w:r w:rsidRPr="00B507CF">
        <w:t xml:space="preserve">These data indicate superior efficacy compared to placebo for avanafil 50 mg, 100 mg </w:t>
      </w:r>
      <w:r w:rsidRPr="000D4BE1">
        <w:t>and 200 mg; that both the 100 mg and 200 mg doses are superior to the 50 mg; and that there was no significant difference between the 1</w:t>
      </w:r>
      <w:r w:rsidR="000D4BE1" w:rsidRPr="000D4BE1">
        <w:t>00</w:t>
      </w:r>
      <w:r w:rsidRPr="000D4BE1">
        <w:t xml:space="preserve"> mg and 200 mg doses for successful intercourse (</w:t>
      </w:r>
      <w:hyperlink w:anchor="Table_7_1_3_1" w:history="1">
        <w:r w:rsidRPr="000D4BE1">
          <w:t xml:space="preserve">Table </w:t>
        </w:r>
        <w:r w:rsidR="000D4BE1" w:rsidRPr="000D4BE1">
          <w:t>42</w:t>
        </w:r>
      </w:hyperlink>
      <w:r w:rsidRPr="000D4BE1">
        <w:t>), successful penetration (</w:t>
      </w:r>
      <w:hyperlink w:anchor="Table_7_1_3_2" w:history="1">
        <w:r w:rsidRPr="000D4BE1">
          <w:t xml:space="preserve">Table </w:t>
        </w:r>
        <w:r w:rsidR="000D4BE1" w:rsidRPr="000D4BE1">
          <w:t>43</w:t>
        </w:r>
      </w:hyperlink>
      <w:r w:rsidRPr="000D4BE1">
        <w:t>), and IIEF Erectile Function Domain Score (</w:t>
      </w:r>
      <w:hyperlink w:anchor="Table_7_1_3_3" w:history="1">
        <w:r w:rsidRPr="000D4BE1">
          <w:t xml:space="preserve">Table </w:t>
        </w:r>
        <w:r w:rsidR="000D4BE1" w:rsidRPr="000D4BE1">
          <w:t>44</w:t>
        </w:r>
      </w:hyperlink>
      <w:r w:rsidR="00B507CF" w:rsidRPr="000D4BE1">
        <w:t xml:space="preserve">). </w:t>
      </w:r>
      <w:r w:rsidRPr="000D4BE1">
        <w:t>Successful intercourse within 15 minutes of</w:t>
      </w:r>
      <w:r w:rsidRPr="00B507CF">
        <w:t xml:space="preserve"> </w:t>
      </w:r>
      <w:r w:rsidRPr="00B507CF">
        <w:lastRenderedPageBreak/>
        <w:t>administration was reported in 53 (62.4%) attempts in the avanafil 50 mg group, 121 (60.5%) in the 100 mg, 63 (56.3%) in the 200 mg and 34 (27.6%) in the placebo.</w:t>
      </w:r>
    </w:p>
    <w:bookmarkStart w:id="256" w:name="Table_7_1_3_1"/>
    <w:p w:rsidR="000D4BE1" w:rsidRPr="000D4BE1" w:rsidRDefault="000D4BE1" w:rsidP="000D4BE1">
      <w:pPr>
        <w:pStyle w:val="Tabletitle"/>
      </w:pPr>
      <w:r w:rsidRPr="000D4BE1">
        <w:fldChar w:fldCharType="begin"/>
      </w:r>
      <w:r w:rsidRPr="000D4BE1">
        <w:instrText xml:space="preserve"> HYPERLINK  \l "_Analyses_performed_across" </w:instrText>
      </w:r>
      <w:r w:rsidRPr="000D4BE1">
        <w:fldChar w:fldCharType="separate"/>
      </w:r>
      <w:r w:rsidRPr="000D4BE1">
        <w:rPr>
          <w:rStyle w:val="Hyperlink"/>
          <w:color w:val="auto"/>
          <w:u w:val="none"/>
        </w:rPr>
        <w:t>Table 42</w:t>
      </w:r>
      <w:bookmarkEnd w:id="256"/>
      <w:r w:rsidRPr="000D4BE1">
        <w:fldChar w:fldCharType="end"/>
      </w:r>
      <w:r w:rsidRPr="000D4BE1">
        <w:t>: Change in the Percentage of Sexual Attempts between the Run-in Period and the Treatment Period in which Subjects were able to Maintain an Erection of Sufficient Duration to have Successful Intercourse (SEP3) – Integrated Analysis of Studies TA-301, TA-302, and TA-05 – Intent-to-Treat Population</w:t>
      </w:r>
    </w:p>
    <w:p w:rsidR="000D4BE1" w:rsidRPr="00C83476" w:rsidRDefault="000D4BE1" w:rsidP="000D4BE1">
      <w:pPr>
        <w:rPr>
          <w:rFonts w:ascii="Times New Roman" w:hAnsi="Times New Roman"/>
          <w:sz w:val="24"/>
        </w:rPr>
      </w:pPr>
      <w:r w:rsidRPr="00C83476">
        <w:rPr>
          <w:rFonts w:ascii="Times New Roman" w:hAnsi="Times New Roman"/>
          <w:noProof/>
          <w:sz w:val="24"/>
          <w:lang w:eastAsia="en-AU"/>
        </w:rPr>
        <w:drawing>
          <wp:inline distT="0" distB="0" distL="0" distR="0" wp14:anchorId="1205BFE0" wp14:editId="019EBBCA">
            <wp:extent cx="4552950" cy="3046121"/>
            <wp:effectExtent l="38100" t="38100" r="38100" b="40005"/>
            <wp:docPr id="211" name="Picture 211" descr="Table 42: Change in the Percentage of Sexual Attempts between the Run-in Period and the Treatment Period in which Subjects were able to Maintain an Erection of Sufficient Duration to have Successful Intercourse (SEP3) – Integrated Analysis of Studies TA-301, TA-302, and TA-05 –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a:lum bright="-20000" contrast="40000"/>
                      <a:extLst>
                        <a:ext uri="{28A0092B-C50C-407E-A947-70E740481C1C}">
                          <a14:useLocalDpi xmlns:a14="http://schemas.microsoft.com/office/drawing/2010/main" val="0"/>
                        </a:ext>
                      </a:extLst>
                    </a:blip>
                    <a:srcRect r="1240" b="4478"/>
                    <a:stretch/>
                  </pic:blipFill>
                  <pic:spPr bwMode="auto">
                    <a:xfrm>
                      <a:off x="0" y="0"/>
                      <a:ext cx="4565028" cy="3054202"/>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Start w:id="257" w:name="Table_7_1_3_2"/>
    <w:p w:rsidR="00714B60" w:rsidRDefault="000D4BE1" w:rsidP="000D4BE1">
      <w:pPr>
        <w:pStyle w:val="Tabletitle"/>
      </w:pPr>
      <w:r w:rsidRPr="000D4BE1">
        <w:fldChar w:fldCharType="begin"/>
      </w:r>
      <w:r w:rsidRPr="000D4BE1">
        <w:instrText xml:space="preserve"> HYPERLINK  \l "_Analyses_performed_across" </w:instrText>
      </w:r>
      <w:r w:rsidRPr="000D4BE1">
        <w:fldChar w:fldCharType="separate"/>
      </w:r>
      <w:r w:rsidRPr="000D4BE1">
        <w:rPr>
          <w:rStyle w:val="Hyperlink"/>
          <w:color w:val="auto"/>
          <w:u w:val="none"/>
        </w:rPr>
        <w:t>Table 43</w:t>
      </w:r>
      <w:bookmarkEnd w:id="257"/>
      <w:r w:rsidRPr="000D4BE1">
        <w:fldChar w:fldCharType="end"/>
      </w:r>
      <w:r w:rsidRPr="000D4BE1">
        <w:t>: Change in the Percentage of Sexual Attempts Between the Run-in Period and the Treatment Period in Which Subjects Were Able to Achieve Successful Vaginal Penetration (SEP2) – Integrated Analysis of Studies TA-301, TA-302, and TA-05 – Intent-to-Treat Population</w:t>
      </w:r>
    </w:p>
    <w:p w:rsidR="000D4BE1" w:rsidRPr="00C83476" w:rsidRDefault="000D4BE1" w:rsidP="000D4BE1">
      <w:pPr>
        <w:rPr>
          <w:rFonts w:ascii="Times New Roman" w:hAnsi="Times New Roman"/>
          <w:sz w:val="24"/>
        </w:rPr>
      </w:pPr>
      <w:r w:rsidRPr="00C83476">
        <w:rPr>
          <w:rFonts w:ascii="Times New Roman" w:hAnsi="Times New Roman"/>
          <w:noProof/>
          <w:sz w:val="24"/>
          <w:lang w:eastAsia="en-AU"/>
        </w:rPr>
        <w:drawing>
          <wp:inline distT="0" distB="0" distL="0" distR="0" wp14:anchorId="0DD330B2" wp14:editId="79FFD049">
            <wp:extent cx="4781550" cy="3181350"/>
            <wp:effectExtent l="38100" t="38100" r="38100" b="38100"/>
            <wp:docPr id="212" name="Picture 212" descr="Table 43: Change in the Percentage of Sexual Attempts Between the Run-in Period and the Treatment Period in Which Subjects Were Able to Achieve Successful Vaginal Penetration (SEP2) – Integrated Analysis of Studies TA-301, TA-302, and TA-05 – Intent-to-Trea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lum bright="-20000" contrast="40000"/>
                      <a:extLst>
                        <a:ext uri="{28A0092B-C50C-407E-A947-70E740481C1C}">
                          <a14:useLocalDpi xmlns:a14="http://schemas.microsoft.com/office/drawing/2010/main" val="0"/>
                        </a:ext>
                      </a:extLst>
                    </a:blip>
                    <a:srcRect b="3650"/>
                    <a:stretch/>
                  </pic:blipFill>
                  <pic:spPr bwMode="auto">
                    <a:xfrm>
                      <a:off x="0" y="0"/>
                      <a:ext cx="4786304" cy="3184513"/>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bookmarkStart w:id="258" w:name="Table_7_1_3_3"/>
    <w:p w:rsidR="00714B60" w:rsidRDefault="000D4BE1" w:rsidP="000D4BE1">
      <w:pPr>
        <w:pStyle w:val="Tabletitle"/>
      </w:pPr>
      <w:r w:rsidRPr="000D4BE1">
        <w:lastRenderedPageBreak/>
        <w:fldChar w:fldCharType="begin"/>
      </w:r>
      <w:r w:rsidRPr="000D4BE1">
        <w:instrText xml:space="preserve"> HYPERLINK  \l "_Analyses_performed_across" </w:instrText>
      </w:r>
      <w:r w:rsidRPr="000D4BE1">
        <w:fldChar w:fldCharType="separate"/>
      </w:r>
      <w:r w:rsidRPr="000D4BE1">
        <w:rPr>
          <w:rStyle w:val="Hyperlink"/>
          <w:color w:val="auto"/>
          <w:u w:val="none"/>
        </w:rPr>
        <w:t>Table 44:</w:t>
      </w:r>
      <w:bookmarkEnd w:id="258"/>
      <w:r w:rsidRPr="000D4BE1">
        <w:fldChar w:fldCharType="end"/>
      </w:r>
      <w:r w:rsidRPr="000D4BE1">
        <w:t xml:space="preserve"> Change in IIEF Erectile Function Domain Score from Baseline to End of Treatment – Integrated Analysis of Studies TA-301, TA-302, and TA-05 – Intent-to-Treat Population</w:t>
      </w:r>
    </w:p>
    <w:p w:rsidR="000D4BE1" w:rsidRPr="00C83476" w:rsidRDefault="000D4BE1" w:rsidP="000D4BE1">
      <w:pPr>
        <w:rPr>
          <w:rFonts w:ascii="Times New Roman" w:hAnsi="Times New Roman"/>
          <w:sz w:val="24"/>
        </w:rPr>
      </w:pPr>
      <w:r w:rsidRPr="00C83476">
        <w:rPr>
          <w:rFonts w:ascii="Times New Roman" w:hAnsi="Times New Roman"/>
          <w:noProof/>
          <w:sz w:val="24"/>
          <w:lang w:eastAsia="en-AU"/>
        </w:rPr>
        <w:drawing>
          <wp:inline distT="0" distB="0" distL="0" distR="0" wp14:anchorId="271F0FE0" wp14:editId="6DB0CB68">
            <wp:extent cx="4876800" cy="3105150"/>
            <wp:effectExtent l="38100" t="38100" r="38100" b="38100"/>
            <wp:docPr id="213" name="Picture 213" descr="Table 44: Change in IIEF Erectile Function Domain Score from Baseline to End of Treatment – Integrated Analysis of Studies TA-301, TA-302, and TA-05 – Intent-to-Trea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lum bright="-20000" contrast="40000"/>
                      <a:extLst>
                        <a:ext uri="{28A0092B-C50C-407E-A947-70E740481C1C}">
                          <a14:useLocalDpi xmlns:a14="http://schemas.microsoft.com/office/drawing/2010/main" val="0"/>
                        </a:ext>
                      </a:extLst>
                    </a:blip>
                    <a:srcRect b="4584"/>
                    <a:stretch/>
                  </pic:blipFill>
                  <pic:spPr bwMode="auto">
                    <a:xfrm>
                      <a:off x="0" y="0"/>
                      <a:ext cx="4876509" cy="3104965"/>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FF0684" w:rsidRPr="00FF0684" w:rsidRDefault="00FF0684" w:rsidP="00FF0684">
      <w:pPr>
        <w:pStyle w:val="Heading4"/>
      </w:pPr>
      <w:bookmarkStart w:id="259" w:name="_Ref271126605"/>
      <w:bookmarkStart w:id="260" w:name="_Toc272414657"/>
      <w:bookmarkStart w:id="261" w:name="_Toc290846282"/>
      <w:bookmarkStart w:id="262" w:name="_Toc422725512"/>
      <w:r w:rsidRPr="00FF0684">
        <w:t xml:space="preserve">Evaluator’s conclusions on clinical efficacy for </w:t>
      </w:r>
      <w:bookmarkEnd w:id="259"/>
      <w:bookmarkEnd w:id="260"/>
      <w:bookmarkEnd w:id="261"/>
      <w:r w:rsidRPr="00FF0684">
        <w:t>erectile dysfunction</w:t>
      </w:r>
      <w:bookmarkEnd w:id="262"/>
    </w:p>
    <w:p w:rsidR="00FF0684" w:rsidRPr="00B507CF" w:rsidRDefault="00FF0684" w:rsidP="00B507CF">
      <w:r w:rsidRPr="00B507CF">
        <w:t>Avanafil at doses of 50 mg, 100 mg and 200 mg was superior to placebo in su</w:t>
      </w:r>
      <w:r w:rsidR="00B507CF">
        <w:t xml:space="preserve">bjects with mild to severe ED. </w:t>
      </w:r>
      <w:r w:rsidRPr="00B507CF">
        <w:t>The 100 mg and 200 mg dose level</w:t>
      </w:r>
      <w:r w:rsidR="00B507CF">
        <w:t xml:space="preserve">s were both superior to 50 mg. </w:t>
      </w:r>
      <w:r w:rsidRPr="00B507CF">
        <w:t xml:space="preserve">In Study TA-301, in subjects with mild to severe ED, the mean (SD) change from baseline in % successful penetration was 7.1 (32.07) % for placebo, 18.9 (35.51) % for avanafil 50 mg, 27.3 (35.17) % for 100 mg </w:t>
      </w:r>
      <w:r w:rsidR="00B507CF">
        <w:t xml:space="preserve">and 29.0 (35.90) % for 200 mg. </w:t>
      </w:r>
      <w:r w:rsidRPr="00B507CF">
        <w:t xml:space="preserve">The mean (SD) change from baseline in % successful intercourse was 14.4 (27.63) % for placebo, 27.8 (33.86) % for avanafil 50 mg, 43.2 (33.86) % for 100 mg </w:t>
      </w:r>
      <w:r w:rsidR="00B507CF">
        <w:t xml:space="preserve">and 44.6 (35.67) % for 200 mg. </w:t>
      </w:r>
      <w:r w:rsidRPr="00B507CF">
        <w:t>The mean (SD) change from baseline in IIEF Erectile Function Domain Score was 2.9 (6.38) for placebo, 5.4 (7.54) for avanafil 50 mg, 8.3 (7.67) for 100 mg and 9.5 (7.03) % for 200 mg.</w:t>
      </w:r>
    </w:p>
    <w:p w:rsidR="00FF0684" w:rsidRPr="00B507CF" w:rsidRDefault="00FF0684" w:rsidP="00FF0684">
      <w:r w:rsidRPr="00B507CF">
        <w:t>Avanafil at doses of 100 mg and 200 mg was superior to placebo in subjects with diabetes mel</w:t>
      </w:r>
      <w:r w:rsidR="00B507CF">
        <w:t xml:space="preserve">litus and mild to moderate ED. </w:t>
      </w:r>
      <w:r w:rsidRPr="00B507CF">
        <w:t xml:space="preserve">In Study TA-302, the mean (SD) change from baseline in % successful intercourse was 10.5 (27.73) % for placebo, 26.2 (33.71) % for 100 mg </w:t>
      </w:r>
      <w:r w:rsidR="00B507CF">
        <w:t xml:space="preserve">and 32.1 (32.94) % for 200 mg. </w:t>
      </w:r>
      <w:r w:rsidRPr="00B507CF">
        <w:t>The mean (SD) change from baseline in % successful penetration was 5.9 (31.16) % for placebo, 21.5 (37.19) % for 100 mg and 22.0 (35.</w:t>
      </w:r>
      <w:r w:rsidR="00B507CF">
        <w:t xml:space="preserve">00) % for 200 mg. </w:t>
      </w:r>
      <w:r w:rsidRPr="00B507CF">
        <w:t>The mean (SD) change from baseline in IIEF Erectile Function Domain Score was 1.8 (6.24) for placebo, 4.6 (7.00) for avanafil 100 mg and 5.3 (7.50) % for 200 mg.</w:t>
      </w:r>
    </w:p>
    <w:p w:rsidR="00FF0684" w:rsidRPr="00B507CF" w:rsidRDefault="00FF0684" w:rsidP="00B507CF">
      <w:r w:rsidRPr="00B507CF">
        <w:t>Avanafil at doses of 100 mg and 200 mg was superior to placebo in subjects with ED following bilateral nerve-</w:t>
      </w:r>
      <w:r w:rsidR="00B507CF" w:rsidRPr="00B507CF">
        <w:t xml:space="preserve">sparing radical prostatectomy. </w:t>
      </w:r>
      <w:r w:rsidRPr="00B507CF">
        <w:t xml:space="preserve">In Study TA-303, the mean (SD) change from baseline in % successful intercourse was 4.8 (19.89) % for placebo, 18.3 (30.18) % for 100 mg </w:t>
      </w:r>
      <w:r w:rsidR="00B507CF" w:rsidRPr="00B507CF">
        <w:t xml:space="preserve">and 21.1 (31.83) % for 200 mg. </w:t>
      </w:r>
      <w:r w:rsidRPr="00B507CF">
        <w:t>The mean (SD) change from baseline in % successful penetration was -0.4 (21.59) % for placebo, 15.3 (32.21) % for 100 mg</w:t>
      </w:r>
      <w:r w:rsidR="00B507CF">
        <w:t xml:space="preserve"> and 20.8 (31.78) % for 200 mg.</w:t>
      </w:r>
      <w:r w:rsidRPr="00B507CF">
        <w:t xml:space="preserve"> The mean (SD) change from baseline in IIEF Erectile Function Domain Score was 0.1 (3.56) for placebo, 3.6 (7.04) for avanafil 100 mg and 5.2 (7.00) % for 200 mg.</w:t>
      </w:r>
    </w:p>
    <w:p w:rsidR="00FF0684" w:rsidRPr="00B507CF" w:rsidRDefault="00FF0684" w:rsidP="00B507CF">
      <w:r w:rsidRPr="00B507CF">
        <w:t>Avanafil at all doses had rapid onset of action in subjects with no restriction of foo</w:t>
      </w:r>
      <w:r w:rsidR="00B507CF">
        <w:t xml:space="preserve">d intake. </w:t>
      </w:r>
      <w:r w:rsidRPr="00B507CF">
        <w:t>In Study TA-501 Both active treatments h</w:t>
      </w:r>
      <w:r w:rsidR="00B507CF">
        <w:t xml:space="preserve">as superior erectogenic effect ≤ </w:t>
      </w:r>
      <w:r w:rsidRPr="00B507CF">
        <w:t xml:space="preserve">17 minutes after dosing compared to placebo, and there was no significant difference between the avanafil </w:t>
      </w:r>
      <w:r w:rsidR="00B507CF">
        <w:t xml:space="preserve">100 mg and 200 mg dose levels. </w:t>
      </w:r>
      <w:r w:rsidRPr="00B507CF">
        <w:t xml:space="preserve">The LS mean (SE) erectogenic effect was 24.71 (2.911) % for avanafil 100 </w:t>
      </w:r>
      <w:r w:rsidRPr="00B507CF">
        <w:lastRenderedPageBreak/>
        <w:t>mg, 28.18 (2.876) % for 200 mg an</w:t>
      </w:r>
      <w:r w:rsidR="00B507CF">
        <w:t xml:space="preserve">d 13.78 (2.905) % for placebo. </w:t>
      </w:r>
      <w:r w:rsidRPr="00B507CF">
        <w:t>In Study TA-301 the increase in the proportion of s</w:t>
      </w:r>
      <w:r w:rsidR="00B507CF">
        <w:t xml:space="preserve">uccessful intercourse was from ≥ 15 minutes after ingestion. </w:t>
      </w:r>
      <w:r w:rsidRPr="00B507CF">
        <w:t>However, in Study TA-302, time of onset of effect was shorter for avanafil 100 mg than avanafil 200 mg for successful intercourse, successful penetration and Satisfaction with Sexual Experience.</w:t>
      </w:r>
    </w:p>
    <w:p w:rsidR="00FF0684" w:rsidRPr="00B507CF" w:rsidRDefault="00FF0684" w:rsidP="00B507CF">
      <w:r w:rsidRPr="00B507CF">
        <w:t>The effects of avanafil appear to be ma</w:t>
      </w:r>
      <w:r w:rsidR="00B507CF">
        <w:t>intained over a 52 week period.</w:t>
      </w:r>
      <w:r w:rsidRPr="00B507CF">
        <w:t xml:space="preserve"> In Study TA-314, in subjects followed up for up to 52 months, at last study visit the proportion of subjects with successful intercourse was 67.7% for avanafil 100 mg and 66.3% f</w:t>
      </w:r>
      <w:r w:rsidR="00B507CF">
        <w:t xml:space="preserve">or 100 mg and 200 mg combined. </w:t>
      </w:r>
      <w:r w:rsidRPr="00B507CF">
        <w:t xml:space="preserve">At Week 52, there were seven subjects in the avanafil 50 mg group, and the proportion of attempts with successful intercourse was 76.62%, seven in the 100 mg with 97.32% success and ten in the 200 mg with </w:t>
      </w:r>
      <w:r w:rsidR="00B507CF">
        <w:t xml:space="preserve">96.25% success. </w:t>
      </w:r>
      <w:r w:rsidRPr="00B507CF">
        <w:t>The proportion of subjects with successful penetration was 83.3% for avanafil 100 mg and 79.4% f</w:t>
      </w:r>
      <w:r w:rsidR="00B507CF">
        <w:t xml:space="preserve">or 100 mg and 200 mg combined. </w:t>
      </w:r>
      <w:r w:rsidRPr="00B507CF">
        <w:t>At Week 52, there were seven subjects in the avanafil 50 mg group, and the proportion of attempts with successful penetration was 51.98%, seven in the 100 mg with 35.48% success and ten in t</w:t>
      </w:r>
      <w:r w:rsidR="00B507CF">
        <w:t xml:space="preserve">he 200 mg with 71.89% success. </w:t>
      </w:r>
      <w:r w:rsidRPr="00B507CF">
        <w:t>Mean (SD) IIEF Erectile Function Domain score was 22.2 (8.57) for avanafil 100 mg and 22.7 (8.12) for 100 mg and 200 mg combined.</w:t>
      </w:r>
    </w:p>
    <w:p w:rsidR="00FF0684" w:rsidRPr="00B507CF" w:rsidRDefault="00FF0684" w:rsidP="00B507CF">
      <w:r w:rsidRPr="00B507CF">
        <w:t>For Study TA-314, the efficacy analyses were performed using the data from the subjects last study visit, but are pr</w:t>
      </w:r>
      <w:r w:rsidR="00B507CF">
        <w:t xml:space="preserve">esented as a 52 week analysis. </w:t>
      </w:r>
      <w:r w:rsidRPr="00B507CF">
        <w:t>Hence these should be interpreted as the res</w:t>
      </w:r>
      <w:r w:rsidR="00B507CF">
        <w:t xml:space="preserve">ults for the last study visit. </w:t>
      </w:r>
      <w:r w:rsidRPr="00B507CF">
        <w:t>There were insufficient data in the other doses group to p</w:t>
      </w:r>
      <w:r w:rsidR="00B507CF">
        <w:t xml:space="preserve">rovide meaningful conclusions. </w:t>
      </w:r>
      <w:r w:rsidRPr="00B507CF">
        <w:t>The data also r</w:t>
      </w:r>
      <w:r w:rsidR="00B507CF">
        <w:t xml:space="preserve">epresent a responder analysis. </w:t>
      </w:r>
      <w:r w:rsidRPr="00B507CF">
        <w:t>A more useful analysis would be to present the results by study visit.</w:t>
      </w:r>
    </w:p>
    <w:p w:rsidR="00FF0684" w:rsidRPr="00B507CF" w:rsidRDefault="00FF0684" w:rsidP="00B507CF">
      <w:r w:rsidRPr="00B507CF">
        <w:t>The outcome measures used in the clinical tr</w:t>
      </w:r>
      <w:r w:rsidR="00B507CF">
        <w:t xml:space="preserve">ials were clinically relevant. </w:t>
      </w:r>
      <w:r w:rsidRPr="00B507CF">
        <w:t>The statistical measures, including those addressing imputation and multiplicity, were approp</w:t>
      </w:r>
      <w:r w:rsidR="00B507CF">
        <w:t xml:space="preserve">riate. </w:t>
      </w:r>
      <w:r w:rsidRPr="00B507CF">
        <w:t xml:space="preserve">The population of patients studied in the clinical trials was similar to that intended for marketing in </w:t>
      </w:r>
      <w:r w:rsidR="00B507CF">
        <w:t>Australia.</w:t>
      </w:r>
      <w:r w:rsidRPr="00B507CF">
        <w:t xml:space="preserve"> The PI reflects this study population.</w:t>
      </w:r>
    </w:p>
    <w:p w:rsidR="00FF0684" w:rsidRDefault="00FF0684" w:rsidP="00FF0684">
      <w:r w:rsidRPr="00B507CF">
        <w:t xml:space="preserve">The formulations studied in the pivotal studies were either the 50 </w:t>
      </w:r>
      <w:r w:rsidR="00B507CF">
        <w:t>mg tablet or the 100 mg tablet.</w:t>
      </w:r>
      <w:r w:rsidRPr="00B507CF">
        <w:t xml:space="preserve"> None of the subjects in the pivotal studies received the 200 mg tablet.</w:t>
      </w:r>
    </w:p>
    <w:p w:rsidR="00C22678" w:rsidRDefault="00C22678" w:rsidP="00C22678">
      <w:pPr>
        <w:pStyle w:val="Heading2"/>
      </w:pPr>
      <w:bookmarkStart w:id="263" w:name="_Toc466365789"/>
      <w:r>
        <w:t>Clinical safety</w:t>
      </w:r>
      <w:bookmarkEnd w:id="263"/>
    </w:p>
    <w:p w:rsidR="00C45917" w:rsidRPr="00C45917" w:rsidRDefault="00C45917" w:rsidP="00C45917">
      <w:pPr>
        <w:pStyle w:val="Heading3"/>
      </w:pPr>
      <w:bookmarkStart w:id="264" w:name="_Toc272414659"/>
      <w:bookmarkStart w:id="265" w:name="_Toc290846284"/>
      <w:bookmarkStart w:id="266" w:name="_Toc422725514"/>
      <w:bookmarkStart w:id="267" w:name="_Toc466365790"/>
      <w:r w:rsidRPr="00C45917">
        <w:t>Studies providing evaluable safety data</w:t>
      </w:r>
      <w:bookmarkEnd w:id="264"/>
      <w:bookmarkEnd w:id="265"/>
      <w:bookmarkEnd w:id="266"/>
      <w:bookmarkEnd w:id="267"/>
    </w:p>
    <w:p w:rsidR="00C45917" w:rsidRPr="00C45917" w:rsidRDefault="00C45917" w:rsidP="00C45917">
      <w:bookmarkStart w:id="268" w:name="_Ref268776745"/>
      <w:r w:rsidRPr="00C45917">
        <w:t>The following studies provided evaluable safety data:</w:t>
      </w:r>
    </w:p>
    <w:p w:rsidR="00C45917" w:rsidRPr="00C45917" w:rsidRDefault="00C45917" w:rsidP="00846EE5">
      <w:pPr>
        <w:pStyle w:val="Heading4"/>
      </w:pPr>
      <w:r w:rsidRPr="00C45917">
        <w:t>Pivotal efficacy studies</w:t>
      </w:r>
      <w:bookmarkEnd w:id="268"/>
    </w:p>
    <w:p w:rsidR="00C45917" w:rsidRPr="00C45917" w:rsidRDefault="00C45917" w:rsidP="00C45917">
      <w:r w:rsidRPr="00C45917">
        <w:t>In the pivotal efficacy studies, the following safety data were collected:</w:t>
      </w:r>
    </w:p>
    <w:p w:rsidR="00C45917" w:rsidRPr="00C45917" w:rsidRDefault="00C45917" w:rsidP="00C45917">
      <w:pPr>
        <w:pStyle w:val="ListBullet"/>
      </w:pPr>
      <w:r w:rsidRPr="00C45917">
        <w:t>General adverse events (AEs) were assessed by AEs, clinical laboratory tests, vital signs and ECGs.</w:t>
      </w:r>
    </w:p>
    <w:p w:rsidR="00C45917" w:rsidRPr="00C45917" w:rsidRDefault="00C45917" w:rsidP="00846EE5">
      <w:pPr>
        <w:pStyle w:val="Heading4"/>
      </w:pPr>
      <w:r w:rsidRPr="00C45917">
        <w:t>Pivotal studies that assessed safety as a primary outcome</w:t>
      </w:r>
    </w:p>
    <w:p w:rsidR="00C45917" w:rsidRPr="00C45917" w:rsidRDefault="00C45917" w:rsidP="00C45917">
      <w:r w:rsidRPr="00C45917">
        <w:t>There were no pivotal studies that assessed safety as a primary outcome.</w:t>
      </w:r>
    </w:p>
    <w:p w:rsidR="00C45917" w:rsidRPr="00846EE5" w:rsidRDefault="00C45917" w:rsidP="00846EE5">
      <w:pPr>
        <w:pStyle w:val="Heading4"/>
      </w:pPr>
      <w:r w:rsidRPr="00846EE5">
        <w:t>Dose-response and non-pivotal efficacy studies</w:t>
      </w:r>
    </w:p>
    <w:p w:rsidR="00C45917" w:rsidRPr="00846EE5" w:rsidRDefault="00C45917" w:rsidP="00C45917">
      <w:r w:rsidRPr="00846EE5">
        <w:t>The dose-response and non-pivotal efficacy studies provided safety data, as follows: AEs, clinical laboratory tests and ECGs.</w:t>
      </w:r>
    </w:p>
    <w:p w:rsidR="00C45917" w:rsidRPr="00846EE5" w:rsidRDefault="00C45917" w:rsidP="00846EE5">
      <w:pPr>
        <w:pStyle w:val="Heading4"/>
      </w:pPr>
      <w:r w:rsidRPr="00846EE5">
        <w:t>Clinical pharmacology studies</w:t>
      </w:r>
    </w:p>
    <w:p w:rsidR="00C45917" w:rsidRPr="00846EE5" w:rsidRDefault="00C45917" w:rsidP="00C45917">
      <w:r w:rsidRPr="00846EE5">
        <w:t>The clinical pharmacology studies provided safety data, as follows: AEs, clinical laboratory tests and ECGs.</w:t>
      </w:r>
      <w:bookmarkStart w:id="269" w:name="_Ref269204367"/>
    </w:p>
    <w:p w:rsidR="00C45917" w:rsidRPr="00846EE5" w:rsidRDefault="00C45917" w:rsidP="000D4BE1">
      <w:pPr>
        <w:pStyle w:val="Heading3"/>
      </w:pPr>
      <w:bookmarkStart w:id="270" w:name="_Patient_exposure"/>
      <w:bookmarkStart w:id="271" w:name="_Toc241374318"/>
      <w:bookmarkStart w:id="272" w:name="_Ref271196630"/>
      <w:bookmarkStart w:id="273" w:name="_Toc272414662"/>
      <w:bookmarkStart w:id="274" w:name="_Toc290846300"/>
      <w:bookmarkStart w:id="275" w:name="_Toc422725516"/>
      <w:bookmarkStart w:id="276" w:name="_Toc466365791"/>
      <w:bookmarkEnd w:id="269"/>
      <w:bookmarkEnd w:id="270"/>
      <w:r w:rsidRPr="00846EE5">
        <w:lastRenderedPageBreak/>
        <w:t>Patient exposure</w:t>
      </w:r>
      <w:bookmarkEnd w:id="271"/>
      <w:bookmarkEnd w:id="272"/>
      <w:bookmarkEnd w:id="273"/>
      <w:bookmarkEnd w:id="274"/>
      <w:bookmarkEnd w:id="275"/>
      <w:bookmarkEnd w:id="276"/>
    </w:p>
    <w:p w:rsidR="00C45917" w:rsidRPr="00846EE5" w:rsidRDefault="00C45917" w:rsidP="00846EE5">
      <w:r w:rsidRPr="00846EE5">
        <w:t xml:space="preserve">There were 2144 subjects exposed to </w:t>
      </w:r>
      <w:r w:rsidRPr="000D4BE1">
        <w:t>avanafil in the development p</w:t>
      </w:r>
      <w:r w:rsidR="00846EE5" w:rsidRPr="000D4BE1">
        <w:t>rogram, including 644 in Phase I, 360 in Phase II and 1140 in Phase III</w:t>
      </w:r>
      <w:r w:rsidRPr="000D4BE1">
        <w:t xml:space="preserve"> (</w:t>
      </w:r>
      <w:hyperlink w:anchor="Table_8_3_1" w:history="1">
        <w:r w:rsidRPr="000D4BE1">
          <w:t xml:space="preserve">Table </w:t>
        </w:r>
        <w:r w:rsidR="000D4BE1" w:rsidRPr="000D4BE1">
          <w:t>45</w:t>
        </w:r>
      </w:hyperlink>
      <w:r w:rsidR="00846EE5" w:rsidRPr="000D4BE1">
        <w:t>).</w:t>
      </w:r>
    </w:p>
    <w:p w:rsidR="00C45917" w:rsidRPr="00846EE5" w:rsidRDefault="00C45917" w:rsidP="00846EE5">
      <w:r w:rsidRPr="00846EE5">
        <w:t>In Study TA-01 there were 27 subjects exposed to a single dose of avanafil 50 mg,</w:t>
      </w:r>
      <w:r w:rsidR="00846EE5">
        <w:t xml:space="preserve"> 28 to 100 mg, and 28 to 200 mg</w:t>
      </w:r>
    </w:p>
    <w:p w:rsidR="00C45917" w:rsidRPr="00846EE5" w:rsidRDefault="00C45917" w:rsidP="00846EE5">
      <w:r w:rsidRPr="00846EE5">
        <w:t>In Study TA-03 there were 49 subjects exposed to up to</w:t>
      </w:r>
      <w:r w:rsidR="00846EE5">
        <w:t xml:space="preserve"> 12 doses of avanafil 200 mg.</w:t>
      </w:r>
    </w:p>
    <w:p w:rsidR="00C45917" w:rsidRPr="00846EE5" w:rsidRDefault="00C45917" w:rsidP="00846EE5">
      <w:r w:rsidRPr="00846EE5">
        <w:t>In Study TA-05 subjects received up to 18 d</w:t>
      </w:r>
      <w:r w:rsidR="00846EE5">
        <w:t xml:space="preserve">oses and a median of 16 doses. </w:t>
      </w:r>
      <w:r w:rsidRPr="00846EE5">
        <w:t xml:space="preserve">There were 57 subjects exposed to avanafil 50 mg, 61 to 100 mg, </w:t>
      </w:r>
      <w:r w:rsidR="00846EE5">
        <w:t>59 to 200 mg, and 59 to 300 mg.</w:t>
      </w:r>
    </w:p>
    <w:p w:rsidR="00C45917" w:rsidRPr="00846EE5" w:rsidRDefault="00C45917" w:rsidP="00846EE5">
      <w:r w:rsidRPr="00846EE5">
        <w:t>In Study TA-301 there were 150 subjects exposed to avanafil 50 mg, 161 to avanafil 100 mg and 162 to avan</w:t>
      </w:r>
      <w:r w:rsidR="00846EE5">
        <w:t>afil 200 mg for up to 12 weeks.</w:t>
      </w:r>
      <w:r w:rsidRPr="00846EE5">
        <w:t xml:space="preserve"> In the study there </w:t>
      </w:r>
      <w:r w:rsidR="00846EE5">
        <w:t xml:space="preserve">were 144 (22.3%) subjects aged ≥ </w:t>
      </w:r>
      <w:r w:rsidRPr="00846EE5">
        <w:t>65 years, 233 (36.2%) subjects with a history of hypertension and 61 (9.5%) subjects with a hist</w:t>
      </w:r>
      <w:r w:rsidR="00846EE5">
        <w:t>ory of coronary artery disease.</w:t>
      </w:r>
    </w:p>
    <w:p w:rsidR="00C45917" w:rsidRPr="00846EE5" w:rsidRDefault="00C45917" w:rsidP="00C45917">
      <w:r w:rsidRPr="00846EE5">
        <w:t>In Study TA-302, conducted in subjects with diabetes mellitus, there were 127 subjects exposed to avanafil 100 mg and 131</w:t>
      </w:r>
      <w:r w:rsidR="00846EE5">
        <w:t xml:space="preserve"> to 200 mg for up to 12 weeks. </w:t>
      </w:r>
      <w:r w:rsidRPr="00846EE5">
        <w:t xml:space="preserve">In the study there </w:t>
      </w:r>
      <w:r w:rsidR="00846EE5">
        <w:t xml:space="preserve">were 105 (26.9%) subjects aged ≥ </w:t>
      </w:r>
      <w:r w:rsidRPr="00846EE5">
        <w:t>65 years, 260 (67.0%) subjects with a history of hypertension, and 54 (13.9%) with a hist</w:t>
      </w:r>
      <w:r w:rsidR="00846EE5">
        <w:t>ory of coronary artery disease.</w:t>
      </w:r>
    </w:p>
    <w:p w:rsidR="00C45917" w:rsidRPr="00846EE5" w:rsidRDefault="00C45917" w:rsidP="00846EE5">
      <w:r w:rsidRPr="00846EE5">
        <w:t>In Study TA-303, conducted in subjects with a history of bilateral nerve-sparing retropubic radical prostatectomy, there were 99 subjects exposed to avanafil 100 mg and 99</w:t>
      </w:r>
      <w:r w:rsidR="00846EE5">
        <w:t xml:space="preserve"> to 200 mg for up to 12 weeks. </w:t>
      </w:r>
      <w:r w:rsidRPr="00846EE5">
        <w:t>There</w:t>
      </w:r>
      <w:r w:rsidR="00846EE5">
        <w:t xml:space="preserve"> were 48 (16.1%) subjects aged ≥ </w:t>
      </w:r>
      <w:r w:rsidRPr="00846EE5">
        <w:t>65 years, 125 (41.9%) subjects with a history of hypertension, 38 (12.8%) with other cardiovascular disease and seven (2.3%)</w:t>
      </w:r>
      <w:r w:rsidR="00846EE5">
        <w:t xml:space="preserve"> with coronary artery disease.</w:t>
      </w:r>
    </w:p>
    <w:p w:rsidR="00C45917" w:rsidRPr="00846EE5" w:rsidRDefault="00C45917" w:rsidP="00846EE5">
      <w:r w:rsidRPr="00846EE5">
        <w:t>In Study TA-501 there were 146 subjects exposed to avanafil 100 mg and 146 to 200 mg, with a</w:t>
      </w:r>
      <w:r w:rsidR="00846EE5">
        <w:t xml:space="preserve"> median number of doses of 11. </w:t>
      </w:r>
      <w:r w:rsidRPr="00846EE5">
        <w:t>There were 129 (29.3%)</w:t>
      </w:r>
      <w:r w:rsidR="00846EE5">
        <w:t xml:space="preserve"> subjects were aged ≥ 65 years.</w:t>
      </w:r>
    </w:p>
    <w:p w:rsidR="00C45917" w:rsidRDefault="00C45917" w:rsidP="00846EE5">
      <w:r w:rsidRPr="00846EE5">
        <w:t>In Study TA-314 there were 153 su</w:t>
      </w:r>
      <w:r w:rsidR="00846EE5">
        <w:t xml:space="preserve">bjects exposed to avanafil for ≥ 12 months and 493 for ≥ </w:t>
      </w:r>
      <w:r w:rsidRPr="00846EE5">
        <w:t>6 months.</w:t>
      </w:r>
    </w:p>
    <w:bookmarkStart w:id="277" w:name="Table_8_3_1"/>
    <w:p w:rsidR="00714B60" w:rsidRDefault="000D4BE1" w:rsidP="000D4BE1">
      <w:pPr>
        <w:pStyle w:val="Tabletitle"/>
      </w:pPr>
      <w:r w:rsidRPr="000D4BE1">
        <w:fldChar w:fldCharType="begin"/>
      </w:r>
      <w:r w:rsidRPr="000D4BE1">
        <w:instrText xml:space="preserve"> HYPERLINK  \l "_Patient_exposure" </w:instrText>
      </w:r>
      <w:r w:rsidRPr="000D4BE1">
        <w:fldChar w:fldCharType="separate"/>
      </w:r>
      <w:r w:rsidRPr="000D4BE1">
        <w:rPr>
          <w:rStyle w:val="Hyperlink"/>
          <w:color w:val="auto"/>
          <w:u w:val="none"/>
        </w:rPr>
        <w:t>Table 45:</w:t>
      </w:r>
      <w:bookmarkEnd w:id="277"/>
      <w:r w:rsidRPr="000D4BE1">
        <w:fldChar w:fldCharType="end"/>
      </w:r>
      <w:r w:rsidRPr="000D4BE1">
        <w:t xml:space="preserve"> Summary of Avanafil Exposure During the Clinical Development Program</w:t>
      </w:r>
    </w:p>
    <w:p w:rsidR="000D4BE1" w:rsidRPr="00C83476" w:rsidRDefault="000D4BE1" w:rsidP="000D4BE1">
      <w:pPr>
        <w:rPr>
          <w:rFonts w:ascii="Times New Roman" w:hAnsi="Times New Roman"/>
          <w:sz w:val="24"/>
        </w:rPr>
      </w:pPr>
      <w:r w:rsidRPr="00C83476">
        <w:rPr>
          <w:rFonts w:ascii="Times New Roman" w:hAnsi="Times New Roman"/>
          <w:noProof/>
          <w:sz w:val="24"/>
          <w:lang w:eastAsia="en-AU"/>
        </w:rPr>
        <w:drawing>
          <wp:inline distT="0" distB="0" distL="0" distR="0" wp14:anchorId="15079D1B" wp14:editId="6022D578">
            <wp:extent cx="5381625" cy="3180124"/>
            <wp:effectExtent l="38100" t="38100" r="28575" b="39370"/>
            <wp:docPr id="214" name="Picture 214" descr="Table 45: Summary of Avanafil Exposure During the Clinical Development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cstate="print">
                      <a:lum bright="-20000" contrast="40000"/>
                      <a:extLst>
                        <a:ext uri="{28A0092B-C50C-407E-A947-70E740481C1C}">
                          <a14:useLocalDpi xmlns:a14="http://schemas.microsoft.com/office/drawing/2010/main" val="0"/>
                        </a:ext>
                      </a:extLst>
                    </a:blip>
                    <a:srcRect l="1" r="1568" b="6704"/>
                    <a:stretch/>
                  </pic:blipFill>
                  <pic:spPr bwMode="auto">
                    <a:xfrm>
                      <a:off x="0" y="0"/>
                      <a:ext cx="5394400" cy="3187673"/>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46EE5" w:rsidRPr="00846EE5" w:rsidRDefault="00846EE5" w:rsidP="00846EE5">
      <w:pPr>
        <w:pStyle w:val="Heading3"/>
      </w:pPr>
      <w:bookmarkStart w:id="278" w:name="_Toc241374319"/>
      <w:bookmarkStart w:id="279" w:name="_Ref271044764"/>
      <w:bookmarkStart w:id="280" w:name="_Toc272414663"/>
      <w:bookmarkStart w:id="281" w:name="_Toc290846301"/>
      <w:bookmarkStart w:id="282" w:name="_Toc422725517"/>
      <w:bookmarkStart w:id="283" w:name="_Toc466365792"/>
      <w:r w:rsidRPr="00846EE5">
        <w:lastRenderedPageBreak/>
        <w:t>Adverse events</w:t>
      </w:r>
      <w:bookmarkEnd w:id="278"/>
      <w:bookmarkEnd w:id="279"/>
      <w:bookmarkEnd w:id="280"/>
      <w:bookmarkEnd w:id="281"/>
      <w:bookmarkEnd w:id="282"/>
      <w:bookmarkEnd w:id="283"/>
    </w:p>
    <w:p w:rsidR="00846EE5" w:rsidRPr="00846EE5" w:rsidRDefault="00846EE5" w:rsidP="00846EE5">
      <w:pPr>
        <w:pStyle w:val="Heading4"/>
      </w:pPr>
      <w:bookmarkStart w:id="284" w:name="_Ref272317284"/>
      <w:bookmarkStart w:id="285" w:name="_Ref272333565"/>
      <w:bookmarkStart w:id="286" w:name="_Toc272414664"/>
      <w:bookmarkStart w:id="287" w:name="_Toc290846302"/>
      <w:bookmarkStart w:id="288" w:name="_Toc422725518"/>
      <w:r w:rsidRPr="00846EE5">
        <w:t>All adverse events (irrespective of relationship to study treatment)</w:t>
      </w:r>
      <w:bookmarkEnd w:id="284"/>
      <w:bookmarkEnd w:id="285"/>
      <w:bookmarkEnd w:id="286"/>
      <w:bookmarkEnd w:id="287"/>
      <w:bookmarkEnd w:id="288"/>
    </w:p>
    <w:p w:rsidR="00846EE5" w:rsidRPr="00846EE5" w:rsidRDefault="00846EE5" w:rsidP="00846EE5">
      <w:pPr>
        <w:pStyle w:val="Heading5"/>
      </w:pPr>
      <w:bookmarkStart w:id="289" w:name="_Pivotal_studies"/>
      <w:bookmarkEnd w:id="289"/>
      <w:r w:rsidRPr="00846EE5">
        <w:t>Pivotal studies</w:t>
      </w:r>
    </w:p>
    <w:p w:rsidR="00846EE5" w:rsidRPr="00846EE5" w:rsidRDefault="00846EE5" w:rsidP="00846EE5">
      <w:r w:rsidRPr="00846EE5">
        <w:t>In Study TA-301</w:t>
      </w:r>
      <w:r w:rsidR="002E6B72">
        <w:t xml:space="preserve"> </w:t>
      </w:r>
      <w:r w:rsidRPr="00846EE5">
        <w:t>TEAEs were reported in 52 (32.5%) subjects in the avanafil 50 mg group, 68 (42.2%) in the 100 mg, 63 (38.9%) in the 200 mg and 42 (26.1%) in the placebo.</w:t>
      </w:r>
      <w:r w:rsidR="00624B20">
        <w:t xml:space="preserve"> </w:t>
      </w:r>
      <w:r w:rsidRPr="00846EE5">
        <w:t>The commonest TEAE was headache, reported in seven (4.4%) subjects in the avanafil 50 mg group, twelve (7.5%) in the 100 mg, 15 (9.3%) in the 200 mg and two (1.2%) in the placebo.</w:t>
      </w:r>
    </w:p>
    <w:p w:rsidR="00846EE5" w:rsidRPr="00846EE5" w:rsidRDefault="00846EE5" w:rsidP="00846EE5">
      <w:r w:rsidRPr="00846EE5">
        <w:t>In Study TA-302 TEAEs were reported in 45 (35.4%) subjects in the avanafil 100 mg group, 42 (32.1%) in the 200 mg and 31 (23.8%) in the placebo.</w:t>
      </w:r>
      <w:r w:rsidR="00624B20">
        <w:t xml:space="preserve"> </w:t>
      </w:r>
      <w:r w:rsidRPr="00846EE5">
        <w:t>Headache was reported in five (3.9</w:t>
      </w:r>
      <w:r w:rsidRPr="000D4BE1">
        <w:t>%) subjects in the avanafil 100 mg group, 15 (11.5%) in the 200 mg and two (1.5%) in the placebo.</w:t>
      </w:r>
    </w:p>
    <w:p w:rsidR="00846EE5" w:rsidRPr="00846EE5" w:rsidRDefault="00846EE5" w:rsidP="00846EE5">
      <w:r w:rsidRPr="00846EE5">
        <w:t>In Study TA-303 TEAEs were reported in 38 (38.4%) subjects in the avanafil 100 mg group, 45 (45.5%) in the 200 mg and 23 (23.0%) in the placebo.</w:t>
      </w:r>
      <w:r w:rsidR="00624B20">
        <w:t xml:space="preserve"> </w:t>
      </w:r>
      <w:r w:rsidRPr="00846EE5">
        <w:t>Headache was reported in eight (8.1%) subjects in the avanafil 100 mg group, 12 (12.1%) in the 200 mg and one (1.0%) in the placebo.</w:t>
      </w:r>
    </w:p>
    <w:p w:rsidR="00846EE5" w:rsidRPr="00846EE5" w:rsidRDefault="00846EE5" w:rsidP="00846EE5">
      <w:r w:rsidRPr="00846EE5">
        <w:t xml:space="preserve">In Study TA-501 TEAEs were reported in 30 (20.5%) subjects in the avanafil 100 mg group, 40 (27.4%) in the 200 mg group </w:t>
      </w:r>
      <w:r w:rsidR="00624B20">
        <w:t xml:space="preserve">and 30 (21.0%) in the placebo. </w:t>
      </w:r>
      <w:r w:rsidRPr="00846EE5">
        <w:t>Headache was reported in two (1.4%) subjects in the avanafil 100 mg group, 13 (8.9%) in the 200 mg and one (0.7%) in the placebo.</w:t>
      </w:r>
    </w:p>
    <w:p w:rsidR="00846EE5" w:rsidRDefault="00846EE5" w:rsidP="00846EE5">
      <w:r w:rsidRPr="00846EE5">
        <w:t xml:space="preserve">Overall, in the double blind cohort studies (which included Study TA-301, Study TA-302 and Study TA-05) the rates of TEAE did not appear to be influenced by </w:t>
      </w:r>
      <w:r w:rsidRPr="000D4BE1">
        <w:t>age (</w:t>
      </w:r>
      <w:hyperlink w:anchor="Table_8_4_1_1_1_5" w:history="1">
        <w:r w:rsidRPr="000D4BE1">
          <w:t xml:space="preserve">Table </w:t>
        </w:r>
        <w:r w:rsidR="000D4BE1" w:rsidRPr="000D4BE1">
          <w:t>46</w:t>
        </w:r>
      </w:hyperlink>
      <w:r w:rsidR="00624B20" w:rsidRPr="000D4BE1">
        <w:t xml:space="preserve">). </w:t>
      </w:r>
      <w:r w:rsidRPr="000D4BE1">
        <w:t>The risk of TEAE was not influenced by race, diabetes status or coronary artery disease subgroup.</w:t>
      </w:r>
    </w:p>
    <w:bookmarkStart w:id="290" w:name="Table_8_4_1_1_1_5"/>
    <w:p w:rsidR="000D4BE1" w:rsidRPr="00C83476" w:rsidRDefault="000D4BE1" w:rsidP="000D4BE1">
      <w:pPr>
        <w:pStyle w:val="Tabletitle"/>
      </w:pPr>
      <w:r w:rsidRPr="000D4BE1">
        <w:fldChar w:fldCharType="begin"/>
      </w:r>
      <w:r w:rsidRPr="000D4BE1">
        <w:instrText xml:space="preserve"> HYPERLINK  \l "_Pivotal_studies" </w:instrText>
      </w:r>
      <w:r w:rsidRPr="000D4BE1">
        <w:fldChar w:fldCharType="separate"/>
      </w:r>
      <w:r w:rsidRPr="000D4BE1">
        <w:t>Table 46</w:t>
      </w:r>
      <w:bookmarkEnd w:id="290"/>
      <w:r w:rsidRPr="000D4BE1">
        <w:fldChar w:fldCharType="end"/>
      </w:r>
      <w:r w:rsidRPr="000D4BE1">
        <w:t>: Overview of Adverse Events – Age Subgroups – Integrated Double-Bl</w:t>
      </w:r>
      <w:r w:rsidRPr="00C83476">
        <w:rPr>
          <w:lang w:val="en-NZ"/>
        </w:rPr>
        <w:t>ind Cohort</w:t>
      </w:r>
    </w:p>
    <w:p w:rsidR="000D4BE1" w:rsidRPr="00C83476" w:rsidRDefault="000D4BE1" w:rsidP="000D4BE1">
      <w:pPr>
        <w:rPr>
          <w:rFonts w:ascii="Times New Roman" w:hAnsi="Times New Roman"/>
          <w:sz w:val="24"/>
        </w:rPr>
      </w:pPr>
      <w:r w:rsidRPr="00C83476">
        <w:rPr>
          <w:rFonts w:ascii="Times New Roman" w:hAnsi="Times New Roman"/>
          <w:noProof/>
          <w:sz w:val="24"/>
          <w:lang w:eastAsia="en-AU"/>
        </w:rPr>
        <w:drawing>
          <wp:inline distT="0" distB="0" distL="0" distR="0" wp14:anchorId="3364536E" wp14:editId="2AE17FF3">
            <wp:extent cx="5772150" cy="3552825"/>
            <wp:effectExtent l="38100" t="38100" r="38100" b="47625"/>
            <wp:docPr id="216" name="Picture 216" descr="Table 46: Overview of Adverse Events – Age Subgroups – Integrated Double-Blind Co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4" cstate="print">
                      <a:lum bright="-20000" contrast="40000"/>
                      <a:extLst>
                        <a:ext uri="{28A0092B-C50C-407E-A947-70E740481C1C}">
                          <a14:useLocalDpi xmlns:a14="http://schemas.microsoft.com/office/drawing/2010/main" val="0"/>
                        </a:ext>
                      </a:extLst>
                    </a:blip>
                    <a:srcRect r="819" b="3815"/>
                    <a:stretch/>
                  </pic:blipFill>
                  <pic:spPr bwMode="auto">
                    <a:xfrm>
                      <a:off x="0" y="0"/>
                      <a:ext cx="5776210" cy="3555324"/>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46EE5" w:rsidRPr="00846EE5" w:rsidRDefault="00846EE5" w:rsidP="00846EE5">
      <w:pPr>
        <w:pStyle w:val="Heading5"/>
      </w:pPr>
      <w:bookmarkStart w:id="291" w:name="_Other_studies_2"/>
      <w:bookmarkEnd w:id="291"/>
      <w:r w:rsidRPr="00846EE5">
        <w:t>Other studies</w:t>
      </w:r>
    </w:p>
    <w:p w:rsidR="00846EE5" w:rsidRPr="00624B20" w:rsidRDefault="00846EE5" w:rsidP="00624B20">
      <w:r w:rsidRPr="00624B20">
        <w:t xml:space="preserve">In Study TA-01 TEAEs were reported in 4 (14.8%) subjects with avanafil 50 mg, 3 (11.1%) with </w:t>
      </w:r>
      <w:r w:rsidR="00624B20">
        <w:t xml:space="preserve">100 mg, 4 (14.3%) with 200 mg. </w:t>
      </w:r>
      <w:r w:rsidRPr="00624B20">
        <w:t xml:space="preserve">TEAEs were reported in 7.1% to 14.8% subjects treated with sildenafil and 3.7% to 7.4% </w:t>
      </w:r>
      <w:r w:rsidR="00624B20">
        <w:t xml:space="preserve">subjects treated with placebo. </w:t>
      </w:r>
      <w:r w:rsidRPr="00624B20">
        <w:t xml:space="preserve">The only TEAE reported in </w:t>
      </w:r>
      <w:r w:rsidR="00624B20">
        <w:t xml:space="preserve">≥ </w:t>
      </w:r>
      <w:r w:rsidRPr="00624B20">
        <w:t xml:space="preserve">1 </w:t>
      </w:r>
      <w:r w:rsidRPr="00624B20">
        <w:lastRenderedPageBreak/>
        <w:t>subject with any avanafil dose level was flushing: four (14.8%) subjects with 50 mg, two (7.4%) with 100 mg and two (7.1%) with 200 mg.</w:t>
      </w:r>
    </w:p>
    <w:p w:rsidR="00846EE5" w:rsidRPr="00624B20" w:rsidRDefault="00846EE5" w:rsidP="00624B20">
      <w:r w:rsidRPr="00624B20">
        <w:t>In Study TA-03 TEAEs were reported in eleven (22.4%) subjects with avanafil 200 mg 5 to 10 minutes prior to intercourse, 8 (17.0%) with avanafil 200 mg 2 hours prior and 15 (20.6%) with silde</w:t>
      </w:r>
      <w:r w:rsidR="00624B20">
        <w:t>nafil 5 to 10 minutes prior.</w:t>
      </w:r>
      <w:r w:rsidRPr="00624B20">
        <w:t xml:space="preserve"> Headache was reported in 4 (8.2%) subjects with avanafil 200 mg 5 to 10 minutes prior to intercourse, 3 (6.4%) with avanafil 200 mg 2 hours prior and 5 (10.2%) with sil</w:t>
      </w:r>
      <w:r w:rsidR="00624B20">
        <w:t xml:space="preserve">denafil 5 to 10 minutes prior. </w:t>
      </w:r>
      <w:r w:rsidRPr="00624B20">
        <w:t>Nasal congestion was reported in 2 (4.1%) subjects with avanafil 200 mg 5 to 10 minutes prior to intercourse, 3 (6.4%) with avanafil 200 mg 2 hours prior and 5 (10.2%) with sildenafil 5 to 10 minutes prior.</w:t>
      </w:r>
    </w:p>
    <w:p w:rsidR="00846EE5" w:rsidRPr="00624B20" w:rsidRDefault="00846EE5" w:rsidP="00624B20">
      <w:r w:rsidRPr="00624B20">
        <w:t>In Study TA-05 TEAEs were reported by 18 (28.6%) subjects in the avanafil 50 mg group, 27 (45.0%) in the 100 mg, 22 (39.3%) in the 200 mg, 29 (50.9%) in the 300 mg and 16 (29.1%) in the placebo</w:t>
      </w:r>
      <w:r w:rsidR="00624B20">
        <w:t xml:space="preserve">. </w:t>
      </w:r>
      <w:r w:rsidRPr="00624B20">
        <w:t>Headache was dose related and was reported in four (7.1%) subjects in the avanafil 50 mg group, seven (11.7%) in the 100 mg, seven (12.5%) in the 200 mg, 15 (26.3%) in the 300 mg and two (3.6%) in the placebo.</w:t>
      </w:r>
    </w:p>
    <w:p w:rsidR="00846EE5" w:rsidRPr="00624B20" w:rsidRDefault="00846EE5" w:rsidP="00624B20">
      <w:r w:rsidRPr="00624B20">
        <w:t>In Study TA-314 TEAEs were reported in three (75.0%) subjects with avanafil 50 mg, 135 (19.0%) with 100 mg and 183 (35.6%) with 200 mg.</w:t>
      </w:r>
      <w:r w:rsidR="00624B20">
        <w:t xml:space="preserve"> </w:t>
      </w:r>
      <w:r w:rsidRPr="00624B20">
        <w:t>Headache was reported by one (25.0%) subject with avanafil 50 mg, 19 (2.7%) with 100 mg and 36 (7.0%) with 200 mg.</w:t>
      </w:r>
    </w:p>
    <w:p w:rsidR="00846EE5" w:rsidRPr="00846EE5" w:rsidRDefault="00846EE5" w:rsidP="00846EE5">
      <w:pPr>
        <w:pStyle w:val="Heading4"/>
      </w:pPr>
      <w:bookmarkStart w:id="292" w:name="_Ref272333567"/>
      <w:bookmarkStart w:id="293" w:name="_Toc272414665"/>
      <w:bookmarkStart w:id="294" w:name="_Toc290846303"/>
      <w:bookmarkStart w:id="295" w:name="_Toc422725519"/>
      <w:r w:rsidRPr="00846EE5">
        <w:t>Treatment-related adverse events (adverse drug reactions)</w:t>
      </w:r>
      <w:bookmarkEnd w:id="292"/>
      <w:bookmarkEnd w:id="293"/>
      <w:bookmarkEnd w:id="294"/>
      <w:bookmarkEnd w:id="295"/>
    </w:p>
    <w:p w:rsidR="00846EE5" w:rsidRPr="00846EE5" w:rsidRDefault="00846EE5" w:rsidP="00846EE5">
      <w:pPr>
        <w:pStyle w:val="Heading5"/>
      </w:pPr>
      <w:r w:rsidRPr="00846EE5">
        <w:t>Pivotal studies</w:t>
      </w:r>
    </w:p>
    <w:p w:rsidR="00846EE5" w:rsidRPr="00624B20" w:rsidRDefault="00846EE5" w:rsidP="00624B20">
      <w:r w:rsidRPr="00624B20">
        <w:t>In Study TA-301 treatment related TEAEs were reported in 14 (8.8%) subjects in the avanafil 50 mg group, 25 (15.5%) in the 100 mg, 26 (16.0%) in the 200 mg and four (2.5%) in the placebo.</w:t>
      </w:r>
      <w:r w:rsidR="00624B20">
        <w:t xml:space="preserve"> </w:t>
      </w:r>
      <w:r w:rsidRPr="00624B20">
        <w:t>Headache was attributed to treatment in six (3.8%) subjects in the avanafil 50 mg group, ten (6.2%) in the 100 mg, 16 (7.4%) in the 200 mg and none in the placebo; flushing in six (3.8%) subjects in the avanafil 50 mg group, ten (6.2%) in the 100 mg, six (3.7%) in the 200 mg and none in the placebo; and nasal congestion in one (0.6%) subjects in the avanafil 50 mg group, four (2.5%) in the 100 mg, three (1.9%) in the 200 mg and one (0.6%) in the placebo.</w:t>
      </w:r>
    </w:p>
    <w:p w:rsidR="00846EE5" w:rsidRPr="00624B20" w:rsidRDefault="00846EE5" w:rsidP="00624B20">
      <w:r w:rsidRPr="00624B20">
        <w:t>In Study TA-302 treatment related TEAEs were reported in nine (7.1%) subjects in the avanafil 100 mg group, 20 (15.3%) in the 200 mg and five (3.8%) in the placebo.</w:t>
      </w:r>
      <w:r w:rsidR="00624B20">
        <w:t xml:space="preserve"> </w:t>
      </w:r>
      <w:r w:rsidRPr="00624B20">
        <w:t>Headache was attributed to treatment in three (2.4%) subjects in the 100 mg group, five (9.2%) in the 200 mg and two (1.5%) in the placebo; flushing in two (1.6%) in the 100 mg, five (3.8%) in the 200 mg and none in the placebo; and sinus congestion in one (0.6%) subjects in the avanafil 100 mg group, four (3.1%) in the 200 mg and none in the placebo.</w:t>
      </w:r>
    </w:p>
    <w:p w:rsidR="00846EE5" w:rsidRPr="00624B20" w:rsidRDefault="00846EE5" w:rsidP="00624B20">
      <w:r w:rsidRPr="00624B20">
        <w:t>In Study TA-303 treatment related TEAEs were reported in 13 (13.1%) subjects in the avanafil 100 mg group, 23 (23.2%) in the 200 mg and four (4.0%) in the placebo.</w:t>
      </w:r>
      <w:r w:rsidR="00624B20">
        <w:t xml:space="preserve"> </w:t>
      </w:r>
      <w:r w:rsidRPr="00624B20">
        <w:t>Flushing was attributed to treatment in five (5.1%) subjects in the 100 mg group, ten (10.1%) in the 200 mg and none in the placebo; headache in five (5.1%) in the 100 mg, eight (8.1%) in the 200 mg and one (1.0%) in the placebo; and nasal congestion in three (3.0%) subjects in the avanafil 100 mg group, one (1.0%) in the 200 mg and none in the placebo.</w:t>
      </w:r>
    </w:p>
    <w:p w:rsidR="00846EE5" w:rsidRPr="00624B20" w:rsidRDefault="00846EE5" w:rsidP="00624B20">
      <w:r w:rsidRPr="00624B20">
        <w:t xml:space="preserve">In Study TA-501 treatment related TEAEs were reported in three (2.1%) subjects in the avanafil 100 mg group, 16 (11.0%) in the 200 mg group </w:t>
      </w:r>
      <w:r w:rsidR="00624B20">
        <w:t xml:space="preserve">and one (0.7%) in the placebo. </w:t>
      </w:r>
      <w:r w:rsidRPr="00624B20">
        <w:t>Headache was attributed to treatment in two (1.4%) subjects in the 100 mg group, nine (6.2%) in the 200 mg and one (0.7%) in the placebo; nasal congestion in one (0.7%) in the 100 mg, five (3.4%) in the 200 mg and none in the placebo; and flushing in one (0.7%) subject in the avanafil 100 mg group, two (1.4%) in the 200 mg and none in the placebo.</w:t>
      </w:r>
    </w:p>
    <w:p w:rsidR="00846EE5" w:rsidRPr="00846EE5" w:rsidRDefault="00846EE5" w:rsidP="00846EE5">
      <w:pPr>
        <w:pStyle w:val="Heading5"/>
      </w:pPr>
      <w:bookmarkStart w:id="296" w:name="_Other_studies"/>
      <w:bookmarkEnd w:id="296"/>
      <w:r w:rsidRPr="00846EE5">
        <w:t>Other studies</w:t>
      </w:r>
    </w:p>
    <w:p w:rsidR="00846EE5" w:rsidRPr="00624B20" w:rsidRDefault="00704CF9" w:rsidP="00624B20">
      <w:r>
        <w:t>In S</w:t>
      </w:r>
      <w:r w:rsidR="00846EE5" w:rsidRPr="00624B20">
        <w:t>tudy HP-01 there were 31 TEAEs were re</w:t>
      </w:r>
      <w:r w:rsidR="00624B20">
        <w:t xml:space="preserve">ported in 20 (30.8%) subjects. </w:t>
      </w:r>
      <w:r w:rsidR="00846EE5" w:rsidRPr="00624B20">
        <w:t>The highest incidence of TEAEs was in the 600 mg and 800 mg group</w:t>
      </w:r>
      <w:r w:rsidR="00624B20">
        <w:t>s: 83.3% and 100% respectively.</w:t>
      </w:r>
      <w:r w:rsidR="00846EE5" w:rsidRPr="00624B20">
        <w:t xml:space="preserve"> Headache and nausea appear to be dose related.</w:t>
      </w:r>
    </w:p>
    <w:p w:rsidR="00846EE5" w:rsidRPr="00704CF9" w:rsidRDefault="00846EE5" w:rsidP="00624B20">
      <w:r w:rsidRPr="00624B20">
        <w:lastRenderedPageBreak/>
        <w:t xml:space="preserve">In Study TA-140 there were 33 TEAEs in 18 subjects following avanafil 100 mg, 215 in 44 following avanafil 800 mg, 28 in eight </w:t>
      </w:r>
      <w:r w:rsidRPr="00704CF9">
        <w:t>following moxifloxacin a</w:t>
      </w:r>
      <w:r w:rsidR="00624B20" w:rsidRPr="00704CF9">
        <w:t xml:space="preserve">nd 20 in 13 following placebo. </w:t>
      </w:r>
      <w:r w:rsidRPr="00704CF9">
        <w:t>Following avanafil 800 mg, 37 (66.1%) subjects reported headache, 23 (41.1%) nausea, 15 (26.8%) vomiting, 10 (17.9%) dizziness, and 7 (12.5%) nasal congestion.</w:t>
      </w:r>
    </w:p>
    <w:p w:rsidR="00846EE5" w:rsidRPr="00624B20" w:rsidRDefault="00846EE5" w:rsidP="00624B20">
      <w:r w:rsidRPr="00704CF9">
        <w:t>In Study TA-05 treatment related TEAEs were reported by nine (16.1%) subjects in the avanafil 50 mg group, 16 (26.7%) in the 100 mg, 15 (26.8%) in the 200 mg, 22 (38.6%) in the 300 mg and six (10.9%) in the placebo</w:t>
      </w:r>
      <w:r w:rsidR="00624B20" w:rsidRPr="00704CF9">
        <w:t xml:space="preserve">. </w:t>
      </w:r>
      <w:r w:rsidRPr="00704CF9">
        <w:t>Treatment related headache was dose related and was reported in four (7.1%) subjects in the avanafil 50 mg group, seven (11.7%) in the 100 mg, seven (12.5%) in the 200 mg, 15 (26.3%) in the 300 mg and two (3.6%) in the</w:t>
      </w:r>
      <w:r w:rsidRPr="00624B20">
        <w:t xml:space="preserve"> placebo.</w:t>
      </w:r>
    </w:p>
    <w:p w:rsidR="00846EE5" w:rsidRPr="00624B20" w:rsidRDefault="00846EE5" w:rsidP="00624B20">
      <w:r w:rsidRPr="00624B20">
        <w:t>In Study TA-314 treatment related TEAEs were reported in three (75.0%) subjects with avanafil 50 mg, 42 (5.9%) with 100 mg and 50 (9.7%) with 200 mg.</w:t>
      </w:r>
      <w:r w:rsidR="00624B20">
        <w:t xml:space="preserve"> </w:t>
      </w:r>
      <w:r w:rsidRPr="00624B20">
        <w:t>Headache was attributed to treatment in one (25.0%) subject in the avanafil 50 mg group, 15 (2.1%) in the 100 mg and 22 (4.3%) in the 20</w:t>
      </w:r>
      <w:r w:rsidR="001327D2">
        <w:t>0 mg</w:t>
      </w:r>
      <w:r w:rsidRPr="00624B20">
        <w:t>; flushing was attributed to treatment in no subjects in the avanafil 50 mg group, nine (1.3%) in the 100 mg and 17 (3.3%) in the 20</w:t>
      </w:r>
      <w:r w:rsidR="001327D2">
        <w:t>0 mg</w:t>
      </w:r>
      <w:r w:rsidRPr="00624B20">
        <w:t>; and nasal congestion was attributed to treatment in no subjects in the avanafil 50 mg group, seven (1.0%) in the 100 mg and seven (1.4%) in the 20</w:t>
      </w:r>
      <w:r w:rsidR="001327D2">
        <w:t>0 mg</w:t>
      </w:r>
      <w:r w:rsidRPr="00624B20">
        <w:t>.</w:t>
      </w:r>
    </w:p>
    <w:p w:rsidR="00846EE5" w:rsidRPr="00846EE5" w:rsidRDefault="00846EE5" w:rsidP="00846EE5">
      <w:pPr>
        <w:pStyle w:val="Heading4"/>
      </w:pPr>
      <w:bookmarkStart w:id="297" w:name="_Toc241374320"/>
      <w:bookmarkStart w:id="298" w:name="_Ref272333507"/>
      <w:bookmarkStart w:id="299" w:name="_Toc272414666"/>
      <w:bookmarkStart w:id="300" w:name="_Toc290846304"/>
      <w:bookmarkStart w:id="301" w:name="_Toc422725520"/>
      <w:r w:rsidRPr="00846EE5">
        <w:t>Deaths and other serious adverse events</w:t>
      </w:r>
      <w:bookmarkEnd w:id="297"/>
      <w:bookmarkEnd w:id="298"/>
      <w:bookmarkEnd w:id="299"/>
      <w:bookmarkEnd w:id="300"/>
      <w:bookmarkEnd w:id="301"/>
    </w:p>
    <w:p w:rsidR="00846EE5" w:rsidRPr="00846EE5" w:rsidRDefault="00846EE5" w:rsidP="00846EE5">
      <w:pPr>
        <w:pStyle w:val="Heading5"/>
      </w:pPr>
      <w:r w:rsidRPr="00846EE5">
        <w:t>Pivotal studies</w:t>
      </w:r>
    </w:p>
    <w:p w:rsidR="00846EE5" w:rsidRPr="00624B20" w:rsidRDefault="00846EE5" w:rsidP="00624B20">
      <w:r w:rsidRPr="00624B20">
        <w:t>In Study TA-301 there was one death, which occurred in the avanafil 100 mg group from self-inflicted gunshot wound</w:t>
      </w:r>
      <w:r w:rsidR="00624B20">
        <w:t xml:space="preserve">. </w:t>
      </w:r>
      <w:r w:rsidRPr="00624B20">
        <w:t>SAEs were reported in one (0.6%) subject in the avanafil 50 mg group (acute myocardial infarction), three (1.9%) in the 100 mg (prostate cancer, gunshot wound, bladder cancer), three (1.9%) in the 200 mg (hypoesthesia, coronary artery disease, infected bites) and two (1.2%) in the placebo (non-cardiac chest pain, depression suicidal).</w:t>
      </w:r>
    </w:p>
    <w:p w:rsidR="00846EE5" w:rsidRPr="00624B20" w:rsidRDefault="00846EE5" w:rsidP="00624B20">
      <w:r w:rsidRPr="00624B20">
        <w:t>In Study TA-302</w:t>
      </w:r>
      <w:r w:rsidR="00624B20">
        <w:t xml:space="preserve"> there were no deaths. </w:t>
      </w:r>
      <w:r w:rsidRPr="00624B20">
        <w:t>SAEs were reported in three (2.4%) subjects in the avanafil 100 mg group (deep vein thrombosis, urinary tract infection, localised infection), four (3.1%) in the 200 mg (pain in extremity</w:t>
      </w:r>
      <w:r w:rsidR="00704CF9">
        <w:t>/</w:t>
      </w:r>
      <w:r w:rsidRPr="00624B20">
        <w:t>muscular weakness, angina unstable, pneumonia, bladder cancer) and one (0.8%) in the placebo (spinal compression fracture).</w:t>
      </w:r>
    </w:p>
    <w:p w:rsidR="00846EE5" w:rsidRPr="00624B20" w:rsidRDefault="00846EE5" w:rsidP="00624B20">
      <w:r w:rsidRPr="00624B20">
        <w:t>In Study TA-303 there were no deaths or SAEs.</w:t>
      </w:r>
    </w:p>
    <w:p w:rsidR="00714B60" w:rsidRDefault="00846EE5" w:rsidP="00624B20">
      <w:r w:rsidRPr="00624B20">
        <w:t>In Study TA-501</w:t>
      </w:r>
      <w:r w:rsidR="00624B20">
        <w:t xml:space="preserve"> there were no deaths. </w:t>
      </w:r>
      <w:r w:rsidRPr="00624B20">
        <w:t>SAEs were reported in four (2.7%) subjects in the avanafil 100 mg group (atrial flutter, nephrolithiasis, cerebrovascular accident, acute myocardial infarction</w:t>
      </w:r>
      <w:r w:rsidR="00704CF9">
        <w:t>/</w:t>
      </w:r>
      <w:r w:rsidRPr="00624B20">
        <w:t>unstable angina), three (2.1%) in the 200 mg group (tendon rupture, dyspnoea</w:t>
      </w:r>
      <w:r w:rsidR="00704CF9">
        <w:t>/</w:t>
      </w:r>
      <w:r w:rsidRPr="00624B20">
        <w:t>coronary artery disease, atrial flutter</w:t>
      </w:r>
      <w:r w:rsidR="00704CF9">
        <w:t>/</w:t>
      </w:r>
      <w:r w:rsidRPr="00624B20">
        <w:t>atrioventricular block) and two (1.4%) in the placebo (hypertension</w:t>
      </w:r>
      <w:r w:rsidR="00704CF9">
        <w:t>/</w:t>
      </w:r>
      <w:r w:rsidRPr="00624B20">
        <w:t>bladder outlet obstruction)</w:t>
      </w:r>
      <w:r w:rsidR="00714B60">
        <w:t>.</w:t>
      </w:r>
    </w:p>
    <w:p w:rsidR="00846EE5" w:rsidRPr="00846EE5" w:rsidRDefault="00846EE5" w:rsidP="00846EE5">
      <w:pPr>
        <w:pStyle w:val="Heading5"/>
      </w:pPr>
      <w:bookmarkStart w:id="302" w:name="_Other_studies_3"/>
      <w:bookmarkEnd w:id="302"/>
      <w:r w:rsidRPr="00846EE5">
        <w:t>Other studies</w:t>
      </w:r>
    </w:p>
    <w:p w:rsidR="00846EE5" w:rsidRPr="00624B20" w:rsidRDefault="00846EE5" w:rsidP="00624B20">
      <w:r w:rsidRPr="00624B20">
        <w:t>In Study TA-02 there was one SAE: pharyngolaryngeal pain due to tonsillar abscess, leading to DAE. There were no deaths.</w:t>
      </w:r>
    </w:p>
    <w:p w:rsidR="00846EE5" w:rsidRPr="00624B20" w:rsidRDefault="00846EE5" w:rsidP="00624B20">
      <w:r w:rsidRPr="00624B20">
        <w:t>In Study TA-05 the</w:t>
      </w:r>
      <w:r w:rsidR="00624B20">
        <w:t xml:space="preserve">re were no deaths. </w:t>
      </w:r>
      <w:r w:rsidRPr="00624B20">
        <w:t>There were three SAEs: two in the 300 mg group: abdominal and head injury due to a motor vehicle accident (MVA), and partner of the same subject also injured in the MVA; and one subject in the 50 mg group had dizziness recorded as a SAE.</w:t>
      </w:r>
    </w:p>
    <w:p w:rsidR="00846EE5" w:rsidRPr="00624B20" w:rsidRDefault="00846EE5" w:rsidP="00624B20">
      <w:r w:rsidRPr="00624B20">
        <w:t>In Study TA-01 and Study TA-03 there were no deaths and no SAEs.</w:t>
      </w:r>
    </w:p>
    <w:p w:rsidR="00846EE5" w:rsidRPr="00624B20" w:rsidRDefault="00846EE5" w:rsidP="00624B20">
      <w:r w:rsidRPr="00624B20">
        <w:t>In Study TA-314 there were no deaths.  SAEs were reported in no subjects with avanafil 50 mg, six (0.8%) with 100 mg and five (1.0%) with 200 mg.</w:t>
      </w:r>
      <w:r w:rsidR="00624B20">
        <w:t xml:space="preserve"> </w:t>
      </w:r>
      <w:r w:rsidRPr="00624B20">
        <w:t>There was no apparent pattern to the SAEs.</w:t>
      </w:r>
    </w:p>
    <w:p w:rsidR="00846EE5" w:rsidRPr="00846EE5" w:rsidRDefault="00846EE5" w:rsidP="00846EE5">
      <w:pPr>
        <w:pStyle w:val="Heading4"/>
      </w:pPr>
      <w:bookmarkStart w:id="303" w:name="_Toc241374325"/>
      <w:bookmarkStart w:id="304" w:name="_Ref272333477"/>
      <w:bookmarkStart w:id="305" w:name="_Toc272414667"/>
      <w:bookmarkStart w:id="306" w:name="_Toc290846305"/>
      <w:bookmarkStart w:id="307" w:name="_Toc422725521"/>
      <w:r w:rsidRPr="00846EE5">
        <w:lastRenderedPageBreak/>
        <w:t>Discontinuation due to adverse events</w:t>
      </w:r>
      <w:bookmarkEnd w:id="303"/>
      <w:bookmarkEnd w:id="304"/>
      <w:bookmarkEnd w:id="305"/>
      <w:bookmarkEnd w:id="306"/>
      <w:bookmarkEnd w:id="307"/>
    </w:p>
    <w:p w:rsidR="00846EE5" w:rsidRPr="00846EE5" w:rsidRDefault="00846EE5" w:rsidP="00846EE5">
      <w:pPr>
        <w:pStyle w:val="Heading5"/>
      </w:pPr>
      <w:bookmarkStart w:id="308" w:name="_Pivotal_studies_1"/>
      <w:bookmarkEnd w:id="308"/>
      <w:r w:rsidRPr="00846EE5">
        <w:t>Pivotal studies</w:t>
      </w:r>
    </w:p>
    <w:p w:rsidR="00846EE5" w:rsidRPr="00624B20" w:rsidRDefault="00846EE5" w:rsidP="00624B20">
      <w:r w:rsidRPr="00624B20">
        <w:t>In Study TA-301 DAE was reported for three (1.9%) subjects in the avanafil 50 mg group, six (3.7%) in the 100 mg, four (2.5%) in the 200 mg and five (3.1%) in the placebo.</w:t>
      </w:r>
      <w:r w:rsidR="00624B20">
        <w:t xml:space="preserve"> </w:t>
      </w:r>
      <w:r w:rsidRPr="00624B20">
        <w:t>Two subjects in the avanafil 100 mg group and one in the 200 mg discontinued because of headache.</w:t>
      </w:r>
    </w:p>
    <w:p w:rsidR="00846EE5" w:rsidRPr="00624B20" w:rsidRDefault="00846EE5" w:rsidP="00624B20">
      <w:r w:rsidRPr="00624B20">
        <w:t>In Study TA-302 DAE was reported for two (1.6%) subjects in the avanafil 100 mg group (Peyronie’s disease, urinary tract infection), two (1.5%) in the 200 mg (angina unstable, headache) and none in the placebo.</w:t>
      </w:r>
    </w:p>
    <w:p w:rsidR="00846EE5" w:rsidRPr="00624B20" w:rsidRDefault="00846EE5" w:rsidP="00624B20">
      <w:r w:rsidRPr="00624B20">
        <w:t>In Study TA-303 DAE was reported for three (3.0%) subjects in the avanafil 100 mg group (abdominal pain upper, vision blurred</w:t>
      </w:r>
      <w:r w:rsidR="00704CF9">
        <w:t>/</w:t>
      </w:r>
      <w:r w:rsidRPr="00624B20">
        <w:t>headache</w:t>
      </w:r>
      <w:r w:rsidR="00704CF9">
        <w:t>/</w:t>
      </w:r>
      <w:r w:rsidRPr="00624B20">
        <w:t>nausea, vomiting</w:t>
      </w:r>
      <w:r w:rsidR="00704CF9">
        <w:t>/</w:t>
      </w:r>
      <w:r w:rsidRPr="00624B20">
        <w:t>dyspepsia), two (2.0%) in the 200 mg (hypertension, psychomotor hyperactivity</w:t>
      </w:r>
      <w:r w:rsidR="00704CF9">
        <w:t>/</w:t>
      </w:r>
      <w:r w:rsidRPr="00624B20">
        <w:t>inappropriate affect</w:t>
      </w:r>
      <w:r w:rsidR="00704CF9">
        <w:t>/</w:t>
      </w:r>
      <w:r w:rsidRPr="00624B20">
        <w:t>headache) and one (1.0%) in the placebo (lumbar spinal stenosis).</w:t>
      </w:r>
    </w:p>
    <w:p w:rsidR="00846EE5" w:rsidRPr="00624B20" w:rsidRDefault="00846EE5" w:rsidP="00624B20">
      <w:r w:rsidRPr="00624B20">
        <w:t>In Study TA-501 DAE were reported for four (2.7%) subjects in the avanafil 100 mg group (inguinal hernia, nephrolithiasis, headache</w:t>
      </w:r>
      <w:r w:rsidR="00704CF9">
        <w:t>/</w:t>
      </w:r>
      <w:r w:rsidRPr="00624B20">
        <w:t>flushing, acute myocardial infarction</w:t>
      </w:r>
      <w:r w:rsidR="00704CF9">
        <w:t>/</w:t>
      </w:r>
      <w:r w:rsidRPr="00624B20">
        <w:t>unstable angina</w:t>
      </w:r>
      <w:r w:rsidR="00704CF9">
        <w:t>/</w:t>
      </w:r>
      <w:r w:rsidRPr="00624B20">
        <w:t>hyperlipidaemia), three (2.1%) in the 200 mg group (dyspnoea</w:t>
      </w:r>
      <w:r w:rsidR="00704CF9">
        <w:t>/</w:t>
      </w:r>
      <w:r w:rsidRPr="00624B20">
        <w:t>congestive cardiac failure</w:t>
      </w:r>
      <w:r w:rsidR="00704CF9">
        <w:t>/</w:t>
      </w:r>
      <w:r w:rsidRPr="00624B20">
        <w:t xml:space="preserve">coronary artery disease, headache, muscle spasms) </w:t>
      </w:r>
      <w:r w:rsidR="00624B20">
        <w:t>and none in the placebo.</w:t>
      </w:r>
    </w:p>
    <w:p w:rsidR="00846EE5" w:rsidRPr="00846EE5" w:rsidRDefault="00846EE5" w:rsidP="00846EE5">
      <w:pPr>
        <w:pStyle w:val="Heading5"/>
      </w:pPr>
      <w:bookmarkStart w:id="309" w:name="_Other_studies_4"/>
      <w:bookmarkEnd w:id="309"/>
      <w:r w:rsidRPr="00846EE5">
        <w:t>Other studies</w:t>
      </w:r>
    </w:p>
    <w:p w:rsidR="00846EE5" w:rsidRPr="00624B20" w:rsidRDefault="00846EE5" w:rsidP="00624B20">
      <w:r w:rsidRPr="00624B20">
        <w:t>In Study TA-02 there was one DAE: pharyngolaryngeal pain due to tonsillar abscess.</w:t>
      </w:r>
    </w:p>
    <w:p w:rsidR="00846EE5" w:rsidRPr="00624B20" w:rsidRDefault="00846EE5" w:rsidP="00624B20">
      <w:r w:rsidRPr="00624B20">
        <w:t>In Study TA-07 there were two subjects with DAE: the first reported bilateral eye redness/ blurred vision/ bilateral hamstring cramping/low back pain/testicular pain/and difficulty sleeping; the second reported bilateral hamstring aches/bilateral quadriceps aches/difficulty sleeping/and an acidic stomach</w:t>
      </w:r>
      <w:r w:rsidR="00624B20">
        <w:t>.</w:t>
      </w:r>
    </w:p>
    <w:p w:rsidR="00846EE5" w:rsidRPr="00624B20" w:rsidRDefault="00846EE5" w:rsidP="00624B20">
      <w:r w:rsidRPr="00624B20">
        <w:t>In Study TA-03 there was one</w:t>
      </w:r>
      <w:r w:rsidR="00624B20">
        <w:t xml:space="preserve"> DAE: partner became pregnant. </w:t>
      </w:r>
      <w:r w:rsidRPr="00624B20">
        <w:t>However, in the context of the treatment indication this might not be considered an AE.</w:t>
      </w:r>
    </w:p>
    <w:p w:rsidR="00846EE5" w:rsidRPr="00624B20" w:rsidRDefault="00846EE5" w:rsidP="00624B20">
      <w:r w:rsidRPr="00624B20">
        <w:t>In Study TA-05 there were five DAEs: three in the 300 mg group: headache, scoliosis, abdominal injury</w:t>
      </w:r>
      <w:r w:rsidR="00704CF9">
        <w:t>/</w:t>
      </w:r>
      <w:r w:rsidRPr="00624B20">
        <w:t>head injury; one in the 200 mg group: insomnia; and one in the placebo: genital herpes.</w:t>
      </w:r>
    </w:p>
    <w:p w:rsidR="00846EE5" w:rsidRPr="00624B20" w:rsidRDefault="00846EE5" w:rsidP="00624B20">
      <w:r w:rsidRPr="00624B20">
        <w:t>In Study TA-314 DAE was reported for one (25.0%) subject with avanafil 50 mg, 13 (1.8%) with 100 mg and six (1.2%) with 200 mg.</w:t>
      </w:r>
      <w:r w:rsidR="00624B20">
        <w:t xml:space="preserve"> </w:t>
      </w:r>
      <w:r w:rsidRPr="00624B20">
        <w:t>There was no apparent pattern to the DAEs.</w:t>
      </w:r>
    </w:p>
    <w:p w:rsidR="00846EE5" w:rsidRPr="00624B20" w:rsidRDefault="00846EE5" w:rsidP="00624B20">
      <w:r w:rsidRPr="00624B20">
        <w:t>In Study TA-01 there were no DAEs.</w:t>
      </w:r>
    </w:p>
    <w:p w:rsidR="00846EE5" w:rsidRPr="00846EE5" w:rsidRDefault="00846EE5" w:rsidP="00846EE5">
      <w:pPr>
        <w:pStyle w:val="Heading3"/>
      </w:pPr>
      <w:bookmarkStart w:id="310" w:name="_Toc241374321"/>
      <w:bookmarkStart w:id="311" w:name="_Ref271044780"/>
      <w:bookmarkStart w:id="312" w:name="_Ref271196640"/>
      <w:bookmarkStart w:id="313" w:name="_Ref272333085"/>
      <w:bookmarkStart w:id="314" w:name="_Toc272414668"/>
      <w:bookmarkStart w:id="315" w:name="_Toc290846306"/>
      <w:bookmarkStart w:id="316" w:name="_Toc422725522"/>
      <w:bookmarkStart w:id="317" w:name="_Toc466365793"/>
      <w:r w:rsidRPr="00846EE5">
        <w:t>Laboratory tests</w:t>
      </w:r>
      <w:bookmarkEnd w:id="310"/>
      <w:bookmarkEnd w:id="311"/>
      <w:bookmarkEnd w:id="312"/>
      <w:bookmarkEnd w:id="313"/>
      <w:bookmarkEnd w:id="314"/>
      <w:bookmarkEnd w:id="315"/>
      <w:bookmarkEnd w:id="316"/>
      <w:bookmarkEnd w:id="317"/>
    </w:p>
    <w:p w:rsidR="00846EE5" w:rsidRPr="00846EE5" w:rsidRDefault="00846EE5" w:rsidP="00846EE5">
      <w:pPr>
        <w:pStyle w:val="Heading4"/>
      </w:pPr>
      <w:bookmarkStart w:id="318" w:name="_Toc272414669"/>
      <w:bookmarkStart w:id="319" w:name="_Toc290846307"/>
      <w:bookmarkStart w:id="320" w:name="_Toc422725523"/>
      <w:r w:rsidRPr="00846EE5">
        <w:t>Liver function</w:t>
      </w:r>
      <w:bookmarkEnd w:id="318"/>
      <w:bookmarkEnd w:id="319"/>
      <w:bookmarkEnd w:id="320"/>
    </w:p>
    <w:p w:rsidR="00846EE5" w:rsidRPr="00846EE5" w:rsidRDefault="00846EE5" w:rsidP="00846EE5">
      <w:pPr>
        <w:pStyle w:val="Heading5"/>
      </w:pPr>
      <w:bookmarkStart w:id="321" w:name="_Pivotal_studies_2"/>
      <w:bookmarkEnd w:id="321"/>
      <w:r w:rsidRPr="00846EE5">
        <w:t>Pivotal studies</w:t>
      </w:r>
    </w:p>
    <w:p w:rsidR="00846EE5" w:rsidRPr="00624B20" w:rsidRDefault="00846EE5" w:rsidP="00624B20">
      <w:r w:rsidRPr="00624B20">
        <w:t xml:space="preserve">In Study TA-301 </w:t>
      </w:r>
      <w:r w:rsidR="00704CF9">
        <w:t>the sponsor</w:t>
      </w:r>
      <w:r w:rsidRPr="00624B20">
        <w:t xml:space="preserve"> reported no subjects with clinically significant abno</w:t>
      </w:r>
      <w:r w:rsidR="00624B20">
        <w:t xml:space="preserve">rmalities in hepatic function. </w:t>
      </w:r>
      <w:r w:rsidRPr="00624B20">
        <w:t>A shift to above ULN from within range for ALT occurred for 16 (3.7%) subjects in the avanafil groups and five (3.4%) in the placebo; and for AST occurred for nine (2.1%) subjects in the avanafil groups and six (4.1%) in the placebo.</w:t>
      </w:r>
    </w:p>
    <w:p w:rsidR="00846EE5" w:rsidRPr="00624B20" w:rsidRDefault="00846EE5" w:rsidP="00624B20">
      <w:r w:rsidRPr="00624B20">
        <w:t>In Study TA-302 one subject in the placebo group had an elevation of ALT recorded as a TEAE.</w:t>
      </w:r>
    </w:p>
    <w:p w:rsidR="00846EE5" w:rsidRPr="00624B20" w:rsidRDefault="00846EE5" w:rsidP="00624B20">
      <w:r w:rsidRPr="00624B20">
        <w:t>In Study TA-303 two subjects in the avanafil 200 mg group had elevations in ALT reported as TEAEs.</w:t>
      </w:r>
    </w:p>
    <w:p w:rsidR="00846EE5" w:rsidRPr="00624B20" w:rsidRDefault="00846EE5" w:rsidP="00624B20">
      <w:r w:rsidRPr="00624B20">
        <w:t xml:space="preserve">In Study TA-501 shifts from normal to above ULN in ALT occurred for three (2.5%) subjects in the avanafil 100 mg group, nine (6.9%) in the 200 mg </w:t>
      </w:r>
      <w:r w:rsidR="00624B20">
        <w:t xml:space="preserve">and six (5.0%) in the placebo. </w:t>
      </w:r>
      <w:r w:rsidRPr="00624B20">
        <w:t>Shifts from normal to above ULN in AST occurred for one (0.8%) subjects in the avanafil 100 mg group, two (1.2%) in the 200 mg and six (5.0%) in the placebo.</w:t>
      </w:r>
    </w:p>
    <w:p w:rsidR="00846EE5" w:rsidRPr="00624B20" w:rsidRDefault="00846EE5" w:rsidP="00624B20">
      <w:r w:rsidRPr="00624B20">
        <w:lastRenderedPageBreak/>
        <w:t>Overall, in the double blind cohort studies (which included Study TA-301, Study TA-302 and Study TA-05) elevation of ALT &gt;</w:t>
      </w:r>
      <w:r w:rsidR="00624B20">
        <w:t xml:space="preserve"> </w:t>
      </w:r>
      <w:r w:rsidRPr="00624B20">
        <w:t>3xULN was reported in only one subject in the avanafil 200 mg group</w:t>
      </w:r>
      <w:r w:rsidR="00624B20">
        <w:t xml:space="preserve">. </w:t>
      </w:r>
      <w:r w:rsidRPr="00624B20">
        <w:t>Elevation of AST &gt;3xULN was reported in one (0.3%) subject in the avanafil 100 mg group, two (0.6%) in the 200 mg and none in either the 50 mg or placebo.</w:t>
      </w:r>
    </w:p>
    <w:p w:rsidR="00846EE5" w:rsidRPr="00846EE5" w:rsidRDefault="00846EE5" w:rsidP="00846EE5">
      <w:pPr>
        <w:pStyle w:val="Heading5"/>
      </w:pPr>
      <w:r w:rsidRPr="00846EE5">
        <w:t>Other studies</w:t>
      </w:r>
    </w:p>
    <w:p w:rsidR="00846EE5" w:rsidRPr="00624B20" w:rsidRDefault="00846EE5" w:rsidP="00624B20">
      <w:r w:rsidRPr="00624B20">
        <w:t>In Study TA-05 one subject in the placebo g</w:t>
      </w:r>
      <w:r w:rsidR="00624B20">
        <w:t xml:space="preserve">roup had elevated ALT and AST. </w:t>
      </w:r>
      <w:r w:rsidRPr="00624B20">
        <w:t>One subject in the avanafil 300 mg group had elevated serum bilirubin following a MVA.</w:t>
      </w:r>
    </w:p>
    <w:p w:rsidR="00846EE5" w:rsidRPr="00624B20" w:rsidRDefault="00846EE5" w:rsidP="00624B20">
      <w:r w:rsidRPr="00624B20">
        <w:t>In Study TA-01, Study TA-03 and Study TA-314 there were no clinically significant abnormalities in hepatic function.</w:t>
      </w:r>
    </w:p>
    <w:p w:rsidR="00846EE5" w:rsidRPr="00846EE5" w:rsidRDefault="00846EE5" w:rsidP="00846EE5">
      <w:pPr>
        <w:pStyle w:val="Heading4"/>
      </w:pPr>
      <w:bookmarkStart w:id="322" w:name="_Toc272414670"/>
      <w:bookmarkStart w:id="323" w:name="_Toc290846308"/>
      <w:bookmarkStart w:id="324" w:name="_Toc422725524"/>
      <w:r w:rsidRPr="00846EE5">
        <w:t>Kidney function</w:t>
      </w:r>
      <w:bookmarkEnd w:id="322"/>
      <w:bookmarkEnd w:id="323"/>
      <w:bookmarkEnd w:id="324"/>
    </w:p>
    <w:p w:rsidR="00846EE5" w:rsidRPr="00846EE5" w:rsidRDefault="00846EE5" w:rsidP="00846EE5">
      <w:pPr>
        <w:pStyle w:val="Heading5"/>
      </w:pPr>
      <w:r w:rsidRPr="00846EE5">
        <w:t>Pivotal studies</w:t>
      </w:r>
    </w:p>
    <w:p w:rsidR="00846EE5" w:rsidRPr="00624B20" w:rsidRDefault="00846EE5" w:rsidP="00624B20">
      <w:r w:rsidRPr="00624B20">
        <w:t xml:space="preserve">In Study TA-301 </w:t>
      </w:r>
      <w:r w:rsidR="00704CF9">
        <w:t>the sponsor</w:t>
      </w:r>
      <w:r w:rsidRPr="00624B20">
        <w:t xml:space="preserve"> reported no subjects with clinically significant abnormaliti</w:t>
      </w:r>
      <w:r w:rsidR="00624B20">
        <w:t xml:space="preserve">es in renal function. </w:t>
      </w:r>
      <w:r w:rsidRPr="00624B20">
        <w:t>A shift to below LLN from within range for creatinine clearance occurred for four (0.9%) subjects in the avanafil groups and none in the placebo.</w:t>
      </w:r>
    </w:p>
    <w:p w:rsidR="00846EE5" w:rsidRPr="00624B20" w:rsidRDefault="00846EE5" w:rsidP="00624B20">
      <w:r w:rsidRPr="00624B20">
        <w:t>In Study TA-302 there were no clinically significant treatment emergent abnormalities in renal function.</w:t>
      </w:r>
    </w:p>
    <w:p w:rsidR="00846EE5" w:rsidRPr="00624B20" w:rsidRDefault="00846EE5" w:rsidP="00624B20">
      <w:r w:rsidRPr="00624B20">
        <w:t>In Study TA-303 two subjects in the avanafil 200 mg group had elevations in serum creatinine reported as TEAEs.</w:t>
      </w:r>
    </w:p>
    <w:p w:rsidR="00846EE5" w:rsidRPr="00624B20" w:rsidRDefault="00846EE5" w:rsidP="00624B20">
      <w:r w:rsidRPr="00624B20">
        <w:t>In Study TA-501 shifts from normal to above ULN in serum creatinine occurred for four (3.3%) subjects in the avanafil 100 mg group, two (1.5%) in the 200 mg and none</w:t>
      </w:r>
      <w:r w:rsidR="00624B20">
        <w:t xml:space="preserve"> in the placebo.</w:t>
      </w:r>
    </w:p>
    <w:p w:rsidR="00846EE5" w:rsidRPr="00624B20" w:rsidRDefault="00846EE5" w:rsidP="00624B20">
      <w:r w:rsidRPr="00624B20">
        <w:t>Overall, in the double blind cohort studies (which included Study TA-301, Study TA-302 and Study TA-05) elevation of serum creatinine was reported in 13 (6.6%) subjects treated with avanafil 50 mg, 28 (8.8%) with 100 mg, 31 (9.7%) with 200 mg and 26 (8.3%) with placebo.</w:t>
      </w:r>
    </w:p>
    <w:p w:rsidR="00846EE5" w:rsidRPr="00846EE5" w:rsidRDefault="00846EE5" w:rsidP="00846EE5">
      <w:pPr>
        <w:pStyle w:val="Heading5"/>
      </w:pPr>
      <w:r w:rsidRPr="00846EE5">
        <w:t>Other studies</w:t>
      </w:r>
    </w:p>
    <w:p w:rsidR="00846EE5" w:rsidRPr="00624B20" w:rsidRDefault="00846EE5" w:rsidP="00624B20">
      <w:r w:rsidRPr="00624B20">
        <w:t>In Study TA-05 one subject in the avanafil 200 mg group had microscopic haematuria at study exit.</w:t>
      </w:r>
    </w:p>
    <w:p w:rsidR="00846EE5" w:rsidRPr="00624B20" w:rsidRDefault="00846EE5" w:rsidP="00624B20">
      <w:r w:rsidRPr="00624B20">
        <w:t>In Study TA-01</w:t>
      </w:r>
      <w:r w:rsidR="002E6B72">
        <w:t>,</w:t>
      </w:r>
      <w:r w:rsidRPr="00624B20">
        <w:t xml:space="preserve"> Study TA-03 and Study TA-314 there were no clinically significant abnormalities in renal function.</w:t>
      </w:r>
    </w:p>
    <w:p w:rsidR="00846EE5" w:rsidRPr="00846EE5" w:rsidRDefault="00846EE5" w:rsidP="00846EE5">
      <w:pPr>
        <w:pStyle w:val="Heading4"/>
      </w:pPr>
      <w:bookmarkStart w:id="325" w:name="_Toc272414671"/>
      <w:bookmarkStart w:id="326" w:name="_Toc290846309"/>
      <w:bookmarkStart w:id="327" w:name="_Toc422725525"/>
      <w:r w:rsidRPr="00846EE5">
        <w:t>Other clinical chemistry</w:t>
      </w:r>
      <w:bookmarkEnd w:id="325"/>
      <w:bookmarkEnd w:id="326"/>
      <w:bookmarkEnd w:id="327"/>
    </w:p>
    <w:p w:rsidR="00846EE5" w:rsidRPr="00846EE5" w:rsidRDefault="00846EE5" w:rsidP="00846EE5">
      <w:pPr>
        <w:pStyle w:val="Heading5"/>
      </w:pPr>
      <w:r w:rsidRPr="00846EE5">
        <w:t>Pivotal studies</w:t>
      </w:r>
    </w:p>
    <w:p w:rsidR="00846EE5" w:rsidRPr="00624B20" w:rsidRDefault="00846EE5" w:rsidP="00624B20">
      <w:r w:rsidRPr="00624B20">
        <w:t>In the pivotal studies there were no clinically significant abnormalities in other clinical chemistry.</w:t>
      </w:r>
    </w:p>
    <w:p w:rsidR="00846EE5" w:rsidRPr="00846EE5" w:rsidRDefault="00846EE5" w:rsidP="00846EE5">
      <w:pPr>
        <w:pStyle w:val="Heading5"/>
      </w:pPr>
      <w:r w:rsidRPr="00846EE5">
        <w:t>Other studies</w:t>
      </w:r>
    </w:p>
    <w:p w:rsidR="00846EE5" w:rsidRPr="00624B20" w:rsidRDefault="00704CF9" w:rsidP="00624B20">
      <w:r>
        <w:t xml:space="preserve">In Study TA-05 </w:t>
      </w:r>
      <w:r w:rsidR="00846EE5" w:rsidRPr="00624B20">
        <w:t>one subject in the avanafil 300 mg group had elevated se</w:t>
      </w:r>
      <w:r w:rsidR="00624B20">
        <w:t xml:space="preserve">rum potassium following a MVA. </w:t>
      </w:r>
      <w:r w:rsidR="00846EE5" w:rsidRPr="00624B20">
        <w:t>One subject in the placebo group had elevated blood glucose at exit.</w:t>
      </w:r>
    </w:p>
    <w:p w:rsidR="00846EE5" w:rsidRPr="00624B20" w:rsidRDefault="00846EE5" w:rsidP="00624B20">
      <w:r w:rsidRPr="00624B20">
        <w:t>In Study TA-314 one subject discontinued because of hyperkalaemia.</w:t>
      </w:r>
    </w:p>
    <w:p w:rsidR="00846EE5" w:rsidRPr="00624B20" w:rsidRDefault="00846EE5" w:rsidP="00624B20">
      <w:r w:rsidRPr="00624B20">
        <w:t>In Study TA-01 and Study TA-03 there were no clinically significant abnormalities in other clinical chemistry.</w:t>
      </w:r>
    </w:p>
    <w:p w:rsidR="00846EE5" w:rsidRPr="00846EE5" w:rsidRDefault="00846EE5" w:rsidP="00846EE5">
      <w:pPr>
        <w:pStyle w:val="Heading4"/>
      </w:pPr>
      <w:bookmarkStart w:id="328" w:name="_Toc272414672"/>
      <w:bookmarkStart w:id="329" w:name="_Toc290846310"/>
      <w:bookmarkStart w:id="330" w:name="_Toc422725526"/>
      <w:r w:rsidRPr="00846EE5">
        <w:t>Haematology</w:t>
      </w:r>
      <w:bookmarkEnd w:id="328"/>
      <w:bookmarkEnd w:id="329"/>
      <w:bookmarkEnd w:id="330"/>
    </w:p>
    <w:p w:rsidR="00846EE5" w:rsidRPr="00846EE5" w:rsidRDefault="00846EE5" w:rsidP="00846EE5">
      <w:pPr>
        <w:pStyle w:val="Heading5"/>
      </w:pPr>
      <w:r w:rsidRPr="00846EE5">
        <w:t>Pivotal studies</w:t>
      </w:r>
    </w:p>
    <w:p w:rsidR="00846EE5" w:rsidRPr="00624B20" w:rsidRDefault="00846EE5" w:rsidP="00624B20">
      <w:r w:rsidRPr="00624B20">
        <w:t xml:space="preserve">In Study TA-301, Study TA-302, Study TA-303 and Study TA-501 </w:t>
      </w:r>
      <w:r w:rsidR="00704CF9">
        <w:t>the sponsor</w:t>
      </w:r>
      <w:r w:rsidRPr="00624B20">
        <w:t xml:space="preserve"> reported no clinically significant abnormalities in haematology.</w:t>
      </w:r>
    </w:p>
    <w:p w:rsidR="00846EE5" w:rsidRPr="00846EE5" w:rsidRDefault="00846EE5" w:rsidP="00846EE5">
      <w:pPr>
        <w:pStyle w:val="Heading5"/>
      </w:pPr>
      <w:r w:rsidRPr="00846EE5">
        <w:lastRenderedPageBreak/>
        <w:t>Other studies</w:t>
      </w:r>
    </w:p>
    <w:p w:rsidR="00846EE5" w:rsidRPr="00624B20" w:rsidRDefault="00846EE5" w:rsidP="00624B20">
      <w:r w:rsidRPr="00624B20">
        <w:t>In Study TA-05 one subject in the avanafil 200 mg group had elevated haematocrit at study exit.</w:t>
      </w:r>
    </w:p>
    <w:p w:rsidR="00846EE5" w:rsidRPr="00624B20" w:rsidRDefault="00846EE5" w:rsidP="00624B20">
      <w:r w:rsidRPr="00624B20">
        <w:t>In Study TA-01, Study TA-03 and Study TA-314 there were no clinically significant abnormalities in haematology.</w:t>
      </w:r>
    </w:p>
    <w:p w:rsidR="00846EE5" w:rsidRPr="00846EE5" w:rsidRDefault="00846EE5" w:rsidP="00846EE5">
      <w:pPr>
        <w:pStyle w:val="Heading4"/>
      </w:pPr>
      <w:bookmarkStart w:id="331" w:name="_Toc272414675"/>
      <w:bookmarkStart w:id="332" w:name="_Toc290846313"/>
      <w:bookmarkStart w:id="333" w:name="_Toc422725527"/>
      <w:r w:rsidRPr="00846EE5">
        <w:t>Electrocardiograph</w:t>
      </w:r>
      <w:bookmarkEnd w:id="331"/>
      <w:bookmarkEnd w:id="332"/>
      <w:bookmarkEnd w:id="333"/>
    </w:p>
    <w:p w:rsidR="00846EE5" w:rsidRPr="00846EE5" w:rsidRDefault="00846EE5" w:rsidP="00846EE5">
      <w:pPr>
        <w:pStyle w:val="Heading5"/>
      </w:pPr>
      <w:r w:rsidRPr="00846EE5">
        <w:t>Pivotal studies</w:t>
      </w:r>
    </w:p>
    <w:p w:rsidR="00846EE5" w:rsidRPr="00624B20" w:rsidRDefault="00846EE5" w:rsidP="00624B20">
      <w:r w:rsidRPr="00624B20">
        <w:t>In Study TA-303 treatment emergent abnormalities in ECG were reported in three (3.0%) subjects in the avanafil 200 mg group: early repolarisation with non-specific ST segment changes; sinus bradycardia (rate 57) with high lateral ST abnormalities and possible ischaemia; borderline rhythm.</w:t>
      </w:r>
    </w:p>
    <w:p w:rsidR="00846EE5" w:rsidRPr="00624B20" w:rsidRDefault="00846EE5" w:rsidP="00624B20">
      <w:r w:rsidRPr="00624B20">
        <w:t>In Study TA-301 and Study TA-302 no treatment emergent abnormalities in ECG were reported.</w:t>
      </w:r>
    </w:p>
    <w:p w:rsidR="00846EE5" w:rsidRPr="00846EE5" w:rsidRDefault="00846EE5" w:rsidP="00846EE5">
      <w:pPr>
        <w:pStyle w:val="Heading5"/>
      </w:pPr>
      <w:bookmarkStart w:id="334" w:name="_Other_studies_1"/>
      <w:bookmarkEnd w:id="334"/>
      <w:r w:rsidRPr="00846EE5">
        <w:t>Other studies</w:t>
      </w:r>
    </w:p>
    <w:p w:rsidR="00846EE5" w:rsidRPr="00624B20" w:rsidRDefault="00846EE5" w:rsidP="00624B20">
      <w:r w:rsidRPr="00624B20">
        <w:t>In Study TA-02 conducted in healthy volunteers, one subject in the 200 mg group had a treatment emergent QTcF &gt;</w:t>
      </w:r>
      <w:r w:rsidR="00624B20">
        <w:t xml:space="preserve"> 430 </w:t>
      </w:r>
      <w:r w:rsidR="00205523">
        <w:t>ms</w:t>
      </w:r>
      <w:r w:rsidR="00624B20">
        <w:t xml:space="preserve"> (438.8 </w:t>
      </w:r>
      <w:r w:rsidR="00205523">
        <w:t>ms</w:t>
      </w:r>
      <w:r w:rsidR="00624B20">
        <w:t xml:space="preserve">). </w:t>
      </w:r>
      <w:r w:rsidRPr="00624B20">
        <w:t xml:space="preserve">One subject in the 50 mg group had a prolonged PR interval: 217 </w:t>
      </w:r>
      <w:r w:rsidR="00205523">
        <w:t>ms</w:t>
      </w:r>
      <w:r w:rsidRPr="00624B20">
        <w:t xml:space="preserve"> (192 pre-study and 229 post-study).</w:t>
      </w:r>
    </w:p>
    <w:p w:rsidR="00846EE5" w:rsidRPr="00205523" w:rsidRDefault="00205523" w:rsidP="00624B20">
      <w:r>
        <w:t>Study TA-140 was a T</w:t>
      </w:r>
      <w:r w:rsidR="00846EE5" w:rsidRPr="00624B20">
        <w:t>horough QT study that explored the effects on QTc of avanafil 100 mg and 800 mg</w:t>
      </w:r>
      <w:r w:rsidR="00624B20">
        <w:t xml:space="preserve">. </w:t>
      </w:r>
      <w:r w:rsidR="00846EE5" w:rsidRPr="00624B20">
        <w:t>There were no concerns with</w:t>
      </w:r>
      <w:r w:rsidR="00624B20">
        <w:t xml:space="preserve"> regard the 100 mg dose level. </w:t>
      </w:r>
      <w:r w:rsidR="00846EE5" w:rsidRPr="00624B20">
        <w:t xml:space="preserve">For the 800 mg dose level, at 3 hours post dose the placebo corrected mean (90% CI) change in QTcI (Individual correction) </w:t>
      </w:r>
      <w:r w:rsidR="00624B20">
        <w:t xml:space="preserve">was 7.9 (5.5 to 10.2) </w:t>
      </w:r>
      <w:r>
        <w:t>ms</w:t>
      </w:r>
      <w:r w:rsidR="00624B20">
        <w:t xml:space="preserve">. </w:t>
      </w:r>
      <w:r w:rsidR="00846EE5" w:rsidRPr="00624B20">
        <w:t>The upper 90% CI was &gt;</w:t>
      </w:r>
      <w:r w:rsidR="00624B20">
        <w:t xml:space="preserve"> </w:t>
      </w:r>
      <w:r w:rsidR="00846EE5" w:rsidRPr="00624B20">
        <w:t>10, which is th</w:t>
      </w:r>
      <w:r w:rsidR="00624B20">
        <w:t xml:space="preserve">e level of regulatory concern. </w:t>
      </w:r>
      <w:r w:rsidR="00846EE5" w:rsidRPr="00624B20">
        <w:t xml:space="preserve">It is the opinion of </w:t>
      </w:r>
      <w:r w:rsidR="00704CF9">
        <w:t>the sponsor</w:t>
      </w:r>
      <w:r w:rsidR="00846EE5" w:rsidRPr="00624B20">
        <w:t xml:space="preserve"> that this result is spurious </w:t>
      </w:r>
      <w:r w:rsidR="00846EE5" w:rsidRPr="00205523">
        <w:t>because the 800 mg dose resulted in an increase in heart rate compared to the other three treatments (</w:t>
      </w:r>
      <w:hyperlink w:anchor="Figure_8_5_7_1_2_1" w:history="1">
        <w:r w:rsidR="00846EE5" w:rsidRPr="00205523">
          <w:t xml:space="preserve">Figure </w:t>
        </w:r>
        <w:r w:rsidRPr="00205523">
          <w:t>2</w:t>
        </w:r>
      </w:hyperlink>
      <w:r w:rsidR="00846EE5" w:rsidRPr="00205523">
        <w:t>).</w:t>
      </w:r>
      <w:r w:rsidR="00624B20" w:rsidRPr="00205523">
        <w:t xml:space="preserve"> </w:t>
      </w:r>
      <w:r w:rsidR="00846EE5" w:rsidRPr="00205523">
        <w:t>The data for QTcF and QTcB wer</w:t>
      </w:r>
      <w:r w:rsidR="00624B20" w:rsidRPr="00205523">
        <w:t xml:space="preserve">e not presented in the report. </w:t>
      </w:r>
      <w:r w:rsidR="00846EE5" w:rsidRPr="00205523">
        <w:t xml:space="preserve">QTcF would be of particular interest because it provides a better correction in </w:t>
      </w:r>
      <w:r w:rsidR="00624B20" w:rsidRPr="00205523">
        <w:t>relation to higher heart rates.</w:t>
      </w:r>
    </w:p>
    <w:p w:rsidR="00846EE5" w:rsidRDefault="00846EE5" w:rsidP="00624B20">
      <w:r w:rsidRPr="00205523">
        <w:t>In Study TA-314 one subject developed a clinically significant ECG a</w:t>
      </w:r>
      <w:r w:rsidR="00624B20" w:rsidRPr="00205523">
        <w:t>bnormality on active</w:t>
      </w:r>
      <w:r w:rsidR="00624B20">
        <w:t xml:space="preserve"> treatment.</w:t>
      </w:r>
    </w:p>
    <w:bookmarkStart w:id="335" w:name="Figure_8_5_7_1_2_1"/>
    <w:p w:rsidR="00704CF9" w:rsidRPr="00205523" w:rsidRDefault="00704CF9" w:rsidP="00205523">
      <w:pPr>
        <w:pStyle w:val="FigureTitle"/>
        <w:keepNext/>
      </w:pPr>
      <w:r w:rsidRPr="00205523">
        <w:fldChar w:fldCharType="begin"/>
      </w:r>
      <w:r w:rsidRPr="00205523">
        <w:instrText xml:space="preserve"> HYPERLINK  \l "_Other_studies_1" </w:instrText>
      </w:r>
      <w:r w:rsidRPr="00205523">
        <w:fldChar w:fldCharType="separate"/>
      </w:r>
      <w:r w:rsidRPr="00205523">
        <w:rPr>
          <w:rStyle w:val="Hyperlink"/>
          <w:color w:val="auto"/>
          <w:u w:val="none"/>
        </w:rPr>
        <w:t xml:space="preserve">Figure </w:t>
      </w:r>
      <w:r w:rsidR="00205523">
        <w:rPr>
          <w:rStyle w:val="Hyperlink"/>
          <w:color w:val="auto"/>
          <w:u w:val="none"/>
        </w:rPr>
        <w:t>2</w:t>
      </w:r>
      <w:bookmarkEnd w:id="335"/>
      <w:r w:rsidRPr="00205523">
        <w:fldChar w:fldCharType="end"/>
      </w:r>
      <w:r w:rsidR="00205523" w:rsidRPr="00205523">
        <w:t>: C</w:t>
      </w:r>
      <w:r w:rsidRPr="00205523">
        <w:t>hange in Heart Rate (delta delta; bpm) Versus Time Avanafil and Moxifloxacin</w:t>
      </w:r>
    </w:p>
    <w:p w:rsidR="00704CF9" w:rsidRPr="00C83476" w:rsidRDefault="00704CF9" w:rsidP="008D6237">
      <w:r w:rsidRPr="00C83476">
        <w:rPr>
          <w:noProof/>
          <w:lang w:eastAsia="en-AU"/>
        </w:rPr>
        <w:drawing>
          <wp:inline distT="0" distB="0" distL="0" distR="0" wp14:anchorId="2BDF8AB4" wp14:editId="39D8F7DA">
            <wp:extent cx="4057650" cy="2633621"/>
            <wp:effectExtent l="0" t="0" r="0" b="0"/>
            <wp:docPr id="125" name="Picture 125" descr="Figure 2: Change in Heart Rate (delta delta; bpm) Versus Time Avanafil and Moxifloxa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lum bright="-20000" contrast="40000"/>
                      <a:extLst>
                        <a:ext uri="{28A0092B-C50C-407E-A947-70E740481C1C}">
                          <a14:useLocalDpi xmlns:a14="http://schemas.microsoft.com/office/drawing/2010/main" val="0"/>
                        </a:ext>
                      </a:extLst>
                    </a:blip>
                    <a:srcRect/>
                    <a:stretch>
                      <a:fillRect/>
                    </a:stretch>
                  </pic:blipFill>
                  <pic:spPr bwMode="auto">
                    <a:xfrm>
                      <a:off x="0" y="0"/>
                      <a:ext cx="4058520" cy="2634186"/>
                    </a:xfrm>
                    <a:prstGeom prst="rect">
                      <a:avLst/>
                    </a:prstGeom>
                    <a:noFill/>
                    <a:ln>
                      <a:noFill/>
                    </a:ln>
                  </pic:spPr>
                </pic:pic>
              </a:graphicData>
            </a:graphic>
          </wp:inline>
        </w:drawing>
      </w:r>
    </w:p>
    <w:p w:rsidR="00846EE5" w:rsidRPr="00846EE5" w:rsidRDefault="00846EE5" w:rsidP="00846EE5">
      <w:pPr>
        <w:pStyle w:val="Heading4"/>
      </w:pPr>
      <w:bookmarkStart w:id="336" w:name="_Toc272414676"/>
      <w:bookmarkStart w:id="337" w:name="_Toc290846314"/>
      <w:bookmarkStart w:id="338" w:name="_Toc422725528"/>
      <w:r w:rsidRPr="00846EE5">
        <w:t>Vital signs</w:t>
      </w:r>
      <w:bookmarkEnd w:id="336"/>
      <w:bookmarkEnd w:id="337"/>
      <w:bookmarkEnd w:id="338"/>
    </w:p>
    <w:p w:rsidR="00846EE5" w:rsidRPr="00846EE5" w:rsidRDefault="00846EE5" w:rsidP="00846EE5">
      <w:pPr>
        <w:pStyle w:val="Heading5"/>
      </w:pPr>
      <w:r w:rsidRPr="00846EE5">
        <w:t>Pivotal studies</w:t>
      </w:r>
    </w:p>
    <w:p w:rsidR="00846EE5" w:rsidRPr="00624B20" w:rsidRDefault="00846EE5" w:rsidP="00624B20">
      <w:r w:rsidRPr="00624B20">
        <w:t>In Study TA-301</w:t>
      </w:r>
      <w:r w:rsidR="000D4BE1">
        <w:t xml:space="preserve"> </w:t>
      </w:r>
      <w:r w:rsidRPr="00624B20">
        <w:t>no clinically significant abnormalities in vital signs were reported.</w:t>
      </w:r>
      <w:r w:rsidR="00624B20">
        <w:t xml:space="preserve"> </w:t>
      </w:r>
      <w:r w:rsidRPr="00624B20">
        <w:t xml:space="preserve">Elevated SBP was reported in three (1.9%) subjects in the avanafil 50 mg group, one (0.6%) in the 100 </w:t>
      </w:r>
      <w:r w:rsidRPr="00624B20">
        <w:lastRenderedPageBreak/>
        <w:t xml:space="preserve">mg, one (0.6%) in the 200 mg </w:t>
      </w:r>
      <w:r w:rsidR="00624B20">
        <w:t xml:space="preserve">and one (0.6%) in the placebo. </w:t>
      </w:r>
      <w:r w:rsidRPr="00624B20">
        <w:t>Elevated DBP was reported in four (2.5%) subjects in the avanafil 50 mg group, two (1.2%) in the 100 mg, none in the 200 mg and three (1.9%) in the placebo.</w:t>
      </w:r>
    </w:p>
    <w:p w:rsidR="00846EE5" w:rsidRPr="00624B20" w:rsidRDefault="00846EE5" w:rsidP="00624B20">
      <w:r w:rsidRPr="00624B20">
        <w:t>In Study TA-302 no clinically significant abnormalities in vital signs were reported.</w:t>
      </w:r>
      <w:r w:rsidR="00624B20">
        <w:t xml:space="preserve"> </w:t>
      </w:r>
      <w:r w:rsidRPr="00624B20">
        <w:t xml:space="preserve">Elevated SBP was reported in three (2.4%) subjects in the avanafil 100 mg group, three (2.3%) in the 200 mg </w:t>
      </w:r>
      <w:r w:rsidR="00813F11">
        <w:t>and four (3.1%) in the placebo.</w:t>
      </w:r>
      <w:r w:rsidRPr="00624B20">
        <w:t xml:space="preserve"> Elevated DBP was reported in three (2.4%) subjects in the avanafil 100 mg group, none in the 200 mg and one (0.8%) in the placebo.</w:t>
      </w:r>
    </w:p>
    <w:p w:rsidR="00846EE5" w:rsidRPr="00813F11" w:rsidRDefault="00846EE5" w:rsidP="00813F11">
      <w:r w:rsidRPr="00813F11">
        <w:t>In Study TA-303 one subject in the avanafil 200 mg group had h</w:t>
      </w:r>
      <w:r w:rsidR="00813F11">
        <w:t>ypertension reported as a TEAE.</w:t>
      </w:r>
      <w:r w:rsidRPr="00813F11">
        <w:t xml:space="preserve"> Elevated SBP was reported in one (1.0%) subject in the avanafil 100 mg group, one (1.0%) in the 200 mg and one (1.0%) in the placebo.  Elevated DBP was reported in one (1.0%) subject in the avanafil 100 mg group, five (5.1%) in the 200 mg and two (2.0%) in the placebo.</w:t>
      </w:r>
    </w:p>
    <w:p w:rsidR="00846EE5" w:rsidRPr="00813F11" w:rsidRDefault="00846EE5" w:rsidP="00813F11">
      <w:r w:rsidRPr="00813F11">
        <w:t>In Study TA-501 no clinically significant abnormalities in vital signs were reported.</w:t>
      </w:r>
    </w:p>
    <w:p w:rsidR="00846EE5" w:rsidRPr="00846EE5" w:rsidRDefault="00846EE5" w:rsidP="00846EE5">
      <w:pPr>
        <w:pStyle w:val="Heading5"/>
      </w:pPr>
      <w:r w:rsidRPr="00846EE5">
        <w:t>Other studies</w:t>
      </w:r>
    </w:p>
    <w:p w:rsidR="00846EE5" w:rsidRPr="00813F11" w:rsidRDefault="00846EE5" w:rsidP="00813F11">
      <w:r w:rsidRPr="00813F11">
        <w:t>In Study TA-05 there were six subjects with significant</w:t>
      </w:r>
      <w:r w:rsidR="00813F11">
        <w:t xml:space="preserve"> abnormalities in vital signs. </w:t>
      </w:r>
      <w:r w:rsidRPr="00813F11">
        <w:t>One subject in the placebo group and two in the avanafil 100 mg h</w:t>
      </w:r>
      <w:r w:rsidR="00813F11">
        <w:t xml:space="preserve">ad hypertension at study exit. </w:t>
      </w:r>
      <w:r w:rsidRPr="00813F11">
        <w:t>One subject in the 200 mg group had exertional dyspnoea. One subject in the</w:t>
      </w:r>
      <w:r w:rsidR="00813F11">
        <w:t xml:space="preserve"> 300 mg group had palpitations.</w:t>
      </w:r>
      <w:r w:rsidRPr="00813F11">
        <w:t xml:space="preserve"> One subject in the 300 mg group had AV block and bradycardia the day after a MVA.</w:t>
      </w:r>
    </w:p>
    <w:p w:rsidR="00846EE5" w:rsidRPr="00813F11" w:rsidRDefault="00846EE5" w:rsidP="00813F11">
      <w:r w:rsidRPr="00813F11">
        <w:t>Study TA-314 31 (4.4%) subjects had abnormal SBP during treatment (defined as an increase of &gt;</w:t>
      </w:r>
      <w:r w:rsidR="00813F11">
        <w:t xml:space="preserve"> </w:t>
      </w:r>
      <w:r w:rsidRPr="00813F11">
        <w:t>20 mmHg from baseline and &gt;</w:t>
      </w:r>
      <w:r w:rsidR="00813F11">
        <w:t xml:space="preserve"> </w:t>
      </w:r>
      <w:r w:rsidRPr="00813F11">
        <w:t>140 mmHg on two or more occasions or any value &gt;</w:t>
      </w:r>
      <w:r w:rsidR="00813F11">
        <w:t xml:space="preserve"> </w:t>
      </w:r>
      <w:r w:rsidRPr="00813F11">
        <w:t>180 mmHg); and 26 (3.7%) had abnormal DBP during treatment (defined as an increase of &gt;</w:t>
      </w:r>
      <w:r w:rsidR="00813F11">
        <w:t xml:space="preserve"> </w:t>
      </w:r>
      <w:r w:rsidRPr="00813F11">
        <w:t>15 mmHg from baseline on two or more occasions or any value &gt;</w:t>
      </w:r>
      <w:r w:rsidR="00813F11">
        <w:t xml:space="preserve"> </w:t>
      </w:r>
      <w:r w:rsidRPr="00813F11">
        <w:t>110 mmHg).</w:t>
      </w:r>
    </w:p>
    <w:p w:rsidR="00846EE5" w:rsidRPr="00813F11" w:rsidRDefault="00846EE5" w:rsidP="00813F11">
      <w:r w:rsidRPr="00813F11">
        <w:t>In Study TA-01 and Study TA-03 there were no clinically significant abnormalities in vital signs with avanafil.</w:t>
      </w:r>
    </w:p>
    <w:p w:rsidR="00846EE5" w:rsidRPr="00846EE5" w:rsidRDefault="00846EE5" w:rsidP="00846EE5">
      <w:pPr>
        <w:pStyle w:val="Heading3"/>
      </w:pPr>
      <w:bookmarkStart w:id="339" w:name="_Toc241374326"/>
      <w:bookmarkStart w:id="340" w:name="_Ref272333048"/>
      <w:bookmarkStart w:id="341" w:name="_Toc272414679"/>
      <w:bookmarkStart w:id="342" w:name="_Toc290846317"/>
      <w:bookmarkStart w:id="343" w:name="_Toc422725529"/>
      <w:bookmarkStart w:id="344" w:name="_Toc466365794"/>
      <w:r w:rsidRPr="00846EE5">
        <w:t>Post-marketing experience</w:t>
      </w:r>
      <w:bookmarkEnd w:id="339"/>
      <w:bookmarkEnd w:id="340"/>
      <w:bookmarkEnd w:id="341"/>
      <w:bookmarkEnd w:id="342"/>
      <w:bookmarkEnd w:id="343"/>
      <w:bookmarkEnd w:id="344"/>
    </w:p>
    <w:p w:rsidR="00846EE5" w:rsidRPr="00846EE5" w:rsidRDefault="00846EE5" w:rsidP="00846EE5">
      <w:pPr>
        <w:pStyle w:val="Heading4"/>
      </w:pPr>
      <w:bookmarkStart w:id="345" w:name="_Toc422725530"/>
      <w:r w:rsidRPr="00846EE5">
        <w:t>Risk Minimisation Plan</w:t>
      </w:r>
      <w:bookmarkEnd w:id="345"/>
    </w:p>
    <w:p w:rsidR="00846EE5" w:rsidRPr="00813F11" w:rsidRDefault="00846EE5" w:rsidP="00813F11">
      <w:r w:rsidRPr="00813F11">
        <w:t xml:space="preserve">The </w:t>
      </w:r>
      <w:r w:rsidR="00205523">
        <w:t>s</w:t>
      </w:r>
      <w:r w:rsidRPr="00813F11">
        <w:t xml:space="preserve">ponsor, A Menarini Australia Pty Ltd, will be marketing </w:t>
      </w:r>
      <w:r w:rsidR="00F21ECC">
        <w:t>Spedra</w:t>
      </w:r>
      <w:r w:rsidRPr="00813F11">
        <w:t xml:space="preserve"> in Australia under a contractual agreement with the </w:t>
      </w:r>
      <w:r w:rsidR="00813F11">
        <w:t xml:space="preserve">global license partner, Vivus. </w:t>
      </w:r>
      <w:r w:rsidRPr="00813F11">
        <w:t>Vivus holds the global safety database for avanafil and will be responsibl</w:t>
      </w:r>
      <w:r w:rsidR="00813F11">
        <w:t>e for the preparation of PSURs.</w:t>
      </w:r>
      <w:r w:rsidRPr="00813F11">
        <w:t xml:space="preserve"> No additional risk management activit</w:t>
      </w:r>
      <w:r w:rsidR="00813F11">
        <w:t xml:space="preserve">ies are planned for Australia. </w:t>
      </w:r>
      <w:r w:rsidRPr="00813F11">
        <w:t>The pharmacovigilance processes in Australia will be carried out by Commercial Eyes Pty Ltd under a third party service agreement with A Menarini Australia Pty Ltd.</w:t>
      </w:r>
    </w:p>
    <w:p w:rsidR="00846EE5" w:rsidRPr="00813F11" w:rsidRDefault="00846EE5" w:rsidP="00813F11">
      <w:r w:rsidRPr="00813F11">
        <w:t>The important identified risks are:</w:t>
      </w:r>
    </w:p>
    <w:p w:rsidR="00846EE5" w:rsidRPr="00813F11" w:rsidRDefault="00846EE5" w:rsidP="00813F11">
      <w:pPr>
        <w:pStyle w:val="ListBullet"/>
      </w:pPr>
      <w:r w:rsidRPr="00813F11">
        <w:t>Pre-existing cardiovascular disease</w:t>
      </w:r>
    </w:p>
    <w:p w:rsidR="00846EE5" w:rsidRPr="00813F11" w:rsidRDefault="00846EE5" w:rsidP="00813F11">
      <w:pPr>
        <w:pStyle w:val="ListBullet"/>
      </w:pPr>
      <w:r w:rsidRPr="00813F11">
        <w:t>Prolonged erection (priapism)</w:t>
      </w:r>
    </w:p>
    <w:p w:rsidR="00846EE5" w:rsidRPr="00813F11" w:rsidRDefault="00846EE5" w:rsidP="00813F11">
      <w:r w:rsidRPr="00813F11">
        <w:t>The important potential risks are:</w:t>
      </w:r>
    </w:p>
    <w:p w:rsidR="00846EE5" w:rsidRPr="00813F11" w:rsidRDefault="00846EE5" w:rsidP="00813F11">
      <w:pPr>
        <w:pStyle w:val="ListBullet"/>
      </w:pPr>
      <w:r w:rsidRPr="00813F11">
        <w:t>Hypotension</w:t>
      </w:r>
      <w:r w:rsidR="00704CF9">
        <w:t>/</w:t>
      </w:r>
      <w:r w:rsidRPr="00813F11">
        <w:t>increased hypotensive effect</w:t>
      </w:r>
    </w:p>
    <w:p w:rsidR="00846EE5" w:rsidRPr="00813F11" w:rsidRDefault="00846EE5" w:rsidP="00813F11">
      <w:pPr>
        <w:pStyle w:val="ListBullet"/>
      </w:pPr>
      <w:r w:rsidRPr="00813F11">
        <w:t>Non-arteritic anterior ischaemic optic neuropathy</w:t>
      </w:r>
    </w:p>
    <w:p w:rsidR="00846EE5" w:rsidRPr="00813F11" w:rsidRDefault="00846EE5" w:rsidP="00813F11">
      <w:pPr>
        <w:pStyle w:val="ListBullet"/>
      </w:pPr>
      <w:r w:rsidRPr="00813F11">
        <w:t>Sudden hearing loss</w:t>
      </w:r>
    </w:p>
    <w:p w:rsidR="00846EE5" w:rsidRPr="00813F11" w:rsidRDefault="00846EE5" w:rsidP="00813F11">
      <w:r w:rsidRPr="00813F11">
        <w:t>Important missing information is:</w:t>
      </w:r>
    </w:p>
    <w:p w:rsidR="00714B60" w:rsidRDefault="00846EE5" w:rsidP="00813F11">
      <w:pPr>
        <w:pStyle w:val="ListBullet"/>
      </w:pPr>
      <w:r w:rsidRPr="00813F11">
        <w:t>Very elderly males &gt;</w:t>
      </w:r>
      <w:r w:rsidR="00813F11">
        <w:t xml:space="preserve"> </w:t>
      </w:r>
      <w:r w:rsidRPr="00813F11">
        <w:t>70 years of age</w:t>
      </w:r>
    </w:p>
    <w:p w:rsidR="00846EE5" w:rsidRPr="00813F11" w:rsidRDefault="00846EE5" w:rsidP="00813F11">
      <w:pPr>
        <w:pStyle w:val="ListBullet"/>
      </w:pPr>
      <w:r w:rsidRPr="00813F11">
        <w:t>Adult males with significant pre-existing cardiovascular disease</w:t>
      </w:r>
    </w:p>
    <w:p w:rsidR="00846EE5" w:rsidRPr="00813F11" w:rsidRDefault="00846EE5" w:rsidP="00813F11">
      <w:pPr>
        <w:pStyle w:val="ListBullet"/>
      </w:pPr>
      <w:r w:rsidRPr="00813F11">
        <w:t>Use in subjects with severe renal or hepatic failure</w:t>
      </w:r>
    </w:p>
    <w:p w:rsidR="00846EE5" w:rsidRPr="00813F11" w:rsidRDefault="00846EE5" w:rsidP="00813F11">
      <w:pPr>
        <w:pStyle w:val="ListBullet"/>
      </w:pPr>
      <w:r w:rsidRPr="00813F11">
        <w:lastRenderedPageBreak/>
        <w:t>Adult males with ED due to spinal cord injury</w:t>
      </w:r>
    </w:p>
    <w:p w:rsidR="00846EE5" w:rsidRPr="00813F11" w:rsidRDefault="00846EE5" w:rsidP="00813F11">
      <w:pPr>
        <w:pStyle w:val="ListBullet"/>
      </w:pPr>
      <w:r w:rsidRPr="00813F11">
        <w:t>Patients with retinitis pigmentosa</w:t>
      </w:r>
    </w:p>
    <w:p w:rsidR="00846EE5" w:rsidRPr="00813F11" w:rsidRDefault="00846EE5" w:rsidP="00813F11">
      <w:pPr>
        <w:pStyle w:val="ListBullet"/>
      </w:pPr>
      <w:r w:rsidRPr="00813F11">
        <w:t>Patients with bleeding disorders or active peptic ulceration</w:t>
      </w:r>
    </w:p>
    <w:p w:rsidR="00846EE5" w:rsidRPr="00813F11" w:rsidRDefault="00846EE5" w:rsidP="00813F11">
      <w:pPr>
        <w:pStyle w:val="ListBullet"/>
      </w:pPr>
      <w:r w:rsidRPr="00813F11">
        <w:t>Effect of avanafil on spermatogenesis in healthy adult males and adult males with mild ED</w:t>
      </w:r>
    </w:p>
    <w:p w:rsidR="00846EE5" w:rsidRPr="00813F11" w:rsidRDefault="00846EE5" w:rsidP="00813F11">
      <w:pPr>
        <w:pStyle w:val="ListBullet"/>
      </w:pPr>
      <w:r w:rsidRPr="00813F11">
        <w:t>Effects of avanafil on multiple parameters of vision</w:t>
      </w:r>
    </w:p>
    <w:p w:rsidR="00846EE5" w:rsidRPr="00813F11" w:rsidRDefault="00846EE5" w:rsidP="00813F11">
      <w:pPr>
        <w:pStyle w:val="Heading4"/>
      </w:pPr>
      <w:bookmarkStart w:id="346" w:name="_Toc422725531"/>
      <w:r w:rsidRPr="00813F11">
        <w:t>Post-marketing data</w:t>
      </w:r>
      <w:bookmarkEnd w:id="346"/>
    </w:p>
    <w:p w:rsidR="00846EE5" w:rsidRPr="00813F11" w:rsidRDefault="00846EE5" w:rsidP="00813F11">
      <w:r w:rsidRPr="00813F11">
        <w:t>A single PSUR was included in the submission covering the time period up to 20</w:t>
      </w:r>
      <w:r w:rsidR="00813F11">
        <w:t xml:space="preserve"> December 2013. </w:t>
      </w:r>
      <w:r w:rsidRPr="00813F11">
        <w:t xml:space="preserve">The international birthdate for avanafil is 17 August 2011 which is the date of first market authorisation, </w:t>
      </w:r>
      <w:r w:rsidR="00813F11">
        <w:t xml:space="preserve">which was in South Korea. </w:t>
      </w:r>
      <w:r w:rsidRPr="00813F11">
        <w:t>During the time period covered by the PSUR no regu</w:t>
      </w:r>
      <w:r w:rsidR="00813F11">
        <w:t xml:space="preserve">latory actions had been taken. </w:t>
      </w:r>
      <w:r w:rsidRPr="00813F11">
        <w:t>During the time period covered by the PSUR total sales of avanafil were: 41,623 avanafil 100 mg tablets and 28</w:t>
      </w:r>
      <w:r w:rsidR="00813F11">
        <w:t xml:space="preserve">8,334 avanafil 200 mg tablets. </w:t>
      </w:r>
      <w:r w:rsidRPr="00813F11">
        <w:t>Spontaneous repo</w:t>
      </w:r>
      <w:r w:rsidR="00144BFD">
        <w:t>r</w:t>
      </w:r>
      <w:r w:rsidRPr="00813F11">
        <w:t>ts consisted of a to</w:t>
      </w:r>
      <w:r w:rsidR="00813F11">
        <w:t xml:space="preserve">tal of 40 ADRs in 32 patients. </w:t>
      </w:r>
      <w:r w:rsidRPr="00813F11">
        <w:t>There were no spontaneous reports of serious ADRs.</w:t>
      </w:r>
    </w:p>
    <w:p w:rsidR="00846EE5" w:rsidRPr="00846EE5" w:rsidRDefault="00846EE5" w:rsidP="00846EE5">
      <w:pPr>
        <w:pStyle w:val="Heading3"/>
      </w:pPr>
      <w:bookmarkStart w:id="347" w:name="_Ref272333005"/>
      <w:bookmarkStart w:id="348" w:name="_Toc272414680"/>
      <w:bookmarkStart w:id="349" w:name="_Toc290846318"/>
      <w:bookmarkStart w:id="350" w:name="_Toc422725532"/>
      <w:bookmarkStart w:id="351" w:name="_Toc466365795"/>
      <w:r w:rsidRPr="00846EE5">
        <w:t>Safety issues with the potential for major regulatory imp</w:t>
      </w:r>
      <w:bookmarkEnd w:id="347"/>
      <w:bookmarkEnd w:id="348"/>
      <w:r w:rsidRPr="00846EE5">
        <w:t>act</w:t>
      </w:r>
      <w:bookmarkEnd w:id="349"/>
      <w:bookmarkEnd w:id="350"/>
      <w:bookmarkEnd w:id="351"/>
    </w:p>
    <w:p w:rsidR="00846EE5" w:rsidRPr="00846EE5" w:rsidRDefault="00846EE5" w:rsidP="00846EE5">
      <w:pPr>
        <w:pStyle w:val="Heading4"/>
      </w:pPr>
      <w:bookmarkStart w:id="352" w:name="_Toc272414681"/>
      <w:bookmarkStart w:id="353" w:name="_Toc290846319"/>
      <w:bookmarkStart w:id="354" w:name="_Toc422725533"/>
      <w:r w:rsidRPr="00846EE5">
        <w:t>Liver toxicity</w:t>
      </w:r>
      <w:bookmarkEnd w:id="352"/>
      <w:bookmarkEnd w:id="353"/>
      <w:bookmarkEnd w:id="354"/>
    </w:p>
    <w:p w:rsidR="00846EE5" w:rsidRPr="00813F11" w:rsidRDefault="00846EE5" w:rsidP="00813F11">
      <w:r w:rsidRPr="00813F11">
        <w:t>The data did not identify any safety issues with regard to liver t</w:t>
      </w:r>
      <w:r w:rsidR="00813F11">
        <w:t xml:space="preserve">oxicity. </w:t>
      </w:r>
      <w:r w:rsidRPr="00813F11">
        <w:t xml:space="preserve">However, </w:t>
      </w:r>
      <w:r w:rsidR="00704CF9">
        <w:t>the sponsor</w:t>
      </w:r>
      <w:r w:rsidRPr="00813F11">
        <w:t xml:space="preserve"> did not provide a listing of subjects who fulfilled the criteria of Hy’s law.</w:t>
      </w:r>
    </w:p>
    <w:p w:rsidR="00846EE5" w:rsidRPr="00846EE5" w:rsidRDefault="00846EE5" w:rsidP="00846EE5">
      <w:pPr>
        <w:pStyle w:val="Heading4"/>
      </w:pPr>
      <w:bookmarkStart w:id="355" w:name="_Toc272414682"/>
      <w:bookmarkStart w:id="356" w:name="_Toc290846320"/>
      <w:bookmarkStart w:id="357" w:name="_Toc422725534"/>
      <w:r w:rsidRPr="00846EE5">
        <w:t>Haematological toxicity</w:t>
      </w:r>
      <w:bookmarkEnd w:id="355"/>
      <w:bookmarkEnd w:id="356"/>
      <w:bookmarkEnd w:id="357"/>
    </w:p>
    <w:p w:rsidR="00846EE5" w:rsidRPr="00813F11" w:rsidRDefault="00846EE5" w:rsidP="00813F11">
      <w:r w:rsidRPr="00813F11">
        <w:t>The data did not identify any safety issues with rega</w:t>
      </w:r>
      <w:r w:rsidR="00813F11">
        <w:t>rd to haematological toxicity.</w:t>
      </w:r>
    </w:p>
    <w:p w:rsidR="00846EE5" w:rsidRPr="00846EE5" w:rsidRDefault="00846EE5" w:rsidP="00846EE5">
      <w:pPr>
        <w:pStyle w:val="Heading4"/>
      </w:pPr>
      <w:bookmarkStart w:id="358" w:name="_Toc272414683"/>
      <w:bookmarkStart w:id="359" w:name="_Toc290846321"/>
      <w:bookmarkStart w:id="360" w:name="_Toc422725535"/>
      <w:r w:rsidRPr="00846EE5">
        <w:t>Serious skin reactions</w:t>
      </w:r>
      <w:bookmarkEnd w:id="358"/>
      <w:bookmarkEnd w:id="359"/>
      <w:bookmarkEnd w:id="360"/>
    </w:p>
    <w:p w:rsidR="00846EE5" w:rsidRPr="00813F11" w:rsidRDefault="00846EE5" w:rsidP="00813F11">
      <w:r w:rsidRPr="00813F11">
        <w:t>The data did not identify any safety issues with reg</w:t>
      </w:r>
      <w:r w:rsidR="00813F11">
        <w:t>ard to serious skin reactions.</w:t>
      </w:r>
    </w:p>
    <w:p w:rsidR="00846EE5" w:rsidRPr="00846EE5" w:rsidRDefault="00846EE5" w:rsidP="00846EE5">
      <w:pPr>
        <w:pStyle w:val="Heading4"/>
      </w:pPr>
      <w:bookmarkStart w:id="361" w:name="_Toc272414684"/>
      <w:bookmarkStart w:id="362" w:name="_Toc290846322"/>
      <w:bookmarkStart w:id="363" w:name="_Toc422725536"/>
      <w:r w:rsidRPr="00846EE5">
        <w:t>Cardiovascular safety</w:t>
      </w:r>
      <w:bookmarkEnd w:id="361"/>
      <w:bookmarkEnd w:id="362"/>
      <w:bookmarkEnd w:id="363"/>
    </w:p>
    <w:p w:rsidR="00846EE5" w:rsidRPr="00813F11" w:rsidRDefault="00846EE5" w:rsidP="00813F11">
      <w:r w:rsidRPr="00813F11">
        <w:t>The data identified a potential safety issue with</w:t>
      </w:r>
      <w:r w:rsidR="00813F11">
        <w:t xml:space="preserve"> regard to prolongation of QTc.</w:t>
      </w:r>
      <w:r w:rsidRPr="00813F11">
        <w:t xml:space="preserve"> For the 800 mg dose level, at 3 hours post dose the placebo corrected mean (90% CI) change in QTcI (Individual correction) was 7.9 (5.5 to 10.2) </w:t>
      </w:r>
      <w:r w:rsidR="00205523">
        <w:t>ms</w:t>
      </w:r>
      <w:r w:rsidRPr="00813F11">
        <w:t>, the upper 90% CI being &gt;</w:t>
      </w:r>
      <w:r w:rsidR="00813F11">
        <w:t xml:space="preserve"> </w:t>
      </w:r>
      <w:r w:rsidRPr="00813F11">
        <w:t>10, which is th</w:t>
      </w:r>
      <w:r w:rsidR="00813F11">
        <w:t xml:space="preserve">e level of regulatory concern. </w:t>
      </w:r>
      <w:r w:rsidRPr="00813F11">
        <w:t>The data were incomplete because the results for QTcB and QTcF were not provided in the submission.</w:t>
      </w:r>
    </w:p>
    <w:p w:rsidR="00846EE5" w:rsidRPr="00846EE5" w:rsidRDefault="00846EE5" w:rsidP="00846EE5">
      <w:pPr>
        <w:pStyle w:val="Heading4"/>
      </w:pPr>
      <w:bookmarkStart w:id="364" w:name="_Toc241374323"/>
      <w:bookmarkStart w:id="365" w:name="_Toc272414685"/>
      <w:bookmarkStart w:id="366" w:name="_Toc290846323"/>
      <w:bookmarkStart w:id="367" w:name="_Toc422725537"/>
      <w:r w:rsidRPr="00846EE5">
        <w:t>Unwanted immunological events</w:t>
      </w:r>
      <w:bookmarkEnd w:id="364"/>
      <w:bookmarkEnd w:id="365"/>
      <w:bookmarkEnd w:id="366"/>
      <w:bookmarkEnd w:id="367"/>
    </w:p>
    <w:p w:rsidR="00846EE5" w:rsidRPr="00813F11" w:rsidRDefault="00846EE5" w:rsidP="00813F11">
      <w:r w:rsidRPr="00813F11">
        <w:t>The data did not identify any safety issues with reg</w:t>
      </w:r>
      <w:r w:rsidR="00813F11">
        <w:t>ard to serious skin reactions.</w:t>
      </w:r>
    </w:p>
    <w:p w:rsidR="00846EE5" w:rsidRPr="00846EE5" w:rsidRDefault="00846EE5" w:rsidP="00846EE5">
      <w:pPr>
        <w:pStyle w:val="Heading3"/>
      </w:pPr>
      <w:bookmarkStart w:id="368" w:name="_Toc272414686"/>
      <w:bookmarkStart w:id="369" w:name="_Ref273005527"/>
      <w:bookmarkStart w:id="370" w:name="_Toc290846324"/>
      <w:bookmarkStart w:id="371" w:name="_Toc422725538"/>
      <w:bookmarkStart w:id="372" w:name="_Toc466365796"/>
      <w:r w:rsidRPr="00846EE5">
        <w:t>Other safety issues</w:t>
      </w:r>
      <w:bookmarkEnd w:id="368"/>
      <w:bookmarkEnd w:id="369"/>
      <w:bookmarkEnd w:id="370"/>
      <w:bookmarkEnd w:id="371"/>
      <w:bookmarkEnd w:id="372"/>
    </w:p>
    <w:p w:rsidR="00846EE5" w:rsidRPr="00846EE5" w:rsidRDefault="00846EE5" w:rsidP="00846EE5">
      <w:pPr>
        <w:pStyle w:val="Heading4"/>
      </w:pPr>
      <w:bookmarkStart w:id="373" w:name="_Toc241374322"/>
      <w:bookmarkStart w:id="374" w:name="_Ref272331212"/>
      <w:bookmarkStart w:id="375" w:name="_Toc272414687"/>
      <w:bookmarkStart w:id="376" w:name="_Toc290846325"/>
      <w:bookmarkStart w:id="377" w:name="_Toc422725539"/>
      <w:r w:rsidRPr="00846EE5">
        <w:t>Safety in special populations</w:t>
      </w:r>
      <w:bookmarkEnd w:id="373"/>
      <w:bookmarkEnd w:id="374"/>
      <w:bookmarkEnd w:id="375"/>
      <w:bookmarkEnd w:id="376"/>
      <w:bookmarkEnd w:id="377"/>
    </w:p>
    <w:p w:rsidR="00846EE5" w:rsidRPr="00813F11" w:rsidRDefault="00846EE5" w:rsidP="00813F11">
      <w:r w:rsidRPr="00813F11">
        <w:t>Safety in special populations was not address</w:t>
      </w:r>
      <w:r w:rsidR="00813F11">
        <w:t xml:space="preserve">ed in the development program. </w:t>
      </w:r>
      <w:r w:rsidRPr="00813F11">
        <w:t>However, avanafil is intended for a specific population (males with ED) and this population has been studied in the development program.</w:t>
      </w:r>
      <w:r w:rsidR="00813F11">
        <w:t xml:space="preserve"> There were 426 subjects aged ≥ </w:t>
      </w:r>
      <w:r w:rsidRPr="00813F11">
        <w:t>65 years in the development program.</w:t>
      </w:r>
    </w:p>
    <w:p w:rsidR="00846EE5" w:rsidRPr="00846EE5" w:rsidRDefault="00846EE5" w:rsidP="00846EE5">
      <w:pPr>
        <w:pStyle w:val="Heading4"/>
      </w:pPr>
      <w:bookmarkStart w:id="378" w:name="_Toc241374324"/>
      <w:bookmarkStart w:id="379" w:name="_Ref272331214"/>
      <w:bookmarkStart w:id="380" w:name="_Toc272414688"/>
      <w:bookmarkStart w:id="381" w:name="_Toc290846326"/>
      <w:bookmarkStart w:id="382" w:name="_Toc422725540"/>
      <w:r w:rsidRPr="00846EE5">
        <w:t>Safety related to drug-drug interactions and other interactions</w:t>
      </w:r>
      <w:bookmarkEnd w:id="378"/>
      <w:bookmarkEnd w:id="379"/>
      <w:bookmarkEnd w:id="380"/>
      <w:bookmarkEnd w:id="381"/>
      <w:bookmarkEnd w:id="382"/>
    </w:p>
    <w:p w:rsidR="00846EE5" w:rsidRPr="00813F11" w:rsidRDefault="00846EE5" w:rsidP="00813F11">
      <w:r w:rsidRPr="00813F11">
        <w:t>In combination with GTN there was an increased risk of headache, dizziness and nausea with avanafil, which was simila</w:t>
      </w:r>
      <w:r w:rsidR="00813F11">
        <w:t xml:space="preserve">r to the risk with sildenafil. </w:t>
      </w:r>
      <w:r w:rsidRPr="00813F11">
        <w:t>In Study TA-02 there were 43 TEAEs reported by 25 (23.6%) subjects prior to GTN, and 248 TEAEs rep</w:t>
      </w:r>
      <w:r w:rsidR="00813F11">
        <w:t xml:space="preserve">orted by 67 (63.2%) after GTN. </w:t>
      </w:r>
      <w:r w:rsidRPr="00813F11">
        <w:t xml:space="preserve">Headache was reported in 24 (24%) subjects after avanafil, 25 (26%) after sildenafil and 16 (16%) after placebo; dizziness in 18 (18%) after avanafil, 22 (23%) after sildenafil and 10 </w:t>
      </w:r>
      <w:r w:rsidRPr="00813F11">
        <w:lastRenderedPageBreak/>
        <w:t>(10%) after placebo; and nausea in ten (10%) after avanafil, nine (9%) after sildenafil and one (1%) after placebo.</w:t>
      </w:r>
    </w:p>
    <w:p w:rsidR="00846EE5" w:rsidRPr="00846EE5" w:rsidRDefault="00846EE5" w:rsidP="00846EE5">
      <w:pPr>
        <w:pStyle w:val="Heading3"/>
      </w:pPr>
      <w:bookmarkStart w:id="383" w:name="_Toc241374328"/>
      <w:bookmarkStart w:id="384" w:name="_Toc272414691"/>
      <w:bookmarkStart w:id="385" w:name="_Toc290846329"/>
      <w:bookmarkStart w:id="386" w:name="_Toc422725541"/>
      <w:bookmarkStart w:id="387" w:name="_Toc466365797"/>
      <w:r w:rsidRPr="00846EE5">
        <w:t>Evaluator’s overall conclusions on clinical safety</w:t>
      </w:r>
      <w:bookmarkEnd w:id="383"/>
      <w:bookmarkEnd w:id="384"/>
      <w:bookmarkEnd w:id="385"/>
      <w:bookmarkEnd w:id="386"/>
      <w:bookmarkEnd w:id="387"/>
    </w:p>
    <w:p w:rsidR="00846EE5" w:rsidRPr="00813F11" w:rsidRDefault="00846EE5" w:rsidP="00813F11">
      <w:r w:rsidRPr="00813F11">
        <w:t>The rates of TEAEs were higher in the avanafil treatme</w:t>
      </w:r>
      <w:r w:rsidR="00813F11">
        <w:t xml:space="preserve">nt groups compared to placebo. </w:t>
      </w:r>
      <w:r w:rsidRPr="00813F11">
        <w:t>Headache was more common in the avanafil groups an</w:t>
      </w:r>
      <w:r w:rsidR="00813F11">
        <w:t xml:space="preserve">d appeared to be dose related. </w:t>
      </w:r>
      <w:r w:rsidRPr="00813F11">
        <w:t>Up to 13% of subjects in the avanafil 20</w:t>
      </w:r>
      <w:r w:rsidR="00813F11">
        <w:t xml:space="preserve">0 mg groups reported headache. </w:t>
      </w:r>
      <w:r w:rsidRPr="00813F11">
        <w:t>The risk of TEAE was not influenced by age, race, diabetes status or coronary artery disease.</w:t>
      </w:r>
    </w:p>
    <w:p w:rsidR="00846EE5" w:rsidRPr="00813F11" w:rsidRDefault="00846EE5" w:rsidP="00813F11">
      <w:r w:rsidRPr="00813F11">
        <w:t>Treatment related TEAEs were more common with avanafil than placebo, and</w:t>
      </w:r>
      <w:r w:rsidR="00813F11">
        <w:t xml:space="preserve"> the rate increased with dose. </w:t>
      </w:r>
      <w:r w:rsidRPr="00813F11">
        <w:t xml:space="preserve">Up to 23% of subjects in the avanafil 200 mg group had </w:t>
      </w:r>
      <w:r w:rsidR="00813F11">
        <w:t xml:space="preserve">TEAEs attributed to treatment. </w:t>
      </w:r>
      <w:r w:rsidRPr="00813F11">
        <w:t xml:space="preserve">TEAEs attributed to treatment included headache, </w:t>
      </w:r>
      <w:r w:rsidR="00813F11">
        <w:t xml:space="preserve">flushing and nasal congestion. </w:t>
      </w:r>
      <w:r w:rsidRPr="00813F11">
        <w:t>All of these AEs appeared to be dose related. At doses of avanafil 800 mg all subjects reported TEAEs.</w:t>
      </w:r>
    </w:p>
    <w:p w:rsidR="00846EE5" w:rsidRPr="00813F11" w:rsidRDefault="00846EE5" w:rsidP="00813F11">
      <w:r w:rsidRPr="00813F11">
        <w:t xml:space="preserve">There was one death reported in the development program for avanafil: </w:t>
      </w:r>
      <w:r w:rsidR="00813F11">
        <w:t xml:space="preserve">self-inflicted gunshot injury. </w:t>
      </w:r>
      <w:r w:rsidRPr="00813F11">
        <w:t>This wa</w:t>
      </w:r>
      <w:r w:rsidR="00813F11">
        <w:t xml:space="preserve">s not attributed to treatment. </w:t>
      </w:r>
      <w:r w:rsidRPr="00813F11">
        <w:t>SAEs were uncommon and did not have any apparent pattern</w:t>
      </w:r>
    </w:p>
    <w:p w:rsidR="00846EE5" w:rsidRPr="00813F11" w:rsidRDefault="00846EE5" w:rsidP="00813F11">
      <w:r w:rsidRPr="00813F11">
        <w:t>DAE was uncommon and did not have any apparent pattern.</w:t>
      </w:r>
    </w:p>
    <w:p w:rsidR="00846EE5" w:rsidRPr="00813F11" w:rsidRDefault="00846EE5" w:rsidP="00813F11">
      <w:r w:rsidRPr="00813F11">
        <w:t>Elevations in ALT were uncommon in the avanafil treatment groups and none were considered to be clinical</w:t>
      </w:r>
      <w:r w:rsidR="00813F11">
        <w:t xml:space="preserve">ly significant by </w:t>
      </w:r>
      <w:r w:rsidR="00704CF9">
        <w:t>the sponsor</w:t>
      </w:r>
      <w:r w:rsidR="00813F11">
        <w:t xml:space="preserve">. </w:t>
      </w:r>
      <w:r w:rsidRPr="00813F11">
        <w:t xml:space="preserve">However, </w:t>
      </w:r>
      <w:r w:rsidR="00704CF9">
        <w:t>the sponsor</w:t>
      </w:r>
      <w:r w:rsidRPr="00813F11">
        <w:t xml:space="preserve"> has not stated whether any subjects fulfilled the criteria of Hy’s law </w:t>
      </w:r>
      <w:r w:rsidR="00813F11">
        <w:t xml:space="preserve">for drug induced liver injury. </w:t>
      </w:r>
      <w:r w:rsidRPr="00813F11">
        <w:t>There were no clinically significant abnormalities in renal function or haematology reported during the dev</w:t>
      </w:r>
      <w:r w:rsidR="00813F11">
        <w:t xml:space="preserve">elopment program for avanafil. </w:t>
      </w:r>
      <w:r w:rsidRPr="00813F11">
        <w:t>Shifts from normal to abnormal occurred at similar rates for avanafil and placebo.</w:t>
      </w:r>
    </w:p>
    <w:p w:rsidR="00846EE5" w:rsidRPr="00CA4EAD" w:rsidRDefault="00846EE5" w:rsidP="00813F11">
      <w:r w:rsidRPr="00813F11">
        <w:t xml:space="preserve">In the </w:t>
      </w:r>
      <w:r w:rsidR="00205523">
        <w:t xml:space="preserve">Thorough QT </w:t>
      </w:r>
      <w:r w:rsidRPr="00813F11">
        <w:t>study, although there were no concerns with regard the 100 mg dose level, for the 800 mg dose level, at 3 hours post dose the placebo corrected mean (90% CI) change in QTcI (Individual correctio</w:t>
      </w:r>
      <w:r w:rsidR="00813F11">
        <w:t xml:space="preserve">n) was 7.9 (5.5 to 10.2) </w:t>
      </w:r>
      <w:r w:rsidR="00205523">
        <w:t>ms</w:t>
      </w:r>
      <w:r w:rsidR="00813F11">
        <w:t xml:space="preserve">. </w:t>
      </w:r>
      <w:r w:rsidRPr="00813F11">
        <w:t>The upper 90% CI was &gt;</w:t>
      </w:r>
      <w:r w:rsidR="00813F11">
        <w:t xml:space="preserve"> </w:t>
      </w:r>
      <w:r w:rsidRPr="00813F11">
        <w:t>10, which is th</w:t>
      </w:r>
      <w:r w:rsidR="00813F11">
        <w:t xml:space="preserve">e level of regulatory concern. </w:t>
      </w:r>
      <w:r w:rsidRPr="00813F11">
        <w:t xml:space="preserve">It is the opinion of </w:t>
      </w:r>
      <w:r w:rsidR="00704CF9">
        <w:t>the sponsor</w:t>
      </w:r>
      <w:r w:rsidRPr="00813F11">
        <w:t xml:space="preserve"> that this result is spurious because the 800 mg dose resulted in an increase in heart rate compared </w:t>
      </w:r>
      <w:r w:rsidR="00813F11">
        <w:t xml:space="preserve">to the other three treatments. </w:t>
      </w:r>
      <w:r w:rsidRPr="00813F11">
        <w:t xml:space="preserve">However, the results for QTcB and QTcF were not provided in the </w:t>
      </w:r>
      <w:r w:rsidRPr="00CA4EAD">
        <w:t>report.</w:t>
      </w:r>
    </w:p>
    <w:p w:rsidR="00846EE5" w:rsidRPr="00813F11" w:rsidRDefault="00846EE5" w:rsidP="00813F11">
      <w:r w:rsidRPr="00813F11">
        <w:t>Abnormalities in vital signs were uncommon with avanafil and did not appear to be clinically significant.</w:t>
      </w:r>
    </w:p>
    <w:p w:rsidR="00846EE5" w:rsidRPr="00813F11" w:rsidRDefault="00846EE5" w:rsidP="00813F11">
      <w:r w:rsidRPr="00813F11">
        <w:t>In combination with GTN there was an increased risk of headache, dizziness and nausea with avanfil, which was simila</w:t>
      </w:r>
      <w:r w:rsidR="00813F11">
        <w:t>r to the risk with sildenafil.</w:t>
      </w:r>
    </w:p>
    <w:p w:rsidR="00846EE5" w:rsidRPr="00813F11" w:rsidRDefault="00846EE5" w:rsidP="00813F11">
      <w:r w:rsidRPr="00813F11">
        <w:t>There were an adequate number of subjects exposed to avanafil for long-term use: &gt;</w:t>
      </w:r>
      <w:r w:rsidR="00813F11">
        <w:t xml:space="preserve"> </w:t>
      </w:r>
      <w:r w:rsidRPr="00813F11">
        <w:t>100 subjects have been exposed for &gt;</w:t>
      </w:r>
      <w:r w:rsidR="00813F11">
        <w:t xml:space="preserve"> </w:t>
      </w:r>
      <w:r w:rsidRPr="00813F11">
        <w:t>12 months and &gt;</w:t>
      </w:r>
      <w:r w:rsidR="00813F11">
        <w:t xml:space="preserve"> </w:t>
      </w:r>
      <w:r w:rsidRPr="00813F11">
        <w:t>300 subjects have been exposed for &gt;</w:t>
      </w:r>
      <w:r w:rsidR="00813F11">
        <w:t xml:space="preserve"> </w:t>
      </w:r>
      <w:r w:rsidRPr="00813F11">
        <w:t>6 months.</w:t>
      </w:r>
      <w:r w:rsidR="00813F11">
        <w:t xml:space="preserve"> </w:t>
      </w:r>
      <w:r w:rsidRPr="00813F11">
        <w:t>In Study TA-314 there were 153 su</w:t>
      </w:r>
      <w:r w:rsidR="00813F11">
        <w:t xml:space="preserve">bjects exposed to avanafil for ≥ 12 months and 493 for ≥ </w:t>
      </w:r>
      <w:r w:rsidRPr="00813F11">
        <w:t>6 months.</w:t>
      </w:r>
    </w:p>
    <w:p w:rsidR="00846EE5" w:rsidRPr="00813F11" w:rsidRDefault="00846EE5" w:rsidP="00813F11">
      <w:r w:rsidRPr="00813F11">
        <w:t>The</w:t>
      </w:r>
      <w:r w:rsidR="00813F11">
        <w:t xml:space="preserve">re were adequate subjects aged ≥ </w:t>
      </w:r>
      <w:r w:rsidRPr="00813F11">
        <w:t>65 years in the development program: 42</w:t>
      </w:r>
      <w:r w:rsidR="00813F11">
        <w:t>6 in the pivotal studies.</w:t>
      </w:r>
      <w:r w:rsidRPr="00813F11">
        <w:t xml:space="preserve"> There were also adequate subjects with comorbidities such as hypertension or coronary artery disease.</w:t>
      </w:r>
    </w:p>
    <w:p w:rsidR="00846EE5" w:rsidRPr="00813F11" w:rsidRDefault="00846EE5" w:rsidP="00813F11">
      <w:r w:rsidRPr="00813F11">
        <w:t>There were no data submitted regarding potential interactions with treatments for premature ejaculation, such as dapoxetine, or with illicit drugs.</w:t>
      </w:r>
    </w:p>
    <w:p w:rsidR="00C22678" w:rsidRDefault="00C22678" w:rsidP="00C22678">
      <w:pPr>
        <w:pStyle w:val="Heading2"/>
      </w:pPr>
      <w:bookmarkStart w:id="388" w:name="_Toc466365798"/>
      <w:r>
        <w:lastRenderedPageBreak/>
        <w:t>First round benefit-risk assessment</w:t>
      </w:r>
      <w:bookmarkEnd w:id="388"/>
    </w:p>
    <w:p w:rsidR="00F11361" w:rsidRPr="00F11361" w:rsidRDefault="00F11361" w:rsidP="00F11361">
      <w:pPr>
        <w:pStyle w:val="Heading3"/>
      </w:pPr>
      <w:bookmarkStart w:id="389" w:name="_Toc236802592"/>
      <w:bookmarkStart w:id="390" w:name="_Toc241374331"/>
      <w:bookmarkStart w:id="391" w:name="_Ref272160836"/>
      <w:bookmarkStart w:id="392" w:name="_Toc272414693"/>
      <w:bookmarkStart w:id="393" w:name="_Toc290846331"/>
      <w:bookmarkStart w:id="394" w:name="_Toc422725543"/>
      <w:bookmarkStart w:id="395" w:name="_Toc466365799"/>
      <w:r w:rsidRPr="00F11361">
        <w:t>First round assessment of benefits</w:t>
      </w:r>
      <w:bookmarkEnd w:id="389"/>
      <w:bookmarkEnd w:id="390"/>
      <w:bookmarkEnd w:id="391"/>
      <w:bookmarkEnd w:id="392"/>
      <w:bookmarkEnd w:id="393"/>
      <w:bookmarkEnd w:id="394"/>
      <w:bookmarkEnd w:id="395"/>
    </w:p>
    <w:p w:rsidR="00F11361" w:rsidRPr="00F11361" w:rsidRDefault="00F11361" w:rsidP="00F11361">
      <w:r w:rsidRPr="00F11361">
        <w:t>The benefits of avanafil in the proposed usa</w:t>
      </w:r>
      <w:r>
        <w:t>ge are:</w:t>
      </w:r>
    </w:p>
    <w:p w:rsidR="00F11361" w:rsidRPr="00F11361" w:rsidRDefault="00F11361" w:rsidP="00F11361">
      <w:pPr>
        <w:pStyle w:val="ListBullet"/>
      </w:pPr>
      <w:r w:rsidRPr="00F11361">
        <w:t>Avanafil at doses of 50 mg, 100 mg and 200 mg was superior to placebo in su</w:t>
      </w:r>
      <w:r>
        <w:t>bjects with mild to severe ED.</w:t>
      </w:r>
    </w:p>
    <w:p w:rsidR="00F11361" w:rsidRPr="00F11361" w:rsidRDefault="00F11361" w:rsidP="00F11361">
      <w:pPr>
        <w:pStyle w:val="ListBullet"/>
      </w:pPr>
      <w:r w:rsidRPr="00F11361">
        <w:t>Avanafil at doses of 100 mg and 200 mg was superior to placebo in subjects with diabetes mel</w:t>
      </w:r>
      <w:r>
        <w:t>litus and mild to moderate ED.</w:t>
      </w:r>
    </w:p>
    <w:p w:rsidR="00F11361" w:rsidRPr="00F11361" w:rsidRDefault="00F11361" w:rsidP="00F11361">
      <w:pPr>
        <w:pStyle w:val="ListBullet"/>
      </w:pPr>
      <w:r w:rsidRPr="00F11361">
        <w:t xml:space="preserve">Avanafil at doses of 100 mg and 200 mg was superior to placebo in subjects with ED following bilateral nerve-sparing </w:t>
      </w:r>
      <w:r>
        <w:t>radical prostatectomy.</w:t>
      </w:r>
    </w:p>
    <w:p w:rsidR="00F11361" w:rsidRPr="00F11361" w:rsidRDefault="00F11361" w:rsidP="00F11361">
      <w:pPr>
        <w:pStyle w:val="ListBullet"/>
      </w:pPr>
      <w:r w:rsidRPr="00F11361">
        <w:t xml:space="preserve">Avanafil at all doses had rapid onset of action in subjects with </w:t>
      </w:r>
      <w:r>
        <w:t>no restriction of food intake.</w:t>
      </w:r>
    </w:p>
    <w:p w:rsidR="00F11361" w:rsidRPr="00311090" w:rsidRDefault="00F11361" w:rsidP="00F11361">
      <w:pPr>
        <w:pStyle w:val="ListBullet"/>
      </w:pPr>
      <w:r w:rsidRPr="00F11361">
        <w:t>The effects of avanafil appear to be mai</w:t>
      </w:r>
      <w:r>
        <w:t>ntained over a 52 week period.</w:t>
      </w:r>
    </w:p>
    <w:p w:rsidR="00F11361" w:rsidRPr="00311090" w:rsidRDefault="00F11361" w:rsidP="00311090">
      <w:r w:rsidRPr="00311090">
        <w:t>The benefits of avanafil</w:t>
      </w:r>
      <w:r w:rsidR="00311090">
        <w:t xml:space="preserve"> were clinically significant.</w:t>
      </w:r>
    </w:p>
    <w:p w:rsidR="00F11361" w:rsidRPr="00311090" w:rsidRDefault="00F11361" w:rsidP="00311090">
      <w:r w:rsidRPr="00311090">
        <w:t>Food does not appear to have a clinically significant effect o</w:t>
      </w:r>
      <w:r w:rsidR="00311090">
        <w:t xml:space="preserve">n rapidity of onset of effect. </w:t>
      </w:r>
      <w:r w:rsidRPr="00311090">
        <w:t>Although, compared to the fasted state, food delayed absorption and decreased C</w:t>
      </w:r>
      <w:r w:rsidRPr="00311090">
        <w:rPr>
          <w:vertAlign w:val="subscript"/>
        </w:rPr>
        <w:t>max</w:t>
      </w:r>
      <w:r w:rsidRPr="00311090">
        <w:t xml:space="preserve"> for avanafil o</w:t>
      </w:r>
      <w:r w:rsidR="00311090">
        <w:t xml:space="preserve">verall exposure was unchanged. </w:t>
      </w:r>
      <w:r w:rsidRPr="00311090">
        <w:t>In the pivotal studies, avanafil had rapid onset of eff</w:t>
      </w:r>
      <w:r w:rsidR="00311090">
        <w:t xml:space="preserve">ect regardless of food intake. </w:t>
      </w:r>
      <w:r w:rsidRPr="00311090">
        <w:t xml:space="preserve">Hence, in the opinion of the </w:t>
      </w:r>
      <w:r w:rsidR="00205523">
        <w:t>e</w:t>
      </w:r>
      <w:r w:rsidRPr="00311090">
        <w:t>valuator, there is no need for dosing instructions with</w:t>
      </w:r>
      <w:r w:rsidR="00311090" w:rsidRPr="00311090">
        <w:t xml:space="preserve"> regard to food.</w:t>
      </w:r>
    </w:p>
    <w:p w:rsidR="00F11361" w:rsidRPr="00311090" w:rsidRDefault="00F11361" w:rsidP="00F11361">
      <w:r w:rsidRPr="00311090">
        <w:t>The formulations studied in the pivotal studies were either the 50 m</w:t>
      </w:r>
      <w:r w:rsidR="00311090">
        <w:t xml:space="preserve">g tablet or the 100 mg tablet. </w:t>
      </w:r>
      <w:r w:rsidRPr="00311090">
        <w:t>None of the subjects in the pivotal stud</w:t>
      </w:r>
      <w:r w:rsidR="00311090">
        <w:t>ies received the 200 mg tablet.</w:t>
      </w:r>
      <w:r w:rsidRPr="00311090">
        <w:t xml:space="preserve"> There were differences in the rate of absorption between the 50 mg and 200 mg tablet sizes that may affec</w:t>
      </w:r>
      <w:r w:rsidR="00311090">
        <w:t>t the speed of onset of effect.</w:t>
      </w:r>
    </w:p>
    <w:p w:rsidR="00F11361" w:rsidRPr="00311090" w:rsidRDefault="00F11361" w:rsidP="00311090">
      <w:pPr>
        <w:pStyle w:val="Heading3"/>
      </w:pPr>
      <w:bookmarkStart w:id="396" w:name="_Toc236802596"/>
      <w:bookmarkStart w:id="397" w:name="_Toc241374334"/>
      <w:bookmarkStart w:id="398" w:name="_Ref272160964"/>
      <w:bookmarkStart w:id="399" w:name="_Toc272414694"/>
      <w:bookmarkStart w:id="400" w:name="_Toc290846332"/>
      <w:bookmarkStart w:id="401" w:name="_Toc422725544"/>
      <w:bookmarkStart w:id="402" w:name="_Toc466365800"/>
      <w:r w:rsidRPr="00311090">
        <w:t>First round assessment of risks</w:t>
      </w:r>
      <w:bookmarkEnd w:id="396"/>
      <w:bookmarkEnd w:id="397"/>
      <w:bookmarkEnd w:id="398"/>
      <w:bookmarkEnd w:id="399"/>
      <w:bookmarkEnd w:id="400"/>
      <w:bookmarkEnd w:id="401"/>
      <w:bookmarkEnd w:id="402"/>
    </w:p>
    <w:p w:rsidR="00F11361" w:rsidRPr="00311090" w:rsidRDefault="00F11361" w:rsidP="00311090">
      <w:r w:rsidRPr="00311090">
        <w:t>The risks of avanafil in the proposed usage are:</w:t>
      </w:r>
    </w:p>
    <w:p w:rsidR="00F11361" w:rsidRPr="00311090" w:rsidRDefault="00F11361" w:rsidP="00311090">
      <w:pPr>
        <w:pStyle w:val="ListBullet"/>
      </w:pPr>
      <w:r w:rsidRPr="00311090">
        <w:t>Avanafil has a dose related risk for headaches,</w:t>
      </w:r>
      <w:r w:rsidR="00311090">
        <w:t xml:space="preserve"> flushing and nasal congestion.</w:t>
      </w:r>
      <w:r w:rsidRPr="00311090">
        <w:t xml:space="preserve"> Headache was more common in the avanafil groups a</w:t>
      </w:r>
      <w:r w:rsidR="00311090">
        <w:t>nd appeared to be dose related.</w:t>
      </w:r>
      <w:r w:rsidRPr="00311090">
        <w:t xml:space="preserve"> Up to 13% of subjects in the avanafil 2</w:t>
      </w:r>
      <w:r w:rsidR="00311090">
        <w:t>00 mg groups reported headache.</w:t>
      </w:r>
    </w:p>
    <w:p w:rsidR="00F11361" w:rsidRPr="00311090" w:rsidRDefault="00F11361" w:rsidP="00311090">
      <w:pPr>
        <w:pStyle w:val="ListBullet"/>
      </w:pPr>
      <w:r w:rsidRPr="00311090">
        <w:t>Overall, the rates of TEAEs were higher in the avanafil treatme</w:t>
      </w:r>
      <w:r w:rsidR="00311090">
        <w:t xml:space="preserve">nt groups compared to placebo. </w:t>
      </w:r>
      <w:r w:rsidRPr="00311090">
        <w:t>The risk of TEAE was not influenced by age, race, diabetes status or coronary artery disease.</w:t>
      </w:r>
    </w:p>
    <w:p w:rsidR="00F11361" w:rsidRPr="00311090" w:rsidRDefault="00F11361" w:rsidP="00311090">
      <w:pPr>
        <w:pStyle w:val="ListBullet"/>
      </w:pPr>
      <w:r w:rsidRPr="00311090">
        <w:t>Treatment related TEAEs were more common, and</w:t>
      </w:r>
      <w:r w:rsidR="00311090">
        <w:t xml:space="preserve"> the rate increased with dose. </w:t>
      </w:r>
      <w:r w:rsidRPr="00311090">
        <w:t xml:space="preserve">Up to 23% of subjects in the avanafil 200 mg group had </w:t>
      </w:r>
      <w:r w:rsidR="00311090">
        <w:t xml:space="preserve">TEAEs attributed to treatment. </w:t>
      </w:r>
      <w:r w:rsidRPr="00311090">
        <w:t xml:space="preserve">TEAEs attributed to treatment included headache, </w:t>
      </w:r>
      <w:r w:rsidR="00311090">
        <w:t xml:space="preserve">flushing and nasal congestion. </w:t>
      </w:r>
      <w:r w:rsidRPr="00311090">
        <w:t>All of these AE</w:t>
      </w:r>
      <w:r w:rsidR="00311090">
        <w:t xml:space="preserve">s appeared to be dose related. </w:t>
      </w:r>
      <w:r w:rsidRPr="00311090">
        <w:t>At doses of avanafil 800 mg all subjects reported TEAEs.</w:t>
      </w:r>
    </w:p>
    <w:p w:rsidR="00F11361" w:rsidRPr="00311090" w:rsidRDefault="00F11361" w:rsidP="00311090">
      <w:pPr>
        <w:pStyle w:val="ListBullet"/>
      </w:pPr>
      <w:r w:rsidRPr="00311090">
        <w:t>There were no deaths in the development program tha</w:t>
      </w:r>
      <w:r w:rsidR="00311090">
        <w:t xml:space="preserve">t were attributed to avanafil. </w:t>
      </w:r>
      <w:r w:rsidRPr="00311090">
        <w:t xml:space="preserve">There was one death reported in the development program for avanafil: </w:t>
      </w:r>
      <w:r w:rsidR="00311090">
        <w:t>self-inflicted gunshot injury.</w:t>
      </w:r>
    </w:p>
    <w:p w:rsidR="00F11361" w:rsidRPr="00311090" w:rsidRDefault="00F11361" w:rsidP="00311090">
      <w:pPr>
        <w:pStyle w:val="ListBullet"/>
      </w:pPr>
      <w:r w:rsidRPr="00311090">
        <w:t>In combination with GTN there were increased risks of headache, dizziness and nausea with avanfil, which were similar to the risks</w:t>
      </w:r>
      <w:r w:rsidR="00311090">
        <w:t xml:space="preserve"> with sildenafil.</w:t>
      </w:r>
    </w:p>
    <w:p w:rsidR="00F11361" w:rsidRPr="00311090" w:rsidRDefault="00F11361" w:rsidP="00311090">
      <w:pPr>
        <w:pStyle w:val="ListBullet"/>
      </w:pPr>
      <w:r w:rsidRPr="00311090">
        <w:t>SAEs were uncommon and did not have any apparent pattern</w:t>
      </w:r>
    </w:p>
    <w:p w:rsidR="00F11361" w:rsidRPr="00311090" w:rsidRDefault="00F11361" w:rsidP="00F11361">
      <w:pPr>
        <w:pStyle w:val="ListBullet"/>
      </w:pPr>
      <w:r w:rsidRPr="00311090">
        <w:t>DAE was uncommon and did</w:t>
      </w:r>
      <w:r w:rsidR="00311090">
        <w:t xml:space="preserve"> not have any apparent pattern.</w:t>
      </w:r>
    </w:p>
    <w:p w:rsidR="00F11361" w:rsidRPr="00311090" w:rsidRDefault="00F11361" w:rsidP="00311090">
      <w:r w:rsidRPr="00311090">
        <w:lastRenderedPageBreak/>
        <w:t>There are a number of potential risks that require clarification:</w:t>
      </w:r>
    </w:p>
    <w:p w:rsidR="00F11361" w:rsidRPr="00311090" w:rsidRDefault="00F11361" w:rsidP="00311090">
      <w:pPr>
        <w:pStyle w:val="ListBullet"/>
      </w:pPr>
      <w:r w:rsidRPr="00311090">
        <w:t xml:space="preserve">Elevation in liver enzymes was reported in the avanafil treatment groups and </w:t>
      </w:r>
      <w:r w:rsidR="00704CF9">
        <w:t>the sponsor</w:t>
      </w:r>
      <w:r w:rsidRPr="00311090">
        <w:t xml:space="preserve"> has not stated whether any subjects fulfilled the criteria of Hy’s law.</w:t>
      </w:r>
    </w:p>
    <w:p w:rsidR="00F11361" w:rsidRPr="00311090" w:rsidRDefault="00F11361" w:rsidP="00311090">
      <w:pPr>
        <w:pStyle w:val="ListBullet"/>
      </w:pPr>
      <w:r w:rsidRPr="00311090">
        <w:t xml:space="preserve">In the </w:t>
      </w:r>
      <w:r w:rsidR="00205523">
        <w:t xml:space="preserve">Thorough QT </w:t>
      </w:r>
      <w:r w:rsidRPr="00311090">
        <w:t>study, although there were no concerns with regard the 100 mg dose level, for the 800 mg dose level, at 3 hours post dose the placebo corrected mean (90% CI) change in QTcI (Individual correctio</w:t>
      </w:r>
      <w:r w:rsidR="00311090">
        <w:t xml:space="preserve">n) was 7.9 (5.5 to 10.2) </w:t>
      </w:r>
      <w:r w:rsidR="00205523">
        <w:t>ms</w:t>
      </w:r>
      <w:r w:rsidR="00311090">
        <w:t xml:space="preserve">. </w:t>
      </w:r>
      <w:r w:rsidRPr="00311090">
        <w:t>The upper 90% CI was &gt;</w:t>
      </w:r>
      <w:r w:rsidR="00311090">
        <w:t xml:space="preserve"> </w:t>
      </w:r>
      <w:r w:rsidRPr="00311090">
        <w:t>10, which is th</w:t>
      </w:r>
      <w:r w:rsidR="00311090">
        <w:t xml:space="preserve">e level of regulatory concern. </w:t>
      </w:r>
      <w:r w:rsidRPr="00311090">
        <w:t xml:space="preserve">It is the opinion of </w:t>
      </w:r>
      <w:r w:rsidR="00704CF9">
        <w:t>the sponsor</w:t>
      </w:r>
      <w:r w:rsidRPr="00311090">
        <w:t xml:space="preserve"> that this result is spurious because the 800 mg dose resulted in an increase in heart rate compared </w:t>
      </w:r>
      <w:r w:rsidR="00311090">
        <w:t xml:space="preserve">to the other three treatments. </w:t>
      </w:r>
      <w:r w:rsidRPr="00311090">
        <w:t>However, the results for QTcB and QTcF w</w:t>
      </w:r>
      <w:r w:rsidR="00311090">
        <w:t>ere not provided in the report.</w:t>
      </w:r>
    </w:p>
    <w:p w:rsidR="00F11361" w:rsidRPr="00311090" w:rsidRDefault="00F11361" w:rsidP="00311090">
      <w:pPr>
        <w:pStyle w:val="Heading3"/>
      </w:pPr>
      <w:bookmarkStart w:id="403" w:name="_Toc236802597"/>
      <w:bookmarkStart w:id="404" w:name="_Toc241374335"/>
      <w:bookmarkStart w:id="405" w:name="_Toc272414695"/>
      <w:bookmarkStart w:id="406" w:name="_Toc290846333"/>
      <w:bookmarkStart w:id="407" w:name="_Toc422725545"/>
      <w:bookmarkStart w:id="408" w:name="_Toc466365801"/>
      <w:r w:rsidRPr="00311090">
        <w:t>First round assessment of benefit-risk balance</w:t>
      </w:r>
      <w:bookmarkEnd w:id="403"/>
      <w:bookmarkEnd w:id="404"/>
      <w:bookmarkEnd w:id="405"/>
      <w:bookmarkEnd w:id="406"/>
      <w:bookmarkEnd w:id="407"/>
      <w:bookmarkEnd w:id="408"/>
    </w:p>
    <w:p w:rsidR="00F11361" w:rsidRPr="00311090" w:rsidRDefault="00F11361" w:rsidP="00311090">
      <w:r w:rsidRPr="00311090">
        <w:t>The benefit-risk balance of avanafil, given the pr</w:t>
      </w:r>
      <w:r w:rsidR="00311090">
        <w:t xml:space="preserve">oposed usage, is unfavourable. </w:t>
      </w:r>
      <w:r w:rsidRPr="00311090">
        <w:t>This is because there are safety issu</w:t>
      </w:r>
      <w:r w:rsidR="00311090">
        <w:t xml:space="preserve">es that require clarification. </w:t>
      </w:r>
      <w:r w:rsidRPr="00311090">
        <w:t xml:space="preserve">If </w:t>
      </w:r>
      <w:r w:rsidR="00704CF9">
        <w:t>the sponsor</w:t>
      </w:r>
      <w:r w:rsidRPr="00311090">
        <w:t xml:space="preserve"> can satisfactorily clarify that there were no cases of drug induced liver injury and no QTc prolongation of regulatory concern in the development program then the benefit-risk balance of avanafil would become favourable.</w:t>
      </w:r>
    </w:p>
    <w:p w:rsidR="00C22678" w:rsidRDefault="00C22678" w:rsidP="00C22678">
      <w:pPr>
        <w:pStyle w:val="Heading2"/>
      </w:pPr>
      <w:bookmarkStart w:id="409" w:name="_Toc466365802"/>
      <w:r>
        <w:t>First round recommendation regarding authorisation</w:t>
      </w:r>
      <w:bookmarkEnd w:id="409"/>
    </w:p>
    <w:p w:rsidR="00770BDB" w:rsidRPr="00770BDB" w:rsidRDefault="00770BDB" w:rsidP="00770BDB">
      <w:r w:rsidRPr="00770BDB">
        <w:t xml:space="preserve">The application to register </w:t>
      </w:r>
      <w:r w:rsidR="00F21ECC">
        <w:t>Spedra</w:t>
      </w:r>
      <w:r w:rsidRPr="00770BDB">
        <w:t xml:space="preserve"> (avanafil) should be rejected.</w:t>
      </w:r>
    </w:p>
    <w:p w:rsidR="00770BDB" w:rsidRPr="00770BDB" w:rsidRDefault="00770BDB" w:rsidP="00770BDB">
      <w:r w:rsidRPr="00770BDB">
        <w:t>The reason for rejection is that there are unresolved safety issues regarding whether any cases of drug induced liver injury and/or QTc prolongation of regulatory concern exist in the data from the d</w:t>
      </w:r>
      <w:r>
        <w:t>evelopment program of avanafil.</w:t>
      </w:r>
    </w:p>
    <w:p w:rsidR="00C22678" w:rsidRDefault="00C22678" w:rsidP="00C22678">
      <w:pPr>
        <w:pStyle w:val="Heading2"/>
      </w:pPr>
      <w:bookmarkStart w:id="410" w:name="_Toc466365803"/>
      <w:r>
        <w:t>Clinical questions</w:t>
      </w:r>
      <w:bookmarkEnd w:id="410"/>
    </w:p>
    <w:p w:rsidR="00C22678" w:rsidRDefault="00C618F7" w:rsidP="00C618F7">
      <w:pPr>
        <w:pStyle w:val="Heading3"/>
      </w:pPr>
      <w:bookmarkStart w:id="411" w:name="_Toc466365804"/>
      <w:r>
        <w:t>Pharmacokinetics</w:t>
      </w:r>
      <w:bookmarkEnd w:id="411"/>
    </w:p>
    <w:p w:rsidR="00770BDB" w:rsidRDefault="00770BDB" w:rsidP="00E55BF2">
      <w:pPr>
        <w:pStyle w:val="Numberbullet0"/>
        <w:numPr>
          <w:ilvl w:val="0"/>
          <w:numId w:val="14"/>
        </w:numPr>
      </w:pPr>
      <w:r w:rsidRPr="00770BDB">
        <w:t>In the PK data, the 50 mg tablet formulation was absorbed</w:t>
      </w:r>
      <w:r>
        <w:t xml:space="preserve"> more rapidly than the 200 mg. </w:t>
      </w:r>
      <w:r w:rsidRPr="00770BDB">
        <w:t>Did the subsequent clinical trial data indicate any differences in the rate of onset of effect?</w:t>
      </w:r>
    </w:p>
    <w:p w:rsidR="00770BDB" w:rsidRPr="00770BDB" w:rsidRDefault="00770BDB" w:rsidP="00770BDB">
      <w:pPr>
        <w:pStyle w:val="Numberbullet0"/>
      </w:pPr>
      <w:r w:rsidRPr="00770BDB">
        <w:t>In the PK data, food increased T</w:t>
      </w:r>
      <w:r w:rsidRPr="00770BDB">
        <w:rPr>
          <w:vertAlign w:val="subscript"/>
        </w:rPr>
        <w:t>max</w:t>
      </w:r>
      <w:r>
        <w:t xml:space="preserve"> from 0.75 hours to 2.0 hours.</w:t>
      </w:r>
      <w:r w:rsidRPr="00770BDB">
        <w:t xml:space="preserve"> Did the subsequent clinical trial data indicate any effect of food on the rate of onset of effect?</w:t>
      </w:r>
    </w:p>
    <w:p w:rsidR="00C618F7" w:rsidRDefault="00C618F7" w:rsidP="00C618F7">
      <w:pPr>
        <w:pStyle w:val="Heading3"/>
      </w:pPr>
      <w:bookmarkStart w:id="412" w:name="_Toc466365805"/>
      <w:r>
        <w:t>Pharmacodynamics</w:t>
      </w:r>
      <w:bookmarkEnd w:id="412"/>
    </w:p>
    <w:p w:rsidR="00770BDB" w:rsidRPr="00770BDB" w:rsidRDefault="00770BDB" w:rsidP="00770BDB">
      <w:pPr>
        <w:pStyle w:val="Numberbullet0"/>
      </w:pPr>
      <w:r w:rsidRPr="00770BDB">
        <w:t>From Study TA-140, please provide the tabulations of the placebo corrected change from baseline for QTcF and QTcB, with 90% CI, for the time points 0.5, 1, 1.5, 2, 3, 4, 6, 12, 18 and 23 hours after dosing for avanafil 100 mg, avanafil 800 mg and moxifloxacin 400 mg.</w:t>
      </w:r>
    </w:p>
    <w:p w:rsidR="00C618F7" w:rsidRDefault="00C618F7" w:rsidP="00C618F7">
      <w:pPr>
        <w:pStyle w:val="Heading3"/>
      </w:pPr>
      <w:bookmarkStart w:id="413" w:name="_Toc466365806"/>
      <w:r>
        <w:t>Efficacy</w:t>
      </w:r>
      <w:bookmarkEnd w:id="413"/>
    </w:p>
    <w:p w:rsidR="00770BDB" w:rsidRPr="00770BDB" w:rsidRDefault="00770BDB" w:rsidP="00770BDB">
      <w:pPr>
        <w:pStyle w:val="Numberbullet0"/>
      </w:pPr>
      <w:r w:rsidRPr="00770BDB">
        <w:t xml:space="preserve">The formulations studied in the pivotal studies were either the 50 </w:t>
      </w:r>
      <w:r>
        <w:t>mg tablet or the 100 mg tablet.</w:t>
      </w:r>
      <w:r w:rsidRPr="00770BDB">
        <w:t xml:space="preserve"> None of the subjects in the pivotal studies received the 200 mg tab</w:t>
      </w:r>
      <w:r>
        <w:t xml:space="preserve">let. </w:t>
      </w:r>
      <w:r w:rsidRPr="00770BDB">
        <w:t>There were differences in the rate of absorption between the 50 mg and 200 mg tablet sizes that may affect</w:t>
      </w:r>
      <w:r>
        <w:t xml:space="preserve"> the speed of onset of effect. </w:t>
      </w:r>
      <w:r w:rsidRPr="00770BDB">
        <w:t xml:space="preserve">Does </w:t>
      </w:r>
      <w:r w:rsidR="00704CF9">
        <w:t>the sponsor</w:t>
      </w:r>
      <w:r w:rsidRPr="00770BDB">
        <w:t xml:space="preserve"> have data that demonstrate the 200 mg tablet size has similar time to onset of effect as either the 50 mg or 100 mg tablet sizes?</w:t>
      </w:r>
    </w:p>
    <w:p w:rsidR="00770BDB" w:rsidRPr="00770BDB" w:rsidRDefault="00770BDB" w:rsidP="00770BDB">
      <w:pPr>
        <w:pStyle w:val="Numberbullet0"/>
      </w:pPr>
      <w:r w:rsidRPr="00770BDB">
        <w:t>For Study TA-314, please provide summary tabulations of ef</w:t>
      </w:r>
      <w:r>
        <w:t>ficacy measures by study visit.</w:t>
      </w:r>
    </w:p>
    <w:p w:rsidR="00C618F7" w:rsidRDefault="00C618F7" w:rsidP="00C618F7">
      <w:pPr>
        <w:pStyle w:val="Heading3"/>
      </w:pPr>
      <w:bookmarkStart w:id="414" w:name="_Toc466365807"/>
      <w:r>
        <w:lastRenderedPageBreak/>
        <w:t>Safety</w:t>
      </w:r>
      <w:bookmarkEnd w:id="414"/>
    </w:p>
    <w:p w:rsidR="00770BDB" w:rsidRPr="00770BDB" w:rsidRDefault="00205523" w:rsidP="00770BDB">
      <w:pPr>
        <w:pStyle w:val="Numberbullet0"/>
      </w:pPr>
      <w:r>
        <w:t>As per above</w:t>
      </w:r>
      <w:r w:rsidR="00770BDB" w:rsidRPr="00770BDB">
        <w:t>, please provide summary tabulations for QTcF and QTcB from Study TA-140.</w:t>
      </w:r>
    </w:p>
    <w:p w:rsidR="00770BDB" w:rsidRPr="00770BDB" w:rsidRDefault="00770BDB" w:rsidP="00770BDB">
      <w:pPr>
        <w:pStyle w:val="Numberbullet0"/>
      </w:pPr>
      <w:r w:rsidRPr="00770BDB">
        <w:t>In Study TA-314 one subject developed a clinically significant ECG abnormality on active treatment. Please provide a description of the ECG abnormalities.</w:t>
      </w:r>
    </w:p>
    <w:p w:rsidR="00770BDB" w:rsidRPr="00770BDB" w:rsidRDefault="00770BDB" w:rsidP="00770BDB">
      <w:pPr>
        <w:pStyle w:val="Numberbullet0"/>
      </w:pPr>
      <w:r w:rsidRPr="00770BDB">
        <w:t xml:space="preserve">Does </w:t>
      </w:r>
      <w:r w:rsidR="00704CF9">
        <w:t>the sponsor</w:t>
      </w:r>
      <w:r w:rsidRPr="00770BDB">
        <w:t xml:space="preserve"> have data regarding potential interactions between avanafil and treatments for premature ejaculation, such as dapoxetine, or with illicit drugs?</w:t>
      </w:r>
    </w:p>
    <w:p w:rsidR="00770BDB" w:rsidRPr="00770BDB" w:rsidRDefault="00770BDB" w:rsidP="00770BDB">
      <w:pPr>
        <w:pStyle w:val="Numberbullet0"/>
      </w:pPr>
      <w:r w:rsidRPr="00770BDB">
        <w:t>Please provide a tabulation, and case descriptions, for all subjects with ALT or AST &gt;</w:t>
      </w:r>
      <w:r>
        <w:t xml:space="preserve"> </w:t>
      </w:r>
      <w:r w:rsidRPr="00770BDB">
        <w:t>3xULN and bilirubin &gt;</w:t>
      </w:r>
      <w:r>
        <w:t xml:space="preserve"> </w:t>
      </w:r>
      <w:r w:rsidRPr="00770BDB">
        <w:t>2xULN.</w:t>
      </w:r>
    </w:p>
    <w:p w:rsidR="00C618F7" w:rsidRDefault="00C618F7" w:rsidP="00C618F7">
      <w:pPr>
        <w:pStyle w:val="Heading2"/>
      </w:pPr>
      <w:bookmarkStart w:id="415" w:name="_Toc466365808"/>
      <w:r>
        <w:t>Second round evaluation of clinical data submitted in response to questions</w:t>
      </w:r>
      <w:bookmarkEnd w:id="415"/>
    </w:p>
    <w:p w:rsidR="00770BDB" w:rsidRPr="00770BDB" w:rsidRDefault="00770BDB" w:rsidP="00770BDB">
      <w:pPr>
        <w:pStyle w:val="Heading3"/>
      </w:pPr>
      <w:bookmarkStart w:id="416" w:name="_Toc422725560"/>
      <w:bookmarkStart w:id="417" w:name="_Toc466365809"/>
      <w:r w:rsidRPr="00770BDB">
        <w:t>Comments in relation to the PI</w:t>
      </w:r>
      <w:bookmarkEnd w:id="416"/>
      <w:bookmarkEnd w:id="417"/>
    </w:p>
    <w:p w:rsidR="00770BDB" w:rsidRPr="00770BDB" w:rsidRDefault="00770BDB" w:rsidP="00770BDB">
      <w:r w:rsidRPr="00770BDB">
        <w:t>In precautions the following statement appears:</w:t>
      </w:r>
    </w:p>
    <w:p w:rsidR="00770BDB" w:rsidRPr="00770BDB" w:rsidRDefault="00922589" w:rsidP="00770BDB">
      <w:pPr>
        <w:rPr>
          <w:i/>
        </w:rPr>
      </w:pPr>
      <w:r>
        <w:rPr>
          <w:i/>
        </w:rPr>
        <w:t>‘</w:t>
      </w:r>
      <w:r w:rsidR="00770BDB" w:rsidRPr="00770BDB">
        <w:rPr>
          <w:i/>
        </w:rPr>
        <w:t>Arrhythmia</w:t>
      </w:r>
    </w:p>
    <w:p w:rsidR="00770BDB" w:rsidRPr="00770BDB" w:rsidRDefault="00770BDB" w:rsidP="00770BDB">
      <w:pPr>
        <w:rPr>
          <w:i/>
        </w:rPr>
      </w:pPr>
      <w:r w:rsidRPr="00770BDB">
        <w:rPr>
          <w:i/>
        </w:rPr>
        <w:t xml:space="preserve">A QT prolonging effect has been observed with drugs belonging to the same pharmacological class but not with </w:t>
      </w:r>
      <w:r w:rsidR="00F21ECC">
        <w:rPr>
          <w:i/>
        </w:rPr>
        <w:t>Spedra</w:t>
      </w:r>
      <w:r w:rsidRPr="00770BDB">
        <w:rPr>
          <w:i/>
        </w:rPr>
        <w:t xml:space="preserve">. Nevertheless, caution is required when prescribing </w:t>
      </w:r>
      <w:r w:rsidR="00F21ECC">
        <w:rPr>
          <w:i/>
        </w:rPr>
        <w:t>Spedra</w:t>
      </w:r>
      <w:r w:rsidRPr="00770BDB">
        <w:rPr>
          <w:i/>
        </w:rPr>
        <w:t xml:space="preserve"> to patients with a history of arrhythmia or heart disease or long QT syndrome or taking QT-prolonging anti-arrhythmic drugs such as quinidine, procainamide, amiodarone o</w:t>
      </w:r>
      <w:r>
        <w:rPr>
          <w:i/>
        </w:rPr>
        <w:t>r sotalol</w:t>
      </w:r>
      <w:r w:rsidR="00922589">
        <w:rPr>
          <w:i/>
        </w:rPr>
        <w:t>’</w:t>
      </w:r>
      <w:r>
        <w:rPr>
          <w:i/>
        </w:rPr>
        <w:t xml:space="preserve">. </w:t>
      </w:r>
      <w:r w:rsidRPr="00770BDB">
        <w:rPr>
          <w:i/>
        </w:rPr>
        <w:t>In the opinion of the Evaluator, the question as to whether avanafil can prolong the QT interval is unresolved and the statement is unsupported.</w:t>
      </w:r>
    </w:p>
    <w:p w:rsidR="00770BDB" w:rsidRPr="00770BDB" w:rsidRDefault="00205523" w:rsidP="004078A4">
      <w:pPr>
        <w:pStyle w:val="Heading4"/>
      </w:pPr>
      <w:r>
        <w:t>Sponsor</w:t>
      </w:r>
      <w:r w:rsidR="00770BDB" w:rsidRPr="00770BDB">
        <w:t xml:space="preserve"> response</w:t>
      </w:r>
    </w:p>
    <w:p w:rsidR="00770BDB" w:rsidRDefault="00770BDB" w:rsidP="00770BDB">
      <w:r w:rsidRPr="00770BDB">
        <w:t xml:space="preserve">The sponsor has explained that this warning was inserted early in the process of registration for avanafil as the statement was present in the contraindications and warning section of the PI of other products in this class. It states that there is no evidence from the </w:t>
      </w:r>
      <w:r w:rsidR="00205523">
        <w:t xml:space="preserve">Thorough QT </w:t>
      </w:r>
      <w:r w:rsidRPr="00770BDB">
        <w:t>study to support this statement. The EMA has endorsed a text where the aforementioned warning was deleted. The sponsor proposes to delete the precaution pertaining to arrhythmias in the precautions section of the PI.</w:t>
      </w:r>
    </w:p>
    <w:p w:rsidR="00770BDB" w:rsidRPr="001327D2" w:rsidRDefault="00770BDB" w:rsidP="001327D2">
      <w:pPr>
        <w:pStyle w:val="Heading4"/>
      </w:pPr>
      <w:r w:rsidRPr="00770BDB">
        <w:t xml:space="preserve">Clinical evaluator response (See also </w:t>
      </w:r>
      <w:r w:rsidR="001327D2" w:rsidRPr="001327D2">
        <w:t>Question 3 Pharmacodynamics</w:t>
      </w:r>
      <w:r w:rsidRPr="001327D2">
        <w:t>)</w:t>
      </w:r>
    </w:p>
    <w:p w:rsidR="00770BDB" w:rsidRPr="001327D2" w:rsidRDefault="00770BDB" w:rsidP="00770BDB">
      <w:r w:rsidRPr="00770BDB">
        <w:t xml:space="preserve">The clinical evaluator agrees that the QT study did not </w:t>
      </w:r>
      <w:r w:rsidRPr="001327D2">
        <w:t>demonstrate any evidence of QT prolongation of the 10</w:t>
      </w:r>
      <w:r w:rsidR="001327D2">
        <w:t>0 mg</w:t>
      </w:r>
      <w:r w:rsidRPr="001327D2">
        <w:t xml:space="preserve"> dose in healthy volunteers. The results of the QT study for the 80</w:t>
      </w:r>
      <w:r w:rsidR="001327D2">
        <w:t>0 mg</w:t>
      </w:r>
      <w:r w:rsidRPr="001327D2">
        <w:t xml:space="preserve"> dose were not entirely negative, and discussed in </w:t>
      </w:r>
      <w:r w:rsidR="001327D2" w:rsidRPr="001327D2">
        <w:t>Question 3- Pharmacodynamics</w:t>
      </w:r>
      <w:r w:rsidRPr="001327D2">
        <w:t>.</w:t>
      </w:r>
    </w:p>
    <w:p w:rsidR="00770BDB" w:rsidRPr="00770BDB" w:rsidRDefault="00770BDB" w:rsidP="00770BDB">
      <w:r w:rsidRPr="001327D2">
        <w:t>There have been no documented cases of VT, VF, syncope or prolongation</w:t>
      </w:r>
      <w:r w:rsidRPr="00770BDB">
        <w:t xml:space="preserve"> of the QT over 500</w:t>
      </w:r>
      <w:r w:rsidR="00205523">
        <w:t>ms</w:t>
      </w:r>
      <w:r w:rsidRPr="00770BDB">
        <w:t xml:space="preserve"> in any clinical</w:t>
      </w:r>
      <w:r>
        <w:t xml:space="preserve"> trials or post market setting.</w:t>
      </w:r>
    </w:p>
    <w:p w:rsidR="00770BDB" w:rsidRPr="00770BDB" w:rsidRDefault="00770BDB" w:rsidP="00770BDB">
      <w:r w:rsidRPr="00770BDB">
        <w:t>The safety of the 200</w:t>
      </w:r>
      <w:r w:rsidR="004078A4">
        <w:t xml:space="preserve"> </w:t>
      </w:r>
      <w:r w:rsidRPr="00770BDB">
        <w:t>mg dose on the QT interval, particularly if used with medications that inhibit CYP3A4 and increase avanafil exposure or in men with other cardiac risk factors, or using drugs that also increase the QT inte</w:t>
      </w:r>
      <w:r>
        <w:t>rval is unknown and of concern.</w:t>
      </w:r>
    </w:p>
    <w:p w:rsidR="00770BDB" w:rsidRPr="00770BDB" w:rsidRDefault="00770BDB" w:rsidP="00770BDB">
      <w:r w:rsidRPr="00770BDB">
        <w:t>Discussion about the potential for prolongation of the QT interval is important to include in the PI, however it is reasonable to remove this from the precautions section as there have been no substantiated risks on the QT or QTc at a therapeutic dose of avanafil, nor any increased risk of VT, VF or Torsades de Pointe. The clinical evaluator’s recommendations in relation to dose ar</w:t>
      </w:r>
      <w:r>
        <w:t>e discussed in other sections.</w:t>
      </w:r>
    </w:p>
    <w:p w:rsidR="00770BDB" w:rsidRPr="00770BDB" w:rsidRDefault="00770BDB" w:rsidP="00770BDB">
      <w:pPr>
        <w:pStyle w:val="Heading3"/>
      </w:pPr>
      <w:bookmarkStart w:id="418" w:name="_Toc422725561"/>
      <w:bookmarkStart w:id="419" w:name="_Toc466365810"/>
      <w:r w:rsidRPr="00770BDB">
        <w:lastRenderedPageBreak/>
        <w:t xml:space="preserve">Question 1 </w:t>
      </w:r>
      <w:r w:rsidR="008D6237">
        <w:t>p</w:t>
      </w:r>
      <w:r w:rsidRPr="00770BDB">
        <w:t>harmacokinetics</w:t>
      </w:r>
      <w:bookmarkEnd w:id="418"/>
      <w:bookmarkEnd w:id="419"/>
    </w:p>
    <w:p w:rsidR="00770BDB" w:rsidRPr="004E7D59" w:rsidRDefault="00770BDB" w:rsidP="00770BDB">
      <w:pPr>
        <w:rPr>
          <w:i/>
        </w:rPr>
      </w:pPr>
      <w:r w:rsidRPr="00770BDB">
        <w:rPr>
          <w:i/>
        </w:rPr>
        <w:t>In the PK data, the 50 mg tablet formulation was absorbed</w:t>
      </w:r>
      <w:r>
        <w:rPr>
          <w:i/>
        </w:rPr>
        <w:t xml:space="preserve"> more rapidly than the 200 mg. </w:t>
      </w:r>
      <w:r w:rsidRPr="00770BDB">
        <w:rPr>
          <w:i/>
        </w:rPr>
        <w:t>Did the subsequent clinical trial data indicate any differences in the rate of onset of effect?</w:t>
      </w:r>
    </w:p>
    <w:p w:rsidR="00770BDB" w:rsidRPr="00770BDB" w:rsidRDefault="004078A4" w:rsidP="004078A4">
      <w:pPr>
        <w:pStyle w:val="Heading4"/>
      </w:pPr>
      <w:r>
        <w:t>Sponsor</w:t>
      </w:r>
      <w:r w:rsidR="00770BDB" w:rsidRPr="00770BDB">
        <w:t xml:space="preserve"> </w:t>
      </w:r>
      <w:r>
        <w:t>r</w:t>
      </w:r>
      <w:r w:rsidR="00770BDB" w:rsidRPr="00770BDB">
        <w:t>esponse</w:t>
      </w:r>
    </w:p>
    <w:p w:rsidR="00770BDB" w:rsidRDefault="00770BDB" w:rsidP="00770BDB">
      <w:r w:rsidRPr="00770BDB">
        <w:t xml:space="preserve">The sponsor </w:t>
      </w:r>
      <w:r w:rsidRPr="004078A4">
        <w:t>considers the rate of absorption of the 5</w:t>
      </w:r>
      <w:r w:rsidR="001327D2">
        <w:t>0 mg</w:t>
      </w:r>
      <w:r w:rsidRPr="004078A4">
        <w:t xml:space="preserve"> and 20</w:t>
      </w:r>
      <w:r w:rsidR="001327D2">
        <w:t>0 mg</w:t>
      </w:r>
      <w:r w:rsidRPr="004078A4">
        <w:t xml:space="preserve"> tablet to be not clinically relevant in view of the efficacy results in the pivotal studies TA-301, TA-302 and TA-314. The results are summarised in Tables </w:t>
      </w:r>
      <w:r w:rsidR="004078A4" w:rsidRPr="004078A4">
        <w:t>47 and 48.</w:t>
      </w:r>
    </w:p>
    <w:p w:rsidR="00770BDB" w:rsidRPr="00770BDB" w:rsidRDefault="00770BDB" w:rsidP="00770BDB">
      <w:pPr>
        <w:pStyle w:val="Tabletitle"/>
      </w:pPr>
      <w:r w:rsidRPr="004078A4">
        <w:t xml:space="preserve">Table </w:t>
      </w:r>
      <w:r w:rsidR="004078A4" w:rsidRPr="004078A4">
        <w:t xml:space="preserve">47: </w:t>
      </w:r>
      <w:r w:rsidRPr="004078A4">
        <w:t>Percentage of sexual attempts in which subjects were able to maintain an erection to have sexual intercourse, derived from studies TA-301, TA-302 and TA-314, by time interval and tablet formulation</w:t>
      </w:r>
    </w:p>
    <w:p w:rsidR="00770BDB" w:rsidRDefault="00770BDB" w:rsidP="00770BDB">
      <w:r>
        <w:rPr>
          <w:noProof/>
          <w:lang w:eastAsia="en-AU"/>
        </w:rPr>
        <w:drawing>
          <wp:inline distT="0" distB="0" distL="0" distR="0" wp14:anchorId="248E4B39" wp14:editId="01E89158">
            <wp:extent cx="5438775" cy="2598877"/>
            <wp:effectExtent l="38100" t="38100" r="28575" b="30480"/>
            <wp:docPr id="3" name="Picture 3" descr="Table 47: Percentage of sexual attempts in which subjects were able to maintain an erection to have sexual intercourse, derived from studies TA-301, TA-302 and TA-314, by time interval and tablet for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lum bright="-20000" contrast="40000"/>
                      <a:extLst>
                        <a:ext uri="{28A0092B-C50C-407E-A947-70E740481C1C}">
                          <a14:useLocalDpi xmlns:a14="http://schemas.microsoft.com/office/drawing/2010/main" val="0"/>
                        </a:ext>
                      </a:extLst>
                    </a:blip>
                    <a:srcRect t="12501"/>
                    <a:stretch/>
                  </pic:blipFill>
                  <pic:spPr bwMode="auto">
                    <a:xfrm>
                      <a:off x="0" y="0"/>
                      <a:ext cx="5449036" cy="260378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70BDB" w:rsidRPr="00770BDB" w:rsidRDefault="00770BDB" w:rsidP="004078A4">
      <w:pPr>
        <w:pStyle w:val="Tabletitle"/>
      </w:pPr>
      <w:r w:rsidRPr="00770BDB">
        <w:t xml:space="preserve">Table </w:t>
      </w:r>
      <w:r w:rsidR="004078A4">
        <w:t>48</w:t>
      </w:r>
      <w:r w:rsidRPr="00770BDB">
        <w:t>: Percentage of sexual attempts in which subjects were able to achieve vaginal penetration, derived from studies TA-301, TA-302 and TA-314, by time interval and tablet formulation</w:t>
      </w:r>
    </w:p>
    <w:p w:rsidR="00770BDB" w:rsidRDefault="00770BDB" w:rsidP="00770BDB">
      <w:r>
        <w:rPr>
          <w:noProof/>
          <w:lang w:eastAsia="en-AU"/>
        </w:rPr>
        <w:drawing>
          <wp:inline distT="0" distB="0" distL="0" distR="0" wp14:anchorId="521C82F5" wp14:editId="2AD8CE5E">
            <wp:extent cx="5191125" cy="2606349"/>
            <wp:effectExtent l="38100" t="38100" r="28575" b="41910"/>
            <wp:docPr id="4" name="Picture 4" descr="Table 48: Percentage of sexual attempts in which subjects were able to achieve vaginal penetration, derived from studies TA-301, TA-302 and TA-314, by time interval and tablet for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lum bright="-20000" contrast="40000"/>
                      <a:extLst>
                        <a:ext uri="{28A0092B-C50C-407E-A947-70E740481C1C}">
                          <a14:useLocalDpi xmlns:a14="http://schemas.microsoft.com/office/drawing/2010/main" val="0"/>
                        </a:ext>
                      </a:extLst>
                    </a:blip>
                    <a:srcRect t="14521"/>
                    <a:stretch/>
                  </pic:blipFill>
                  <pic:spPr bwMode="auto">
                    <a:xfrm>
                      <a:off x="0" y="0"/>
                      <a:ext cx="5200599" cy="2611106"/>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770BDB" w:rsidRPr="00770BDB" w:rsidRDefault="00770BDB" w:rsidP="004078A4">
      <w:pPr>
        <w:pStyle w:val="Heading4"/>
      </w:pPr>
      <w:r w:rsidRPr="00770BDB">
        <w:t>Second roun</w:t>
      </w:r>
      <w:r w:rsidR="004078A4">
        <w:t>d clinical evaluator’s response</w:t>
      </w:r>
    </w:p>
    <w:p w:rsidR="00770BDB" w:rsidRPr="00770BDB" w:rsidRDefault="00770BDB" w:rsidP="00770BDB">
      <w:r w:rsidRPr="00770BDB">
        <w:t>The sponsor’s response does not answer the question asked. None of the clinical studies submitted for evaluation have been d</w:t>
      </w:r>
      <w:r>
        <w:t>esigned to answer the question.</w:t>
      </w:r>
    </w:p>
    <w:p w:rsidR="00770BDB" w:rsidRPr="00770BDB" w:rsidRDefault="00770BDB" w:rsidP="00770BDB">
      <w:r w:rsidRPr="00770BDB">
        <w:lastRenderedPageBreak/>
        <w:t xml:space="preserve">There are three PK studies that have examined the different formulations of avanafil. Study TA-022 compared 4 </w:t>
      </w:r>
      <w:r w:rsidR="004078A4">
        <w:t>x</w:t>
      </w:r>
      <w:r w:rsidRPr="00770BDB">
        <w:t xml:space="preserve"> 5</w:t>
      </w:r>
      <w:r w:rsidR="001327D2">
        <w:t>0 mg</w:t>
      </w:r>
      <w:r w:rsidRPr="00770BDB">
        <w:t xml:space="preserve"> tablets to 2</w:t>
      </w:r>
      <w:r w:rsidR="004078A4">
        <w:t xml:space="preserve"> x</w:t>
      </w:r>
      <w:r w:rsidRPr="00770BDB">
        <w:t xml:space="preserve"> 10</w:t>
      </w:r>
      <w:r w:rsidR="001327D2">
        <w:t>0 mg</w:t>
      </w:r>
      <w:r w:rsidRPr="00770BDB">
        <w:t xml:space="preserve"> tablets and 1</w:t>
      </w:r>
      <w:r w:rsidR="004078A4">
        <w:t xml:space="preserve"> x </w:t>
      </w:r>
      <w:r w:rsidRPr="00770BDB">
        <w:t>20</w:t>
      </w:r>
      <w:r w:rsidR="001327D2">
        <w:t>0 mg</w:t>
      </w:r>
      <w:r w:rsidRPr="00770BDB">
        <w:t xml:space="preserve"> tablet. Bioequivalence of the three doses based on C</w:t>
      </w:r>
      <w:r w:rsidRPr="00770BDB">
        <w:rPr>
          <w:vertAlign w:val="subscript"/>
        </w:rPr>
        <w:t>max</w:t>
      </w:r>
      <w:r w:rsidRPr="00770BDB">
        <w:t xml:space="preserve"> and AUC was demonstrated, however the median T</w:t>
      </w:r>
      <w:r w:rsidRPr="00770BDB">
        <w:rPr>
          <w:vertAlign w:val="subscript"/>
        </w:rPr>
        <w:t>max</w:t>
      </w:r>
      <w:r w:rsidRPr="00770BDB">
        <w:t xml:space="preserve"> using the 5</w:t>
      </w:r>
      <w:r w:rsidR="001327D2">
        <w:t>0 mg</w:t>
      </w:r>
      <w:r w:rsidRPr="00770BDB">
        <w:t xml:space="preserve"> formulations (0.5 hours, range 0.33-0.76), was similar to the 2 </w:t>
      </w:r>
      <w:r w:rsidR="004078A4">
        <w:t xml:space="preserve">x </w:t>
      </w:r>
      <w:r w:rsidRPr="00770BDB">
        <w:t>100</w:t>
      </w:r>
      <w:r w:rsidR="004078A4">
        <w:t xml:space="preserve"> </w:t>
      </w:r>
      <w:r w:rsidRPr="00770BDB">
        <w:t>mg formulation (0.51hours, range 0.5-1.5) and lower than the 200</w:t>
      </w:r>
      <w:r w:rsidR="004078A4">
        <w:t xml:space="preserve"> </w:t>
      </w:r>
      <w:r w:rsidRPr="00770BDB">
        <w:t>mg formulation (0.75</w:t>
      </w:r>
      <w:r w:rsidR="004078A4">
        <w:t xml:space="preserve"> </w:t>
      </w:r>
      <w:r w:rsidRPr="00770BDB">
        <w:t>hours, range 0.25-2.00). Study HP-01, table 1.1.3 of this CER, was a dose escalation study of 12.5</w:t>
      </w:r>
      <w:r w:rsidR="004078A4">
        <w:t xml:space="preserve"> </w:t>
      </w:r>
      <w:r w:rsidRPr="00770BDB">
        <w:t>mg to 800</w:t>
      </w:r>
      <w:r w:rsidR="004078A4">
        <w:t xml:space="preserve"> </w:t>
      </w:r>
      <w:r w:rsidRPr="00770BDB">
        <w:t>mg of avanafil using 12.5</w:t>
      </w:r>
      <w:r w:rsidR="004078A4">
        <w:t xml:space="preserve"> </w:t>
      </w:r>
      <w:r w:rsidRPr="00770BDB">
        <w:t>mg, 50</w:t>
      </w:r>
      <w:r w:rsidR="004078A4">
        <w:t xml:space="preserve"> </w:t>
      </w:r>
      <w:r w:rsidRPr="00770BDB">
        <w:t>mg and 100</w:t>
      </w:r>
      <w:r w:rsidR="004078A4">
        <w:t xml:space="preserve"> </w:t>
      </w:r>
      <w:r w:rsidRPr="00770BDB">
        <w:t>mg tablets. In this study the median T</w:t>
      </w:r>
      <w:r w:rsidRPr="00770BDB">
        <w:rPr>
          <w:vertAlign w:val="subscript"/>
        </w:rPr>
        <w:t>max</w:t>
      </w:r>
      <w:r w:rsidRPr="00770BDB">
        <w:t xml:space="preserve"> for a 200</w:t>
      </w:r>
      <w:r w:rsidR="004078A4">
        <w:t xml:space="preserve"> </w:t>
      </w:r>
      <w:r w:rsidRPr="00770BDB">
        <w:t xml:space="preserve">mg dose using 2 </w:t>
      </w:r>
      <w:r w:rsidR="004078A4">
        <w:t>x</w:t>
      </w:r>
      <w:r w:rsidRPr="00770BDB">
        <w:t>100</w:t>
      </w:r>
      <w:r w:rsidR="004078A4">
        <w:t xml:space="preserve"> </w:t>
      </w:r>
      <w:r w:rsidRPr="00770BDB">
        <w:t>mg tablets was 0.88</w:t>
      </w:r>
      <w:r w:rsidR="00984173">
        <w:t xml:space="preserve"> </w:t>
      </w:r>
      <w:r w:rsidRPr="00770BDB">
        <w:t xml:space="preserve">hours, </w:t>
      </w:r>
      <w:r>
        <w:t>range</w:t>
      </w:r>
      <w:r w:rsidRPr="00770BDB">
        <w:t xml:space="preserve"> 0.5-1.0. In </w:t>
      </w:r>
      <w:r w:rsidR="00984173">
        <w:t>S</w:t>
      </w:r>
      <w:r w:rsidRPr="00770BDB">
        <w:t>tudy TA-02, the mean T</w:t>
      </w:r>
      <w:r w:rsidRPr="00770BDB">
        <w:rPr>
          <w:vertAlign w:val="subscript"/>
        </w:rPr>
        <w:t>max</w:t>
      </w:r>
      <w:r w:rsidRPr="00770BDB">
        <w:t xml:space="preserve"> after a 200</w:t>
      </w:r>
      <w:r w:rsidR="004078A4">
        <w:t xml:space="preserve"> </w:t>
      </w:r>
      <w:r w:rsidRPr="00770BDB">
        <w:t>mg tablet was 0.589 hours. Thus, there is a considerable variability in the T</w:t>
      </w:r>
      <w:r w:rsidRPr="00770BDB">
        <w:rPr>
          <w:vertAlign w:val="subscript"/>
        </w:rPr>
        <w:t>max</w:t>
      </w:r>
      <w:r w:rsidRPr="00770BDB">
        <w:t xml:space="preserve"> at given dose</w:t>
      </w:r>
      <w:r>
        <w:t xml:space="preserve"> with different formulations.</w:t>
      </w:r>
    </w:p>
    <w:p w:rsidR="00770BDB" w:rsidRPr="00770BDB" w:rsidRDefault="00770BDB" w:rsidP="00770BDB">
      <w:r w:rsidRPr="00770BDB">
        <w:t>Study TA-301 used a 50</w:t>
      </w:r>
      <w:r w:rsidR="004078A4">
        <w:t xml:space="preserve"> </w:t>
      </w:r>
      <w:r w:rsidRPr="00770BDB">
        <w:t>mg formulation, study TA-302 a 100</w:t>
      </w:r>
      <w:r w:rsidR="004078A4">
        <w:t xml:space="preserve"> </w:t>
      </w:r>
      <w:r w:rsidRPr="00770BDB">
        <w:t>mg formulat</w:t>
      </w:r>
      <w:r w:rsidR="004078A4">
        <w:t>ion, and S</w:t>
      </w:r>
      <w:r w:rsidRPr="00770BDB">
        <w:t>tudy TA-314 50, 100 and 200</w:t>
      </w:r>
      <w:r w:rsidR="004078A4">
        <w:t xml:space="preserve"> </w:t>
      </w:r>
      <w:r w:rsidRPr="00770BDB">
        <w:t>mg formulations. The studies are not directly comparable as there are a number of other factors that differed between the studies. The efficacy endpoints of TA-301 were at 12 weeks, and the efficacy endpoints from s</w:t>
      </w:r>
      <w:r w:rsidR="00F9588B">
        <w:t xml:space="preserve">tudy TA-314 were at 52 weeks. </w:t>
      </w:r>
      <w:r w:rsidRPr="00770BDB">
        <w:t>TA-302 used subjects with diabetes, whereas these were excluded from study TA-301.</w:t>
      </w:r>
    </w:p>
    <w:p w:rsidR="00770BDB" w:rsidRDefault="00770BDB" w:rsidP="00770BDB">
      <w:r w:rsidRPr="00770BDB">
        <w:t>The clinical significance of the variability in T</w:t>
      </w:r>
      <w:r w:rsidRPr="00F9588B">
        <w:rPr>
          <w:vertAlign w:val="subscript"/>
        </w:rPr>
        <w:t>max</w:t>
      </w:r>
      <w:r w:rsidRPr="00770BDB">
        <w:t xml:space="preserve"> is unknown from the data, but unlikely to be significant. The sponsor may consider adding information about the changes in T</w:t>
      </w:r>
      <w:r w:rsidRPr="00F9588B">
        <w:rPr>
          <w:vertAlign w:val="subscript"/>
        </w:rPr>
        <w:t>max</w:t>
      </w:r>
      <w:r w:rsidRPr="00770BDB">
        <w:t xml:space="preserve"> with increasing doses and the higher formulations in the PK section of the PI. The recommended administration of avanafil 30</w:t>
      </w:r>
      <w:r w:rsidR="004078A4">
        <w:t xml:space="preserve"> </w:t>
      </w:r>
      <w:r w:rsidRPr="00770BDB">
        <w:t>minutes prior to sexual stimulation is based on the protocol from clinical trials, and is acceptable.</w:t>
      </w:r>
    </w:p>
    <w:p w:rsidR="00770BDB" w:rsidRPr="00F9588B" w:rsidRDefault="00770BDB" w:rsidP="00F9588B">
      <w:pPr>
        <w:pStyle w:val="Heading3"/>
      </w:pPr>
      <w:bookmarkStart w:id="420" w:name="_Toc422725562"/>
      <w:bookmarkStart w:id="421" w:name="_Toc466365811"/>
      <w:r w:rsidRPr="00F9588B">
        <w:t xml:space="preserve">Question 2 </w:t>
      </w:r>
      <w:r w:rsidR="008D6237">
        <w:t>p</w:t>
      </w:r>
      <w:r w:rsidRPr="00F9588B">
        <w:t>harmacokinetics</w:t>
      </w:r>
      <w:bookmarkEnd w:id="420"/>
      <w:bookmarkEnd w:id="421"/>
    </w:p>
    <w:p w:rsidR="00770BDB" w:rsidRPr="00F9588B" w:rsidRDefault="00770BDB" w:rsidP="00770BDB">
      <w:pPr>
        <w:rPr>
          <w:i/>
        </w:rPr>
      </w:pPr>
      <w:r w:rsidRPr="00F9588B">
        <w:rPr>
          <w:i/>
        </w:rPr>
        <w:t>In the PK data, food increased T</w:t>
      </w:r>
      <w:r w:rsidRPr="00F9588B">
        <w:rPr>
          <w:i/>
          <w:vertAlign w:val="subscript"/>
        </w:rPr>
        <w:t>max</w:t>
      </w:r>
      <w:r w:rsidRPr="00F9588B">
        <w:rPr>
          <w:i/>
        </w:rPr>
        <w:t xml:space="preserve"> from 0.75 hours to 2.0 hours.  Did the subsequent clinical trial data indicate any effect of food on the rate of onset of effect?</w:t>
      </w:r>
    </w:p>
    <w:p w:rsidR="00770BDB" w:rsidRPr="00F9588B" w:rsidRDefault="004078A4" w:rsidP="004078A4">
      <w:pPr>
        <w:pStyle w:val="Heading4"/>
      </w:pPr>
      <w:r>
        <w:t>Sponsor</w:t>
      </w:r>
      <w:r w:rsidR="00770BDB" w:rsidRPr="00F9588B">
        <w:t xml:space="preserve"> response</w:t>
      </w:r>
    </w:p>
    <w:p w:rsidR="00770BDB" w:rsidRDefault="00770BDB" w:rsidP="00770BDB">
      <w:r w:rsidRPr="00F9588B">
        <w:t>The slower absorption of avanafil under fed conditions (with high fat meal) versus fasting conditions is known and reflected in the ‘pharmacokinetic section’ of the product information. In all phase II clinical trials, there was no restriction on food or the timing of avanafil in relation to food.</w:t>
      </w:r>
    </w:p>
    <w:p w:rsidR="00770BDB" w:rsidRPr="00F9588B" w:rsidRDefault="00770BDB" w:rsidP="004078A4">
      <w:pPr>
        <w:pStyle w:val="Heading4"/>
      </w:pPr>
      <w:r w:rsidRPr="00F9588B">
        <w:t>Second round clinical evaluator response</w:t>
      </w:r>
    </w:p>
    <w:p w:rsidR="00770BDB" w:rsidRPr="00F9588B" w:rsidRDefault="00770BDB" w:rsidP="00F9588B">
      <w:r w:rsidRPr="00F9588B">
        <w:t>The sponsor’s response is satisfactory.</w:t>
      </w:r>
    </w:p>
    <w:p w:rsidR="00770BDB" w:rsidRPr="00F9588B" w:rsidRDefault="00770BDB" w:rsidP="00F9588B">
      <w:pPr>
        <w:pStyle w:val="Heading3"/>
      </w:pPr>
      <w:bookmarkStart w:id="422" w:name="_Toc422725563"/>
      <w:bookmarkStart w:id="423" w:name="_Toc466365812"/>
      <w:r w:rsidRPr="00F9588B">
        <w:t xml:space="preserve">Question 3 </w:t>
      </w:r>
      <w:r w:rsidR="008D6237">
        <w:t>p</w:t>
      </w:r>
      <w:r w:rsidRPr="00F9588B">
        <w:t>harmacodynamics</w:t>
      </w:r>
      <w:bookmarkEnd w:id="422"/>
      <w:bookmarkEnd w:id="423"/>
    </w:p>
    <w:p w:rsidR="00770BDB" w:rsidRPr="00F9588B" w:rsidRDefault="00770BDB" w:rsidP="00770BDB">
      <w:pPr>
        <w:rPr>
          <w:i/>
        </w:rPr>
      </w:pPr>
      <w:r w:rsidRPr="00F9588B">
        <w:rPr>
          <w:i/>
        </w:rPr>
        <w:t>From Study TA-140, please provide the tabulations of the placebo corrected change from baseline for QTcF and QTcB, with 90% CI, for the time points 0.5, 1, 1.5, 2, 3, 4, 6, 12, 18 and 23 hours after dosing for avanafil 100 mg, avanafil 800 mg and moxifloxacin 400 mg.</w:t>
      </w:r>
    </w:p>
    <w:p w:rsidR="00770BDB" w:rsidRPr="00F9588B" w:rsidRDefault="004078A4" w:rsidP="004078A4">
      <w:pPr>
        <w:pStyle w:val="Heading4"/>
      </w:pPr>
      <w:r>
        <w:t xml:space="preserve">Sponsor </w:t>
      </w:r>
      <w:r w:rsidR="00770BDB" w:rsidRPr="00F9588B">
        <w:t>response</w:t>
      </w:r>
    </w:p>
    <w:p w:rsidR="00770BDB" w:rsidRDefault="00770BDB" w:rsidP="00770BDB">
      <w:r w:rsidRPr="00F9588B">
        <w:t xml:space="preserve">The </w:t>
      </w:r>
      <w:r w:rsidRPr="004078A4">
        <w:t xml:space="preserve">sponsor has provided the placebo correct change from baseline for QTcF and QTcB from study TA-140, see Tables </w:t>
      </w:r>
      <w:r w:rsidR="004078A4" w:rsidRPr="004078A4">
        <w:t>49</w:t>
      </w:r>
      <w:r w:rsidRPr="004078A4">
        <w:t xml:space="preserve"> and </w:t>
      </w:r>
      <w:r w:rsidR="004078A4" w:rsidRPr="004078A4">
        <w:t>50</w:t>
      </w:r>
      <w:r w:rsidRPr="004078A4">
        <w:t>.</w:t>
      </w:r>
    </w:p>
    <w:p w:rsidR="00770BDB" w:rsidRPr="00F9588B" w:rsidRDefault="004078A4" w:rsidP="00F9588B">
      <w:pPr>
        <w:pStyle w:val="Tabletitle"/>
      </w:pPr>
      <w:r w:rsidRPr="004078A4">
        <w:lastRenderedPageBreak/>
        <w:t xml:space="preserve">Table 49: </w:t>
      </w:r>
      <w:r w:rsidR="00770BDB" w:rsidRPr="004078A4">
        <w:t>Placebo corrected change from baseline- Estimates from mixed model ANOVA (1) QTcB (</w:t>
      </w:r>
      <w:r w:rsidR="00205523" w:rsidRPr="004078A4">
        <w:t>ms</w:t>
      </w:r>
      <w:r w:rsidR="00770BDB" w:rsidRPr="004078A4">
        <w:t xml:space="preserve">) from </w:t>
      </w:r>
      <w:r>
        <w:t>S</w:t>
      </w:r>
      <w:r w:rsidR="00770BDB" w:rsidRPr="004078A4">
        <w:t>tudy TA-140</w:t>
      </w:r>
    </w:p>
    <w:p w:rsidR="00770BDB" w:rsidRPr="00633094" w:rsidRDefault="00770BDB" w:rsidP="00770BDB">
      <w:r>
        <w:rPr>
          <w:noProof/>
          <w:lang w:eastAsia="en-AU"/>
        </w:rPr>
        <w:drawing>
          <wp:inline distT="0" distB="0" distL="0" distR="0" wp14:anchorId="5A71C310" wp14:editId="595531A0">
            <wp:extent cx="5238750" cy="3089453"/>
            <wp:effectExtent l="38100" t="38100" r="38100" b="34925"/>
            <wp:docPr id="5" name="Picture 5" descr="Table 49: Placebo corrected change from baseline- Estimates from mixed model ANOVA (1) QTcB (ms) from Study TA-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lum bright="-20000" contrast="40000"/>
                      <a:extLst>
                        <a:ext uri="{28A0092B-C50C-407E-A947-70E740481C1C}">
                          <a14:useLocalDpi xmlns:a14="http://schemas.microsoft.com/office/drawing/2010/main" val="0"/>
                        </a:ext>
                      </a:extLst>
                    </a:blip>
                    <a:srcRect t="12082"/>
                    <a:stretch/>
                  </pic:blipFill>
                  <pic:spPr bwMode="auto">
                    <a:xfrm>
                      <a:off x="0" y="0"/>
                      <a:ext cx="5244507" cy="3092848"/>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770BDB" w:rsidRDefault="00770BDB" w:rsidP="00F9588B">
      <w:pPr>
        <w:pStyle w:val="Tabletitle"/>
      </w:pPr>
      <w:r w:rsidRPr="004078A4">
        <w:t xml:space="preserve">Table </w:t>
      </w:r>
      <w:r w:rsidR="004078A4" w:rsidRPr="004078A4">
        <w:t>50</w:t>
      </w:r>
      <w:r w:rsidRPr="004078A4">
        <w:t>:</w:t>
      </w:r>
      <w:r w:rsidR="004C17D2">
        <w:t xml:space="preserve"> </w:t>
      </w:r>
      <w:r w:rsidRPr="004078A4">
        <w:t>Placebo corrected</w:t>
      </w:r>
      <w:r w:rsidRPr="00F9588B">
        <w:t xml:space="preserve"> change from baseline –Estimates fr</w:t>
      </w:r>
      <w:r w:rsidR="004078A4">
        <w:t>om mixed model ANOVA QTcF from S</w:t>
      </w:r>
      <w:r w:rsidRPr="00F9588B">
        <w:t>tudy TA-140</w:t>
      </w:r>
    </w:p>
    <w:p w:rsidR="00770BDB" w:rsidRDefault="00770BDB" w:rsidP="00770BDB">
      <w:r w:rsidRPr="00F9588B">
        <w:rPr>
          <w:noProof/>
          <w:lang w:eastAsia="en-AU"/>
        </w:rPr>
        <w:drawing>
          <wp:inline distT="0" distB="0" distL="0" distR="0" wp14:anchorId="345DA7C9" wp14:editId="07FA89A3">
            <wp:extent cx="5314950" cy="3040552"/>
            <wp:effectExtent l="38100" t="38100" r="38100" b="45720"/>
            <wp:docPr id="6" name="Picture 6" descr="Table 50:Placebo corrected change from baseline –Estimates from mixed model ANOVA QTcF from Study TA-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lum bright="-20000" contrast="40000"/>
                      <a:extLst>
                        <a:ext uri="{28A0092B-C50C-407E-A947-70E740481C1C}">
                          <a14:useLocalDpi xmlns:a14="http://schemas.microsoft.com/office/drawing/2010/main" val="0"/>
                        </a:ext>
                      </a:extLst>
                    </a:blip>
                    <a:srcRect t="11894"/>
                    <a:stretch/>
                  </pic:blipFill>
                  <pic:spPr bwMode="auto">
                    <a:xfrm>
                      <a:off x="0" y="0"/>
                      <a:ext cx="5317742" cy="3042149"/>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770BDB" w:rsidRPr="00F9588B" w:rsidRDefault="00770BDB" w:rsidP="00F9588B">
      <w:r w:rsidRPr="00F9588B">
        <w:t xml:space="preserve">The sponsor has explained that in </w:t>
      </w:r>
      <w:r w:rsidR="004078A4">
        <w:t>S</w:t>
      </w:r>
      <w:r w:rsidRPr="00F9588B">
        <w:t xml:space="preserve">tudy TA-140 the main outcome factor was the corrected QT interval as heart rate inversely affects QT duration and high doses of avanafil increase heart rate. In cases such as this, Fridericia’s correction is reliable whereas the Bazett </w:t>
      </w:r>
      <w:r w:rsidR="00F9588B">
        <w:t>correction was not.</w:t>
      </w:r>
    </w:p>
    <w:p w:rsidR="00770BDB" w:rsidRDefault="00770BDB" w:rsidP="00770BDB">
      <w:r w:rsidRPr="00F9588B">
        <w:t>The sponsor stated that there were no new morphologic changes and that the results of the PK-PD model for parent and metabolites showed that the supratherapeutic doses predicted QTcI change and upper CIs less than 5</w:t>
      </w:r>
      <w:r w:rsidR="00205523">
        <w:t>ms</w:t>
      </w:r>
      <w:r w:rsidRPr="00F9588B">
        <w:t>.</w:t>
      </w:r>
    </w:p>
    <w:p w:rsidR="00770BDB" w:rsidRPr="00F9588B" w:rsidRDefault="00770BDB" w:rsidP="004078A4">
      <w:pPr>
        <w:pStyle w:val="Heading4"/>
      </w:pPr>
      <w:r w:rsidRPr="00F9588B">
        <w:lastRenderedPageBreak/>
        <w:t>Second round clinical evaluator’s response</w:t>
      </w:r>
    </w:p>
    <w:p w:rsidR="00770BDB" w:rsidRPr="004078A4" w:rsidRDefault="00770BDB" w:rsidP="00770BDB">
      <w:r w:rsidRPr="00F9588B">
        <w:t xml:space="preserve">The sponsor’s explanation for placing more weight on the corrected QT interval and Fridericia’s correction and being concerned about the accuracy of the Bazett correction is consistent with advice from the CHMP </w:t>
      </w:r>
      <w:r w:rsidRPr="004078A4">
        <w:rPr>
          <w:i/>
        </w:rPr>
        <w:t>Note for Guidance on the clinical evaluation of QT/QTc interval prolongation and proarrhythmic potential for non-antiarrhythmic drugs</w:t>
      </w:r>
      <w:r w:rsidRPr="00F9588B">
        <w:t xml:space="preserve">. These state that the Bazett correction can underestimate at low heart rates and overestimate at high heart rates and may not be suitable in drugs which cause variable heart rates. However, these guidelines also acknowledge that it is unknown if QT or corrected QT is a better predictor of the risk of </w:t>
      </w:r>
      <w:r w:rsidRPr="004078A4">
        <w:t xml:space="preserve">arrhythmia’s. The sponsor has submitted a table of raw changes in QT as an average over time (see </w:t>
      </w:r>
      <w:r w:rsidR="004078A4" w:rsidRPr="004078A4">
        <w:t>Table 51</w:t>
      </w:r>
      <w:r w:rsidRPr="004078A4">
        <w:t>) but has not provided an analysis of the change raw QT intervals by time.</w:t>
      </w:r>
    </w:p>
    <w:p w:rsidR="00770BDB" w:rsidRPr="00F9588B" w:rsidRDefault="004078A4" w:rsidP="004078A4">
      <w:pPr>
        <w:pStyle w:val="Tabletitle"/>
      </w:pPr>
      <w:r w:rsidRPr="004078A4">
        <w:t>Table 51:</w:t>
      </w:r>
      <w:r w:rsidR="00770BDB" w:rsidRPr="004078A4">
        <w:t xml:space="preserve"> Time</w:t>
      </w:r>
      <w:r w:rsidR="00770BDB" w:rsidRPr="00F9588B">
        <w:t xml:space="preserve"> averaged analysis of QT data for all subjects in study TA-140</w:t>
      </w:r>
    </w:p>
    <w:p w:rsidR="00770BDB" w:rsidRDefault="00770BDB" w:rsidP="00F9588B">
      <w:r w:rsidRPr="00F9588B">
        <w:rPr>
          <w:noProof/>
          <w:lang w:eastAsia="en-AU"/>
        </w:rPr>
        <w:drawing>
          <wp:inline distT="0" distB="0" distL="0" distR="0" wp14:anchorId="317EEDDC" wp14:editId="6D77DAE0">
            <wp:extent cx="5495925" cy="6486525"/>
            <wp:effectExtent l="38100" t="38100" r="47625" b="28575"/>
            <wp:docPr id="7" name="Picture 7" descr="Table 51: Time averaged analysis of QT data for all subjects in study TA-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lum bright="-20000" contrast="40000"/>
                      <a:extLst>
                        <a:ext uri="{28A0092B-C50C-407E-A947-70E740481C1C}">
                          <a14:useLocalDpi xmlns:a14="http://schemas.microsoft.com/office/drawing/2010/main" val="0"/>
                        </a:ext>
                      </a:extLst>
                    </a:blip>
                    <a:srcRect l="1286" t="3317" r="5949" b="2871"/>
                    <a:stretch/>
                  </pic:blipFill>
                  <pic:spPr bwMode="auto">
                    <a:xfrm>
                      <a:off x="0" y="0"/>
                      <a:ext cx="5497104" cy="6487916"/>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770BDB" w:rsidRPr="00F9588B" w:rsidRDefault="00770BDB" w:rsidP="004078A4">
      <w:r w:rsidRPr="00F9588B">
        <w:lastRenderedPageBreak/>
        <w:t xml:space="preserve">The </w:t>
      </w:r>
      <w:r w:rsidR="00205523">
        <w:t xml:space="preserve">Thorough QT </w:t>
      </w:r>
      <w:r w:rsidRPr="00F9588B">
        <w:t xml:space="preserve">study submitted (TA-140) was a </w:t>
      </w:r>
      <w:r w:rsidR="004078A4">
        <w:t>P</w:t>
      </w:r>
      <w:r w:rsidRPr="00F9588B">
        <w:t xml:space="preserve">hase </w:t>
      </w:r>
      <w:r w:rsidR="004078A4">
        <w:t>I</w:t>
      </w:r>
      <w:r w:rsidRPr="00F9588B">
        <w:t>, double blind, randomized, four arm cross over study in healthy male subjects. The central ECG lab was blinded to treatment. The four treatments were placebo, 400</w:t>
      </w:r>
      <w:r w:rsidR="004078A4">
        <w:t xml:space="preserve"> </w:t>
      </w:r>
      <w:r w:rsidRPr="00F9588B">
        <w:t>mg moxifloxacin (positive control), 100</w:t>
      </w:r>
      <w:r w:rsidR="004078A4">
        <w:t xml:space="preserve"> </w:t>
      </w:r>
      <w:r w:rsidRPr="00F9588B">
        <w:t>mg avanafil, 800</w:t>
      </w:r>
      <w:r w:rsidR="004078A4">
        <w:t xml:space="preserve"> </w:t>
      </w:r>
      <w:r w:rsidRPr="00F9588B">
        <w:t>mg avanafil. 52 subjects completed the study. This number of subjects gave the study a power of 80% to show that the upper limit of the 90% two sided CI for the comparison of QTcI of avanafil to placebo fell below 10</w:t>
      </w:r>
      <w:r w:rsidR="00205523">
        <w:t>ms</w:t>
      </w:r>
      <w:r w:rsidRPr="00F9588B">
        <w:t>. The study design was a non-inferiority test. The calculations were based on a difference in corrected QT of 3</w:t>
      </w:r>
      <w:r w:rsidR="00205523">
        <w:t>ms</w:t>
      </w:r>
      <w:r w:rsidRPr="00F9588B">
        <w:t xml:space="preserve"> and SD of 8</w:t>
      </w:r>
      <w:r w:rsidR="00205523">
        <w:t>ms</w:t>
      </w:r>
      <w:r w:rsidRPr="00F9588B">
        <w:t>. The conduct of the study was appropriate. The method of statistical analysis for the ECG data is described in detail. It was rationale and consistent with the CHMP QT /QTc guidelines. The primary endpoint used for statistical analysis was QTcI, an individually determined QT correction based on comparing the QT and RR interval of study drug to the QT and RR intervals on</w:t>
      </w:r>
      <w:r w:rsidR="00F9588B">
        <w:t xml:space="preserve"> the pre drug ECG and placebos.</w:t>
      </w:r>
    </w:p>
    <w:p w:rsidR="00770BDB" w:rsidRPr="004078A4" w:rsidRDefault="00770BDB" w:rsidP="004078A4">
      <w:r w:rsidRPr="00F9588B">
        <w:t>There was a baseline adjusted change in HR of 0.6</w:t>
      </w:r>
      <w:r w:rsidR="004078A4">
        <w:t xml:space="preserve"> </w:t>
      </w:r>
      <w:r w:rsidRPr="00F9588B">
        <w:t>bpm for moxifloxacin, 0.5</w:t>
      </w:r>
      <w:r w:rsidR="004078A4">
        <w:t xml:space="preserve"> </w:t>
      </w:r>
      <w:r w:rsidRPr="00F9588B">
        <w:t>bpm for 100</w:t>
      </w:r>
      <w:r w:rsidR="004078A4">
        <w:t xml:space="preserve"> </w:t>
      </w:r>
      <w:r w:rsidRPr="00F9588B">
        <w:t>mg avanafil and 5.3</w:t>
      </w:r>
      <w:r w:rsidR="004078A4">
        <w:t xml:space="preserve"> </w:t>
      </w:r>
      <w:r w:rsidRPr="00F9588B">
        <w:t>bpm for 800</w:t>
      </w:r>
      <w:r w:rsidR="004078A4">
        <w:t xml:space="preserve"> </w:t>
      </w:r>
      <w:r w:rsidRPr="00F9588B">
        <w:t>mg avanafil. The QTcI mean change from baseline placebo corrected for the therapeutic and supratherapeutic doses of avanafil were 0.8</w:t>
      </w:r>
      <w:r w:rsidR="004078A4">
        <w:t xml:space="preserve"> </w:t>
      </w:r>
      <w:r w:rsidR="00205523">
        <w:t>ms</w:t>
      </w:r>
      <w:r w:rsidRPr="00F9588B">
        <w:t xml:space="preserve"> and 2.8</w:t>
      </w:r>
      <w:r w:rsidR="004078A4">
        <w:t xml:space="preserve"> </w:t>
      </w:r>
      <w:r w:rsidR="00205523">
        <w:t>ms</w:t>
      </w:r>
      <w:r w:rsidRPr="00F9588B">
        <w:t xml:space="preserve"> respectively. The time matched analysis for the QTcI data revealed that all time points had a placebo and baseline corrected result of less than 10</w:t>
      </w:r>
      <w:r w:rsidR="004078A4">
        <w:t xml:space="preserve"> </w:t>
      </w:r>
      <w:r w:rsidR="00205523">
        <w:t>ms</w:t>
      </w:r>
      <w:r w:rsidRPr="00F9588B">
        <w:t xml:space="preserve"> for the upper CI except for the 3 hour time point for the supratherapeutic dose which reached 10.2</w:t>
      </w:r>
      <w:r w:rsidR="004078A4">
        <w:t xml:space="preserve"> </w:t>
      </w:r>
      <w:r w:rsidR="00205523">
        <w:t>ms</w:t>
      </w:r>
      <w:r w:rsidRPr="00F9588B">
        <w:t>. This was considered to be a spurious result. However, at this time point the mean estimate was 7.9</w:t>
      </w:r>
      <w:r w:rsidR="004078A4">
        <w:t xml:space="preserve"> </w:t>
      </w:r>
      <w:r w:rsidR="00205523">
        <w:t>ms</w:t>
      </w:r>
      <w:r w:rsidRPr="00F9588B">
        <w:t>, and at 1.5 to 6 hours the mean estimate was greater than 4</w:t>
      </w:r>
      <w:r w:rsidR="004078A4">
        <w:t xml:space="preserve"> </w:t>
      </w:r>
      <w:r w:rsidR="00205523">
        <w:t>ms</w:t>
      </w:r>
      <w:r w:rsidRPr="00F9588B">
        <w:t>. The peak effect of the 100</w:t>
      </w:r>
      <w:r w:rsidR="004078A4">
        <w:t xml:space="preserve"> </w:t>
      </w:r>
      <w:r w:rsidRPr="00F9588B">
        <w:t xml:space="preserve">mg avanafil tablet was also </w:t>
      </w:r>
      <w:r w:rsidRPr="004078A4">
        <w:t>reached at 3 hours. There were no subjects with new U waves, a new 500</w:t>
      </w:r>
      <w:r w:rsidR="004078A4" w:rsidRPr="004078A4">
        <w:t xml:space="preserve"> </w:t>
      </w:r>
      <w:r w:rsidR="00205523" w:rsidRPr="004078A4">
        <w:t>ms</w:t>
      </w:r>
      <w:r w:rsidRPr="004078A4">
        <w:t xml:space="preserve"> absolute QTc or a &gt;</w:t>
      </w:r>
      <w:r w:rsidR="00F9588B" w:rsidRPr="004078A4">
        <w:t xml:space="preserve"> </w:t>
      </w:r>
      <w:r w:rsidRPr="004078A4">
        <w:t>60</w:t>
      </w:r>
      <w:r w:rsidR="004078A4" w:rsidRPr="004078A4">
        <w:t xml:space="preserve"> </w:t>
      </w:r>
      <w:r w:rsidR="00205523" w:rsidRPr="004078A4">
        <w:t>ms</w:t>
      </w:r>
      <w:r w:rsidRPr="004078A4">
        <w:t xml:space="preserve"> change from baseline. More adverse events were noted in the 800</w:t>
      </w:r>
      <w:r w:rsidR="004078A4" w:rsidRPr="004078A4">
        <w:t xml:space="preserve"> </w:t>
      </w:r>
      <w:r w:rsidRPr="004078A4">
        <w:t>mg group however there were no concerning changes in vital signs or safety ECGs.</w:t>
      </w:r>
    </w:p>
    <w:p w:rsidR="00770BDB" w:rsidRPr="004078A4" w:rsidRDefault="00770BDB" w:rsidP="00F9588B">
      <w:r w:rsidRPr="004078A4">
        <w:t xml:space="preserve">Table </w:t>
      </w:r>
      <w:r w:rsidR="004078A4" w:rsidRPr="004078A4">
        <w:t>50</w:t>
      </w:r>
      <w:r w:rsidRPr="004078A4">
        <w:t xml:space="preserve"> shows the QT intervals corrected using Bazett’s correction. In this analysis, the QT changes for the 100</w:t>
      </w:r>
      <w:r w:rsidR="004078A4">
        <w:t xml:space="preserve"> </w:t>
      </w:r>
      <w:r w:rsidRPr="004078A4">
        <w:t>mg dose of avanafil are acceptable. The QT changes for the 800</w:t>
      </w:r>
      <w:r w:rsidR="004078A4">
        <w:t xml:space="preserve"> </w:t>
      </w:r>
      <w:r w:rsidRPr="004078A4">
        <w:t>mg dose are concerning. The mean estimates from 0.5</w:t>
      </w:r>
      <w:r w:rsidR="00F9588B" w:rsidRPr="004078A4">
        <w:t xml:space="preserve"> </w:t>
      </w:r>
      <w:r w:rsidRPr="004078A4">
        <w:t>-</w:t>
      </w:r>
      <w:r w:rsidR="00F9588B" w:rsidRPr="004078A4">
        <w:t xml:space="preserve"> </w:t>
      </w:r>
      <w:r w:rsidRPr="004078A4">
        <w:t>4 hours after administration of avanafil are all greater than 10</w:t>
      </w:r>
      <w:r w:rsidR="00205523" w:rsidRPr="004078A4">
        <w:t>ms</w:t>
      </w:r>
      <w:r w:rsidRPr="004078A4">
        <w:t>, and the 90% CI from 0.5</w:t>
      </w:r>
      <w:r w:rsidR="00F9588B" w:rsidRPr="004078A4">
        <w:t xml:space="preserve"> </w:t>
      </w:r>
      <w:r w:rsidRPr="004078A4">
        <w:t>-</w:t>
      </w:r>
      <w:r w:rsidR="00F9588B" w:rsidRPr="004078A4">
        <w:t xml:space="preserve"> </w:t>
      </w:r>
      <w:r w:rsidRPr="004078A4">
        <w:t>6 hours are greater than 10</w:t>
      </w:r>
      <w:r w:rsidR="00205523" w:rsidRPr="004078A4">
        <w:t>ms</w:t>
      </w:r>
      <w:r w:rsidRPr="004078A4">
        <w:t>. The mean estimate for 1 hour after avanafil was administered was greater than 20</w:t>
      </w:r>
      <w:r w:rsidR="004078A4">
        <w:t xml:space="preserve"> </w:t>
      </w:r>
      <w:r w:rsidR="00205523" w:rsidRPr="004078A4">
        <w:t>ms</w:t>
      </w:r>
      <w:r w:rsidRPr="004078A4">
        <w:t>.</w:t>
      </w:r>
    </w:p>
    <w:p w:rsidR="00770BDB" w:rsidRPr="004078A4" w:rsidRDefault="00770BDB" w:rsidP="00F9588B">
      <w:r w:rsidRPr="004078A4">
        <w:t xml:space="preserve">Table </w:t>
      </w:r>
      <w:r w:rsidR="004078A4" w:rsidRPr="004078A4">
        <w:t>51</w:t>
      </w:r>
      <w:r w:rsidRPr="004078A4">
        <w:t xml:space="preserve"> shows the QT intervals corrected using Fridericia’s correction. In this analysis, the results are similar to those of the QTcI.</w:t>
      </w:r>
    </w:p>
    <w:p w:rsidR="00714B60" w:rsidRDefault="00770BDB" w:rsidP="00F9588B">
      <w:r w:rsidRPr="004078A4">
        <w:t xml:space="preserve">Figure </w:t>
      </w:r>
      <w:r w:rsidR="004078A4" w:rsidRPr="004078A4">
        <w:t>2</w:t>
      </w:r>
      <w:r w:rsidRPr="004078A4">
        <w:t xml:space="preserve"> of this CER demonstrates a graphical display of the change in QTc with avanafil 100 and 800</w:t>
      </w:r>
      <w:r w:rsidR="004078A4">
        <w:t xml:space="preserve"> </w:t>
      </w:r>
      <w:r w:rsidRPr="004078A4">
        <w:t>mg and moxifloxacin</w:t>
      </w:r>
      <w:r w:rsidRPr="00F9588B">
        <w:t>.</w:t>
      </w:r>
    </w:p>
    <w:p w:rsidR="00770BDB" w:rsidRPr="00F9588B" w:rsidRDefault="00770BDB" w:rsidP="00F9588B">
      <w:r w:rsidRPr="00F9588B">
        <w:t>Thus, the results of the QT study are negative at a therapeutic dose of 100</w:t>
      </w:r>
      <w:r w:rsidR="004078A4">
        <w:t xml:space="preserve"> </w:t>
      </w:r>
      <w:r w:rsidRPr="00F9588B">
        <w:t>mg but not for a supratherapeutic dose of 800</w:t>
      </w:r>
      <w:r w:rsidR="004078A4">
        <w:t xml:space="preserve"> </w:t>
      </w:r>
      <w:r w:rsidRPr="00F9588B">
        <w:t>mg. Although a dose of 800</w:t>
      </w:r>
      <w:r w:rsidR="004078A4">
        <w:t xml:space="preserve"> </w:t>
      </w:r>
      <w:r w:rsidRPr="00F9588B">
        <w:t>mg is unlikely to be given therapeutically, an increased exposure to avanafil may occur in subjects with genetically slow P450 metabolism or who are treated with drugs that inhibit CYP3A4. There is no information about the effect of other doses such as 150</w:t>
      </w:r>
      <w:r w:rsidR="00F9588B">
        <w:t xml:space="preserve"> </w:t>
      </w:r>
      <w:r w:rsidR="004078A4">
        <w:t>–</w:t>
      </w:r>
      <w:r w:rsidR="00F9588B">
        <w:t xml:space="preserve"> 750</w:t>
      </w:r>
      <w:r w:rsidR="004078A4">
        <w:t xml:space="preserve"> </w:t>
      </w:r>
      <w:r w:rsidR="00F9588B">
        <w:t>mg on QT interval.</w:t>
      </w:r>
    </w:p>
    <w:p w:rsidR="00770BDB" w:rsidRPr="00F9588B" w:rsidRDefault="00770BDB" w:rsidP="00F9588B">
      <w:r w:rsidRPr="00F9588B">
        <w:t xml:space="preserve">Pre-clinical studies in dogs demonstrated a dose dependent decrease in BP and increase in heart rate, but there was no effect on the </w:t>
      </w:r>
      <w:r w:rsidR="00F9588B" w:rsidRPr="00F9588B">
        <w:t>ECG.</w:t>
      </w:r>
    </w:p>
    <w:p w:rsidR="00770BDB" w:rsidRPr="00F9588B" w:rsidRDefault="00770BDB" w:rsidP="00F9588B">
      <w:pPr>
        <w:pStyle w:val="Heading3"/>
      </w:pPr>
      <w:bookmarkStart w:id="424" w:name="_Toc422725564"/>
      <w:bookmarkStart w:id="425" w:name="_Toc466365813"/>
      <w:r w:rsidRPr="00F9588B">
        <w:t xml:space="preserve">Question 4 </w:t>
      </w:r>
      <w:r w:rsidR="008D6237">
        <w:t>e</w:t>
      </w:r>
      <w:r w:rsidRPr="00F9588B">
        <w:t>fficacy</w:t>
      </w:r>
      <w:bookmarkEnd w:id="424"/>
      <w:bookmarkEnd w:id="425"/>
    </w:p>
    <w:p w:rsidR="00770BDB" w:rsidRDefault="00770BDB" w:rsidP="00770BDB">
      <w:pPr>
        <w:rPr>
          <w:i/>
        </w:rPr>
      </w:pPr>
      <w:r w:rsidRPr="00F9588B">
        <w:rPr>
          <w:i/>
        </w:rPr>
        <w:t xml:space="preserve">The formulations studied in the pivotal studies were either the 50 </w:t>
      </w:r>
      <w:r w:rsidR="00F9588B">
        <w:rPr>
          <w:i/>
        </w:rPr>
        <w:t>mg tablet or the 100 mg tablet.</w:t>
      </w:r>
      <w:r w:rsidRPr="00F9588B">
        <w:rPr>
          <w:i/>
        </w:rPr>
        <w:t xml:space="preserve"> None of the subjects in the pivotal studies received the 200 mg tablet. There were differences in the rate of absorption between the 50 mg and 200 mg tablet sizes that may affect the speed of onset of ef</w:t>
      </w:r>
      <w:r w:rsidR="00F9588B">
        <w:rPr>
          <w:i/>
        </w:rPr>
        <w:t xml:space="preserve">fect. </w:t>
      </w:r>
      <w:r w:rsidRPr="00F9588B">
        <w:rPr>
          <w:i/>
        </w:rPr>
        <w:t xml:space="preserve">Does </w:t>
      </w:r>
      <w:r w:rsidR="00704CF9">
        <w:rPr>
          <w:i/>
        </w:rPr>
        <w:t>the sponsor</w:t>
      </w:r>
      <w:r w:rsidRPr="00F9588B">
        <w:rPr>
          <w:i/>
        </w:rPr>
        <w:t xml:space="preserve"> have data that demonstrate the 200 mg tablet size has similar time to onset of effect as either the 50 mg or 100 mg tablet sizes?</w:t>
      </w:r>
    </w:p>
    <w:p w:rsidR="00770BDB" w:rsidRPr="00F9588B" w:rsidRDefault="004078A4" w:rsidP="004078A4">
      <w:pPr>
        <w:pStyle w:val="Heading4"/>
      </w:pPr>
      <w:r>
        <w:t>Sponsor</w:t>
      </w:r>
      <w:r w:rsidR="00770BDB" w:rsidRPr="00F9588B">
        <w:t xml:space="preserve"> response</w:t>
      </w:r>
    </w:p>
    <w:p w:rsidR="00770BDB" w:rsidRPr="00795BA1" w:rsidRDefault="00770BDB" w:rsidP="00770BDB">
      <w:r w:rsidRPr="00F9588B">
        <w:t>The sponsor indicated this question was addressed in its response to Question 1.</w:t>
      </w:r>
    </w:p>
    <w:p w:rsidR="00770BDB" w:rsidRPr="00F9588B" w:rsidRDefault="00770BDB" w:rsidP="004078A4">
      <w:pPr>
        <w:pStyle w:val="Heading4"/>
      </w:pPr>
      <w:r w:rsidRPr="00F9588B">
        <w:lastRenderedPageBreak/>
        <w:t>Second round clinical evaluator’s response</w:t>
      </w:r>
    </w:p>
    <w:p w:rsidR="00770BDB" w:rsidRPr="00795BA1" w:rsidRDefault="00770BDB" w:rsidP="00770BDB">
      <w:r w:rsidRPr="00F9588B">
        <w:t>There is a paucity of clinical efficacy data for the 200</w:t>
      </w:r>
      <w:r w:rsidR="004078A4">
        <w:t xml:space="preserve"> </w:t>
      </w:r>
      <w:r w:rsidRPr="00F9588B">
        <w:t>mg formulation proposed by the sponsor. This formulation was only us</w:t>
      </w:r>
      <w:r w:rsidR="004078A4">
        <w:t>ed in the open label follow up S</w:t>
      </w:r>
      <w:r w:rsidRPr="00F9588B">
        <w:t>tudy TA-314.</w:t>
      </w:r>
    </w:p>
    <w:p w:rsidR="00770BDB" w:rsidRPr="00F9588B" w:rsidRDefault="00770BDB" w:rsidP="00F9588B">
      <w:pPr>
        <w:pStyle w:val="Heading3"/>
      </w:pPr>
      <w:bookmarkStart w:id="426" w:name="_Toc422725565"/>
      <w:bookmarkStart w:id="427" w:name="_Toc466365814"/>
      <w:r w:rsidRPr="00F9588B">
        <w:t xml:space="preserve">Question 5 </w:t>
      </w:r>
      <w:r w:rsidR="008D6237">
        <w:t>e</w:t>
      </w:r>
      <w:r w:rsidRPr="00F9588B">
        <w:t>fficacy</w:t>
      </w:r>
      <w:bookmarkEnd w:id="426"/>
      <w:bookmarkEnd w:id="427"/>
    </w:p>
    <w:p w:rsidR="00770BDB" w:rsidRPr="00F9588B" w:rsidRDefault="00770BDB" w:rsidP="00770BDB">
      <w:pPr>
        <w:rPr>
          <w:i/>
        </w:rPr>
      </w:pPr>
      <w:r w:rsidRPr="00F9588B">
        <w:rPr>
          <w:i/>
        </w:rPr>
        <w:t>For Study TA-314, please provide summary tabulations of efficacy measures by study visit.</w:t>
      </w:r>
    </w:p>
    <w:p w:rsidR="00770BDB" w:rsidRPr="00F9588B" w:rsidRDefault="004078A4" w:rsidP="004078A4">
      <w:pPr>
        <w:pStyle w:val="Heading4"/>
      </w:pPr>
      <w:r>
        <w:t>Sponsor</w:t>
      </w:r>
      <w:r w:rsidR="00770BDB" w:rsidRPr="00F9588B">
        <w:t xml:space="preserve"> response</w:t>
      </w:r>
    </w:p>
    <w:p w:rsidR="00770BDB" w:rsidRDefault="00770BDB" w:rsidP="00F9588B">
      <w:r w:rsidRPr="00F9588B">
        <w:t>The sponsor has provided summary tabulations of the primary efficacy endpoints by study visit, and referred to their study report for the analysis of secondary efficacy endpoints by study visit.</w:t>
      </w:r>
    </w:p>
    <w:p w:rsidR="00770BDB" w:rsidRDefault="00770BDB" w:rsidP="004078A4">
      <w:pPr>
        <w:pStyle w:val="Tabletitle"/>
      </w:pPr>
      <w:r w:rsidRPr="004078A4">
        <w:t xml:space="preserve">Table </w:t>
      </w:r>
      <w:r w:rsidR="004078A4" w:rsidRPr="004078A4">
        <w:t>52</w:t>
      </w:r>
      <w:r w:rsidRPr="004078A4">
        <w:t>: Study TA</w:t>
      </w:r>
      <w:r w:rsidRPr="00F9588B">
        <w:t>-314: Change in percentage of sexual attempts in which patients were able to maintain an erection of sufficient duration to ha</w:t>
      </w:r>
      <w:r w:rsidR="00F9588B">
        <w:t>ve sexual intercourse- by visit</w:t>
      </w:r>
    </w:p>
    <w:p w:rsidR="004078A4" w:rsidRPr="004078A4" w:rsidRDefault="004078A4" w:rsidP="004078A4">
      <w:r>
        <w:rPr>
          <w:noProof/>
          <w:lang w:eastAsia="en-AU"/>
        </w:rPr>
        <w:drawing>
          <wp:inline distT="0" distB="0" distL="0" distR="0" wp14:anchorId="484A3EB3" wp14:editId="63542E4B">
            <wp:extent cx="3952875" cy="5816286"/>
            <wp:effectExtent l="19050" t="19050" r="9525" b="13335"/>
            <wp:docPr id="23" name="Picture 23" descr="Table 52: Study TA-314: Change in percentage of sexual attempts in which patients were able to maintain an erection of sufficient duration to have sexual intercourse- by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Lst>
                    </a:blip>
                    <a:srcRect l="6342" t="2852" r="1219" b="3580"/>
                    <a:stretch/>
                  </pic:blipFill>
                  <pic:spPr bwMode="auto">
                    <a:xfrm>
                      <a:off x="0" y="0"/>
                      <a:ext cx="3954456" cy="581861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770BDB" w:rsidRDefault="00770BDB" w:rsidP="00F9588B">
      <w:pPr>
        <w:pStyle w:val="Tabletitle"/>
      </w:pPr>
      <w:r w:rsidRPr="00CD5C51">
        <w:lastRenderedPageBreak/>
        <w:t xml:space="preserve">Table </w:t>
      </w:r>
      <w:r w:rsidR="00CD5C51" w:rsidRPr="00CD5C51">
        <w:t>53</w:t>
      </w:r>
      <w:r w:rsidRPr="00CD5C51">
        <w:t>: Study TA-314: Change in percentage of sexual attempts in which patients were</w:t>
      </w:r>
      <w:r w:rsidRPr="00F9588B">
        <w:t xml:space="preserve"> able to insert their penis into the partners vagina by visit</w:t>
      </w:r>
    </w:p>
    <w:p w:rsidR="00CD5C51" w:rsidRPr="00CD5C51" w:rsidRDefault="00CD5C51" w:rsidP="00CD5C51">
      <w:r>
        <w:rPr>
          <w:noProof/>
          <w:lang w:eastAsia="en-AU"/>
        </w:rPr>
        <w:drawing>
          <wp:inline distT="0" distB="0" distL="0" distR="0" wp14:anchorId="2F80E836" wp14:editId="7F5927D8">
            <wp:extent cx="3903660" cy="5029200"/>
            <wp:effectExtent l="19050" t="19050" r="20955" b="19050"/>
            <wp:docPr id="24" name="Picture 24" descr="Table 53: Study TA-314: Change in percentage of sexual attempts in which patients were able to insert their penis into the partners vagina by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Lst>
                    </a:blip>
                    <a:srcRect t="1539" b="2129"/>
                    <a:stretch/>
                  </pic:blipFill>
                  <pic:spPr bwMode="auto">
                    <a:xfrm>
                      <a:off x="0" y="0"/>
                      <a:ext cx="3907380" cy="503399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770BDB" w:rsidRDefault="00770BDB" w:rsidP="00F9588B">
      <w:pPr>
        <w:pStyle w:val="Tabletitle"/>
      </w:pPr>
      <w:r w:rsidRPr="00CD5C51">
        <w:t xml:space="preserve">Table </w:t>
      </w:r>
      <w:r w:rsidR="00CD5C51" w:rsidRPr="00CD5C51">
        <w:t>54</w:t>
      </w:r>
      <w:r w:rsidRPr="00CD5C51">
        <w:t>: Change in score</w:t>
      </w:r>
      <w:r w:rsidRPr="00F9588B">
        <w:t xml:space="preserve"> of the erectile function domain of the IEF questionnaire by visit</w:t>
      </w:r>
    </w:p>
    <w:p w:rsidR="00CD5C51" w:rsidRPr="00CD5C51" w:rsidRDefault="00CD5C51" w:rsidP="00CD5C51">
      <w:r>
        <w:rPr>
          <w:noProof/>
          <w:lang w:eastAsia="en-AU"/>
        </w:rPr>
        <w:drawing>
          <wp:inline distT="0" distB="0" distL="0" distR="0" wp14:anchorId="1A5A8D92" wp14:editId="1EF5D682">
            <wp:extent cx="4327589" cy="2867025"/>
            <wp:effectExtent l="19050" t="19050" r="15875" b="9525"/>
            <wp:docPr id="25" name="Picture 25" descr="Table 54: Change in score of the erectile function domain of the IEF questionnaire by vi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BEBA8EAE-BF5A-486C-A8C5-ECC9F3942E4B}">
                          <a14:imgProps xmlns:a14="http://schemas.microsoft.com/office/drawing/2010/main">
                            <a14:imgLayer r:embed="rId76">
                              <a14:imgEffect>
                                <a14:sharpenSoften amount="50000"/>
                              </a14:imgEffect>
                            </a14:imgLayer>
                          </a14:imgProps>
                        </a:ext>
                      </a:extLst>
                    </a:blip>
                    <a:srcRect l="3077" t="1955"/>
                    <a:stretch/>
                  </pic:blipFill>
                  <pic:spPr bwMode="auto">
                    <a:xfrm>
                      <a:off x="0" y="0"/>
                      <a:ext cx="4334799" cy="2871802"/>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D5C51" w:rsidRPr="00F9588B" w:rsidRDefault="00CD5C51" w:rsidP="00CD5C51">
      <w:pPr>
        <w:pStyle w:val="Heading4"/>
        <w:numPr>
          <w:ilvl w:val="2"/>
          <w:numId w:val="19"/>
        </w:numPr>
      </w:pPr>
      <w:r w:rsidRPr="00F9588B">
        <w:lastRenderedPageBreak/>
        <w:t>Second round clinical evaluator’s response</w:t>
      </w:r>
    </w:p>
    <w:p w:rsidR="00770BDB" w:rsidRDefault="00770BDB" w:rsidP="00770BDB">
      <w:r w:rsidRPr="00F9588B">
        <w:t>The sponsor’s response is acceptable.</w:t>
      </w:r>
    </w:p>
    <w:p w:rsidR="00770BDB" w:rsidRPr="00F9588B" w:rsidRDefault="00770BDB" w:rsidP="00F9588B">
      <w:r w:rsidRPr="00F9588B">
        <w:t xml:space="preserve">In </w:t>
      </w:r>
      <w:r w:rsidR="00CD5C51">
        <w:t>S</w:t>
      </w:r>
      <w:r w:rsidRPr="00F9588B">
        <w:t>tudy TA-314, the intention to treat population consisted of all patients who had at least one dose of study drug. The end of treatment values were calculated from all entries beginning with the first dose of study drug in the present study and ending with the last visit. The by visit analysis was calculated from all entries corresponding to the time period beginning with the previous visit and ending with the visit of interest. For primary endpoints from the subjects diaries, only observed data were used. For primary data based on IIEF data, the last observ</w:t>
      </w:r>
      <w:r w:rsidR="00B91E83">
        <w:t>ation carried forward was used.</w:t>
      </w:r>
    </w:p>
    <w:p w:rsidR="00770BDB" w:rsidRDefault="00770BDB" w:rsidP="00770BDB">
      <w:r w:rsidRPr="00F9588B">
        <w:t>A major problem with the interpretation of the results from this study is the bias towards efficacy due to the study population. The study population is a fraction of those eligible to participate based on their involvement in previous clinical trials. Subjects who had a positive response to treatment with the study drug would have been more likely to be involved in study TA-314, and also more likely to remain in the study for longer.</w:t>
      </w:r>
    </w:p>
    <w:p w:rsidR="00770BDB" w:rsidRDefault="00770BDB" w:rsidP="00770BDB">
      <w:r w:rsidRPr="00B91E83">
        <w:t xml:space="preserve">The results of the percentage of subjects able to </w:t>
      </w:r>
      <w:r w:rsidRPr="001327D2">
        <w:t xml:space="preserve">maintain an erection of sufficient duration to have sexual intercourse was greater when analysed by visit (Table </w:t>
      </w:r>
      <w:r w:rsidR="001327D2" w:rsidRPr="001327D2">
        <w:t>52</w:t>
      </w:r>
      <w:r w:rsidR="00B91E83" w:rsidRPr="001327D2">
        <w:t xml:space="preserve">) </w:t>
      </w:r>
      <w:r w:rsidRPr="001327D2">
        <w:t xml:space="preserve">than when analysed from baseline to end of visit . This may be because patients who did not respond to treatment being more likely to drop out of the study. The results of the percentage of subjects being able to insert their penis into their partner’s vagina and in the IEF domain were similar when assessed by end of visit than by visit (Tables </w:t>
      </w:r>
      <w:r w:rsidR="001327D2" w:rsidRPr="001327D2">
        <w:t>53</w:t>
      </w:r>
      <w:r w:rsidRPr="001327D2">
        <w:t xml:space="preserve"> and </w:t>
      </w:r>
      <w:r w:rsidR="001327D2" w:rsidRPr="001327D2">
        <w:t>54</w:t>
      </w:r>
      <w:r w:rsidRPr="001327D2">
        <w:t>).</w:t>
      </w:r>
    </w:p>
    <w:p w:rsidR="00770BDB" w:rsidRPr="00B91E83" w:rsidRDefault="00770BDB" w:rsidP="00B91E83">
      <w:pPr>
        <w:pStyle w:val="Heading3"/>
      </w:pPr>
      <w:bookmarkStart w:id="428" w:name="_Toc422725566"/>
      <w:bookmarkStart w:id="429" w:name="_Toc466365815"/>
      <w:r w:rsidRPr="00B91E83">
        <w:t>Question 6</w:t>
      </w:r>
      <w:r w:rsidR="00182234">
        <w:t xml:space="preserve"> </w:t>
      </w:r>
      <w:r w:rsidR="008D6237">
        <w:t>s</w:t>
      </w:r>
      <w:r w:rsidRPr="00B91E83">
        <w:t>afety</w:t>
      </w:r>
      <w:bookmarkEnd w:id="428"/>
      <w:bookmarkEnd w:id="429"/>
    </w:p>
    <w:p w:rsidR="00770BDB" w:rsidRPr="00B91E83" w:rsidRDefault="00770BDB" w:rsidP="00B91E83">
      <w:pPr>
        <w:rPr>
          <w:i/>
        </w:rPr>
      </w:pPr>
      <w:r w:rsidRPr="00B91E83">
        <w:rPr>
          <w:i/>
        </w:rPr>
        <w:t>Please provide summary tabulations for QTcF and QTcB from Study TA-140.</w:t>
      </w:r>
    </w:p>
    <w:p w:rsidR="00770BDB" w:rsidRPr="00B91E83" w:rsidRDefault="00CD5C51" w:rsidP="00CD5C51">
      <w:pPr>
        <w:pStyle w:val="Heading4"/>
      </w:pPr>
      <w:r>
        <w:t>Sponsor</w:t>
      </w:r>
      <w:r w:rsidR="00770BDB" w:rsidRPr="00B91E83">
        <w:t xml:space="preserve"> response</w:t>
      </w:r>
    </w:p>
    <w:p w:rsidR="00770BDB" w:rsidRPr="00B91E83" w:rsidRDefault="00770BDB" w:rsidP="00B91E83">
      <w:r w:rsidRPr="00B91E83">
        <w:t xml:space="preserve">The </w:t>
      </w:r>
      <w:r w:rsidR="00CD5C51">
        <w:t>sponsor</w:t>
      </w:r>
      <w:r w:rsidRPr="00B91E83">
        <w:t xml:space="preserve"> provided the tables as requested.</w:t>
      </w:r>
    </w:p>
    <w:p w:rsidR="00770BDB" w:rsidRPr="00B91E83" w:rsidRDefault="00770BDB" w:rsidP="00CD5C51">
      <w:pPr>
        <w:pStyle w:val="Heading4"/>
      </w:pPr>
      <w:r w:rsidRPr="00B91E83">
        <w:t>Second round clinical evaluator’s response</w:t>
      </w:r>
    </w:p>
    <w:p w:rsidR="00770BDB" w:rsidRPr="00B91E83" w:rsidRDefault="00770BDB" w:rsidP="00B91E83">
      <w:r w:rsidRPr="00B91E83">
        <w:t>There was no value for QTc</w:t>
      </w:r>
      <w:r w:rsidR="00B91E83">
        <w:t>F or QTcB greater than 500</w:t>
      </w:r>
      <w:r w:rsidR="00CD5C51">
        <w:t xml:space="preserve"> </w:t>
      </w:r>
      <w:r w:rsidR="00205523">
        <w:t>ms</w:t>
      </w:r>
      <w:r w:rsidR="00B91E83">
        <w:t>.</w:t>
      </w:r>
    </w:p>
    <w:p w:rsidR="00770BDB" w:rsidRPr="00B91E83" w:rsidRDefault="00770BDB" w:rsidP="00B91E83">
      <w:r w:rsidRPr="00B91E83">
        <w:t>The response is satisfactory.</w:t>
      </w:r>
    </w:p>
    <w:p w:rsidR="00770BDB" w:rsidRPr="00B91E83" w:rsidRDefault="00770BDB" w:rsidP="00B91E83">
      <w:pPr>
        <w:pStyle w:val="Heading3"/>
      </w:pPr>
      <w:bookmarkStart w:id="430" w:name="_Toc422725567"/>
      <w:bookmarkStart w:id="431" w:name="_Toc466365816"/>
      <w:r w:rsidRPr="00B91E83">
        <w:t>Question 7</w:t>
      </w:r>
      <w:r w:rsidR="00182234">
        <w:t xml:space="preserve"> </w:t>
      </w:r>
      <w:r w:rsidR="008D6237">
        <w:t>s</w:t>
      </w:r>
      <w:r w:rsidRPr="00B91E83">
        <w:t>afety</w:t>
      </w:r>
      <w:bookmarkEnd w:id="430"/>
      <w:bookmarkEnd w:id="431"/>
    </w:p>
    <w:p w:rsidR="00770BDB" w:rsidRPr="00B91E83" w:rsidRDefault="00770BDB" w:rsidP="00770BDB">
      <w:pPr>
        <w:rPr>
          <w:i/>
        </w:rPr>
      </w:pPr>
      <w:r w:rsidRPr="00B91E83">
        <w:rPr>
          <w:i/>
        </w:rPr>
        <w:t>In Study TA-314 one subject developed a clinically significant ECG ab</w:t>
      </w:r>
      <w:r w:rsidR="00B91E83">
        <w:rPr>
          <w:i/>
        </w:rPr>
        <w:t xml:space="preserve">normality on active treatment. </w:t>
      </w:r>
      <w:r w:rsidRPr="00B91E83">
        <w:rPr>
          <w:i/>
        </w:rPr>
        <w:t>Please provide a description of the ECG abnormalities.</w:t>
      </w:r>
    </w:p>
    <w:p w:rsidR="00770BDB" w:rsidRPr="00B91E83" w:rsidRDefault="00CD5C51" w:rsidP="00CD5C51">
      <w:pPr>
        <w:pStyle w:val="Heading4"/>
      </w:pPr>
      <w:r>
        <w:t>Sponsor</w:t>
      </w:r>
      <w:r w:rsidR="00770BDB" w:rsidRPr="00B91E83">
        <w:t xml:space="preserve"> response</w:t>
      </w:r>
    </w:p>
    <w:p w:rsidR="00770BDB" w:rsidRDefault="00770BDB" w:rsidP="00770BDB">
      <w:r w:rsidRPr="00B91E83">
        <w:t>The subject was 58 years old and on treatment with 5</w:t>
      </w:r>
      <w:r w:rsidR="001327D2">
        <w:t>0 mg</w:t>
      </w:r>
      <w:r w:rsidRPr="00B91E83">
        <w:t xml:space="preserve"> of avanafil. The event occurred at visit 8 </w:t>
      </w:r>
      <w:r w:rsidR="00CD5C51">
        <w:t>[information redacted]</w:t>
      </w:r>
      <w:r w:rsidRPr="00B91E83">
        <w:t>. The ECG had a heart rate of 58</w:t>
      </w:r>
      <w:r w:rsidR="00CD5C51">
        <w:t xml:space="preserve"> </w:t>
      </w:r>
      <w:r w:rsidRPr="00B91E83">
        <w:t>bpm, mean P axis of 66 degrees, PR duration of 148</w:t>
      </w:r>
      <w:r w:rsidR="00CD5C51">
        <w:t xml:space="preserve"> </w:t>
      </w:r>
      <w:r w:rsidR="00205523">
        <w:t>ms</w:t>
      </w:r>
      <w:r w:rsidRPr="00B91E83">
        <w:t>, QT duration of 402</w:t>
      </w:r>
      <w:r w:rsidR="00CD5C51">
        <w:t xml:space="preserve"> </w:t>
      </w:r>
      <w:r w:rsidR="00205523">
        <w:t>ms</w:t>
      </w:r>
      <w:r w:rsidRPr="00B91E83">
        <w:t>. There were extensive ST-T segment changes. The ECG changes were considered to be unrelated to the study drug.</w:t>
      </w:r>
    </w:p>
    <w:p w:rsidR="00770BDB" w:rsidRPr="00B91E83" w:rsidRDefault="00770BDB" w:rsidP="00CD5C51">
      <w:pPr>
        <w:pStyle w:val="Heading4"/>
      </w:pPr>
      <w:r w:rsidRPr="00B91E83">
        <w:t>Second round clinical evaluator response</w:t>
      </w:r>
    </w:p>
    <w:p w:rsidR="00770BDB" w:rsidRPr="00B91E83" w:rsidRDefault="00770BDB" w:rsidP="00B91E83">
      <w:r w:rsidRPr="00B91E83">
        <w:t xml:space="preserve">The </w:t>
      </w:r>
      <w:r w:rsidR="00CD5C51">
        <w:t>sponsor’s</w:t>
      </w:r>
      <w:r w:rsidRPr="00B91E83">
        <w:t xml:space="preserve"> response does not provide any information about whether this patient had risk factors for cardiac disease, symptoms, or the appearance of previous or subsequent ECGs. The ECG changes described are not suggestive of a conduction defect. It would be reasonable to consider them moderate (or mild) in severity and unr</w:t>
      </w:r>
      <w:r w:rsidR="00B91E83">
        <w:t>elated to the study medication.</w:t>
      </w:r>
    </w:p>
    <w:p w:rsidR="00770BDB" w:rsidRPr="00B91E83" w:rsidRDefault="00770BDB" w:rsidP="00B91E83">
      <w:pPr>
        <w:pStyle w:val="Heading3"/>
      </w:pPr>
      <w:bookmarkStart w:id="432" w:name="_Toc422725568"/>
      <w:bookmarkStart w:id="433" w:name="_Toc466365817"/>
      <w:r w:rsidRPr="00B91E83">
        <w:lastRenderedPageBreak/>
        <w:t xml:space="preserve">Question 8 </w:t>
      </w:r>
      <w:r w:rsidR="008D6237">
        <w:t>s</w:t>
      </w:r>
      <w:r w:rsidRPr="00B91E83">
        <w:t>afety</w:t>
      </w:r>
      <w:bookmarkEnd w:id="432"/>
      <w:bookmarkEnd w:id="433"/>
    </w:p>
    <w:p w:rsidR="00770BDB" w:rsidRDefault="00770BDB" w:rsidP="00770BDB">
      <w:pPr>
        <w:rPr>
          <w:i/>
        </w:rPr>
      </w:pPr>
      <w:r w:rsidRPr="00B91E83">
        <w:rPr>
          <w:i/>
        </w:rPr>
        <w:t xml:space="preserve">Does </w:t>
      </w:r>
      <w:r w:rsidR="00704CF9">
        <w:rPr>
          <w:i/>
        </w:rPr>
        <w:t>the sponsor</w:t>
      </w:r>
      <w:r w:rsidRPr="00B91E83">
        <w:rPr>
          <w:i/>
        </w:rPr>
        <w:t xml:space="preserve"> have data regarding potential interactions between avanafil and treatments for premature ejaculation, such as dapoxetine, or with illicit drugs?</w:t>
      </w:r>
    </w:p>
    <w:p w:rsidR="00770BDB" w:rsidRPr="00B91E83" w:rsidRDefault="00CD5C51" w:rsidP="00CD5C51">
      <w:pPr>
        <w:pStyle w:val="Heading4"/>
      </w:pPr>
      <w:r>
        <w:t>Sponsor</w:t>
      </w:r>
      <w:r w:rsidR="00770BDB" w:rsidRPr="00B91E83">
        <w:t xml:space="preserve"> response</w:t>
      </w:r>
    </w:p>
    <w:p w:rsidR="00770BDB" w:rsidRPr="00B91E83" w:rsidRDefault="00770BDB" w:rsidP="00B91E83">
      <w:r w:rsidRPr="00B91E83">
        <w:t xml:space="preserve">The </w:t>
      </w:r>
      <w:r w:rsidR="00CD5C51">
        <w:t>sponsor</w:t>
      </w:r>
      <w:r w:rsidRPr="00B91E83">
        <w:t xml:space="preserve"> searched for possible interactions between avanafil and treatments for premature ejaculation by searching it’s database of </w:t>
      </w:r>
      <w:r w:rsidR="00CD5C51">
        <w:t>S</w:t>
      </w:r>
      <w:r w:rsidRPr="00B91E83">
        <w:t xml:space="preserve">tudies TA-301, TA-302, TA-303, TA-314 and TA-501. There were no patients taking dapoxetine (this is not registered for use in the USA). There was one patient in </w:t>
      </w:r>
      <w:r w:rsidR="00CD5C51">
        <w:t>S</w:t>
      </w:r>
      <w:r w:rsidRPr="00B91E83">
        <w:t>tudy TA-301 taking tramadol for premature ejaculation. This patient was randomised to the 200</w:t>
      </w:r>
      <w:r w:rsidR="00CD5C51">
        <w:t xml:space="preserve"> </w:t>
      </w:r>
      <w:r w:rsidRPr="00B91E83">
        <w:t>mg avanafil arm. He did not report any adverse effects and had no ECG abnormalities identified. This patient experienced an improvement of 54.5% in his ability to maintain an erection of sufficient duration for successful intercourse, but no improvement in his ability to insert his penis into his partner’</w:t>
      </w:r>
      <w:r w:rsidR="00B91E83">
        <w:t>s vagina or in the IIEF domain.</w:t>
      </w:r>
    </w:p>
    <w:p w:rsidR="00770BDB" w:rsidRPr="00B91E83" w:rsidRDefault="00770BDB" w:rsidP="00B91E83">
      <w:r w:rsidRPr="00B91E83">
        <w:t xml:space="preserve">The </w:t>
      </w:r>
      <w:r w:rsidR="00CD5C51">
        <w:t>sponsor</w:t>
      </w:r>
      <w:r w:rsidRPr="00B91E83">
        <w:t xml:space="preserve"> performed a lite</w:t>
      </w:r>
      <w:r w:rsidR="00CD5C51">
        <w:t>rature review. It identified a P</w:t>
      </w:r>
      <w:r w:rsidRPr="00B91E83">
        <w:t>hase III study which examined the efficacy of dapoxetine (30-60</w:t>
      </w:r>
      <w:r w:rsidR="00CD5C51">
        <w:t xml:space="preserve"> </w:t>
      </w:r>
      <w:r w:rsidRPr="00B91E83">
        <w:t xml:space="preserve">mg) compared to placebo in men with premature ejaculation and erectile dysfunction treated with other PDE-5i (sildenafil, vardenafil, or tadalafil). Higher rates of adverse events (suggestive of prodromal events for syncope) were more common in the dapoxetine plus PDE-5i group than the placebo plus PDE-5i group </w:t>
      </w:r>
      <w:r w:rsidRPr="00CD5C51">
        <w:rPr>
          <w:vertAlign w:val="superscript"/>
        </w:rPr>
        <w:footnoteReference w:id="1"/>
      </w:r>
      <w:r w:rsidRPr="00B91E83">
        <w:t>. Pharmacokinetic interactions between dapoxetine and the PDE-5i inhibitors sildenafil and tadalafil were examined in an open labelled randomised cross over trial. Tadalafil did not alter the pharmacokinetics of dapoxetine; however sildenafil increased the dapoxetine AUC by 22%. These effects were no considered to be clinically important. Dapoxetine did not later the pharmacokinetics of tadalafil or sildenafil</w:t>
      </w:r>
      <w:r w:rsidRPr="00CD5C51">
        <w:rPr>
          <w:vertAlign w:val="superscript"/>
        </w:rPr>
        <w:footnoteReference w:id="2"/>
      </w:r>
      <w:r w:rsidRPr="00B91E83">
        <w:t xml:space="preserve"> .</w:t>
      </w:r>
    </w:p>
    <w:p w:rsidR="00770BDB" w:rsidRDefault="00770BDB" w:rsidP="00770BDB">
      <w:r w:rsidRPr="00B91E83">
        <w:t>There was no information from the company database about avanafil and illicit drugs.</w:t>
      </w:r>
    </w:p>
    <w:p w:rsidR="00770BDB" w:rsidRPr="00B91E83" w:rsidRDefault="00770BDB" w:rsidP="00CD5C51">
      <w:pPr>
        <w:pStyle w:val="Heading4"/>
      </w:pPr>
      <w:r w:rsidRPr="00B91E83">
        <w:t>Second round clinical evaluator’s response</w:t>
      </w:r>
    </w:p>
    <w:p w:rsidR="00770BDB" w:rsidRPr="00B91E83" w:rsidRDefault="00770BDB" w:rsidP="00B91E83">
      <w:r w:rsidRPr="00B91E83">
        <w:t>The sponsor’s response is satisfactory.</w:t>
      </w:r>
    </w:p>
    <w:p w:rsidR="00770BDB" w:rsidRPr="00B91E83" w:rsidRDefault="00770BDB" w:rsidP="00B91E83">
      <w:pPr>
        <w:pStyle w:val="Heading3"/>
      </w:pPr>
      <w:bookmarkStart w:id="434" w:name="_Toc422725569"/>
      <w:bookmarkStart w:id="435" w:name="_Toc466365818"/>
      <w:r w:rsidRPr="00B91E83">
        <w:t>Question 9</w:t>
      </w:r>
      <w:r w:rsidR="004C17D2">
        <w:t xml:space="preserve"> </w:t>
      </w:r>
      <w:r w:rsidR="008D6237">
        <w:t>s</w:t>
      </w:r>
      <w:r w:rsidRPr="00B91E83">
        <w:t>afety</w:t>
      </w:r>
      <w:bookmarkEnd w:id="434"/>
      <w:bookmarkEnd w:id="435"/>
    </w:p>
    <w:p w:rsidR="00770BDB" w:rsidRPr="00B91E83" w:rsidRDefault="00770BDB" w:rsidP="00770BDB">
      <w:pPr>
        <w:rPr>
          <w:i/>
        </w:rPr>
      </w:pPr>
      <w:r w:rsidRPr="00B91E83">
        <w:rPr>
          <w:i/>
        </w:rPr>
        <w:t>Please provide a tabulation, and case descriptions, for all subjects with ALT or AST &gt;</w:t>
      </w:r>
      <w:r w:rsidR="00B91E83">
        <w:rPr>
          <w:i/>
        </w:rPr>
        <w:t xml:space="preserve"> </w:t>
      </w:r>
      <w:r w:rsidRPr="00B91E83">
        <w:rPr>
          <w:i/>
        </w:rPr>
        <w:t xml:space="preserve">3xULN and </w:t>
      </w:r>
      <w:r w:rsidR="00B91E83">
        <w:rPr>
          <w:i/>
        </w:rPr>
        <w:t>bilirubin &gt; 2xULN.</w:t>
      </w:r>
    </w:p>
    <w:p w:rsidR="00770BDB" w:rsidRPr="00EE3221" w:rsidRDefault="00CD5C51" w:rsidP="00CD5C51">
      <w:pPr>
        <w:pStyle w:val="Heading4"/>
      </w:pPr>
      <w:r>
        <w:t>Sponsor</w:t>
      </w:r>
      <w:r w:rsidR="00770BDB" w:rsidRPr="00EE3221">
        <w:t xml:space="preserve"> </w:t>
      </w:r>
      <w:r>
        <w:t>4</w:t>
      </w:r>
      <w:r w:rsidR="008D6237">
        <w:t xml:space="preserve"> r</w:t>
      </w:r>
      <w:r w:rsidR="00770BDB" w:rsidRPr="00EE3221">
        <w:t>esponse</w:t>
      </w:r>
    </w:p>
    <w:p w:rsidR="00770BDB" w:rsidRDefault="00770BDB" w:rsidP="00770BDB">
      <w:r w:rsidRPr="00B91E83">
        <w:t xml:space="preserve">The </w:t>
      </w:r>
      <w:r w:rsidR="00CD5C51">
        <w:t>sponsor</w:t>
      </w:r>
      <w:r w:rsidRPr="00B91E83">
        <w:t xml:space="preserve"> has provided a table summarising marked abnormalities in laboratory tests during the </w:t>
      </w:r>
      <w:r w:rsidR="00CD5C51">
        <w:t>S</w:t>
      </w:r>
      <w:r w:rsidRPr="00B91E83">
        <w:t xml:space="preserve">tudies TA-05, TA-301, and TA-302. There were no subjects who reached the Hy law criteria. The rates of abnormal LFTs </w:t>
      </w:r>
      <w:r w:rsidR="00B91E83">
        <w:t>were low.</w:t>
      </w:r>
    </w:p>
    <w:p w:rsidR="00714B60" w:rsidRDefault="00770BDB" w:rsidP="00B91E83">
      <w:pPr>
        <w:pStyle w:val="Tabletitle"/>
      </w:pPr>
      <w:r w:rsidRPr="00CD5C51">
        <w:lastRenderedPageBreak/>
        <w:t xml:space="preserve">Table </w:t>
      </w:r>
      <w:r w:rsidR="00CD5C51" w:rsidRPr="00CD5C51">
        <w:t>55</w:t>
      </w:r>
      <w:r w:rsidRPr="00CD5C51">
        <w:t>: Summary of the percentage of subjects from studies TA-05, TA-301 and TA-302 who had marked abnormalities of laboratory tests</w:t>
      </w:r>
    </w:p>
    <w:p w:rsidR="00770BDB" w:rsidRDefault="00770BDB" w:rsidP="00CD5C51">
      <w:pPr>
        <w:jc w:val="both"/>
      </w:pPr>
      <w:r w:rsidRPr="00B91E83">
        <w:rPr>
          <w:noProof/>
          <w:lang w:eastAsia="en-AU"/>
        </w:rPr>
        <w:drawing>
          <wp:inline distT="0" distB="0" distL="0" distR="0" wp14:anchorId="4FA400CD" wp14:editId="61BF9588">
            <wp:extent cx="4362450" cy="4400550"/>
            <wp:effectExtent l="38100" t="38100" r="38100" b="38100"/>
            <wp:docPr id="14" name="Picture 14" descr="Table 55: Summary of the percentage of subjects from studies TA-05, TA-301 and TA-302 who had marked abnormalities of laboratory t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lum bright="-20000" contrast="40000"/>
                      <a:extLst>
                        <a:ext uri="{28A0092B-C50C-407E-A947-70E740481C1C}">
                          <a14:useLocalDpi xmlns:a14="http://schemas.microsoft.com/office/drawing/2010/main" val="0"/>
                        </a:ext>
                      </a:extLst>
                    </a:blip>
                    <a:srcRect l="3376" t="8514" r="6310" b="3783"/>
                    <a:stretch/>
                  </pic:blipFill>
                  <pic:spPr bwMode="auto">
                    <a:xfrm>
                      <a:off x="0" y="0"/>
                      <a:ext cx="4364746" cy="4402866"/>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770BDB" w:rsidRPr="00B91E83" w:rsidRDefault="00770BDB" w:rsidP="00CD5C51">
      <w:pPr>
        <w:pStyle w:val="Heading4"/>
      </w:pPr>
      <w:r w:rsidRPr="00B91E83">
        <w:t>Second round evaluator comment</w:t>
      </w:r>
    </w:p>
    <w:p w:rsidR="00770BDB" w:rsidRPr="00B91E83" w:rsidRDefault="00770BDB" w:rsidP="00B91E83">
      <w:r w:rsidRPr="00B91E83">
        <w:t>The response is satisfactory. More patients in the avanafil 200</w:t>
      </w:r>
      <w:r w:rsidR="00CD5C51">
        <w:t xml:space="preserve"> </w:t>
      </w:r>
      <w:r w:rsidRPr="00B91E83">
        <w:t xml:space="preserve">mg </w:t>
      </w:r>
      <w:r w:rsidR="00B91E83">
        <w:t>group had levels of ALT or AST ≥ 3</w:t>
      </w:r>
      <w:r w:rsidR="004C17D2">
        <w:t xml:space="preserve"> x</w:t>
      </w:r>
      <w:r w:rsidR="00B91E83">
        <w:t xml:space="preserve"> ULN, Bilirubin ≥ 2XULN or alkaline phosphatase ≥</w:t>
      </w:r>
      <w:r w:rsidRPr="00B91E83">
        <w:t xml:space="preserve"> 1.5</w:t>
      </w:r>
      <w:r w:rsidR="004C17D2">
        <w:t xml:space="preserve"> x </w:t>
      </w:r>
      <w:r w:rsidRPr="00B91E83">
        <w:t>ULN, however the numbers were very small.</w:t>
      </w:r>
    </w:p>
    <w:p w:rsidR="00C618F7" w:rsidRDefault="00C618F7" w:rsidP="00C618F7">
      <w:pPr>
        <w:pStyle w:val="Heading2"/>
      </w:pPr>
      <w:bookmarkStart w:id="436" w:name="_Toc466365819"/>
      <w:r>
        <w:t>Second round benefit-risk assessment</w:t>
      </w:r>
      <w:bookmarkEnd w:id="436"/>
    </w:p>
    <w:p w:rsidR="0028232A" w:rsidRPr="0028232A" w:rsidRDefault="0028232A" w:rsidP="0028232A">
      <w:pPr>
        <w:pStyle w:val="Heading3"/>
      </w:pPr>
      <w:bookmarkStart w:id="437" w:name="_Toc272414709"/>
      <w:bookmarkStart w:id="438" w:name="_Toc290846349"/>
      <w:bookmarkStart w:id="439" w:name="_Toc422725571"/>
      <w:bookmarkStart w:id="440" w:name="_Toc466365820"/>
      <w:r w:rsidRPr="0028232A">
        <w:t>Second round assessment of benefits</w:t>
      </w:r>
      <w:bookmarkEnd w:id="437"/>
      <w:bookmarkEnd w:id="438"/>
      <w:bookmarkEnd w:id="439"/>
      <w:bookmarkEnd w:id="440"/>
    </w:p>
    <w:p w:rsidR="0028232A" w:rsidRPr="0028232A" w:rsidRDefault="0028232A" w:rsidP="0028232A">
      <w:r w:rsidRPr="0028232A">
        <w:t>After consideration of the responses to the clinical questions, the benefits of avanafil in the treatment of erectile dysfunct</w:t>
      </w:r>
      <w:r>
        <w:t>ion in adult men are unchanged.</w:t>
      </w:r>
    </w:p>
    <w:p w:rsidR="0028232A" w:rsidRPr="0028232A" w:rsidRDefault="0028232A" w:rsidP="0028232A">
      <w:pPr>
        <w:pStyle w:val="ListBullet"/>
      </w:pPr>
      <w:r w:rsidRPr="0028232A">
        <w:t>Avanafil at doses of 50 mg, 100 mg and 200 mg was superior to placebo in subjects with mild to s</w:t>
      </w:r>
      <w:r>
        <w:t>evere ED.</w:t>
      </w:r>
    </w:p>
    <w:p w:rsidR="0028232A" w:rsidRPr="0028232A" w:rsidRDefault="0028232A" w:rsidP="0028232A">
      <w:pPr>
        <w:pStyle w:val="ListBullet"/>
      </w:pPr>
      <w:r w:rsidRPr="0028232A">
        <w:t>Avanafil at doses of 100 mg and 200 mg was superior to placebo in subjects with diabetes mel</w:t>
      </w:r>
      <w:r>
        <w:t>litus and mild to moderate ED.</w:t>
      </w:r>
    </w:p>
    <w:p w:rsidR="0028232A" w:rsidRPr="0028232A" w:rsidRDefault="0028232A" w:rsidP="0028232A">
      <w:pPr>
        <w:pStyle w:val="ListBullet"/>
      </w:pPr>
      <w:r w:rsidRPr="0028232A">
        <w:t>Avanafil at doses of 100 mg and 200 mg was superior to placebo in subjects with ED following bilateral nerve</w:t>
      </w:r>
      <w:r>
        <w:t>-sparing radical prostatectomy.</w:t>
      </w:r>
    </w:p>
    <w:p w:rsidR="0028232A" w:rsidRPr="0028232A" w:rsidRDefault="0028232A" w:rsidP="0028232A">
      <w:pPr>
        <w:pStyle w:val="ListBullet"/>
      </w:pPr>
      <w:r w:rsidRPr="0028232A">
        <w:t xml:space="preserve">Avanafil at all doses had rapid onset of action in subjects with </w:t>
      </w:r>
      <w:r>
        <w:t>no restriction of food intake.</w:t>
      </w:r>
    </w:p>
    <w:p w:rsidR="0028232A" w:rsidRPr="0028232A" w:rsidRDefault="0028232A" w:rsidP="0028232A">
      <w:pPr>
        <w:pStyle w:val="ListBullet"/>
      </w:pPr>
      <w:r w:rsidRPr="0028232A">
        <w:lastRenderedPageBreak/>
        <w:t>The effects of avanafil appear to be mai</w:t>
      </w:r>
      <w:r>
        <w:t>ntained over a 52 week period.</w:t>
      </w:r>
    </w:p>
    <w:p w:rsidR="0028232A" w:rsidRPr="00E71190" w:rsidRDefault="0028232A" w:rsidP="0028232A">
      <w:r w:rsidRPr="0028232A">
        <w:t>No benefit clinical benefit of 200</w:t>
      </w:r>
      <w:r w:rsidR="00CD5C51">
        <w:t xml:space="preserve"> </w:t>
      </w:r>
      <w:r w:rsidRPr="0028232A">
        <w:t>mg over 10</w:t>
      </w:r>
      <w:r w:rsidR="001327D2">
        <w:t>0 mg</w:t>
      </w:r>
      <w:r w:rsidRPr="0028232A">
        <w:t xml:space="preserve"> has been demonstrated.</w:t>
      </w:r>
    </w:p>
    <w:p w:rsidR="0028232A" w:rsidRPr="0028232A" w:rsidRDefault="0028232A" w:rsidP="0028232A">
      <w:pPr>
        <w:pStyle w:val="Heading3"/>
      </w:pPr>
      <w:bookmarkStart w:id="441" w:name="_Toc272414710"/>
      <w:bookmarkStart w:id="442" w:name="_Toc290846350"/>
      <w:bookmarkStart w:id="443" w:name="_Toc422725572"/>
      <w:bookmarkStart w:id="444" w:name="_Toc466365821"/>
      <w:r w:rsidRPr="0028232A">
        <w:t>Second round assessment of risks</w:t>
      </w:r>
      <w:bookmarkEnd w:id="441"/>
      <w:bookmarkEnd w:id="442"/>
      <w:bookmarkEnd w:id="443"/>
      <w:bookmarkEnd w:id="444"/>
    </w:p>
    <w:p w:rsidR="0028232A" w:rsidRPr="0028232A" w:rsidRDefault="0028232A" w:rsidP="0028232A">
      <w:r w:rsidRPr="0028232A">
        <w:t>After consideration of the responses to the clinical questions, the following concerns remain:</w:t>
      </w:r>
    </w:p>
    <w:p w:rsidR="0028232A" w:rsidRPr="0028232A" w:rsidRDefault="0028232A" w:rsidP="00E55BF2">
      <w:pPr>
        <w:pStyle w:val="Numberbullet0"/>
        <w:numPr>
          <w:ilvl w:val="0"/>
          <w:numId w:val="15"/>
        </w:numPr>
      </w:pPr>
      <w:r w:rsidRPr="0028232A">
        <w:t>The 200</w:t>
      </w:r>
      <w:r w:rsidR="00CD5C51">
        <w:t xml:space="preserve"> </w:t>
      </w:r>
      <w:r w:rsidRPr="0028232A">
        <w:t>mg dose formulation was not used in the key pivotal studies; therefore the clinical efficacy of this formulation is unknown. Bioequivalence has been satisfactorily demonstrated based on the EU guidelines for C</w:t>
      </w:r>
      <w:r w:rsidRPr="0028232A">
        <w:rPr>
          <w:vertAlign w:val="subscript"/>
        </w:rPr>
        <w:t>max</w:t>
      </w:r>
      <w:r w:rsidRPr="0028232A">
        <w:t xml:space="preserve"> and AUC, but there is variability in T</w:t>
      </w:r>
      <w:r w:rsidRPr="0028232A">
        <w:rPr>
          <w:vertAlign w:val="subscript"/>
        </w:rPr>
        <w:t>max</w:t>
      </w:r>
      <w:r w:rsidRPr="0028232A">
        <w:t xml:space="preserve"> b</w:t>
      </w:r>
      <w:r>
        <w:t xml:space="preserve">etween different formulations. </w:t>
      </w:r>
      <w:r w:rsidRPr="0028232A">
        <w:t>It is possible that this variability in T</w:t>
      </w:r>
      <w:r w:rsidRPr="0028232A">
        <w:rPr>
          <w:vertAlign w:val="subscript"/>
        </w:rPr>
        <w:t>max</w:t>
      </w:r>
      <w:r w:rsidRPr="0028232A">
        <w:t xml:space="preserve"> may have an impact on the</w:t>
      </w:r>
      <w:r>
        <w:t xml:space="preserve"> onset and duration of action. </w:t>
      </w:r>
      <w:r w:rsidRPr="0028232A">
        <w:t>A delayed onset of action may have a clinically significant impact on its effect on erectile function.</w:t>
      </w:r>
    </w:p>
    <w:p w:rsidR="00714B60" w:rsidRDefault="0028232A" w:rsidP="00E55BF2">
      <w:pPr>
        <w:pStyle w:val="Numberbullet0"/>
        <w:numPr>
          <w:ilvl w:val="0"/>
          <w:numId w:val="15"/>
        </w:numPr>
      </w:pPr>
      <w:r w:rsidRPr="0028232A">
        <w:t>A QT study at a dose of 20</w:t>
      </w:r>
      <w:r w:rsidR="001327D2">
        <w:t>0 mg</w:t>
      </w:r>
      <w:r w:rsidRPr="0028232A">
        <w:t xml:space="preserve"> has not been performed, and the results of the QT study for the 800</w:t>
      </w:r>
      <w:r w:rsidR="00CD5C51">
        <w:t xml:space="preserve"> </w:t>
      </w:r>
      <w:r w:rsidRPr="0028232A">
        <w:t>mg dose are equivocal. Thus, the safety of the 200</w:t>
      </w:r>
      <w:r w:rsidR="00CD5C51">
        <w:t xml:space="preserve"> </w:t>
      </w:r>
      <w:r w:rsidRPr="0028232A">
        <w:t>mg dose in relation to QT prolongation is unknown.</w:t>
      </w:r>
    </w:p>
    <w:p w:rsidR="0028232A" w:rsidRDefault="0028232A" w:rsidP="00E55BF2">
      <w:pPr>
        <w:pStyle w:val="Numberbullet0"/>
        <w:numPr>
          <w:ilvl w:val="0"/>
          <w:numId w:val="15"/>
        </w:numPr>
      </w:pPr>
      <w:r w:rsidRPr="0028232A">
        <w:t>The most common adverse effects of avanafil, such as headache, flushing and nausea, are dose proportional and more common at a higher dose.</w:t>
      </w:r>
    </w:p>
    <w:p w:rsidR="0028232A" w:rsidRPr="0028232A" w:rsidRDefault="0028232A" w:rsidP="0028232A">
      <w:pPr>
        <w:pStyle w:val="Heading3"/>
      </w:pPr>
      <w:bookmarkStart w:id="445" w:name="_Toc272414711"/>
      <w:bookmarkStart w:id="446" w:name="_Toc290846351"/>
      <w:bookmarkStart w:id="447" w:name="_Toc422725573"/>
      <w:bookmarkStart w:id="448" w:name="_Toc466365822"/>
      <w:r w:rsidRPr="0028232A">
        <w:t>Second round assessment of benefit-risk balance</w:t>
      </w:r>
      <w:bookmarkEnd w:id="445"/>
      <w:bookmarkEnd w:id="446"/>
      <w:bookmarkEnd w:id="447"/>
      <w:bookmarkEnd w:id="448"/>
    </w:p>
    <w:p w:rsidR="0028232A" w:rsidRPr="0028232A" w:rsidRDefault="0028232A" w:rsidP="0028232A">
      <w:r w:rsidRPr="0028232A">
        <w:t>There are clinical and statistically significant benefits of avanafil at a dose of 100</w:t>
      </w:r>
      <w:r w:rsidR="00CD5C51">
        <w:t xml:space="preserve"> </w:t>
      </w:r>
      <w:r w:rsidRPr="0028232A">
        <w:t>mg for the treatment of erectile dysfunction in males. The risks of avanafil at this dose are acceptable.</w:t>
      </w:r>
    </w:p>
    <w:p w:rsidR="0028232A" w:rsidRPr="0028232A" w:rsidRDefault="0028232A" w:rsidP="0028232A">
      <w:r w:rsidRPr="0028232A">
        <w:t>The clinical data submitted does not demonstrate superiority of a 200</w:t>
      </w:r>
      <w:r w:rsidR="00CD5C51">
        <w:t xml:space="preserve"> </w:t>
      </w:r>
      <w:r w:rsidRPr="0028232A">
        <w:t>mg dose over a 100</w:t>
      </w:r>
      <w:r w:rsidR="00CD5C51">
        <w:t xml:space="preserve"> </w:t>
      </w:r>
      <w:r w:rsidRPr="0028232A">
        <w:t>mg dose. There are more adverse effects observed with larger doses. The impact of the 200</w:t>
      </w:r>
      <w:r w:rsidR="00CD5C51">
        <w:t xml:space="preserve"> </w:t>
      </w:r>
      <w:r w:rsidRPr="0028232A">
        <w:t>mg dose on the QT interval is unknown. Although a repeat QT/QTc study using a dose of 200</w:t>
      </w:r>
      <w:r w:rsidR="00CD5C51">
        <w:t xml:space="preserve"> </w:t>
      </w:r>
      <w:r w:rsidRPr="0028232A">
        <w:t xml:space="preserve">mg of avanafil would help resolve the later issue, the benefit-risk balance of the large body of clinical evidence collected about the safety and efficacy of avanafil at a dose </w:t>
      </w:r>
      <w:r>
        <w:t>of 200</w:t>
      </w:r>
      <w:r w:rsidR="00CD5C51">
        <w:t xml:space="preserve"> </w:t>
      </w:r>
      <w:r>
        <w:t>mg will remain unchanged.</w:t>
      </w:r>
    </w:p>
    <w:p w:rsidR="0028232A" w:rsidRPr="0028232A" w:rsidRDefault="0028232A" w:rsidP="0028232A">
      <w:r w:rsidRPr="0028232A">
        <w:t>Although disabling, erectile dysfunction is not associated with significant morbidi</w:t>
      </w:r>
      <w:r>
        <w:t xml:space="preserve">ty or limited life expectancy. </w:t>
      </w:r>
      <w:r w:rsidRPr="0028232A">
        <w:t>The risks to the health and wellbeing of the population as a consequence of not approving the 20</w:t>
      </w:r>
      <w:r w:rsidR="001327D2">
        <w:t>0 mg</w:t>
      </w:r>
      <w:r w:rsidRPr="0028232A">
        <w:t xml:space="preserve"> dose are smaller than the risks associated approving this larger dose and fo</w:t>
      </w:r>
      <w:r>
        <w:t>rmulation.</w:t>
      </w:r>
    </w:p>
    <w:p w:rsidR="00C618F7" w:rsidRDefault="00C618F7" w:rsidP="00C618F7">
      <w:pPr>
        <w:pStyle w:val="Heading2"/>
      </w:pPr>
      <w:bookmarkStart w:id="449" w:name="_Toc466365823"/>
      <w:r>
        <w:t>Second round recommendation regarding authorisation</w:t>
      </w:r>
      <w:bookmarkEnd w:id="449"/>
    </w:p>
    <w:p w:rsidR="00E55BF2" w:rsidRDefault="0028232A" w:rsidP="00E55BF2">
      <w:r w:rsidRPr="0028232A">
        <w:t xml:space="preserve">The clinical evaluator recommends approval of avanafil for the </w:t>
      </w:r>
      <w:r w:rsidRPr="0028232A">
        <w:rPr>
          <w:i/>
        </w:rPr>
        <w:t>‘Treatment of erectile dysfunction in adult men’</w:t>
      </w:r>
      <w:r w:rsidRPr="0028232A">
        <w:t xml:space="preserve"> subject to the following:</w:t>
      </w:r>
    </w:p>
    <w:p w:rsidR="0028232A" w:rsidRPr="006D66D5" w:rsidRDefault="0028232A" w:rsidP="00E55BF2">
      <w:pPr>
        <w:pStyle w:val="Numberbullet0"/>
        <w:numPr>
          <w:ilvl w:val="0"/>
          <w:numId w:val="16"/>
        </w:numPr>
      </w:pPr>
      <w:r w:rsidRPr="00E55BF2">
        <w:t>A limitation of  the dose to 100</w:t>
      </w:r>
      <w:r w:rsidR="00CD5C51">
        <w:t xml:space="preserve"> </w:t>
      </w:r>
      <w:r w:rsidRPr="00E55BF2">
        <w:t>mg daily</w:t>
      </w:r>
    </w:p>
    <w:p w:rsidR="0028232A" w:rsidRPr="00E55BF2" w:rsidRDefault="0028232A" w:rsidP="00E55BF2">
      <w:pPr>
        <w:pStyle w:val="Numberbullet0"/>
      </w:pPr>
      <w:r w:rsidRPr="00E55BF2">
        <w:t>That the PI be amended to include</w:t>
      </w:r>
    </w:p>
    <w:p w:rsidR="0028232A" w:rsidRPr="006D66D5" w:rsidRDefault="0028232A" w:rsidP="00E55BF2">
      <w:pPr>
        <w:pStyle w:val="Numberbullet2"/>
      </w:pPr>
      <w:r w:rsidRPr="00E55BF2">
        <w:t>A warning about the potential for QT prolongation with overdose</w:t>
      </w:r>
    </w:p>
    <w:p w:rsidR="00E55BF2" w:rsidRDefault="0028232A" w:rsidP="00E55BF2">
      <w:pPr>
        <w:pStyle w:val="Numberbullet0"/>
      </w:pPr>
      <w:r w:rsidRPr="00E55BF2">
        <w:t>The addition of risks to the RMP including:</w:t>
      </w:r>
    </w:p>
    <w:p w:rsidR="0028232A" w:rsidRPr="00E55BF2" w:rsidRDefault="0028232A" w:rsidP="00E55BF2">
      <w:pPr>
        <w:pStyle w:val="Numberbullet2"/>
      </w:pPr>
      <w:r w:rsidRPr="00E55BF2">
        <w:t>Potential risk- prolongation of the QT interval with high exposure</w:t>
      </w:r>
    </w:p>
    <w:p w:rsidR="0028232A" w:rsidRPr="00E55BF2" w:rsidRDefault="0028232A" w:rsidP="00E55BF2">
      <w:pPr>
        <w:pStyle w:val="Numberbullet2"/>
      </w:pPr>
      <w:r w:rsidRPr="00E55BF2">
        <w:t>Missing Information – the use of avanafil with illicit drugs</w:t>
      </w:r>
    </w:p>
    <w:bookmarkEnd w:id="1"/>
    <w:bookmarkEnd w:id="0"/>
    <w:bookmarkEnd w:id="3"/>
    <w:p w:rsidR="003D1E62" w:rsidRPr="001D043B" w:rsidRDefault="003D1E62" w:rsidP="002666AC">
      <w:pPr>
        <w:sectPr w:rsidR="003D1E62" w:rsidRPr="001D043B" w:rsidSect="008D770F">
          <w:headerReference w:type="even" r:id="rId78"/>
          <w:headerReference w:type="default" r:id="rId79"/>
          <w:headerReference w:type="first" r:id="rId80"/>
          <w:footerReference w:type="first" r:id="rId81"/>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D25A10">
        <w:trPr>
          <w:trHeight w:hRule="exact" w:val="564"/>
        </w:trPr>
        <w:tc>
          <w:tcPr>
            <w:tcW w:w="9175" w:type="dxa"/>
          </w:tcPr>
          <w:p w:rsidR="00B3567E" w:rsidRPr="00487162" w:rsidRDefault="00B3567E" w:rsidP="00D25A10">
            <w:pPr>
              <w:pStyle w:val="TGASignoff"/>
            </w:pPr>
            <w:r w:rsidRPr="00487162">
              <w:lastRenderedPageBreak/>
              <w:t>Therapeutic Goods Administration</w:t>
            </w:r>
          </w:p>
        </w:tc>
      </w:tr>
      <w:tr w:rsidR="00B3567E" w:rsidRPr="00487162" w:rsidTr="00D25A10">
        <w:trPr>
          <w:trHeight w:val="1221"/>
        </w:trPr>
        <w:tc>
          <w:tcPr>
            <w:tcW w:w="9175" w:type="dxa"/>
            <w:tcMar>
              <w:top w:w="28" w:type="dxa"/>
            </w:tcMar>
          </w:tcPr>
          <w:p w:rsidR="00B3567E" w:rsidRPr="00487162" w:rsidRDefault="00B3567E" w:rsidP="00D25A10">
            <w:pPr>
              <w:pStyle w:val="Address"/>
            </w:pPr>
            <w:r w:rsidRPr="00487162">
              <w:t>PO Box 100 Woden ACT 2606 Australia</w:t>
            </w:r>
          </w:p>
          <w:p w:rsidR="00B3567E" w:rsidRPr="00487162" w:rsidRDefault="00B3567E" w:rsidP="00D25A10">
            <w:pPr>
              <w:pStyle w:val="Address"/>
            </w:pPr>
            <w:r w:rsidRPr="00487162">
              <w:t xml:space="preserve">Email: </w:t>
            </w:r>
            <w:hyperlink r:id="rId82" w:history="1">
              <w:r w:rsidRPr="008D770F">
                <w:rPr>
                  <w:rStyle w:val="Hyperlink"/>
                </w:rPr>
                <w:t>info@tga.gov.au</w:t>
              </w:r>
            </w:hyperlink>
            <w:r w:rsidRPr="00487162">
              <w:t xml:space="preserve">  Phone: 1800 020 653  Fax: 02 6232 8605</w:t>
            </w:r>
          </w:p>
          <w:p w:rsidR="00B3567E" w:rsidRPr="008D770F" w:rsidRDefault="00714B60" w:rsidP="00D25A10">
            <w:pPr>
              <w:pStyle w:val="Address"/>
              <w:spacing w:line="260" w:lineRule="atLeast"/>
              <w:rPr>
                <w:b/>
                <w:color w:val="0000FF"/>
                <w:u w:val="single"/>
              </w:rPr>
            </w:pPr>
            <w:hyperlink r:id="rId83"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84"/>
      <w:headerReference w:type="default" r:id="rId85"/>
      <w:footerReference w:type="default" r:id="rId86"/>
      <w:headerReference w:type="first" r:id="rId87"/>
      <w:footerReference w:type="first" r:id="rId8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4B60" w:rsidRDefault="00714B60" w:rsidP="00C40A36">
      <w:pPr>
        <w:spacing w:after="0"/>
      </w:pPr>
      <w:r>
        <w:separator/>
      </w:r>
    </w:p>
  </w:endnote>
  <w:endnote w:type="continuationSeparator" w:id="0">
    <w:p w:rsidR="00714B60" w:rsidRDefault="00714B60"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714B60" w:rsidRPr="00487162" w:rsidTr="00F21ECC">
      <w:trPr>
        <w:trHeight w:val="269"/>
      </w:trPr>
      <w:tc>
        <w:tcPr>
          <w:tcW w:w="7513" w:type="dxa"/>
          <w:tcMar>
            <w:top w:w="142" w:type="dxa"/>
            <w:bottom w:w="0" w:type="dxa"/>
          </w:tcMar>
        </w:tcPr>
        <w:p w:rsidR="00714B60" w:rsidRPr="00487162" w:rsidRDefault="00714B60" w:rsidP="00313974">
          <w:pPr>
            <w:pStyle w:val="Footer"/>
          </w:pPr>
          <w:r>
            <w:t>Submission</w:t>
          </w:r>
          <w:r w:rsidRPr="00487162">
            <w:t xml:space="preserve"> </w:t>
          </w:r>
          <w:r w:rsidRPr="00B479AA">
            <w:t>PM-2014-02782-1-3</w:t>
          </w:r>
          <w:r>
            <w:t xml:space="preserve"> Extract from the Clinical Evaluation Report for Spedra</w:t>
          </w:r>
        </w:p>
      </w:tc>
      <w:tc>
        <w:tcPr>
          <w:tcW w:w="1348" w:type="dxa"/>
          <w:tcMar>
            <w:top w:w="142" w:type="dxa"/>
            <w:bottom w:w="0" w:type="dxa"/>
          </w:tcMar>
        </w:tcPr>
        <w:p w:rsidR="00714B60" w:rsidRPr="00981D66" w:rsidRDefault="00714B60"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8D6237">
            <w:rPr>
              <w:noProof/>
            </w:rPr>
            <w:t>2</w:t>
          </w:r>
          <w:r w:rsidRPr="00981D66">
            <w:fldChar w:fldCharType="end"/>
          </w:r>
          <w:r w:rsidRPr="00981D66">
            <w:t xml:space="preserve"> of </w:t>
          </w:r>
          <w:fldSimple w:instr=" NUMPAGES  \* Arabic  \* MERGEFORMAT ">
            <w:r w:rsidR="008D6237">
              <w:rPr>
                <w:noProof/>
              </w:rPr>
              <w:t>83</w:t>
            </w:r>
          </w:fldSimple>
        </w:p>
      </w:tc>
    </w:tr>
  </w:tbl>
  <w:p w:rsidR="00714B60" w:rsidRDefault="00714B60"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714B60" w:rsidRPr="00487162" w:rsidTr="00E45619">
      <w:trPr>
        <w:trHeight w:val="269"/>
      </w:trPr>
      <w:tc>
        <w:tcPr>
          <w:tcW w:w="4519" w:type="dxa"/>
          <w:tcBorders>
            <w:top w:val="single" w:sz="4" w:space="0" w:color="auto"/>
          </w:tcBorders>
          <w:tcMar>
            <w:top w:w="142" w:type="dxa"/>
            <w:bottom w:w="0" w:type="dxa"/>
          </w:tcMar>
        </w:tcPr>
        <w:p w:rsidR="00714B60" w:rsidRPr="00487162" w:rsidRDefault="00714B60" w:rsidP="00FE1DEE">
          <w:pPr>
            <w:pStyle w:val="Footer"/>
          </w:pPr>
          <w:r w:rsidRPr="00487162">
            <w:t>Document title, Part #, Section # - Section title</w:t>
          </w:r>
        </w:p>
        <w:p w:rsidR="00714B60" w:rsidRPr="00487162" w:rsidRDefault="00714B60" w:rsidP="00FE1DEE">
          <w:pPr>
            <w:pStyle w:val="Footer"/>
          </w:pPr>
          <w:r w:rsidRPr="00487162">
            <w:t>V1.0 October 2010</w:t>
          </w:r>
        </w:p>
      </w:tc>
      <w:tc>
        <w:tcPr>
          <w:tcW w:w="4342" w:type="dxa"/>
          <w:tcBorders>
            <w:top w:val="single" w:sz="4" w:space="0" w:color="auto"/>
          </w:tcBorders>
          <w:tcMar>
            <w:top w:w="142" w:type="dxa"/>
            <w:bottom w:w="0" w:type="dxa"/>
          </w:tcMar>
        </w:tcPr>
        <w:p w:rsidR="00714B60" w:rsidRPr="00487162" w:rsidRDefault="00714B60"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1</w:t>
            </w:r>
          </w:fldSimple>
        </w:p>
      </w:tc>
    </w:tr>
  </w:tbl>
  <w:p w:rsidR="00714B60" w:rsidRDefault="00714B6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714B60" w:rsidTr="0010601F">
      <w:trPr>
        <w:trHeight w:val="108"/>
      </w:trPr>
      <w:tc>
        <w:tcPr>
          <w:tcW w:w="8875" w:type="dxa"/>
          <w:gridSpan w:val="2"/>
          <w:tcBorders>
            <w:bottom w:val="single" w:sz="4" w:space="0" w:color="auto"/>
          </w:tcBorders>
          <w:tcMar>
            <w:right w:w="284" w:type="dxa"/>
          </w:tcMar>
        </w:tcPr>
        <w:p w:rsidR="00714B60" w:rsidRDefault="00714B60" w:rsidP="006E08B3">
          <w:pPr>
            <w:pStyle w:val="Heading3"/>
          </w:pPr>
          <w:r>
            <w:t>Copyright</w:t>
          </w:r>
        </w:p>
        <w:p w:rsidR="00714B60" w:rsidRDefault="00714B60" w:rsidP="006E08B3">
          <w:r>
            <w:rPr>
              <w:rFonts w:cs="Arial"/>
            </w:rPr>
            <w:t>©</w:t>
          </w:r>
          <w:r>
            <w:t xml:space="preserve"> Commonwealth of Australia [add year]</w:t>
          </w:r>
        </w:p>
        <w:p w:rsidR="00714B60" w:rsidRDefault="00714B60" w:rsidP="006E08B3"/>
        <w:p w:rsidR="00714B60" w:rsidRDefault="00714B60"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714B60" w:rsidRDefault="00714B60" w:rsidP="006E08B3"/>
        <w:p w:rsidR="00714B60" w:rsidRDefault="00714B60" w:rsidP="006E08B3">
          <w:pPr>
            <w:pStyle w:val="Heading3"/>
          </w:pPr>
          <w:r>
            <w:t>Confidentiality</w:t>
          </w:r>
        </w:p>
        <w:p w:rsidR="00714B60" w:rsidRDefault="00714B60"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714B60" w:rsidRDefault="00714B60" w:rsidP="006E08B3"/>
        <w:p w:rsidR="00714B60" w:rsidRDefault="00714B60" w:rsidP="006E08B3">
          <w:r>
            <w:t>For submission made by individuals, all personal details, other than your name, will be removed from your submission before it is published on the TGA’s Internet site.</w:t>
          </w:r>
        </w:p>
        <w:p w:rsidR="00714B60" w:rsidRDefault="00714B60" w:rsidP="006E08B3"/>
        <w:p w:rsidR="00714B60" w:rsidRDefault="00714B60" w:rsidP="006E08B3">
          <w:r>
            <w:t>In addition, a list of parties making submissions will be published. If you do not wish to be identified with your submission you must specifically request this in the space provided ib the submission coversheet.</w:t>
          </w:r>
        </w:p>
      </w:tc>
    </w:tr>
    <w:tr w:rsidR="00714B60" w:rsidTr="0010601F">
      <w:trPr>
        <w:trHeight w:val="417"/>
      </w:trPr>
      <w:tc>
        <w:tcPr>
          <w:tcW w:w="4519" w:type="dxa"/>
          <w:tcBorders>
            <w:top w:val="single" w:sz="4" w:space="0" w:color="auto"/>
          </w:tcBorders>
          <w:tcMar>
            <w:top w:w="142" w:type="dxa"/>
            <w:bottom w:w="0" w:type="dxa"/>
          </w:tcMar>
        </w:tcPr>
        <w:p w:rsidR="00714B60" w:rsidRDefault="00714B60" w:rsidP="006E08B3">
          <w:r>
            <w:t>Document title, Part #, Section # - Section title</w:t>
          </w:r>
        </w:p>
        <w:p w:rsidR="00714B60" w:rsidRDefault="00714B60" w:rsidP="006E08B3">
          <w:r>
            <w:t>V1.0 October 2010</w:t>
          </w:r>
        </w:p>
      </w:tc>
      <w:tc>
        <w:tcPr>
          <w:tcW w:w="4356" w:type="dxa"/>
          <w:tcBorders>
            <w:top w:val="single" w:sz="4" w:space="0" w:color="auto"/>
          </w:tcBorders>
          <w:tcMar>
            <w:top w:w="142" w:type="dxa"/>
            <w:bottom w:w="0" w:type="dxa"/>
          </w:tcMar>
        </w:tcPr>
        <w:p w:rsidR="00714B60" w:rsidRDefault="00714B60"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1</w:t>
            </w:r>
          </w:fldSimple>
          <w:r>
            <w:t xml:space="preserve">  </w:t>
          </w:r>
        </w:p>
      </w:tc>
    </w:tr>
  </w:tbl>
  <w:p w:rsidR="00714B60" w:rsidRDefault="00714B6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4B60" w:rsidRDefault="00714B60" w:rsidP="00C40A36">
      <w:pPr>
        <w:spacing w:after="0"/>
      </w:pPr>
      <w:r>
        <w:separator/>
      </w:r>
    </w:p>
  </w:footnote>
  <w:footnote w:type="continuationSeparator" w:id="0">
    <w:p w:rsidR="00714B60" w:rsidRDefault="00714B60" w:rsidP="00C40A36">
      <w:pPr>
        <w:spacing w:after="0"/>
      </w:pPr>
      <w:r>
        <w:continuationSeparator/>
      </w:r>
    </w:p>
  </w:footnote>
  <w:footnote w:id="1">
    <w:p w:rsidR="00714B60" w:rsidRDefault="00714B60" w:rsidP="008D6237">
      <w:pPr>
        <w:pStyle w:val="FootnoteText"/>
      </w:pPr>
      <w:r>
        <w:rPr>
          <w:rStyle w:val="FootnoteReference"/>
        </w:rPr>
        <w:footnoteRef/>
      </w:r>
      <w:r>
        <w:t xml:space="preserve"> McMahon CG et al. Efficacy and safety of dapoxetine in men with premature ejaculation and concomitant</w:t>
      </w:r>
    </w:p>
    <w:p w:rsidR="00714B60" w:rsidRDefault="00714B60" w:rsidP="00B91E83">
      <w:pPr>
        <w:pStyle w:val="Footer"/>
      </w:pPr>
      <w:r>
        <w:t>erectile dysfunction treated with a phosphodiesterase type 5 inhibitor: randomised, placebo-controlled, phase III study. J Sex Med. 2013 Sep;10(9):2312-25)</w:t>
      </w:r>
    </w:p>
  </w:footnote>
  <w:footnote w:id="2">
    <w:p w:rsidR="00714B60" w:rsidRDefault="00714B60" w:rsidP="008D6237">
      <w:pPr>
        <w:pStyle w:val="FootnoteText"/>
      </w:pPr>
      <w:r>
        <w:rPr>
          <w:rStyle w:val="FootnoteReference"/>
        </w:rPr>
        <w:footnoteRef/>
      </w:r>
      <w:r>
        <w:t xml:space="preserve"> Dresser MJ et al. Dapoxetine, a novel treatment for premature ejaculation, does not have pharmacokinetic</w:t>
      </w:r>
      <w:r w:rsidR="008D6237">
        <w:t xml:space="preserve"> </w:t>
      </w:r>
      <w:r>
        <w:t>interactions with phosphodiesterase-5 inhibitors (Int J Impot Res. 2006 Jan-Feb;18(1):104-10).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714B60" w:rsidRDefault="00714B60"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4B60" w:rsidRDefault="00714B60" w:rsidP="006E08B3">
    <w:r>
      <w:t>Therapeutic Goods Administration</w:t>
    </w:r>
  </w:p>
  <w:p w:rsidR="00714B60" w:rsidRDefault="00714B60"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
    <w:nsid w:val="3066740A"/>
    <w:multiLevelType w:val="hybridMultilevel"/>
    <w:tmpl w:val="4AC4A154"/>
    <w:lvl w:ilvl="0" w:tplc="AAAE3F22">
      <w:start w:val="1"/>
      <w:numFmt w:val="bullet"/>
      <w:pStyle w:val="Bullet1"/>
      <w:lvlText w:val="•"/>
      <w:lvlJc w:val="left"/>
      <w:pPr>
        <w:tabs>
          <w:tab w:val="num" w:pos="644"/>
        </w:tabs>
        <w:ind w:left="64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4">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5">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6">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7">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2"/>
  </w:num>
  <w:num w:numId="4">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6"/>
  </w:num>
  <w:num w:numId="6">
    <w:abstractNumId w:val="3"/>
  </w:num>
  <w:num w:numId="7">
    <w:abstractNumId w:val="4"/>
  </w:num>
  <w:num w:numId="8">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9">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0">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1">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2">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3">
    <w:abstractNumId w:val="5"/>
  </w:num>
  <w:num w:numId="14">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5">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6">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7">
    <w:abstractNumId w:val="7"/>
  </w:num>
  <w:num w:numId="18">
    <w:abstractNumId w:val="0"/>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07BF"/>
    <w:rsid w:val="00002031"/>
    <w:rsid w:val="00004734"/>
    <w:rsid w:val="00006B22"/>
    <w:rsid w:val="0001276A"/>
    <w:rsid w:val="000246AE"/>
    <w:rsid w:val="00025C67"/>
    <w:rsid w:val="00040ACB"/>
    <w:rsid w:val="0005559E"/>
    <w:rsid w:val="00077775"/>
    <w:rsid w:val="00090471"/>
    <w:rsid w:val="00097B5E"/>
    <w:rsid w:val="000A3AED"/>
    <w:rsid w:val="000A63AF"/>
    <w:rsid w:val="000B3532"/>
    <w:rsid w:val="000B3A75"/>
    <w:rsid w:val="000B6737"/>
    <w:rsid w:val="000C690F"/>
    <w:rsid w:val="000D1295"/>
    <w:rsid w:val="000D391B"/>
    <w:rsid w:val="000D3D6D"/>
    <w:rsid w:val="000D4BE1"/>
    <w:rsid w:val="000D4FC7"/>
    <w:rsid w:val="000D6103"/>
    <w:rsid w:val="000F02F9"/>
    <w:rsid w:val="000F4869"/>
    <w:rsid w:val="000F5B42"/>
    <w:rsid w:val="000F6E6F"/>
    <w:rsid w:val="0010193C"/>
    <w:rsid w:val="00104613"/>
    <w:rsid w:val="0010601F"/>
    <w:rsid w:val="0010788A"/>
    <w:rsid w:val="00107A31"/>
    <w:rsid w:val="00110EA5"/>
    <w:rsid w:val="00112F56"/>
    <w:rsid w:val="00125318"/>
    <w:rsid w:val="001305A2"/>
    <w:rsid w:val="001327D2"/>
    <w:rsid w:val="00133238"/>
    <w:rsid w:val="0014197B"/>
    <w:rsid w:val="001447CD"/>
    <w:rsid w:val="00144BFD"/>
    <w:rsid w:val="001516B1"/>
    <w:rsid w:val="00154EBB"/>
    <w:rsid w:val="00156316"/>
    <w:rsid w:val="001577F0"/>
    <w:rsid w:val="00165389"/>
    <w:rsid w:val="0017078F"/>
    <w:rsid w:val="0017693F"/>
    <w:rsid w:val="0018110E"/>
    <w:rsid w:val="00181684"/>
    <w:rsid w:val="00182234"/>
    <w:rsid w:val="001843C6"/>
    <w:rsid w:val="001850E0"/>
    <w:rsid w:val="001940B2"/>
    <w:rsid w:val="001A2158"/>
    <w:rsid w:val="001A525F"/>
    <w:rsid w:val="001B09F9"/>
    <w:rsid w:val="001B5D98"/>
    <w:rsid w:val="001B6448"/>
    <w:rsid w:val="001C657B"/>
    <w:rsid w:val="001E07CF"/>
    <w:rsid w:val="001E59F1"/>
    <w:rsid w:val="001F497A"/>
    <w:rsid w:val="001F49EB"/>
    <w:rsid w:val="001F6CBA"/>
    <w:rsid w:val="00201D4E"/>
    <w:rsid w:val="00205523"/>
    <w:rsid w:val="002076C9"/>
    <w:rsid w:val="00220B8A"/>
    <w:rsid w:val="002257F3"/>
    <w:rsid w:val="00233456"/>
    <w:rsid w:val="002339A5"/>
    <w:rsid w:val="00257848"/>
    <w:rsid w:val="002666AC"/>
    <w:rsid w:val="0027084A"/>
    <w:rsid w:val="0028232A"/>
    <w:rsid w:val="00286434"/>
    <w:rsid w:val="00286C59"/>
    <w:rsid w:val="00292113"/>
    <w:rsid w:val="002942D1"/>
    <w:rsid w:val="0029501A"/>
    <w:rsid w:val="002B1638"/>
    <w:rsid w:val="002C63ED"/>
    <w:rsid w:val="002D32BA"/>
    <w:rsid w:val="002D545C"/>
    <w:rsid w:val="002D6161"/>
    <w:rsid w:val="002E4C9A"/>
    <w:rsid w:val="002E6B72"/>
    <w:rsid w:val="002F11F8"/>
    <w:rsid w:val="002F3F56"/>
    <w:rsid w:val="002F44B5"/>
    <w:rsid w:val="00311090"/>
    <w:rsid w:val="00311AC0"/>
    <w:rsid w:val="00313974"/>
    <w:rsid w:val="0032583B"/>
    <w:rsid w:val="00325E52"/>
    <w:rsid w:val="00327883"/>
    <w:rsid w:val="00335504"/>
    <w:rsid w:val="00337BB9"/>
    <w:rsid w:val="003521E8"/>
    <w:rsid w:val="003728F3"/>
    <w:rsid w:val="0037496E"/>
    <w:rsid w:val="0037623D"/>
    <w:rsid w:val="00386150"/>
    <w:rsid w:val="003874CE"/>
    <w:rsid w:val="00390900"/>
    <w:rsid w:val="00396C92"/>
    <w:rsid w:val="003A7F6C"/>
    <w:rsid w:val="003B1113"/>
    <w:rsid w:val="003B4D60"/>
    <w:rsid w:val="003B634F"/>
    <w:rsid w:val="003B7E39"/>
    <w:rsid w:val="003C58DC"/>
    <w:rsid w:val="003D0A3B"/>
    <w:rsid w:val="003D1E62"/>
    <w:rsid w:val="003E2486"/>
    <w:rsid w:val="003E3208"/>
    <w:rsid w:val="003F0B04"/>
    <w:rsid w:val="0040134E"/>
    <w:rsid w:val="004078A4"/>
    <w:rsid w:val="00415D59"/>
    <w:rsid w:val="0043797D"/>
    <w:rsid w:val="00440A2D"/>
    <w:rsid w:val="004564A7"/>
    <w:rsid w:val="004617BF"/>
    <w:rsid w:val="00463658"/>
    <w:rsid w:val="004722CC"/>
    <w:rsid w:val="004936E4"/>
    <w:rsid w:val="00494E60"/>
    <w:rsid w:val="00497487"/>
    <w:rsid w:val="004A7E13"/>
    <w:rsid w:val="004B7B76"/>
    <w:rsid w:val="004C17D2"/>
    <w:rsid w:val="004C2DCA"/>
    <w:rsid w:val="004D6304"/>
    <w:rsid w:val="004F0F38"/>
    <w:rsid w:val="004F4AF5"/>
    <w:rsid w:val="00501921"/>
    <w:rsid w:val="0050488C"/>
    <w:rsid w:val="00530354"/>
    <w:rsid w:val="0053625B"/>
    <w:rsid w:val="005434C6"/>
    <w:rsid w:val="00543B39"/>
    <w:rsid w:val="00550096"/>
    <w:rsid w:val="00557FF9"/>
    <w:rsid w:val="005667BD"/>
    <w:rsid w:val="00576378"/>
    <w:rsid w:val="00577945"/>
    <w:rsid w:val="00577E38"/>
    <w:rsid w:val="00585322"/>
    <w:rsid w:val="005857C6"/>
    <w:rsid w:val="00586F98"/>
    <w:rsid w:val="00592F6E"/>
    <w:rsid w:val="00593AD1"/>
    <w:rsid w:val="00594C38"/>
    <w:rsid w:val="005A2659"/>
    <w:rsid w:val="005A68B6"/>
    <w:rsid w:val="005C5570"/>
    <w:rsid w:val="005C79A4"/>
    <w:rsid w:val="005D5442"/>
    <w:rsid w:val="005F5480"/>
    <w:rsid w:val="00600AF6"/>
    <w:rsid w:val="00603F32"/>
    <w:rsid w:val="006170F0"/>
    <w:rsid w:val="00620406"/>
    <w:rsid w:val="00624B20"/>
    <w:rsid w:val="00627592"/>
    <w:rsid w:val="00632398"/>
    <w:rsid w:val="00640FC3"/>
    <w:rsid w:val="00642020"/>
    <w:rsid w:val="00645D5C"/>
    <w:rsid w:val="00646206"/>
    <w:rsid w:val="0065337B"/>
    <w:rsid w:val="0065419D"/>
    <w:rsid w:val="006604D8"/>
    <w:rsid w:val="00664A5B"/>
    <w:rsid w:val="006763D2"/>
    <w:rsid w:val="00680C08"/>
    <w:rsid w:val="006931B1"/>
    <w:rsid w:val="006A15C0"/>
    <w:rsid w:val="006B4C50"/>
    <w:rsid w:val="006C130C"/>
    <w:rsid w:val="006C3E2A"/>
    <w:rsid w:val="006C642F"/>
    <w:rsid w:val="006D03E5"/>
    <w:rsid w:val="006D5D3E"/>
    <w:rsid w:val="006E08B3"/>
    <w:rsid w:val="006F17AC"/>
    <w:rsid w:val="006F1D37"/>
    <w:rsid w:val="006F1FB2"/>
    <w:rsid w:val="006F26D0"/>
    <w:rsid w:val="006F2796"/>
    <w:rsid w:val="006F572E"/>
    <w:rsid w:val="007046D6"/>
    <w:rsid w:val="00704CF9"/>
    <w:rsid w:val="00705DB0"/>
    <w:rsid w:val="00714B60"/>
    <w:rsid w:val="00722B57"/>
    <w:rsid w:val="0074253D"/>
    <w:rsid w:val="0074429B"/>
    <w:rsid w:val="007513B4"/>
    <w:rsid w:val="00754C98"/>
    <w:rsid w:val="007615BC"/>
    <w:rsid w:val="00762F05"/>
    <w:rsid w:val="007652FF"/>
    <w:rsid w:val="00770BDB"/>
    <w:rsid w:val="00770EF1"/>
    <w:rsid w:val="00773EF7"/>
    <w:rsid w:val="00774E1D"/>
    <w:rsid w:val="0077675A"/>
    <w:rsid w:val="00780355"/>
    <w:rsid w:val="00785721"/>
    <w:rsid w:val="00793A59"/>
    <w:rsid w:val="007B6E9F"/>
    <w:rsid w:val="007C1216"/>
    <w:rsid w:val="007C1AF7"/>
    <w:rsid w:val="007E6E27"/>
    <w:rsid w:val="007F3E00"/>
    <w:rsid w:val="00805D27"/>
    <w:rsid w:val="00810CEF"/>
    <w:rsid w:val="00813F11"/>
    <w:rsid w:val="00821776"/>
    <w:rsid w:val="008321F5"/>
    <w:rsid w:val="00832369"/>
    <w:rsid w:val="00834660"/>
    <w:rsid w:val="00836BC2"/>
    <w:rsid w:val="008414A0"/>
    <w:rsid w:val="00846EE5"/>
    <w:rsid w:val="0085641B"/>
    <w:rsid w:val="00857136"/>
    <w:rsid w:val="008725B6"/>
    <w:rsid w:val="00886D15"/>
    <w:rsid w:val="00887DD8"/>
    <w:rsid w:val="00896018"/>
    <w:rsid w:val="008960DD"/>
    <w:rsid w:val="0089635C"/>
    <w:rsid w:val="008A2B9D"/>
    <w:rsid w:val="008A534D"/>
    <w:rsid w:val="008A5E0B"/>
    <w:rsid w:val="008A6D59"/>
    <w:rsid w:val="008B4B03"/>
    <w:rsid w:val="008B596F"/>
    <w:rsid w:val="008B5A3E"/>
    <w:rsid w:val="008C159F"/>
    <w:rsid w:val="008C1623"/>
    <w:rsid w:val="008C1850"/>
    <w:rsid w:val="008C51A9"/>
    <w:rsid w:val="008D6237"/>
    <w:rsid w:val="008D770F"/>
    <w:rsid w:val="008E7846"/>
    <w:rsid w:val="008F1CCC"/>
    <w:rsid w:val="008F2967"/>
    <w:rsid w:val="008F6943"/>
    <w:rsid w:val="008F69AF"/>
    <w:rsid w:val="00902A21"/>
    <w:rsid w:val="00906445"/>
    <w:rsid w:val="00920330"/>
    <w:rsid w:val="009217B3"/>
    <w:rsid w:val="009219D7"/>
    <w:rsid w:val="00922589"/>
    <w:rsid w:val="00922D53"/>
    <w:rsid w:val="00923B70"/>
    <w:rsid w:val="00924482"/>
    <w:rsid w:val="00930237"/>
    <w:rsid w:val="009438E8"/>
    <w:rsid w:val="0094614A"/>
    <w:rsid w:val="00946EA5"/>
    <w:rsid w:val="0095160F"/>
    <w:rsid w:val="00963C08"/>
    <w:rsid w:val="00981D66"/>
    <w:rsid w:val="00984173"/>
    <w:rsid w:val="0098585A"/>
    <w:rsid w:val="0098669D"/>
    <w:rsid w:val="00994C95"/>
    <w:rsid w:val="009A4CED"/>
    <w:rsid w:val="009A690D"/>
    <w:rsid w:val="009B1D12"/>
    <w:rsid w:val="009B416B"/>
    <w:rsid w:val="009C4BD5"/>
    <w:rsid w:val="009D1CEC"/>
    <w:rsid w:val="009D7B77"/>
    <w:rsid w:val="009E0BB0"/>
    <w:rsid w:val="009E3FBB"/>
    <w:rsid w:val="00A102E4"/>
    <w:rsid w:val="00A12C42"/>
    <w:rsid w:val="00A14DF7"/>
    <w:rsid w:val="00A22BC4"/>
    <w:rsid w:val="00A235D9"/>
    <w:rsid w:val="00A3246D"/>
    <w:rsid w:val="00A36FA7"/>
    <w:rsid w:val="00A475B7"/>
    <w:rsid w:val="00A47AF7"/>
    <w:rsid w:val="00A47C3E"/>
    <w:rsid w:val="00A50226"/>
    <w:rsid w:val="00A60BAD"/>
    <w:rsid w:val="00A7751A"/>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1425E"/>
    <w:rsid w:val="00B21D29"/>
    <w:rsid w:val="00B25034"/>
    <w:rsid w:val="00B275F4"/>
    <w:rsid w:val="00B33588"/>
    <w:rsid w:val="00B33863"/>
    <w:rsid w:val="00B3567E"/>
    <w:rsid w:val="00B37D17"/>
    <w:rsid w:val="00B4175E"/>
    <w:rsid w:val="00B452CE"/>
    <w:rsid w:val="00B479AA"/>
    <w:rsid w:val="00B507CF"/>
    <w:rsid w:val="00B54C25"/>
    <w:rsid w:val="00B76B91"/>
    <w:rsid w:val="00B77EB1"/>
    <w:rsid w:val="00B811C6"/>
    <w:rsid w:val="00B85A87"/>
    <w:rsid w:val="00B91E83"/>
    <w:rsid w:val="00B92E08"/>
    <w:rsid w:val="00B96EBE"/>
    <w:rsid w:val="00BC622A"/>
    <w:rsid w:val="00BD45E3"/>
    <w:rsid w:val="00BD509F"/>
    <w:rsid w:val="00BE0A78"/>
    <w:rsid w:val="00BE32A6"/>
    <w:rsid w:val="00BE6252"/>
    <w:rsid w:val="00BE79F0"/>
    <w:rsid w:val="00BF046D"/>
    <w:rsid w:val="00BF1190"/>
    <w:rsid w:val="00BF5D04"/>
    <w:rsid w:val="00BF75C9"/>
    <w:rsid w:val="00C072A1"/>
    <w:rsid w:val="00C1164D"/>
    <w:rsid w:val="00C137CE"/>
    <w:rsid w:val="00C16861"/>
    <w:rsid w:val="00C22678"/>
    <w:rsid w:val="00C404A6"/>
    <w:rsid w:val="00C40A36"/>
    <w:rsid w:val="00C44419"/>
    <w:rsid w:val="00C45917"/>
    <w:rsid w:val="00C45E7B"/>
    <w:rsid w:val="00C4625F"/>
    <w:rsid w:val="00C471B1"/>
    <w:rsid w:val="00C53F0D"/>
    <w:rsid w:val="00C55895"/>
    <w:rsid w:val="00C618F7"/>
    <w:rsid w:val="00C6316B"/>
    <w:rsid w:val="00C634A9"/>
    <w:rsid w:val="00C64586"/>
    <w:rsid w:val="00C70D53"/>
    <w:rsid w:val="00C73D0B"/>
    <w:rsid w:val="00C772FF"/>
    <w:rsid w:val="00C801AF"/>
    <w:rsid w:val="00C80256"/>
    <w:rsid w:val="00C811C0"/>
    <w:rsid w:val="00CB484C"/>
    <w:rsid w:val="00CB6BC0"/>
    <w:rsid w:val="00CC1B7C"/>
    <w:rsid w:val="00CC727F"/>
    <w:rsid w:val="00CD07BF"/>
    <w:rsid w:val="00CD5C51"/>
    <w:rsid w:val="00CF15C3"/>
    <w:rsid w:val="00CF2B6F"/>
    <w:rsid w:val="00CF58B6"/>
    <w:rsid w:val="00D017ED"/>
    <w:rsid w:val="00D040D3"/>
    <w:rsid w:val="00D04C65"/>
    <w:rsid w:val="00D224FE"/>
    <w:rsid w:val="00D25A10"/>
    <w:rsid w:val="00D53A31"/>
    <w:rsid w:val="00D6493E"/>
    <w:rsid w:val="00D7301E"/>
    <w:rsid w:val="00D83AE1"/>
    <w:rsid w:val="00D855D4"/>
    <w:rsid w:val="00D87961"/>
    <w:rsid w:val="00D93466"/>
    <w:rsid w:val="00DA1124"/>
    <w:rsid w:val="00DB75B7"/>
    <w:rsid w:val="00DC156B"/>
    <w:rsid w:val="00DC6E02"/>
    <w:rsid w:val="00DE02AE"/>
    <w:rsid w:val="00DF1D7F"/>
    <w:rsid w:val="00DF4BE4"/>
    <w:rsid w:val="00DF5B34"/>
    <w:rsid w:val="00E02FB4"/>
    <w:rsid w:val="00E07F15"/>
    <w:rsid w:val="00E20571"/>
    <w:rsid w:val="00E235F7"/>
    <w:rsid w:val="00E23659"/>
    <w:rsid w:val="00E239D4"/>
    <w:rsid w:val="00E26130"/>
    <w:rsid w:val="00E2741C"/>
    <w:rsid w:val="00E30D00"/>
    <w:rsid w:val="00E40B22"/>
    <w:rsid w:val="00E45619"/>
    <w:rsid w:val="00E4588F"/>
    <w:rsid w:val="00E46DA3"/>
    <w:rsid w:val="00E51BB1"/>
    <w:rsid w:val="00E542AD"/>
    <w:rsid w:val="00E55BF2"/>
    <w:rsid w:val="00E624A5"/>
    <w:rsid w:val="00E7344E"/>
    <w:rsid w:val="00E76733"/>
    <w:rsid w:val="00E77B22"/>
    <w:rsid w:val="00E936E3"/>
    <w:rsid w:val="00E979F4"/>
    <w:rsid w:val="00EB0798"/>
    <w:rsid w:val="00EB40AD"/>
    <w:rsid w:val="00EB586E"/>
    <w:rsid w:val="00EB5FC8"/>
    <w:rsid w:val="00EB795A"/>
    <w:rsid w:val="00ED3CAD"/>
    <w:rsid w:val="00ED5A41"/>
    <w:rsid w:val="00EE1DE8"/>
    <w:rsid w:val="00F033EC"/>
    <w:rsid w:val="00F04F68"/>
    <w:rsid w:val="00F11361"/>
    <w:rsid w:val="00F12670"/>
    <w:rsid w:val="00F14B27"/>
    <w:rsid w:val="00F21ECC"/>
    <w:rsid w:val="00F3148D"/>
    <w:rsid w:val="00F325C5"/>
    <w:rsid w:val="00F32FE0"/>
    <w:rsid w:val="00F35298"/>
    <w:rsid w:val="00F47333"/>
    <w:rsid w:val="00F47E37"/>
    <w:rsid w:val="00F53C07"/>
    <w:rsid w:val="00F54383"/>
    <w:rsid w:val="00F54B65"/>
    <w:rsid w:val="00F640B6"/>
    <w:rsid w:val="00F80E40"/>
    <w:rsid w:val="00F848D9"/>
    <w:rsid w:val="00F90FA5"/>
    <w:rsid w:val="00F91E09"/>
    <w:rsid w:val="00F9588B"/>
    <w:rsid w:val="00FA5B82"/>
    <w:rsid w:val="00FA639E"/>
    <w:rsid w:val="00FB10BE"/>
    <w:rsid w:val="00FC25E4"/>
    <w:rsid w:val="00FC4EF7"/>
    <w:rsid w:val="00FC5836"/>
    <w:rsid w:val="00FE1DEE"/>
    <w:rsid w:val="00FF0684"/>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8D62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qFormat/>
    <w:rsid w:val="00C45917"/>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E55BF2"/>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D25A10"/>
    <w:pPr>
      <w:numPr>
        <w:numId w:val="6"/>
      </w:numPr>
      <w:tabs>
        <w:tab w:val="left" w:pos="284"/>
      </w:tabs>
      <w:spacing w:after="0" w:line="240" w:lineRule="auto"/>
    </w:pPr>
    <w:rPr>
      <w:rFonts w:eastAsia="Times New Roman"/>
      <w:kern w:val="24"/>
      <w:szCs w:val="24"/>
      <w:lang w:eastAsia="en-AU"/>
    </w:rPr>
  </w:style>
  <w:style w:type="paragraph" w:customStyle="1" w:styleId="Bullet2">
    <w:name w:val="Bullet 2"/>
    <w:basedOn w:val="Bullet1"/>
    <w:rsid w:val="00D25A10"/>
    <w:pPr>
      <w:numPr>
        <w:numId w:val="7"/>
      </w:numPr>
    </w:pPr>
  </w:style>
  <w:style w:type="paragraph" w:styleId="ListParagraph">
    <w:name w:val="List Paragraph"/>
    <w:basedOn w:val="Normal"/>
    <w:uiPriority w:val="34"/>
    <w:qFormat/>
    <w:rsid w:val="005667B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character" w:customStyle="1" w:styleId="Heading8Char">
    <w:name w:val="Heading 8 Char"/>
    <w:basedOn w:val="DefaultParagraphFont"/>
    <w:link w:val="Heading8"/>
    <w:uiPriority w:val="9"/>
    <w:semiHidden/>
    <w:rsid w:val="00C45917"/>
    <w:rPr>
      <w:rFonts w:asciiTheme="majorHAnsi" w:eastAsiaTheme="majorEastAsia" w:hAnsiTheme="majorHAnsi" w:cstheme="majorBidi"/>
      <w:color w:val="404040" w:themeColor="text1" w:themeTint="BF"/>
      <w:sz w:val="20"/>
      <w:szCs w:val="20"/>
    </w:rPr>
  </w:style>
  <w:style w:type="paragraph" w:customStyle="1" w:styleId="Instructions2">
    <w:name w:val="Instructions 2"/>
    <w:basedOn w:val="Normal"/>
    <w:qFormat/>
    <w:rsid w:val="00C45917"/>
    <w:pPr>
      <w:numPr>
        <w:numId w:val="13"/>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styleId="FootnoteText">
    <w:name w:val="footnote text"/>
    <w:basedOn w:val="Normal"/>
    <w:link w:val="FootnoteTextChar"/>
    <w:semiHidden/>
    <w:rsid w:val="00770BD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770BDB"/>
    <w:rPr>
      <w:rFonts w:ascii="Cambria" w:eastAsia="Times New Roman" w:hAnsi="Cambria" w:cs="Times New Roman"/>
      <w:kern w:val="16"/>
      <w:sz w:val="20"/>
      <w:szCs w:val="20"/>
      <w:lang w:eastAsia="en-AU"/>
    </w:rPr>
  </w:style>
  <w:style w:type="character" w:styleId="FootnoteReference">
    <w:name w:val="footnote reference"/>
    <w:semiHidden/>
    <w:rsid w:val="00770BDB"/>
    <w:rPr>
      <w:vertAlign w:val="superscript"/>
    </w:rPr>
  </w:style>
  <w:style w:type="character" w:customStyle="1" w:styleId="Heading9Char">
    <w:name w:val="Heading 9 Char"/>
    <w:basedOn w:val="DefaultParagraphFont"/>
    <w:link w:val="Heading9"/>
    <w:rsid w:val="00E55BF2"/>
    <w:rPr>
      <w:rFonts w:ascii="Arial" w:eastAsia="Times New Roman" w:hAnsi="Arial" w:cs="Arial"/>
      <w:kern w:val="16"/>
      <w:u w:val="single"/>
      <w:lang w:eastAsia="en-AU"/>
    </w:rPr>
  </w:style>
  <w:style w:type="paragraph" w:customStyle="1" w:styleId="Heading0inTOC">
    <w:name w:val="Heading 0 (in TOC)"/>
    <w:basedOn w:val="Heading1"/>
    <w:next w:val="Normal"/>
    <w:rsid w:val="00E55BF2"/>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E55BF2"/>
    <w:rPr>
      <w:sz w:val="20"/>
    </w:rPr>
  </w:style>
  <w:style w:type="paragraph" w:customStyle="1" w:styleId="TableBullet">
    <w:name w:val="Table Bullet"/>
    <w:basedOn w:val="Normal"/>
    <w:rsid w:val="00E55BF2"/>
    <w:pPr>
      <w:numPr>
        <w:numId w:val="1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E55BF2"/>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E55BF2"/>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E55BF2"/>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E55BF2"/>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E55BF2"/>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E55BF2"/>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E55BF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E55BF2"/>
    <w:rPr>
      <w:rFonts w:ascii="Cambria" w:eastAsia="Times New Roman" w:hAnsi="Cambria" w:cs="Times New Roman"/>
      <w:kern w:val="16"/>
      <w:sz w:val="20"/>
      <w:szCs w:val="20"/>
      <w:lang w:eastAsia="en-AU"/>
    </w:rPr>
  </w:style>
  <w:style w:type="character" w:styleId="EndnoteReference">
    <w:name w:val="endnote reference"/>
    <w:semiHidden/>
    <w:rsid w:val="00E55BF2"/>
    <w:rPr>
      <w:dstrike w:val="0"/>
      <w:vertAlign w:val="baseline"/>
    </w:rPr>
  </w:style>
  <w:style w:type="paragraph" w:customStyle="1" w:styleId="Abbreviations">
    <w:name w:val="Abbreviations"/>
    <w:basedOn w:val="Normal"/>
    <w:rsid w:val="00E55BF2"/>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E55BF2"/>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E55BF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E55BF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E55BF2"/>
    <w:pPr>
      <w:numPr>
        <w:numId w:val="18"/>
      </w:numPr>
      <w:tabs>
        <w:tab w:val="clear" w:pos="1134"/>
      </w:tabs>
      <w:spacing w:before="120"/>
      <w:ind w:left="1418" w:hanging="284"/>
    </w:pPr>
  </w:style>
  <w:style w:type="paragraph" w:customStyle="1" w:styleId="Instructions1">
    <w:name w:val="Instructions 1"/>
    <w:basedOn w:val="Normal"/>
    <w:qFormat/>
    <w:rsid w:val="00E55BF2"/>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Contentslist1">
    <w:name w:val="Contents list 1"/>
    <w:basedOn w:val="Normal"/>
    <w:qFormat/>
    <w:rsid w:val="00E55BF2"/>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E55BF2"/>
    <w:pPr>
      <w:spacing w:before="0" w:after="0"/>
    </w:pPr>
    <w:rPr>
      <w:b w:val="0"/>
    </w:rPr>
  </w:style>
  <w:style w:type="paragraph" w:styleId="BodyTextIndent">
    <w:name w:val="Body Text Indent"/>
    <w:basedOn w:val="Normal"/>
    <w:link w:val="BodyTextIndentChar"/>
    <w:rsid w:val="00E55BF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E55BF2"/>
    <w:rPr>
      <w:rFonts w:ascii="Cambria" w:eastAsia="Times New Roman" w:hAnsi="Cambria" w:cs="Times New Roman"/>
      <w:kern w:val="16"/>
      <w:szCs w:val="24"/>
      <w:lang w:eastAsia="en-AU"/>
    </w:rPr>
  </w:style>
  <w:style w:type="character" w:customStyle="1" w:styleId="eudoraheader">
    <w:name w:val="eudoraheader"/>
    <w:basedOn w:val="DefaultParagraphFont"/>
    <w:rsid w:val="00E55BF2"/>
  </w:style>
  <w:style w:type="character" w:customStyle="1" w:styleId="citation1">
    <w:name w:val="citation1"/>
    <w:basedOn w:val="DefaultParagraphFont"/>
    <w:rsid w:val="00E55BF2"/>
    <w:rPr>
      <w:rFonts w:ascii="Arial" w:hAnsi="Arial" w:cs="Arial" w:hint="default"/>
      <w:b w:val="0"/>
      <w:bCs w:val="0"/>
      <w:i w:val="0"/>
      <w:iCs w:val="0"/>
      <w:smallCaps w:val="0"/>
      <w:strike w:val="0"/>
      <w:dstrike w:val="0"/>
      <w:color w:val="000000"/>
      <w:sz w:val="18"/>
      <w:szCs w:val="18"/>
      <w:u w:val="none"/>
      <w:effect w:val="none"/>
    </w:rPr>
  </w:style>
  <w:style w:type="character" w:customStyle="1" w:styleId="maintextleft1">
    <w:name w:val="maintextleft1"/>
    <w:basedOn w:val="DefaultParagraphFont"/>
    <w:rsid w:val="00E55BF2"/>
    <w:rPr>
      <w:rFonts w:ascii="Arial" w:hAnsi="Arial" w:cs="Arial" w:hint="default"/>
      <w:b w:val="0"/>
      <w:bCs w:val="0"/>
      <w:i w:val="0"/>
      <w:iCs w:val="0"/>
      <w:smallCaps w:val="0"/>
      <w:strike w:val="0"/>
      <w:dstrike w:val="0"/>
      <w:color w:val="000000"/>
      <w:sz w:val="18"/>
      <w:szCs w:val="18"/>
      <w:u w:val="none"/>
      <w:effect w:val="none"/>
    </w:rPr>
  </w:style>
  <w:style w:type="character" w:customStyle="1" w:styleId="volume">
    <w:name w:val="volume"/>
    <w:basedOn w:val="DefaultParagraphFont"/>
    <w:rsid w:val="00E55BF2"/>
  </w:style>
  <w:style w:type="character" w:customStyle="1" w:styleId="issue">
    <w:name w:val="issue"/>
    <w:basedOn w:val="DefaultParagraphFont"/>
    <w:rsid w:val="00E55BF2"/>
  </w:style>
  <w:style w:type="character" w:customStyle="1" w:styleId="pages">
    <w:name w:val="pages"/>
    <w:basedOn w:val="DefaultParagraphFont"/>
    <w:rsid w:val="00E55BF2"/>
  </w:style>
  <w:style w:type="character" w:customStyle="1" w:styleId="ti2">
    <w:name w:val="ti2"/>
    <w:basedOn w:val="DefaultParagraphFont"/>
    <w:rsid w:val="00E55BF2"/>
    <w:rPr>
      <w:sz w:val="22"/>
      <w:szCs w:val="22"/>
    </w:rPr>
  </w:style>
  <w:style w:type="character" w:customStyle="1" w:styleId="src1">
    <w:name w:val="src1"/>
    <w:basedOn w:val="DefaultParagraphFont"/>
    <w:rsid w:val="00E55BF2"/>
    <w:rPr>
      <w:vanish w:val="0"/>
      <w:webHidden w:val="0"/>
      <w:specVanish w:val="0"/>
    </w:rPr>
  </w:style>
  <w:style w:type="paragraph" w:styleId="NoSpacing">
    <w:name w:val="No Spacing"/>
    <w:basedOn w:val="Normal"/>
    <w:next w:val="Normal"/>
    <w:uiPriority w:val="1"/>
    <w:qFormat/>
    <w:rsid w:val="00E55BF2"/>
    <w:pPr>
      <w:spacing w:before="0" w:after="0" w:line="240" w:lineRule="auto"/>
      <w:jc w:val="both"/>
    </w:pPr>
    <w:rPr>
      <w:rFonts w:ascii="Times New Roman" w:eastAsiaTheme="minorHAnsi" w:hAnsi="Times New Roman" w:cstheme="minorBidi"/>
      <w:sz w:val="24"/>
      <w:lang w:val="en-NZ"/>
    </w:rPr>
  </w:style>
  <w:style w:type="character" w:customStyle="1" w:styleId="jrnl">
    <w:name w:val="jrnl"/>
    <w:basedOn w:val="DefaultParagraphFont"/>
    <w:rsid w:val="00E55BF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8D62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nhideWhenUsed/>
    <w:qFormat/>
    <w:rsid w:val="00C45917"/>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E55BF2"/>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D25A10"/>
    <w:pPr>
      <w:numPr>
        <w:numId w:val="6"/>
      </w:numPr>
      <w:tabs>
        <w:tab w:val="left" w:pos="284"/>
      </w:tabs>
      <w:spacing w:after="0" w:line="240" w:lineRule="auto"/>
    </w:pPr>
    <w:rPr>
      <w:rFonts w:eastAsia="Times New Roman"/>
      <w:kern w:val="24"/>
      <w:szCs w:val="24"/>
      <w:lang w:eastAsia="en-AU"/>
    </w:rPr>
  </w:style>
  <w:style w:type="paragraph" w:customStyle="1" w:styleId="Bullet2">
    <w:name w:val="Bullet 2"/>
    <w:basedOn w:val="Bullet1"/>
    <w:rsid w:val="00D25A10"/>
    <w:pPr>
      <w:numPr>
        <w:numId w:val="7"/>
      </w:numPr>
    </w:pPr>
  </w:style>
  <w:style w:type="paragraph" w:styleId="ListParagraph">
    <w:name w:val="List Paragraph"/>
    <w:basedOn w:val="Normal"/>
    <w:uiPriority w:val="34"/>
    <w:qFormat/>
    <w:rsid w:val="005667B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character" w:customStyle="1" w:styleId="Heading8Char">
    <w:name w:val="Heading 8 Char"/>
    <w:basedOn w:val="DefaultParagraphFont"/>
    <w:link w:val="Heading8"/>
    <w:uiPriority w:val="9"/>
    <w:semiHidden/>
    <w:rsid w:val="00C45917"/>
    <w:rPr>
      <w:rFonts w:asciiTheme="majorHAnsi" w:eastAsiaTheme="majorEastAsia" w:hAnsiTheme="majorHAnsi" w:cstheme="majorBidi"/>
      <w:color w:val="404040" w:themeColor="text1" w:themeTint="BF"/>
      <w:sz w:val="20"/>
      <w:szCs w:val="20"/>
    </w:rPr>
  </w:style>
  <w:style w:type="paragraph" w:customStyle="1" w:styleId="Instructions2">
    <w:name w:val="Instructions 2"/>
    <w:basedOn w:val="Normal"/>
    <w:qFormat/>
    <w:rsid w:val="00C45917"/>
    <w:pPr>
      <w:numPr>
        <w:numId w:val="13"/>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styleId="FootnoteText">
    <w:name w:val="footnote text"/>
    <w:basedOn w:val="Normal"/>
    <w:link w:val="FootnoteTextChar"/>
    <w:semiHidden/>
    <w:rsid w:val="00770BD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770BDB"/>
    <w:rPr>
      <w:rFonts w:ascii="Cambria" w:eastAsia="Times New Roman" w:hAnsi="Cambria" w:cs="Times New Roman"/>
      <w:kern w:val="16"/>
      <w:sz w:val="20"/>
      <w:szCs w:val="20"/>
      <w:lang w:eastAsia="en-AU"/>
    </w:rPr>
  </w:style>
  <w:style w:type="character" w:styleId="FootnoteReference">
    <w:name w:val="footnote reference"/>
    <w:semiHidden/>
    <w:rsid w:val="00770BDB"/>
    <w:rPr>
      <w:vertAlign w:val="superscript"/>
    </w:rPr>
  </w:style>
  <w:style w:type="character" w:customStyle="1" w:styleId="Heading9Char">
    <w:name w:val="Heading 9 Char"/>
    <w:basedOn w:val="DefaultParagraphFont"/>
    <w:link w:val="Heading9"/>
    <w:rsid w:val="00E55BF2"/>
    <w:rPr>
      <w:rFonts w:ascii="Arial" w:eastAsia="Times New Roman" w:hAnsi="Arial" w:cs="Arial"/>
      <w:kern w:val="16"/>
      <w:u w:val="single"/>
      <w:lang w:eastAsia="en-AU"/>
    </w:rPr>
  </w:style>
  <w:style w:type="paragraph" w:customStyle="1" w:styleId="Heading0inTOC">
    <w:name w:val="Heading 0 (in TOC)"/>
    <w:basedOn w:val="Heading1"/>
    <w:next w:val="Normal"/>
    <w:rsid w:val="00E55BF2"/>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E55BF2"/>
    <w:rPr>
      <w:sz w:val="20"/>
    </w:rPr>
  </w:style>
  <w:style w:type="paragraph" w:customStyle="1" w:styleId="TableBullet">
    <w:name w:val="Table Bullet"/>
    <w:basedOn w:val="Normal"/>
    <w:rsid w:val="00E55BF2"/>
    <w:pPr>
      <w:numPr>
        <w:numId w:val="1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E55BF2"/>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E55BF2"/>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E55BF2"/>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E55BF2"/>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E55BF2"/>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E55BF2"/>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E55BF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E55BF2"/>
    <w:rPr>
      <w:rFonts w:ascii="Cambria" w:eastAsia="Times New Roman" w:hAnsi="Cambria" w:cs="Times New Roman"/>
      <w:kern w:val="16"/>
      <w:sz w:val="20"/>
      <w:szCs w:val="20"/>
      <w:lang w:eastAsia="en-AU"/>
    </w:rPr>
  </w:style>
  <w:style w:type="character" w:styleId="EndnoteReference">
    <w:name w:val="endnote reference"/>
    <w:semiHidden/>
    <w:rsid w:val="00E55BF2"/>
    <w:rPr>
      <w:dstrike w:val="0"/>
      <w:vertAlign w:val="baseline"/>
    </w:rPr>
  </w:style>
  <w:style w:type="paragraph" w:customStyle="1" w:styleId="Abbreviations">
    <w:name w:val="Abbreviations"/>
    <w:basedOn w:val="Normal"/>
    <w:rsid w:val="00E55BF2"/>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E55BF2"/>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E55BF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E55BF2"/>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E55BF2"/>
    <w:pPr>
      <w:numPr>
        <w:numId w:val="18"/>
      </w:numPr>
      <w:tabs>
        <w:tab w:val="clear" w:pos="1134"/>
      </w:tabs>
      <w:spacing w:before="120"/>
      <w:ind w:left="1418" w:hanging="284"/>
    </w:pPr>
  </w:style>
  <w:style w:type="paragraph" w:customStyle="1" w:styleId="Instructions1">
    <w:name w:val="Instructions 1"/>
    <w:basedOn w:val="Normal"/>
    <w:qFormat/>
    <w:rsid w:val="00E55BF2"/>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Contentslist1">
    <w:name w:val="Contents list 1"/>
    <w:basedOn w:val="Normal"/>
    <w:qFormat/>
    <w:rsid w:val="00E55BF2"/>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E55BF2"/>
    <w:pPr>
      <w:spacing w:before="0" w:after="0"/>
    </w:pPr>
    <w:rPr>
      <w:b w:val="0"/>
    </w:rPr>
  </w:style>
  <w:style w:type="paragraph" w:styleId="BodyTextIndent">
    <w:name w:val="Body Text Indent"/>
    <w:basedOn w:val="Normal"/>
    <w:link w:val="BodyTextIndentChar"/>
    <w:rsid w:val="00E55BF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E55BF2"/>
    <w:rPr>
      <w:rFonts w:ascii="Cambria" w:eastAsia="Times New Roman" w:hAnsi="Cambria" w:cs="Times New Roman"/>
      <w:kern w:val="16"/>
      <w:szCs w:val="24"/>
      <w:lang w:eastAsia="en-AU"/>
    </w:rPr>
  </w:style>
  <w:style w:type="character" w:customStyle="1" w:styleId="eudoraheader">
    <w:name w:val="eudoraheader"/>
    <w:basedOn w:val="DefaultParagraphFont"/>
    <w:rsid w:val="00E55BF2"/>
  </w:style>
  <w:style w:type="character" w:customStyle="1" w:styleId="citation1">
    <w:name w:val="citation1"/>
    <w:basedOn w:val="DefaultParagraphFont"/>
    <w:rsid w:val="00E55BF2"/>
    <w:rPr>
      <w:rFonts w:ascii="Arial" w:hAnsi="Arial" w:cs="Arial" w:hint="default"/>
      <w:b w:val="0"/>
      <w:bCs w:val="0"/>
      <w:i w:val="0"/>
      <w:iCs w:val="0"/>
      <w:smallCaps w:val="0"/>
      <w:strike w:val="0"/>
      <w:dstrike w:val="0"/>
      <w:color w:val="000000"/>
      <w:sz w:val="18"/>
      <w:szCs w:val="18"/>
      <w:u w:val="none"/>
      <w:effect w:val="none"/>
    </w:rPr>
  </w:style>
  <w:style w:type="character" w:customStyle="1" w:styleId="maintextleft1">
    <w:name w:val="maintextleft1"/>
    <w:basedOn w:val="DefaultParagraphFont"/>
    <w:rsid w:val="00E55BF2"/>
    <w:rPr>
      <w:rFonts w:ascii="Arial" w:hAnsi="Arial" w:cs="Arial" w:hint="default"/>
      <w:b w:val="0"/>
      <w:bCs w:val="0"/>
      <w:i w:val="0"/>
      <w:iCs w:val="0"/>
      <w:smallCaps w:val="0"/>
      <w:strike w:val="0"/>
      <w:dstrike w:val="0"/>
      <w:color w:val="000000"/>
      <w:sz w:val="18"/>
      <w:szCs w:val="18"/>
      <w:u w:val="none"/>
      <w:effect w:val="none"/>
    </w:rPr>
  </w:style>
  <w:style w:type="character" w:customStyle="1" w:styleId="volume">
    <w:name w:val="volume"/>
    <w:basedOn w:val="DefaultParagraphFont"/>
    <w:rsid w:val="00E55BF2"/>
  </w:style>
  <w:style w:type="character" w:customStyle="1" w:styleId="issue">
    <w:name w:val="issue"/>
    <w:basedOn w:val="DefaultParagraphFont"/>
    <w:rsid w:val="00E55BF2"/>
  </w:style>
  <w:style w:type="character" w:customStyle="1" w:styleId="pages">
    <w:name w:val="pages"/>
    <w:basedOn w:val="DefaultParagraphFont"/>
    <w:rsid w:val="00E55BF2"/>
  </w:style>
  <w:style w:type="character" w:customStyle="1" w:styleId="ti2">
    <w:name w:val="ti2"/>
    <w:basedOn w:val="DefaultParagraphFont"/>
    <w:rsid w:val="00E55BF2"/>
    <w:rPr>
      <w:sz w:val="22"/>
      <w:szCs w:val="22"/>
    </w:rPr>
  </w:style>
  <w:style w:type="character" w:customStyle="1" w:styleId="src1">
    <w:name w:val="src1"/>
    <w:basedOn w:val="DefaultParagraphFont"/>
    <w:rsid w:val="00E55BF2"/>
    <w:rPr>
      <w:vanish w:val="0"/>
      <w:webHidden w:val="0"/>
      <w:specVanish w:val="0"/>
    </w:rPr>
  </w:style>
  <w:style w:type="paragraph" w:styleId="NoSpacing">
    <w:name w:val="No Spacing"/>
    <w:basedOn w:val="Normal"/>
    <w:next w:val="Normal"/>
    <w:uiPriority w:val="1"/>
    <w:qFormat/>
    <w:rsid w:val="00E55BF2"/>
    <w:pPr>
      <w:spacing w:before="0" w:after="0" w:line="240" w:lineRule="auto"/>
      <w:jc w:val="both"/>
    </w:pPr>
    <w:rPr>
      <w:rFonts w:ascii="Times New Roman" w:eastAsiaTheme="minorHAnsi" w:hAnsi="Times New Roman" w:cstheme="minorBidi"/>
      <w:sz w:val="24"/>
      <w:lang w:val="en-NZ"/>
    </w:rPr>
  </w:style>
  <w:style w:type="character" w:customStyle="1" w:styleId="jrnl">
    <w:name w:val="jrnl"/>
    <w:basedOn w:val="DefaultParagraphFont"/>
    <w:rsid w:val="00E55B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6.emf"/><Relationship Id="rId21" Type="http://schemas.openxmlformats.org/officeDocument/2006/relationships/image" Target="media/image9.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png"/><Relationship Id="rId50" Type="http://schemas.openxmlformats.org/officeDocument/2006/relationships/image" Target="media/image36.emf"/><Relationship Id="rId55" Type="http://schemas.openxmlformats.org/officeDocument/2006/relationships/image" Target="media/image39.emf"/><Relationship Id="rId63" Type="http://schemas.openxmlformats.org/officeDocument/2006/relationships/image" Target="media/image46.emf"/><Relationship Id="rId68" Type="http://schemas.openxmlformats.org/officeDocument/2006/relationships/image" Target="media/image51.emf"/><Relationship Id="rId76" Type="http://schemas.microsoft.com/office/2007/relationships/hdphoto" Target="media/hdphoto7.wdp"/><Relationship Id="rId84" Type="http://schemas.openxmlformats.org/officeDocument/2006/relationships/header" Target="header6.xml"/><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hyperlink" Target="mailto:tga.copyright@tga.gov.au" TargetMode="External"/><Relationship Id="rId24" Type="http://schemas.openxmlformats.org/officeDocument/2006/relationships/image" Target="media/image12.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microsoft.com/office/2007/relationships/hdphoto" Target="media/hdphoto3.wdp"/><Relationship Id="rId58" Type="http://schemas.openxmlformats.org/officeDocument/2006/relationships/image" Target="media/image42.png"/><Relationship Id="rId66" Type="http://schemas.openxmlformats.org/officeDocument/2006/relationships/image" Target="media/image49.emf"/><Relationship Id="rId74" Type="http://schemas.microsoft.com/office/2007/relationships/hdphoto" Target="media/hdphoto6.wdp"/><Relationship Id="rId79" Type="http://schemas.openxmlformats.org/officeDocument/2006/relationships/header" Target="header4.xml"/><Relationship Id="rId87" Type="http://schemas.openxmlformats.org/officeDocument/2006/relationships/header" Target="header8.xml"/><Relationship Id="rId5" Type="http://schemas.openxmlformats.org/officeDocument/2006/relationships/settings" Target="settings.xml"/><Relationship Id="rId61" Type="http://schemas.openxmlformats.org/officeDocument/2006/relationships/image" Target="media/image44.emf"/><Relationship Id="rId82" Type="http://schemas.openxmlformats.org/officeDocument/2006/relationships/hyperlink" Target="mailto:info@tga.gov.au" TargetMode="External"/><Relationship Id="rId90" Type="http://schemas.openxmlformats.org/officeDocument/2006/relationships/theme" Target="theme/theme1.xml"/><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hyperlink" Target="https://www.tga.gov.au" TargetMode="External"/><Relationship Id="rId14" Type="http://schemas.openxmlformats.org/officeDocument/2006/relationships/header" Target="header2.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2.emf"/><Relationship Id="rId43" Type="http://schemas.openxmlformats.org/officeDocument/2006/relationships/image" Target="media/image30.emf"/><Relationship Id="rId48" Type="http://schemas.microsoft.com/office/2007/relationships/hdphoto" Target="media/hdphoto2.wdp"/><Relationship Id="rId56" Type="http://schemas.openxmlformats.org/officeDocument/2006/relationships/image" Target="media/image40.emf"/><Relationship Id="rId64" Type="http://schemas.openxmlformats.org/officeDocument/2006/relationships/image" Target="media/image47.emf"/><Relationship Id="rId69" Type="http://schemas.openxmlformats.org/officeDocument/2006/relationships/image" Target="media/image52.emf"/><Relationship Id="rId77" Type="http://schemas.openxmlformats.org/officeDocument/2006/relationships/image" Target="media/image57.emf"/><Relationship Id="rId8" Type="http://schemas.openxmlformats.org/officeDocument/2006/relationships/endnotes" Target="endnotes.xml"/><Relationship Id="rId51" Type="http://schemas.openxmlformats.org/officeDocument/2006/relationships/image" Target="media/image37.emf"/><Relationship Id="rId72" Type="http://schemas.microsoft.com/office/2007/relationships/hdphoto" Target="media/hdphoto5.wdp"/><Relationship Id="rId80" Type="http://schemas.openxmlformats.org/officeDocument/2006/relationships/header" Target="header5.xml"/><Relationship Id="rId85" Type="http://schemas.openxmlformats.org/officeDocument/2006/relationships/header" Target="header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emf"/><Relationship Id="rId59" Type="http://schemas.microsoft.com/office/2007/relationships/hdphoto" Target="media/hdphoto4.wdp"/><Relationship Id="rId67" Type="http://schemas.openxmlformats.org/officeDocument/2006/relationships/image" Target="media/image50.emf"/><Relationship Id="rId20" Type="http://schemas.openxmlformats.org/officeDocument/2006/relationships/image" Target="media/image8.png"/><Relationship Id="rId41" Type="http://schemas.openxmlformats.org/officeDocument/2006/relationships/image" Target="media/image28.emf"/><Relationship Id="rId54" Type="http://schemas.openxmlformats.org/officeDocument/2006/relationships/hyperlink" Target="#_Results_for_the_3"/><Relationship Id="rId62" Type="http://schemas.openxmlformats.org/officeDocument/2006/relationships/image" Target="media/image45.emf"/><Relationship Id="rId70" Type="http://schemas.openxmlformats.org/officeDocument/2006/relationships/image" Target="media/image53.emf"/><Relationship Id="rId75" Type="http://schemas.openxmlformats.org/officeDocument/2006/relationships/image" Target="media/image56.png"/><Relationship Id="rId83" Type="http://schemas.openxmlformats.org/officeDocument/2006/relationships/hyperlink" Target="https://www.tga.gov.au" TargetMode="External"/><Relationship Id="rId88"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3.emf"/><Relationship Id="rId49" Type="http://schemas.openxmlformats.org/officeDocument/2006/relationships/image" Target="media/image35.emf"/><Relationship Id="rId57" Type="http://schemas.openxmlformats.org/officeDocument/2006/relationships/image" Target="media/image41.emf"/><Relationship Id="rId10" Type="http://schemas.openxmlformats.org/officeDocument/2006/relationships/hyperlink" Target="https://www.tga.gov.au/product-information-pi" TargetMode="External"/><Relationship Id="rId31" Type="http://schemas.microsoft.com/office/2007/relationships/hdphoto" Target="media/hdphoto1.wdp"/><Relationship Id="rId44" Type="http://schemas.openxmlformats.org/officeDocument/2006/relationships/image" Target="media/image31.emf"/><Relationship Id="rId52" Type="http://schemas.openxmlformats.org/officeDocument/2006/relationships/image" Target="media/image38.png"/><Relationship Id="rId60" Type="http://schemas.openxmlformats.org/officeDocument/2006/relationships/image" Target="media/image43.emf"/><Relationship Id="rId65" Type="http://schemas.openxmlformats.org/officeDocument/2006/relationships/image" Target="media/image48.emf"/><Relationship Id="rId73" Type="http://schemas.openxmlformats.org/officeDocument/2006/relationships/image" Target="media/image55.png"/><Relationship Id="rId78" Type="http://schemas.openxmlformats.org/officeDocument/2006/relationships/header" Target="header3.xml"/><Relationship Id="rId81" Type="http://schemas.openxmlformats.org/officeDocument/2006/relationships/footer" Target="footer2.xml"/><Relationship Id="rId86"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hijes\AppData\Local\Hewlett-Packard\HP%20TRIM\TEMP\HPTRIM.336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64F72D-6ADF-4E1C-B9E7-C108174F3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18</TotalTime>
  <Pages>83</Pages>
  <Words>23675</Words>
  <Characters>125717</Characters>
  <Application>Microsoft Office Word</Application>
  <DocSecurity>0</DocSecurity>
  <Lines>2732</Lines>
  <Paragraphs>1195</Paragraphs>
  <ScaleCrop>false</ScaleCrop>
  <HeadingPairs>
    <vt:vector size="2" baseType="variant">
      <vt:variant>
        <vt:lpstr>Title</vt:lpstr>
      </vt:variant>
      <vt:variant>
        <vt:i4>1</vt:i4>
      </vt:variant>
    </vt:vector>
  </HeadingPairs>
  <TitlesOfParts>
    <vt:vector size="1" baseType="lpstr">
      <vt:lpstr>Extract from Clinical Evaluation Report: Avanafil</vt:lpstr>
    </vt:vector>
  </TitlesOfParts>
  <Company/>
  <LinksUpToDate>false</LinksUpToDate>
  <CharactersWithSpaces>148197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Extract from Clinical Evaluation Report: Avanafil</dc:title>
  <dc:subject>prescription medicines</dc:subject>
  <dc:creator>Therapeutic Goods Administration</dc:creator>
  <cp:keywords>AusPARs</cp:keywords>
  <cp:lastModifiedBy>Lack, Janet</cp:lastModifiedBy>
  <cp:revision>3</cp:revision>
  <cp:lastPrinted>2015-09-22T23:53:00Z</cp:lastPrinted>
  <dcterms:created xsi:type="dcterms:W3CDTF">2016-10-26T23:40:00Z</dcterms:created>
  <dcterms:modified xsi:type="dcterms:W3CDTF">2016-11-07T23:53:00Z</dcterms:modified>
</cp:coreProperties>
</file>