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4C246A27" w14:textId="77777777" w:rsidTr="00BF1190">
        <w:trPr>
          <w:trHeight w:val="1863"/>
        </w:trPr>
        <w:tc>
          <w:tcPr>
            <w:tcW w:w="3652" w:type="dxa"/>
            <w:tcBorders>
              <w:top w:val="nil"/>
              <w:left w:val="nil"/>
              <w:bottom w:val="nil"/>
              <w:right w:val="nil"/>
            </w:tcBorders>
          </w:tcPr>
          <w:p w14:paraId="4EF5F0D1" w14:textId="5AD7F0B2" w:rsidR="008E7846" w:rsidRPr="00096AA7" w:rsidRDefault="005C009E" w:rsidP="00F7066C">
            <w:pPr>
              <w:rPr>
                <w:rFonts w:ascii="Arial" w:hAnsi="Arial" w:cs="Arial"/>
                <w:b/>
                <w:color w:val="002C47"/>
                <w:sz w:val="36"/>
                <w:szCs w:val="36"/>
              </w:rPr>
            </w:pPr>
            <w:r>
              <w:rPr>
                <w:rFonts w:ascii="Arial" w:hAnsi="Arial" w:cs="Arial"/>
                <w:b/>
                <w:color w:val="002C47"/>
                <w:sz w:val="36"/>
                <w:szCs w:val="36"/>
              </w:rPr>
              <w:t xml:space="preserve">June </w:t>
            </w:r>
            <w:r w:rsidR="00F7066C">
              <w:rPr>
                <w:rFonts w:ascii="Arial" w:hAnsi="Arial" w:cs="Arial"/>
                <w:b/>
                <w:color w:val="002C47"/>
                <w:sz w:val="36"/>
                <w:szCs w:val="36"/>
              </w:rPr>
              <w:t>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762BB8C5" w14:textId="77777777" w:rsidTr="0032583B">
        <w:trPr>
          <w:trHeight w:val="868"/>
        </w:trPr>
        <w:tc>
          <w:tcPr>
            <w:tcW w:w="9079" w:type="dxa"/>
          </w:tcPr>
          <w:p w14:paraId="2C09270C" w14:textId="77777777" w:rsidR="0032583B" w:rsidRPr="00A964D1" w:rsidRDefault="0032583B" w:rsidP="00F7066C">
            <w:pPr>
              <w:pStyle w:val="Title"/>
              <w:rPr>
                <w:color w:val="FFFFFF" w:themeColor="background1"/>
              </w:rPr>
            </w:pPr>
            <w:r w:rsidRPr="00A964D1">
              <w:rPr>
                <w:color w:val="FFFFFF" w:themeColor="background1"/>
              </w:rPr>
              <w:t>Australia</w:t>
            </w:r>
            <w:r w:rsidR="00F7066C">
              <w:rPr>
                <w:color w:val="FFFFFF" w:themeColor="background1"/>
              </w:rPr>
              <w:t xml:space="preserve">n Public Assessment Report for </w:t>
            </w:r>
            <w:proofErr w:type="spellStart"/>
            <w:r w:rsidR="00F7066C">
              <w:rPr>
                <w:color w:val="FFFFFF" w:themeColor="background1"/>
              </w:rPr>
              <w:t>Atezolizumab</w:t>
            </w:r>
            <w:proofErr w:type="spellEnd"/>
          </w:p>
        </w:tc>
      </w:tr>
      <w:tr w:rsidR="0032583B" w:rsidRPr="00B64760" w14:paraId="1E109C90" w14:textId="77777777" w:rsidTr="0032583B">
        <w:tc>
          <w:tcPr>
            <w:tcW w:w="9079" w:type="dxa"/>
          </w:tcPr>
          <w:p w14:paraId="065C4D5D" w14:textId="299EFC0F"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F7066C">
              <w:rPr>
                <w:color w:val="FFFFFF" w:themeColor="background1"/>
              </w:rPr>
              <w:t>Tecentriq</w:t>
            </w:r>
            <w:proofErr w:type="spellEnd"/>
          </w:p>
        </w:tc>
      </w:tr>
      <w:tr w:rsidR="0032583B" w:rsidRPr="00B64760" w14:paraId="52535C0B" w14:textId="77777777" w:rsidTr="0032583B">
        <w:trPr>
          <w:trHeight w:val="486"/>
        </w:trPr>
        <w:tc>
          <w:tcPr>
            <w:tcW w:w="9079" w:type="dxa"/>
          </w:tcPr>
          <w:p w14:paraId="7E53077E" w14:textId="77777777" w:rsidR="0032583B" w:rsidRPr="008E7846" w:rsidRDefault="00F7066C" w:rsidP="00F7066C">
            <w:pPr>
              <w:pStyle w:val="Subtitle"/>
              <w:rPr>
                <w:color w:val="FFFFFF" w:themeColor="background1"/>
              </w:rPr>
            </w:pPr>
            <w:r>
              <w:rPr>
                <w:color w:val="FFFFFF" w:themeColor="background1"/>
              </w:rPr>
              <w:t>Sponsor: Roche Products Pty Ltd</w:t>
            </w:r>
          </w:p>
        </w:tc>
      </w:tr>
    </w:tbl>
    <w:p w14:paraId="62FEE1CB" w14:textId="77777777" w:rsidR="008E7846" w:rsidRPr="0085156D" w:rsidRDefault="008E7846" w:rsidP="0085156D">
      <w:r w:rsidRPr="0085156D">
        <w:br w:type="page"/>
      </w:r>
    </w:p>
    <w:p w14:paraId="672913BE" w14:textId="77777777" w:rsidR="008E7846" w:rsidRPr="001F6CBA" w:rsidRDefault="008E7846" w:rsidP="008E7846">
      <w:pPr>
        <w:pStyle w:val="NonTOCHeading2"/>
      </w:pPr>
      <w:r w:rsidRPr="001F6CBA">
        <w:lastRenderedPageBreak/>
        <w:t>About the Therapeutic Goods Administration (TGA)</w:t>
      </w:r>
    </w:p>
    <w:p w14:paraId="2DE7488D"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CD70B9D"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00E536F8"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747A6CA8"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17A75B73"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1" w:history="1">
        <w:r w:rsidR="00441C3F">
          <w:rPr>
            <w:rStyle w:val="Hyperlink"/>
          </w:rPr>
          <w:t>https://www.tga.gov.au</w:t>
        </w:r>
      </w:hyperlink>
      <w:r w:rsidR="00441C3F">
        <w:t>&gt;.</w:t>
      </w:r>
    </w:p>
    <w:p w14:paraId="0A6C17E2" w14:textId="77777777" w:rsidR="008E7846" w:rsidRDefault="008E7846" w:rsidP="00875A6B">
      <w:pPr>
        <w:pStyle w:val="NonTOCHeading2"/>
      </w:pPr>
      <w:r>
        <w:t>About AusPARs</w:t>
      </w:r>
    </w:p>
    <w:p w14:paraId="6FDCE90E"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08E5A185" w14:textId="77777777" w:rsidR="008E7846" w:rsidRDefault="008E7846" w:rsidP="008E7846">
      <w:pPr>
        <w:pStyle w:val="ListBullet"/>
        <w:numPr>
          <w:ilvl w:val="0"/>
          <w:numId w:val="3"/>
        </w:numPr>
        <w:ind w:left="357" w:hanging="357"/>
      </w:pPr>
      <w:r>
        <w:t>AusPARs are prepared and published by the TGA.</w:t>
      </w:r>
    </w:p>
    <w:p w14:paraId="6C72204A"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714DA0D4"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A1FDF39"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43C37170" w14:textId="77777777" w:rsidR="00924482" w:rsidRPr="00DF1D7F" w:rsidRDefault="00924482" w:rsidP="00F54B65">
      <w:pPr>
        <w:pStyle w:val="LegalSubheading"/>
        <w:spacing w:before="3120"/>
      </w:pPr>
      <w:r w:rsidRPr="00DF1D7F">
        <w:t>Copyright</w:t>
      </w:r>
    </w:p>
    <w:p w14:paraId="3BE3A676" w14:textId="3B83A396" w:rsidR="00924482" w:rsidRDefault="00924482" w:rsidP="00924482">
      <w:pPr>
        <w:pStyle w:val="LegalCopy"/>
      </w:pPr>
      <w:r w:rsidRPr="00191B3B">
        <w:rPr>
          <w:rFonts w:cs="Arial"/>
          <w:lang w:val="en-GB"/>
        </w:rPr>
        <w:t>© Comm</w:t>
      </w:r>
      <w:r>
        <w:rPr>
          <w:rFonts w:cs="Arial"/>
          <w:lang w:val="en-GB"/>
        </w:rPr>
        <w:t>onwealth of Australia 20</w:t>
      </w:r>
      <w:r w:rsidR="005C009E">
        <w:rPr>
          <w:rFonts w:cs="Arial"/>
          <w:lang w:val="en-GB"/>
        </w:rPr>
        <w:t>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2" w:history="1">
        <w:r w:rsidRPr="00191B3B">
          <w:rPr>
            <w:rStyle w:val="Hyperlink"/>
            <w:rFonts w:cs="Arial"/>
            <w:lang w:val="en-GB"/>
          </w:rPr>
          <w:t>tga.copyright@tga.gov.au</w:t>
        </w:r>
      </w:hyperlink>
      <w:r w:rsidRPr="00191B3B">
        <w:rPr>
          <w:rFonts w:cs="Arial"/>
        </w:rPr>
        <w:t>&gt;.</w:t>
      </w:r>
    </w:p>
    <w:p w14:paraId="2775CF5D" w14:textId="77777777" w:rsidR="00924482" w:rsidRDefault="00924482" w:rsidP="00924482">
      <w:pPr>
        <w:pStyle w:val="LegalCopy"/>
        <w:sectPr w:rsidR="00924482" w:rsidSect="003D1E62">
          <w:headerReference w:type="default" r:id="rId13"/>
          <w:footerReference w:type="default" r:id="rId14"/>
          <w:head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DA0FC19" w14:textId="77777777" w:rsidR="0089635C" w:rsidRPr="0089635C" w:rsidRDefault="0089635C" w:rsidP="0010788A">
          <w:pPr>
            <w:pStyle w:val="Contents"/>
          </w:pPr>
          <w:r w:rsidRPr="0010788A">
            <w:t>Conten</w:t>
          </w:r>
          <w:bookmarkStart w:id="2" w:name="_GoBack"/>
          <w:bookmarkEnd w:id="2"/>
          <w:r w:rsidRPr="0010788A">
            <w:t>ts</w:t>
          </w:r>
        </w:p>
        <w:p w14:paraId="67542C3C" w14:textId="09903EA3" w:rsidR="00674ED0" w:rsidRDefault="00960520">
          <w:pPr>
            <w:pStyle w:val="TOC2"/>
            <w:rPr>
              <w:rFonts w:asciiTheme="minorHAnsi" w:eastAsiaTheme="minorEastAsia" w:hAnsiTheme="minorHAnsi" w:cstheme="minorBidi"/>
              <w:b w:val="0"/>
              <w:noProof/>
              <w:sz w:val="22"/>
              <w:lang w:eastAsia="en-AU"/>
            </w:rPr>
          </w:pPr>
          <w:r>
            <w:fldChar w:fldCharType="begin"/>
          </w:r>
          <w:r>
            <w:instrText xml:space="preserve"> TOC \o "3-3" \h \z \t "Heading 1,1,Heading 2,2" </w:instrText>
          </w:r>
          <w:r>
            <w:fldChar w:fldCharType="separate"/>
          </w:r>
          <w:hyperlink w:anchor="_Toc43287527" w:history="1">
            <w:r w:rsidR="00674ED0" w:rsidRPr="00431ABE">
              <w:rPr>
                <w:rStyle w:val="Hyperlink"/>
                <w:noProof/>
              </w:rPr>
              <w:t>Common abbreviations</w:t>
            </w:r>
            <w:r w:rsidR="00674ED0">
              <w:rPr>
                <w:noProof/>
                <w:webHidden/>
              </w:rPr>
              <w:tab/>
            </w:r>
            <w:r w:rsidR="00674ED0">
              <w:rPr>
                <w:noProof/>
                <w:webHidden/>
              </w:rPr>
              <w:fldChar w:fldCharType="begin"/>
            </w:r>
            <w:r w:rsidR="00674ED0">
              <w:rPr>
                <w:noProof/>
                <w:webHidden/>
              </w:rPr>
              <w:instrText xml:space="preserve"> PAGEREF _Toc43287527 \h </w:instrText>
            </w:r>
            <w:r w:rsidR="00674ED0">
              <w:rPr>
                <w:noProof/>
                <w:webHidden/>
              </w:rPr>
            </w:r>
            <w:r w:rsidR="00674ED0">
              <w:rPr>
                <w:noProof/>
                <w:webHidden/>
              </w:rPr>
              <w:fldChar w:fldCharType="separate"/>
            </w:r>
            <w:r w:rsidR="00674ED0">
              <w:rPr>
                <w:noProof/>
                <w:webHidden/>
              </w:rPr>
              <w:t>4</w:t>
            </w:r>
            <w:r w:rsidR="00674ED0">
              <w:rPr>
                <w:noProof/>
                <w:webHidden/>
              </w:rPr>
              <w:fldChar w:fldCharType="end"/>
            </w:r>
          </w:hyperlink>
        </w:p>
        <w:p w14:paraId="2331FAC0" w14:textId="067ABD99" w:rsidR="00674ED0" w:rsidRDefault="00674ED0">
          <w:pPr>
            <w:pStyle w:val="TOC2"/>
            <w:rPr>
              <w:rFonts w:asciiTheme="minorHAnsi" w:eastAsiaTheme="minorEastAsia" w:hAnsiTheme="minorHAnsi" w:cstheme="minorBidi"/>
              <w:b w:val="0"/>
              <w:noProof/>
              <w:sz w:val="22"/>
              <w:lang w:eastAsia="en-AU"/>
            </w:rPr>
          </w:pPr>
          <w:hyperlink w:anchor="_Toc43287528" w:history="1">
            <w:r w:rsidRPr="00431ABE">
              <w:rPr>
                <w:rStyle w:val="Hyperlink"/>
                <w:noProof/>
              </w:rPr>
              <w:t>I. Introduction to product submission</w:t>
            </w:r>
            <w:r>
              <w:rPr>
                <w:noProof/>
                <w:webHidden/>
              </w:rPr>
              <w:tab/>
            </w:r>
            <w:r>
              <w:rPr>
                <w:noProof/>
                <w:webHidden/>
              </w:rPr>
              <w:fldChar w:fldCharType="begin"/>
            </w:r>
            <w:r>
              <w:rPr>
                <w:noProof/>
                <w:webHidden/>
              </w:rPr>
              <w:instrText xml:space="preserve"> PAGEREF _Toc43287528 \h </w:instrText>
            </w:r>
            <w:r>
              <w:rPr>
                <w:noProof/>
                <w:webHidden/>
              </w:rPr>
            </w:r>
            <w:r>
              <w:rPr>
                <w:noProof/>
                <w:webHidden/>
              </w:rPr>
              <w:fldChar w:fldCharType="separate"/>
            </w:r>
            <w:r>
              <w:rPr>
                <w:noProof/>
                <w:webHidden/>
              </w:rPr>
              <w:t>6</w:t>
            </w:r>
            <w:r>
              <w:rPr>
                <w:noProof/>
                <w:webHidden/>
              </w:rPr>
              <w:fldChar w:fldCharType="end"/>
            </w:r>
          </w:hyperlink>
        </w:p>
        <w:p w14:paraId="4F6D6261" w14:textId="1F17144A" w:rsidR="00674ED0" w:rsidRDefault="00674ED0">
          <w:pPr>
            <w:pStyle w:val="TOC3"/>
            <w:rPr>
              <w:rFonts w:asciiTheme="minorHAnsi" w:eastAsiaTheme="minorEastAsia" w:hAnsiTheme="minorHAnsi" w:cstheme="minorBidi"/>
              <w:noProof/>
              <w:lang w:eastAsia="en-AU"/>
            </w:rPr>
          </w:pPr>
          <w:hyperlink w:anchor="_Toc43287529" w:history="1">
            <w:r w:rsidRPr="00431ABE">
              <w:rPr>
                <w:rStyle w:val="Hyperlink"/>
                <w:noProof/>
                <w:lang w:eastAsia="en-AU"/>
              </w:rPr>
              <w:t>Submission details</w:t>
            </w:r>
            <w:r>
              <w:rPr>
                <w:noProof/>
                <w:webHidden/>
              </w:rPr>
              <w:tab/>
            </w:r>
            <w:r>
              <w:rPr>
                <w:noProof/>
                <w:webHidden/>
              </w:rPr>
              <w:fldChar w:fldCharType="begin"/>
            </w:r>
            <w:r>
              <w:rPr>
                <w:noProof/>
                <w:webHidden/>
              </w:rPr>
              <w:instrText xml:space="preserve"> PAGEREF _Toc43287529 \h </w:instrText>
            </w:r>
            <w:r>
              <w:rPr>
                <w:noProof/>
                <w:webHidden/>
              </w:rPr>
            </w:r>
            <w:r>
              <w:rPr>
                <w:noProof/>
                <w:webHidden/>
              </w:rPr>
              <w:fldChar w:fldCharType="separate"/>
            </w:r>
            <w:r>
              <w:rPr>
                <w:noProof/>
                <w:webHidden/>
              </w:rPr>
              <w:t>6</w:t>
            </w:r>
            <w:r>
              <w:rPr>
                <w:noProof/>
                <w:webHidden/>
              </w:rPr>
              <w:fldChar w:fldCharType="end"/>
            </w:r>
          </w:hyperlink>
        </w:p>
        <w:p w14:paraId="3263F9C8" w14:textId="0DB3EFA4" w:rsidR="00674ED0" w:rsidRDefault="00674ED0">
          <w:pPr>
            <w:pStyle w:val="TOC3"/>
            <w:rPr>
              <w:rFonts w:asciiTheme="minorHAnsi" w:eastAsiaTheme="minorEastAsia" w:hAnsiTheme="minorHAnsi" w:cstheme="minorBidi"/>
              <w:noProof/>
              <w:lang w:eastAsia="en-AU"/>
            </w:rPr>
          </w:pPr>
          <w:hyperlink w:anchor="_Toc43287530" w:history="1">
            <w:r w:rsidRPr="00431ABE">
              <w:rPr>
                <w:rStyle w:val="Hyperlink"/>
                <w:noProof/>
              </w:rPr>
              <w:t>Product background</w:t>
            </w:r>
            <w:r>
              <w:rPr>
                <w:noProof/>
                <w:webHidden/>
              </w:rPr>
              <w:tab/>
            </w:r>
            <w:r>
              <w:rPr>
                <w:noProof/>
                <w:webHidden/>
              </w:rPr>
              <w:fldChar w:fldCharType="begin"/>
            </w:r>
            <w:r>
              <w:rPr>
                <w:noProof/>
                <w:webHidden/>
              </w:rPr>
              <w:instrText xml:space="preserve"> PAGEREF _Toc43287530 \h </w:instrText>
            </w:r>
            <w:r>
              <w:rPr>
                <w:noProof/>
                <w:webHidden/>
              </w:rPr>
            </w:r>
            <w:r>
              <w:rPr>
                <w:noProof/>
                <w:webHidden/>
              </w:rPr>
              <w:fldChar w:fldCharType="separate"/>
            </w:r>
            <w:r>
              <w:rPr>
                <w:noProof/>
                <w:webHidden/>
              </w:rPr>
              <w:t>7</w:t>
            </w:r>
            <w:r>
              <w:rPr>
                <w:noProof/>
                <w:webHidden/>
              </w:rPr>
              <w:fldChar w:fldCharType="end"/>
            </w:r>
          </w:hyperlink>
        </w:p>
        <w:p w14:paraId="40723FA1" w14:textId="5269A09E" w:rsidR="00674ED0" w:rsidRDefault="00674ED0">
          <w:pPr>
            <w:pStyle w:val="TOC3"/>
            <w:rPr>
              <w:rFonts w:asciiTheme="minorHAnsi" w:eastAsiaTheme="minorEastAsia" w:hAnsiTheme="minorHAnsi" w:cstheme="minorBidi"/>
              <w:noProof/>
              <w:lang w:eastAsia="en-AU"/>
            </w:rPr>
          </w:pPr>
          <w:hyperlink w:anchor="_Toc43287531" w:history="1">
            <w:r w:rsidRPr="00431ABE">
              <w:rPr>
                <w:rStyle w:val="Hyperlink"/>
                <w:noProof/>
              </w:rPr>
              <w:t>Regulatory status</w:t>
            </w:r>
            <w:r>
              <w:rPr>
                <w:noProof/>
                <w:webHidden/>
              </w:rPr>
              <w:tab/>
            </w:r>
            <w:r>
              <w:rPr>
                <w:noProof/>
                <w:webHidden/>
              </w:rPr>
              <w:fldChar w:fldCharType="begin"/>
            </w:r>
            <w:r>
              <w:rPr>
                <w:noProof/>
                <w:webHidden/>
              </w:rPr>
              <w:instrText xml:space="preserve"> PAGEREF _Toc43287531 \h </w:instrText>
            </w:r>
            <w:r>
              <w:rPr>
                <w:noProof/>
                <w:webHidden/>
              </w:rPr>
            </w:r>
            <w:r>
              <w:rPr>
                <w:noProof/>
                <w:webHidden/>
              </w:rPr>
              <w:fldChar w:fldCharType="separate"/>
            </w:r>
            <w:r>
              <w:rPr>
                <w:noProof/>
                <w:webHidden/>
              </w:rPr>
              <w:t>8</w:t>
            </w:r>
            <w:r>
              <w:rPr>
                <w:noProof/>
                <w:webHidden/>
              </w:rPr>
              <w:fldChar w:fldCharType="end"/>
            </w:r>
          </w:hyperlink>
        </w:p>
        <w:p w14:paraId="79FFD262" w14:textId="4EBC327D" w:rsidR="00674ED0" w:rsidRDefault="00674ED0">
          <w:pPr>
            <w:pStyle w:val="TOC3"/>
            <w:rPr>
              <w:rFonts w:asciiTheme="minorHAnsi" w:eastAsiaTheme="minorEastAsia" w:hAnsiTheme="minorHAnsi" w:cstheme="minorBidi"/>
              <w:noProof/>
              <w:lang w:eastAsia="en-AU"/>
            </w:rPr>
          </w:pPr>
          <w:hyperlink w:anchor="_Toc43287532" w:history="1">
            <w:r w:rsidRPr="00431ABE">
              <w:rPr>
                <w:rStyle w:val="Hyperlink"/>
                <w:noProof/>
              </w:rPr>
              <w:t>Product Information</w:t>
            </w:r>
            <w:r>
              <w:rPr>
                <w:noProof/>
                <w:webHidden/>
              </w:rPr>
              <w:tab/>
            </w:r>
            <w:r>
              <w:rPr>
                <w:noProof/>
                <w:webHidden/>
              </w:rPr>
              <w:fldChar w:fldCharType="begin"/>
            </w:r>
            <w:r>
              <w:rPr>
                <w:noProof/>
                <w:webHidden/>
              </w:rPr>
              <w:instrText xml:space="preserve"> PAGEREF _Toc43287532 \h </w:instrText>
            </w:r>
            <w:r>
              <w:rPr>
                <w:noProof/>
                <w:webHidden/>
              </w:rPr>
            </w:r>
            <w:r>
              <w:rPr>
                <w:noProof/>
                <w:webHidden/>
              </w:rPr>
              <w:fldChar w:fldCharType="separate"/>
            </w:r>
            <w:r>
              <w:rPr>
                <w:noProof/>
                <w:webHidden/>
              </w:rPr>
              <w:t>8</w:t>
            </w:r>
            <w:r>
              <w:rPr>
                <w:noProof/>
                <w:webHidden/>
              </w:rPr>
              <w:fldChar w:fldCharType="end"/>
            </w:r>
          </w:hyperlink>
        </w:p>
        <w:p w14:paraId="66370411" w14:textId="712EC405" w:rsidR="00674ED0" w:rsidRDefault="00674ED0">
          <w:pPr>
            <w:pStyle w:val="TOC2"/>
            <w:rPr>
              <w:rFonts w:asciiTheme="minorHAnsi" w:eastAsiaTheme="minorEastAsia" w:hAnsiTheme="minorHAnsi" w:cstheme="minorBidi"/>
              <w:b w:val="0"/>
              <w:noProof/>
              <w:sz w:val="22"/>
              <w:lang w:eastAsia="en-AU"/>
            </w:rPr>
          </w:pPr>
          <w:hyperlink w:anchor="_Toc43287533" w:history="1">
            <w:r w:rsidRPr="00431ABE">
              <w:rPr>
                <w:rStyle w:val="Hyperlink"/>
                <w:noProof/>
              </w:rPr>
              <w:t>II. Registration time line</w:t>
            </w:r>
            <w:r>
              <w:rPr>
                <w:noProof/>
                <w:webHidden/>
              </w:rPr>
              <w:tab/>
            </w:r>
            <w:r>
              <w:rPr>
                <w:noProof/>
                <w:webHidden/>
              </w:rPr>
              <w:fldChar w:fldCharType="begin"/>
            </w:r>
            <w:r>
              <w:rPr>
                <w:noProof/>
                <w:webHidden/>
              </w:rPr>
              <w:instrText xml:space="preserve"> PAGEREF _Toc43287533 \h </w:instrText>
            </w:r>
            <w:r>
              <w:rPr>
                <w:noProof/>
                <w:webHidden/>
              </w:rPr>
            </w:r>
            <w:r>
              <w:rPr>
                <w:noProof/>
                <w:webHidden/>
              </w:rPr>
              <w:fldChar w:fldCharType="separate"/>
            </w:r>
            <w:r>
              <w:rPr>
                <w:noProof/>
                <w:webHidden/>
              </w:rPr>
              <w:t>8</w:t>
            </w:r>
            <w:r>
              <w:rPr>
                <w:noProof/>
                <w:webHidden/>
              </w:rPr>
              <w:fldChar w:fldCharType="end"/>
            </w:r>
          </w:hyperlink>
        </w:p>
        <w:p w14:paraId="67A3F3CA" w14:textId="55319541" w:rsidR="00674ED0" w:rsidRDefault="00674ED0">
          <w:pPr>
            <w:pStyle w:val="TOC2"/>
            <w:rPr>
              <w:rFonts w:asciiTheme="minorHAnsi" w:eastAsiaTheme="minorEastAsia" w:hAnsiTheme="minorHAnsi" w:cstheme="minorBidi"/>
              <w:b w:val="0"/>
              <w:noProof/>
              <w:sz w:val="22"/>
              <w:lang w:eastAsia="en-AU"/>
            </w:rPr>
          </w:pPr>
          <w:hyperlink w:anchor="_Toc43287534" w:history="1">
            <w:r w:rsidRPr="00431ABE">
              <w:rPr>
                <w:rStyle w:val="Hyperlink"/>
                <w:noProof/>
              </w:rPr>
              <w:t>III. Overall conclusion and risk/benefit assessment</w:t>
            </w:r>
            <w:r>
              <w:rPr>
                <w:noProof/>
                <w:webHidden/>
              </w:rPr>
              <w:tab/>
            </w:r>
            <w:r>
              <w:rPr>
                <w:noProof/>
                <w:webHidden/>
              </w:rPr>
              <w:fldChar w:fldCharType="begin"/>
            </w:r>
            <w:r>
              <w:rPr>
                <w:noProof/>
                <w:webHidden/>
              </w:rPr>
              <w:instrText xml:space="preserve"> PAGEREF _Toc43287534 \h </w:instrText>
            </w:r>
            <w:r>
              <w:rPr>
                <w:noProof/>
                <w:webHidden/>
              </w:rPr>
            </w:r>
            <w:r>
              <w:rPr>
                <w:noProof/>
                <w:webHidden/>
              </w:rPr>
              <w:fldChar w:fldCharType="separate"/>
            </w:r>
            <w:r>
              <w:rPr>
                <w:noProof/>
                <w:webHidden/>
              </w:rPr>
              <w:t>9</w:t>
            </w:r>
            <w:r>
              <w:rPr>
                <w:noProof/>
                <w:webHidden/>
              </w:rPr>
              <w:fldChar w:fldCharType="end"/>
            </w:r>
          </w:hyperlink>
        </w:p>
        <w:p w14:paraId="17CC70A4" w14:textId="7CED27FC" w:rsidR="00674ED0" w:rsidRDefault="00674ED0">
          <w:pPr>
            <w:pStyle w:val="TOC3"/>
            <w:rPr>
              <w:rFonts w:asciiTheme="minorHAnsi" w:eastAsiaTheme="minorEastAsia" w:hAnsiTheme="minorHAnsi" w:cstheme="minorBidi"/>
              <w:noProof/>
              <w:lang w:eastAsia="en-AU"/>
            </w:rPr>
          </w:pPr>
          <w:hyperlink w:anchor="_Toc43287535" w:history="1">
            <w:r w:rsidRPr="00431ABE">
              <w:rPr>
                <w:rStyle w:val="Hyperlink"/>
                <w:noProof/>
              </w:rPr>
              <w:t>Quality</w:t>
            </w:r>
            <w:r>
              <w:rPr>
                <w:noProof/>
                <w:webHidden/>
              </w:rPr>
              <w:tab/>
            </w:r>
            <w:r>
              <w:rPr>
                <w:noProof/>
                <w:webHidden/>
              </w:rPr>
              <w:fldChar w:fldCharType="begin"/>
            </w:r>
            <w:r>
              <w:rPr>
                <w:noProof/>
                <w:webHidden/>
              </w:rPr>
              <w:instrText xml:space="preserve"> PAGEREF _Toc43287535 \h </w:instrText>
            </w:r>
            <w:r>
              <w:rPr>
                <w:noProof/>
                <w:webHidden/>
              </w:rPr>
            </w:r>
            <w:r>
              <w:rPr>
                <w:noProof/>
                <w:webHidden/>
              </w:rPr>
              <w:fldChar w:fldCharType="separate"/>
            </w:r>
            <w:r>
              <w:rPr>
                <w:noProof/>
                <w:webHidden/>
              </w:rPr>
              <w:t>9</w:t>
            </w:r>
            <w:r>
              <w:rPr>
                <w:noProof/>
                <w:webHidden/>
              </w:rPr>
              <w:fldChar w:fldCharType="end"/>
            </w:r>
          </w:hyperlink>
        </w:p>
        <w:p w14:paraId="1909F868" w14:textId="2C4C948F" w:rsidR="00674ED0" w:rsidRDefault="00674ED0">
          <w:pPr>
            <w:pStyle w:val="TOC3"/>
            <w:rPr>
              <w:rFonts w:asciiTheme="minorHAnsi" w:eastAsiaTheme="minorEastAsia" w:hAnsiTheme="minorHAnsi" w:cstheme="minorBidi"/>
              <w:noProof/>
              <w:lang w:eastAsia="en-AU"/>
            </w:rPr>
          </w:pPr>
          <w:hyperlink w:anchor="_Toc43287536" w:history="1">
            <w:r w:rsidRPr="00431ABE">
              <w:rPr>
                <w:rStyle w:val="Hyperlink"/>
                <w:noProof/>
              </w:rPr>
              <w:t>Nonclinical</w:t>
            </w:r>
            <w:r>
              <w:rPr>
                <w:noProof/>
                <w:webHidden/>
              </w:rPr>
              <w:tab/>
            </w:r>
            <w:r>
              <w:rPr>
                <w:noProof/>
                <w:webHidden/>
              </w:rPr>
              <w:fldChar w:fldCharType="begin"/>
            </w:r>
            <w:r>
              <w:rPr>
                <w:noProof/>
                <w:webHidden/>
              </w:rPr>
              <w:instrText xml:space="preserve"> PAGEREF _Toc43287536 \h </w:instrText>
            </w:r>
            <w:r>
              <w:rPr>
                <w:noProof/>
                <w:webHidden/>
              </w:rPr>
            </w:r>
            <w:r>
              <w:rPr>
                <w:noProof/>
                <w:webHidden/>
              </w:rPr>
              <w:fldChar w:fldCharType="separate"/>
            </w:r>
            <w:r>
              <w:rPr>
                <w:noProof/>
                <w:webHidden/>
              </w:rPr>
              <w:t>9</w:t>
            </w:r>
            <w:r>
              <w:rPr>
                <w:noProof/>
                <w:webHidden/>
              </w:rPr>
              <w:fldChar w:fldCharType="end"/>
            </w:r>
          </w:hyperlink>
        </w:p>
        <w:p w14:paraId="2E8B636E" w14:textId="26A67DE6" w:rsidR="00674ED0" w:rsidRDefault="00674ED0">
          <w:pPr>
            <w:pStyle w:val="TOC3"/>
            <w:rPr>
              <w:rFonts w:asciiTheme="minorHAnsi" w:eastAsiaTheme="minorEastAsia" w:hAnsiTheme="minorHAnsi" w:cstheme="minorBidi"/>
              <w:noProof/>
              <w:lang w:eastAsia="en-AU"/>
            </w:rPr>
          </w:pPr>
          <w:hyperlink w:anchor="_Toc43287537" w:history="1">
            <w:r w:rsidRPr="00431ABE">
              <w:rPr>
                <w:rStyle w:val="Hyperlink"/>
                <w:noProof/>
              </w:rPr>
              <w:t>Clinical</w:t>
            </w:r>
            <w:r>
              <w:rPr>
                <w:noProof/>
                <w:webHidden/>
              </w:rPr>
              <w:tab/>
            </w:r>
            <w:r>
              <w:rPr>
                <w:noProof/>
                <w:webHidden/>
              </w:rPr>
              <w:fldChar w:fldCharType="begin"/>
            </w:r>
            <w:r>
              <w:rPr>
                <w:noProof/>
                <w:webHidden/>
              </w:rPr>
              <w:instrText xml:space="preserve"> PAGEREF _Toc43287537 \h </w:instrText>
            </w:r>
            <w:r>
              <w:rPr>
                <w:noProof/>
                <w:webHidden/>
              </w:rPr>
            </w:r>
            <w:r>
              <w:rPr>
                <w:noProof/>
                <w:webHidden/>
              </w:rPr>
              <w:fldChar w:fldCharType="separate"/>
            </w:r>
            <w:r>
              <w:rPr>
                <w:noProof/>
                <w:webHidden/>
              </w:rPr>
              <w:t>9</w:t>
            </w:r>
            <w:r>
              <w:rPr>
                <w:noProof/>
                <w:webHidden/>
              </w:rPr>
              <w:fldChar w:fldCharType="end"/>
            </w:r>
          </w:hyperlink>
        </w:p>
        <w:p w14:paraId="34724EE6" w14:textId="7676DE6C" w:rsidR="00674ED0" w:rsidRDefault="00674ED0">
          <w:pPr>
            <w:pStyle w:val="TOC3"/>
            <w:rPr>
              <w:rFonts w:asciiTheme="minorHAnsi" w:eastAsiaTheme="minorEastAsia" w:hAnsiTheme="minorHAnsi" w:cstheme="minorBidi"/>
              <w:noProof/>
              <w:lang w:eastAsia="en-AU"/>
            </w:rPr>
          </w:pPr>
          <w:hyperlink w:anchor="_Toc43287538" w:history="1">
            <w:r w:rsidRPr="00431ABE">
              <w:rPr>
                <w:rStyle w:val="Hyperlink"/>
                <w:noProof/>
                <w:lang w:eastAsia="en-AU"/>
              </w:rPr>
              <w:t>Risk management plan</w:t>
            </w:r>
            <w:r>
              <w:rPr>
                <w:noProof/>
                <w:webHidden/>
              </w:rPr>
              <w:tab/>
            </w:r>
            <w:r>
              <w:rPr>
                <w:noProof/>
                <w:webHidden/>
              </w:rPr>
              <w:fldChar w:fldCharType="begin"/>
            </w:r>
            <w:r>
              <w:rPr>
                <w:noProof/>
                <w:webHidden/>
              </w:rPr>
              <w:instrText xml:space="preserve"> PAGEREF _Toc43287538 \h </w:instrText>
            </w:r>
            <w:r>
              <w:rPr>
                <w:noProof/>
                <w:webHidden/>
              </w:rPr>
            </w:r>
            <w:r>
              <w:rPr>
                <w:noProof/>
                <w:webHidden/>
              </w:rPr>
              <w:fldChar w:fldCharType="separate"/>
            </w:r>
            <w:r>
              <w:rPr>
                <w:noProof/>
                <w:webHidden/>
              </w:rPr>
              <w:t>23</w:t>
            </w:r>
            <w:r>
              <w:rPr>
                <w:noProof/>
                <w:webHidden/>
              </w:rPr>
              <w:fldChar w:fldCharType="end"/>
            </w:r>
          </w:hyperlink>
        </w:p>
        <w:p w14:paraId="2049A287" w14:textId="00B2668D" w:rsidR="00674ED0" w:rsidRDefault="00674ED0">
          <w:pPr>
            <w:pStyle w:val="TOC3"/>
            <w:rPr>
              <w:rFonts w:asciiTheme="minorHAnsi" w:eastAsiaTheme="minorEastAsia" w:hAnsiTheme="minorHAnsi" w:cstheme="minorBidi"/>
              <w:noProof/>
              <w:lang w:eastAsia="en-AU"/>
            </w:rPr>
          </w:pPr>
          <w:hyperlink w:anchor="_Toc43287539" w:history="1">
            <w:r w:rsidRPr="00431ABE">
              <w:rPr>
                <w:rStyle w:val="Hyperlink"/>
                <w:noProof/>
              </w:rPr>
              <w:t>Risk-benefit analysis</w:t>
            </w:r>
            <w:r>
              <w:rPr>
                <w:noProof/>
                <w:webHidden/>
              </w:rPr>
              <w:tab/>
            </w:r>
            <w:r>
              <w:rPr>
                <w:noProof/>
                <w:webHidden/>
              </w:rPr>
              <w:fldChar w:fldCharType="begin"/>
            </w:r>
            <w:r>
              <w:rPr>
                <w:noProof/>
                <w:webHidden/>
              </w:rPr>
              <w:instrText xml:space="preserve"> PAGEREF _Toc43287539 \h </w:instrText>
            </w:r>
            <w:r>
              <w:rPr>
                <w:noProof/>
                <w:webHidden/>
              </w:rPr>
            </w:r>
            <w:r>
              <w:rPr>
                <w:noProof/>
                <w:webHidden/>
              </w:rPr>
              <w:fldChar w:fldCharType="separate"/>
            </w:r>
            <w:r>
              <w:rPr>
                <w:noProof/>
                <w:webHidden/>
              </w:rPr>
              <w:t>23</w:t>
            </w:r>
            <w:r>
              <w:rPr>
                <w:noProof/>
                <w:webHidden/>
              </w:rPr>
              <w:fldChar w:fldCharType="end"/>
            </w:r>
          </w:hyperlink>
        </w:p>
        <w:p w14:paraId="43ECC7C5" w14:textId="3A05D63E" w:rsidR="00674ED0" w:rsidRDefault="00674ED0">
          <w:pPr>
            <w:pStyle w:val="TOC3"/>
            <w:rPr>
              <w:rFonts w:asciiTheme="minorHAnsi" w:eastAsiaTheme="minorEastAsia" w:hAnsiTheme="minorHAnsi" w:cstheme="minorBidi"/>
              <w:noProof/>
              <w:lang w:eastAsia="en-AU"/>
            </w:rPr>
          </w:pPr>
          <w:hyperlink w:anchor="_Toc43287540" w:history="1">
            <w:r w:rsidRPr="00431ABE">
              <w:rPr>
                <w:rStyle w:val="Hyperlink"/>
                <w:noProof/>
              </w:rPr>
              <w:t>Outcome</w:t>
            </w:r>
            <w:r>
              <w:rPr>
                <w:noProof/>
                <w:webHidden/>
              </w:rPr>
              <w:tab/>
            </w:r>
            <w:r>
              <w:rPr>
                <w:noProof/>
                <w:webHidden/>
              </w:rPr>
              <w:fldChar w:fldCharType="begin"/>
            </w:r>
            <w:r>
              <w:rPr>
                <w:noProof/>
                <w:webHidden/>
              </w:rPr>
              <w:instrText xml:space="preserve"> PAGEREF _Toc43287540 \h </w:instrText>
            </w:r>
            <w:r>
              <w:rPr>
                <w:noProof/>
                <w:webHidden/>
              </w:rPr>
            </w:r>
            <w:r>
              <w:rPr>
                <w:noProof/>
                <w:webHidden/>
              </w:rPr>
              <w:fldChar w:fldCharType="separate"/>
            </w:r>
            <w:r>
              <w:rPr>
                <w:noProof/>
                <w:webHidden/>
              </w:rPr>
              <w:t>25</w:t>
            </w:r>
            <w:r>
              <w:rPr>
                <w:noProof/>
                <w:webHidden/>
              </w:rPr>
              <w:fldChar w:fldCharType="end"/>
            </w:r>
          </w:hyperlink>
        </w:p>
        <w:p w14:paraId="6DB8A947" w14:textId="40DDABC6" w:rsidR="00674ED0" w:rsidRDefault="00674ED0">
          <w:pPr>
            <w:pStyle w:val="TOC2"/>
            <w:rPr>
              <w:rFonts w:asciiTheme="minorHAnsi" w:eastAsiaTheme="minorEastAsia" w:hAnsiTheme="minorHAnsi" w:cstheme="minorBidi"/>
              <w:b w:val="0"/>
              <w:noProof/>
              <w:sz w:val="22"/>
              <w:lang w:eastAsia="en-AU"/>
            </w:rPr>
          </w:pPr>
          <w:hyperlink w:anchor="_Toc43287541" w:history="1">
            <w:r w:rsidRPr="00431ABE">
              <w:rPr>
                <w:rStyle w:val="Hyperlink"/>
                <w:noProof/>
              </w:rPr>
              <w:t>Attachment 1. Product Information</w:t>
            </w:r>
            <w:r>
              <w:rPr>
                <w:noProof/>
                <w:webHidden/>
              </w:rPr>
              <w:tab/>
            </w:r>
            <w:r>
              <w:rPr>
                <w:noProof/>
                <w:webHidden/>
              </w:rPr>
              <w:fldChar w:fldCharType="begin"/>
            </w:r>
            <w:r>
              <w:rPr>
                <w:noProof/>
                <w:webHidden/>
              </w:rPr>
              <w:instrText xml:space="preserve"> PAGEREF _Toc43287541 \h </w:instrText>
            </w:r>
            <w:r>
              <w:rPr>
                <w:noProof/>
                <w:webHidden/>
              </w:rPr>
            </w:r>
            <w:r>
              <w:rPr>
                <w:noProof/>
                <w:webHidden/>
              </w:rPr>
              <w:fldChar w:fldCharType="separate"/>
            </w:r>
            <w:r>
              <w:rPr>
                <w:noProof/>
                <w:webHidden/>
              </w:rPr>
              <w:t>25</w:t>
            </w:r>
            <w:r>
              <w:rPr>
                <w:noProof/>
                <w:webHidden/>
              </w:rPr>
              <w:fldChar w:fldCharType="end"/>
            </w:r>
          </w:hyperlink>
        </w:p>
        <w:p w14:paraId="5C393059" w14:textId="6888E8B4" w:rsidR="003A7F6C" w:rsidRPr="00B811C6" w:rsidRDefault="00960520" w:rsidP="00B811C6">
          <w:pPr>
            <w:pStyle w:val="TOC2"/>
          </w:pPr>
          <w:r>
            <w:fldChar w:fldCharType="end"/>
          </w:r>
        </w:p>
      </w:sdtContent>
    </w:sdt>
    <w:bookmarkStart w:id="3" w:name="_Toc314842482" w:displacedByCustomXml="prev"/>
    <w:p w14:paraId="1900BE5F" w14:textId="77777777" w:rsidR="00FD119B" w:rsidRDefault="00FD119B">
      <w:pPr>
        <w:spacing w:before="0" w:after="200" w:line="0" w:lineRule="auto"/>
      </w:pPr>
      <w:r>
        <w:br w:type="page"/>
      </w:r>
    </w:p>
    <w:p w14:paraId="4C93F58A" w14:textId="77777777" w:rsidR="00FD119B" w:rsidRDefault="00441C3F" w:rsidP="004F0C4A">
      <w:pPr>
        <w:pStyle w:val="Heading2"/>
      </w:pPr>
      <w:bookmarkStart w:id="4" w:name="_Toc351716269"/>
      <w:bookmarkStart w:id="5" w:name="_Toc351718881"/>
      <w:bookmarkStart w:id="6" w:name="_Toc355338616"/>
      <w:bookmarkStart w:id="7" w:name="_Toc356306144"/>
      <w:bookmarkStart w:id="8" w:name="_Toc43287527"/>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594"/>
      </w:tblGrid>
      <w:tr w:rsidR="009C5024" w14:paraId="74FBD052" w14:textId="77777777" w:rsidTr="009C5024">
        <w:trPr>
          <w:cnfStyle w:val="100000000000" w:firstRow="1" w:lastRow="0" w:firstColumn="0" w:lastColumn="0" w:oddVBand="0" w:evenVBand="0" w:oddHBand="0" w:evenHBand="0" w:firstRowFirstColumn="0" w:firstRowLastColumn="0" w:lastRowFirstColumn="0" w:lastRowLastColumn="0"/>
        </w:trPr>
        <w:tc>
          <w:tcPr>
            <w:tcW w:w="1890" w:type="dxa"/>
            <w:hideMark/>
          </w:tcPr>
          <w:p w14:paraId="633F7D5B" w14:textId="77777777" w:rsidR="009C5024" w:rsidRDefault="009C5024" w:rsidP="009C5024">
            <w:r>
              <w:t>Abbreviation</w:t>
            </w:r>
          </w:p>
        </w:tc>
        <w:tc>
          <w:tcPr>
            <w:tcW w:w="6594" w:type="dxa"/>
            <w:hideMark/>
          </w:tcPr>
          <w:p w14:paraId="15B8FE2D" w14:textId="77777777" w:rsidR="009C5024" w:rsidRDefault="009C5024" w:rsidP="009C5024">
            <w:r>
              <w:t>Meaning</w:t>
            </w:r>
          </w:p>
        </w:tc>
      </w:tr>
      <w:tr w:rsidR="009C5024" w14:paraId="641AFCF8" w14:textId="77777777" w:rsidTr="009C5024">
        <w:tc>
          <w:tcPr>
            <w:tcW w:w="1890" w:type="dxa"/>
            <w:hideMark/>
          </w:tcPr>
          <w:p w14:paraId="7B73E108" w14:textId="77777777" w:rsidR="009C5024" w:rsidRPr="0083202A" w:rsidRDefault="009C5024" w:rsidP="009C5024">
            <w:pPr>
              <w:rPr>
                <w:rFonts w:asciiTheme="minorHAnsi" w:hAnsiTheme="minorHAnsi"/>
                <w:szCs w:val="18"/>
              </w:rPr>
            </w:pPr>
            <w:r w:rsidRPr="0083202A">
              <w:rPr>
                <w:rFonts w:asciiTheme="minorHAnsi" w:hAnsiTheme="minorHAnsi"/>
                <w:szCs w:val="18"/>
              </w:rPr>
              <w:t>IL</w:t>
            </w:r>
          </w:p>
        </w:tc>
        <w:tc>
          <w:tcPr>
            <w:tcW w:w="6594" w:type="dxa"/>
            <w:hideMark/>
          </w:tcPr>
          <w:p w14:paraId="278CEADE" w14:textId="77777777" w:rsidR="009C5024" w:rsidRPr="0083202A" w:rsidRDefault="009C5024" w:rsidP="009C5024">
            <w:pPr>
              <w:rPr>
                <w:rFonts w:asciiTheme="minorHAnsi" w:hAnsiTheme="minorHAnsi"/>
                <w:szCs w:val="18"/>
              </w:rPr>
            </w:pPr>
            <w:r w:rsidRPr="0083202A">
              <w:rPr>
                <w:rFonts w:asciiTheme="minorHAnsi" w:hAnsiTheme="minorHAnsi"/>
                <w:szCs w:val="18"/>
              </w:rPr>
              <w:t xml:space="preserve">First line treatment </w:t>
            </w:r>
          </w:p>
        </w:tc>
      </w:tr>
      <w:tr w:rsidR="009C5024" w14:paraId="03D10602" w14:textId="77777777" w:rsidTr="009C5024">
        <w:tc>
          <w:tcPr>
            <w:tcW w:w="1890" w:type="dxa"/>
            <w:hideMark/>
          </w:tcPr>
          <w:p w14:paraId="7A67AA61" w14:textId="77777777" w:rsidR="009C5024" w:rsidRPr="0083202A" w:rsidRDefault="009C5024" w:rsidP="009C5024">
            <w:pPr>
              <w:rPr>
                <w:rFonts w:asciiTheme="minorHAnsi" w:hAnsiTheme="minorHAnsi"/>
                <w:szCs w:val="18"/>
              </w:rPr>
            </w:pPr>
            <w:r w:rsidRPr="0083202A">
              <w:rPr>
                <w:rFonts w:asciiTheme="minorHAnsi" w:hAnsiTheme="minorHAnsi"/>
                <w:szCs w:val="18"/>
              </w:rPr>
              <w:t>2L</w:t>
            </w:r>
          </w:p>
        </w:tc>
        <w:tc>
          <w:tcPr>
            <w:tcW w:w="6594" w:type="dxa"/>
            <w:hideMark/>
          </w:tcPr>
          <w:p w14:paraId="760047D7" w14:textId="77777777" w:rsidR="009C5024" w:rsidRPr="0083202A" w:rsidRDefault="009C5024" w:rsidP="009C5024">
            <w:pPr>
              <w:rPr>
                <w:rFonts w:asciiTheme="minorHAnsi" w:hAnsiTheme="minorHAnsi"/>
                <w:szCs w:val="18"/>
              </w:rPr>
            </w:pPr>
            <w:r w:rsidRPr="0083202A">
              <w:rPr>
                <w:rFonts w:asciiTheme="minorHAnsi" w:hAnsiTheme="minorHAnsi"/>
                <w:szCs w:val="18"/>
              </w:rPr>
              <w:t>Second line treatment</w:t>
            </w:r>
          </w:p>
        </w:tc>
      </w:tr>
      <w:tr w:rsidR="009C5024" w14:paraId="06F6B556" w14:textId="77777777" w:rsidTr="009C5024">
        <w:tc>
          <w:tcPr>
            <w:tcW w:w="1890" w:type="dxa"/>
            <w:hideMark/>
          </w:tcPr>
          <w:p w14:paraId="04E03ACB" w14:textId="77777777" w:rsidR="009C5024" w:rsidRPr="0083202A" w:rsidRDefault="009C5024" w:rsidP="009C5024">
            <w:pPr>
              <w:rPr>
                <w:rFonts w:asciiTheme="minorHAnsi" w:hAnsiTheme="minorHAnsi"/>
                <w:szCs w:val="18"/>
              </w:rPr>
            </w:pPr>
            <w:r w:rsidRPr="0083202A">
              <w:rPr>
                <w:rFonts w:asciiTheme="minorHAnsi" w:hAnsiTheme="minorHAnsi"/>
                <w:szCs w:val="18"/>
              </w:rPr>
              <w:t>2L +</w:t>
            </w:r>
          </w:p>
        </w:tc>
        <w:tc>
          <w:tcPr>
            <w:tcW w:w="6594" w:type="dxa"/>
            <w:hideMark/>
          </w:tcPr>
          <w:p w14:paraId="293C3CD6" w14:textId="25830E1C" w:rsidR="009C5024" w:rsidRPr="0083202A" w:rsidRDefault="009C5024" w:rsidP="009C5024">
            <w:pPr>
              <w:rPr>
                <w:rFonts w:asciiTheme="minorHAnsi" w:hAnsiTheme="minorHAnsi"/>
                <w:szCs w:val="18"/>
              </w:rPr>
            </w:pPr>
            <w:r w:rsidRPr="0083202A">
              <w:rPr>
                <w:rFonts w:asciiTheme="minorHAnsi" w:hAnsiTheme="minorHAnsi"/>
                <w:szCs w:val="18"/>
              </w:rPr>
              <w:t xml:space="preserve">≥ </w:t>
            </w:r>
            <w:r w:rsidR="005C009E">
              <w:rPr>
                <w:rFonts w:asciiTheme="minorHAnsi" w:hAnsiTheme="minorHAnsi"/>
                <w:szCs w:val="18"/>
              </w:rPr>
              <w:t>s</w:t>
            </w:r>
            <w:r w:rsidRPr="0083202A">
              <w:rPr>
                <w:rFonts w:asciiTheme="minorHAnsi" w:hAnsiTheme="minorHAnsi"/>
                <w:szCs w:val="18"/>
              </w:rPr>
              <w:t>econd line treatment</w:t>
            </w:r>
          </w:p>
        </w:tc>
      </w:tr>
      <w:tr w:rsidR="009C5024" w14:paraId="2148D36E" w14:textId="77777777" w:rsidTr="009C5024">
        <w:tc>
          <w:tcPr>
            <w:tcW w:w="1890" w:type="dxa"/>
            <w:hideMark/>
          </w:tcPr>
          <w:p w14:paraId="419764AE" w14:textId="77777777" w:rsidR="009C5024" w:rsidRPr="0083202A" w:rsidRDefault="009C5024" w:rsidP="009C5024">
            <w:pPr>
              <w:rPr>
                <w:rFonts w:asciiTheme="minorHAnsi" w:hAnsiTheme="minorHAnsi"/>
                <w:szCs w:val="18"/>
              </w:rPr>
            </w:pPr>
            <w:r w:rsidRPr="0083202A">
              <w:rPr>
                <w:rFonts w:asciiTheme="minorHAnsi" w:hAnsiTheme="minorHAnsi"/>
                <w:szCs w:val="18"/>
              </w:rPr>
              <w:t>3L</w:t>
            </w:r>
          </w:p>
        </w:tc>
        <w:tc>
          <w:tcPr>
            <w:tcW w:w="6594" w:type="dxa"/>
            <w:hideMark/>
          </w:tcPr>
          <w:p w14:paraId="67FE4924" w14:textId="77777777" w:rsidR="009C5024" w:rsidRPr="0083202A" w:rsidRDefault="009C5024" w:rsidP="009C5024">
            <w:pPr>
              <w:rPr>
                <w:rFonts w:asciiTheme="minorHAnsi" w:hAnsiTheme="minorHAnsi"/>
                <w:szCs w:val="18"/>
              </w:rPr>
            </w:pPr>
            <w:r w:rsidRPr="0083202A">
              <w:rPr>
                <w:rFonts w:asciiTheme="minorHAnsi" w:hAnsiTheme="minorHAnsi"/>
                <w:szCs w:val="18"/>
              </w:rPr>
              <w:t>Third line treatment</w:t>
            </w:r>
          </w:p>
        </w:tc>
      </w:tr>
      <w:tr w:rsidR="009C5024" w14:paraId="7F0E8129" w14:textId="77777777" w:rsidTr="009C5024">
        <w:tc>
          <w:tcPr>
            <w:tcW w:w="1890" w:type="dxa"/>
            <w:hideMark/>
          </w:tcPr>
          <w:p w14:paraId="01E3E547" w14:textId="77777777" w:rsidR="009C5024" w:rsidRPr="0083202A" w:rsidRDefault="009C5024" w:rsidP="009C5024">
            <w:pPr>
              <w:rPr>
                <w:rFonts w:asciiTheme="minorHAnsi" w:hAnsiTheme="minorHAnsi"/>
                <w:szCs w:val="18"/>
              </w:rPr>
            </w:pPr>
            <w:r w:rsidRPr="0083202A">
              <w:rPr>
                <w:rFonts w:asciiTheme="minorHAnsi" w:hAnsiTheme="minorHAnsi"/>
                <w:szCs w:val="18"/>
              </w:rPr>
              <w:t>3L +</w:t>
            </w:r>
          </w:p>
        </w:tc>
        <w:tc>
          <w:tcPr>
            <w:tcW w:w="6594" w:type="dxa"/>
            <w:hideMark/>
          </w:tcPr>
          <w:p w14:paraId="1EDF7EC1" w14:textId="2FC1156D" w:rsidR="009C5024" w:rsidRPr="0083202A" w:rsidRDefault="009C5024" w:rsidP="009C5024">
            <w:pPr>
              <w:rPr>
                <w:rFonts w:asciiTheme="minorHAnsi" w:hAnsiTheme="minorHAnsi"/>
                <w:szCs w:val="18"/>
              </w:rPr>
            </w:pPr>
            <w:r w:rsidRPr="0083202A">
              <w:rPr>
                <w:rFonts w:asciiTheme="minorHAnsi" w:hAnsiTheme="minorHAnsi"/>
                <w:szCs w:val="18"/>
              </w:rPr>
              <w:t xml:space="preserve">≥ </w:t>
            </w:r>
            <w:r w:rsidR="005C009E">
              <w:rPr>
                <w:rFonts w:asciiTheme="minorHAnsi" w:hAnsiTheme="minorHAnsi"/>
                <w:szCs w:val="18"/>
              </w:rPr>
              <w:t>t</w:t>
            </w:r>
            <w:r w:rsidRPr="0083202A">
              <w:rPr>
                <w:rFonts w:asciiTheme="minorHAnsi" w:hAnsiTheme="minorHAnsi"/>
                <w:szCs w:val="18"/>
              </w:rPr>
              <w:t xml:space="preserve">hird line treatment </w:t>
            </w:r>
          </w:p>
        </w:tc>
      </w:tr>
      <w:tr w:rsidR="009C5024" w14:paraId="5C6F5678" w14:textId="77777777" w:rsidTr="009C5024">
        <w:tc>
          <w:tcPr>
            <w:tcW w:w="1890" w:type="dxa"/>
            <w:hideMark/>
          </w:tcPr>
          <w:p w14:paraId="6A7E0AF0" w14:textId="77777777" w:rsidR="009C5024" w:rsidRPr="0083202A" w:rsidRDefault="009C5024" w:rsidP="009C5024">
            <w:pPr>
              <w:rPr>
                <w:rFonts w:asciiTheme="minorHAnsi" w:hAnsiTheme="minorHAnsi"/>
                <w:szCs w:val="18"/>
              </w:rPr>
            </w:pPr>
            <w:r w:rsidRPr="0083202A">
              <w:rPr>
                <w:rFonts w:asciiTheme="minorHAnsi" w:hAnsiTheme="minorHAnsi"/>
                <w:szCs w:val="18"/>
              </w:rPr>
              <w:t>AE</w:t>
            </w:r>
          </w:p>
        </w:tc>
        <w:tc>
          <w:tcPr>
            <w:tcW w:w="6594" w:type="dxa"/>
            <w:hideMark/>
          </w:tcPr>
          <w:p w14:paraId="00767B93" w14:textId="1D5FB47E" w:rsidR="009C5024" w:rsidRPr="0083202A" w:rsidRDefault="009C5024" w:rsidP="009C5024">
            <w:pPr>
              <w:rPr>
                <w:rFonts w:asciiTheme="minorHAnsi" w:hAnsiTheme="minorHAnsi"/>
                <w:szCs w:val="18"/>
              </w:rPr>
            </w:pPr>
            <w:r w:rsidRPr="0083202A">
              <w:rPr>
                <w:rFonts w:asciiTheme="minorHAnsi" w:hAnsiTheme="minorHAnsi"/>
                <w:szCs w:val="18"/>
              </w:rPr>
              <w:t xml:space="preserve">Adverse </w:t>
            </w:r>
            <w:r w:rsidR="005C009E">
              <w:rPr>
                <w:rFonts w:asciiTheme="minorHAnsi" w:hAnsiTheme="minorHAnsi"/>
                <w:szCs w:val="18"/>
              </w:rPr>
              <w:t>e</w:t>
            </w:r>
            <w:r w:rsidRPr="0083202A">
              <w:rPr>
                <w:rFonts w:asciiTheme="minorHAnsi" w:hAnsiTheme="minorHAnsi"/>
                <w:szCs w:val="18"/>
              </w:rPr>
              <w:t>vent</w:t>
            </w:r>
          </w:p>
        </w:tc>
      </w:tr>
      <w:tr w:rsidR="009C5024" w14:paraId="2B07BCB1" w14:textId="77777777" w:rsidTr="009C5024">
        <w:tc>
          <w:tcPr>
            <w:tcW w:w="1890" w:type="dxa"/>
            <w:hideMark/>
          </w:tcPr>
          <w:p w14:paraId="36552FE8" w14:textId="77777777" w:rsidR="009C5024" w:rsidRPr="0083202A" w:rsidRDefault="009C5024" w:rsidP="009C5024">
            <w:pPr>
              <w:rPr>
                <w:rFonts w:asciiTheme="minorHAnsi" w:hAnsiTheme="minorHAnsi"/>
                <w:szCs w:val="18"/>
              </w:rPr>
            </w:pPr>
            <w:r w:rsidRPr="0083202A">
              <w:rPr>
                <w:rFonts w:asciiTheme="minorHAnsi" w:hAnsiTheme="minorHAnsi"/>
                <w:szCs w:val="18"/>
              </w:rPr>
              <w:t>AESI</w:t>
            </w:r>
          </w:p>
        </w:tc>
        <w:tc>
          <w:tcPr>
            <w:tcW w:w="6594" w:type="dxa"/>
            <w:hideMark/>
          </w:tcPr>
          <w:p w14:paraId="7D1BB550" w14:textId="77777777" w:rsidR="009C5024" w:rsidRPr="0083202A" w:rsidRDefault="009C5024" w:rsidP="009C5024">
            <w:pPr>
              <w:rPr>
                <w:rFonts w:asciiTheme="minorHAnsi" w:hAnsiTheme="minorHAnsi"/>
                <w:szCs w:val="18"/>
              </w:rPr>
            </w:pPr>
            <w:r w:rsidRPr="0083202A">
              <w:rPr>
                <w:rFonts w:asciiTheme="minorHAnsi" w:hAnsiTheme="minorHAnsi"/>
                <w:szCs w:val="18"/>
              </w:rPr>
              <w:t>Adverse event of special interest</w:t>
            </w:r>
          </w:p>
        </w:tc>
      </w:tr>
      <w:tr w:rsidR="009C5024" w14:paraId="534F5273" w14:textId="77777777" w:rsidTr="009C5024">
        <w:tc>
          <w:tcPr>
            <w:tcW w:w="1890" w:type="dxa"/>
            <w:hideMark/>
          </w:tcPr>
          <w:p w14:paraId="62DEAB3D" w14:textId="77777777" w:rsidR="009C5024" w:rsidRPr="0083202A" w:rsidRDefault="009C5024" w:rsidP="009C5024">
            <w:pPr>
              <w:rPr>
                <w:rFonts w:asciiTheme="minorHAnsi" w:hAnsiTheme="minorHAnsi"/>
                <w:szCs w:val="18"/>
              </w:rPr>
            </w:pPr>
            <w:r w:rsidRPr="0083202A">
              <w:rPr>
                <w:rFonts w:asciiTheme="minorHAnsi" w:hAnsiTheme="minorHAnsi"/>
                <w:szCs w:val="18"/>
              </w:rPr>
              <w:t>ALK</w:t>
            </w:r>
          </w:p>
        </w:tc>
        <w:tc>
          <w:tcPr>
            <w:tcW w:w="6594" w:type="dxa"/>
            <w:hideMark/>
          </w:tcPr>
          <w:p w14:paraId="135C344E" w14:textId="29E99B98" w:rsidR="009C5024" w:rsidRPr="0083202A" w:rsidRDefault="009C5024" w:rsidP="009C5024">
            <w:pPr>
              <w:rPr>
                <w:rFonts w:asciiTheme="minorHAnsi" w:hAnsiTheme="minorHAnsi"/>
                <w:szCs w:val="18"/>
              </w:rPr>
            </w:pPr>
            <w:r w:rsidRPr="0083202A">
              <w:rPr>
                <w:rFonts w:asciiTheme="minorHAnsi" w:hAnsiTheme="minorHAnsi"/>
                <w:szCs w:val="18"/>
              </w:rPr>
              <w:t xml:space="preserve">Anaplastic </w:t>
            </w:r>
            <w:r w:rsidR="005C009E">
              <w:rPr>
                <w:rFonts w:asciiTheme="minorHAnsi" w:hAnsiTheme="minorHAnsi"/>
                <w:szCs w:val="18"/>
              </w:rPr>
              <w:t>l</w:t>
            </w:r>
            <w:r w:rsidRPr="0083202A">
              <w:rPr>
                <w:rFonts w:asciiTheme="minorHAnsi" w:hAnsiTheme="minorHAnsi"/>
                <w:szCs w:val="18"/>
              </w:rPr>
              <w:t xml:space="preserve">ymphoma </w:t>
            </w:r>
            <w:r w:rsidR="005C009E">
              <w:rPr>
                <w:rFonts w:asciiTheme="minorHAnsi" w:hAnsiTheme="minorHAnsi"/>
                <w:szCs w:val="18"/>
              </w:rPr>
              <w:t>k</w:t>
            </w:r>
            <w:r w:rsidRPr="0083202A">
              <w:rPr>
                <w:rFonts w:asciiTheme="minorHAnsi" w:hAnsiTheme="minorHAnsi"/>
                <w:szCs w:val="18"/>
              </w:rPr>
              <w:t>inase (also known as ALK tyrosine kinase)</w:t>
            </w:r>
          </w:p>
        </w:tc>
      </w:tr>
      <w:tr w:rsidR="009C5024" w14:paraId="2B989F75" w14:textId="77777777" w:rsidTr="009C5024">
        <w:tc>
          <w:tcPr>
            <w:tcW w:w="1890" w:type="dxa"/>
          </w:tcPr>
          <w:p w14:paraId="251AF5DF" w14:textId="77777777" w:rsidR="009C5024" w:rsidRPr="0083202A" w:rsidRDefault="009C5024" w:rsidP="009C5024">
            <w:pPr>
              <w:rPr>
                <w:rFonts w:asciiTheme="minorHAnsi" w:hAnsiTheme="minorHAnsi"/>
                <w:szCs w:val="18"/>
              </w:rPr>
            </w:pPr>
            <w:proofErr w:type="spellStart"/>
            <w:r w:rsidRPr="0083202A">
              <w:rPr>
                <w:rFonts w:asciiTheme="minorHAnsi" w:hAnsiTheme="minorHAnsi"/>
                <w:szCs w:val="18"/>
              </w:rPr>
              <w:t>Atezo+CnP</w:t>
            </w:r>
            <w:proofErr w:type="spellEnd"/>
          </w:p>
        </w:tc>
        <w:tc>
          <w:tcPr>
            <w:tcW w:w="6594" w:type="dxa"/>
          </w:tcPr>
          <w:p w14:paraId="16573BAA" w14:textId="0202F229" w:rsidR="009C5024" w:rsidRPr="0083202A" w:rsidRDefault="009C5024" w:rsidP="009C5024">
            <w:pPr>
              <w:rPr>
                <w:rFonts w:asciiTheme="minorHAnsi" w:hAnsiTheme="minorHAnsi"/>
                <w:szCs w:val="18"/>
              </w:rPr>
            </w:pPr>
            <w:proofErr w:type="spellStart"/>
            <w:r w:rsidRPr="0083202A">
              <w:rPr>
                <w:rFonts w:asciiTheme="minorHAnsi" w:hAnsiTheme="minorHAnsi"/>
                <w:szCs w:val="18"/>
              </w:rPr>
              <w:t>Atezolizumab</w:t>
            </w:r>
            <w:proofErr w:type="spellEnd"/>
            <w:r w:rsidRPr="0083202A">
              <w:rPr>
                <w:rFonts w:asciiTheme="minorHAnsi" w:hAnsiTheme="minorHAnsi"/>
                <w:szCs w:val="18"/>
              </w:rPr>
              <w:t xml:space="preserve"> in combination with carboplatin and nab</w:t>
            </w:r>
            <w:r w:rsidR="005C009E">
              <w:rPr>
                <w:rFonts w:asciiTheme="minorHAnsi" w:hAnsiTheme="minorHAnsi"/>
                <w:szCs w:val="18"/>
              </w:rPr>
              <w:noBreakHyphen/>
            </w:r>
            <w:r w:rsidRPr="0083202A">
              <w:rPr>
                <w:rFonts w:asciiTheme="minorHAnsi" w:hAnsiTheme="minorHAnsi"/>
                <w:szCs w:val="18"/>
              </w:rPr>
              <w:t>paclitaxel</w:t>
            </w:r>
          </w:p>
        </w:tc>
      </w:tr>
      <w:tr w:rsidR="009C5024" w14:paraId="0D7CA17F" w14:textId="77777777" w:rsidTr="009C5024">
        <w:tc>
          <w:tcPr>
            <w:tcW w:w="1890" w:type="dxa"/>
            <w:hideMark/>
          </w:tcPr>
          <w:p w14:paraId="192A15E9" w14:textId="77777777" w:rsidR="009C5024" w:rsidRPr="0083202A" w:rsidRDefault="009C5024" w:rsidP="009C5024">
            <w:pPr>
              <w:rPr>
                <w:rFonts w:asciiTheme="minorHAnsi" w:hAnsiTheme="minorHAnsi"/>
                <w:szCs w:val="18"/>
              </w:rPr>
            </w:pPr>
            <w:r w:rsidRPr="0083202A">
              <w:rPr>
                <w:rFonts w:asciiTheme="minorHAnsi" w:hAnsiTheme="minorHAnsi"/>
                <w:szCs w:val="18"/>
              </w:rPr>
              <w:t>CER</w:t>
            </w:r>
          </w:p>
        </w:tc>
        <w:tc>
          <w:tcPr>
            <w:tcW w:w="6594" w:type="dxa"/>
            <w:hideMark/>
          </w:tcPr>
          <w:p w14:paraId="7E974D47" w14:textId="77777777" w:rsidR="009C5024" w:rsidRPr="0083202A" w:rsidRDefault="009C5024" w:rsidP="009C5024">
            <w:pPr>
              <w:rPr>
                <w:rFonts w:asciiTheme="minorHAnsi" w:hAnsiTheme="minorHAnsi"/>
                <w:szCs w:val="18"/>
              </w:rPr>
            </w:pPr>
            <w:r w:rsidRPr="0083202A">
              <w:rPr>
                <w:rFonts w:asciiTheme="minorHAnsi" w:hAnsiTheme="minorHAnsi"/>
                <w:szCs w:val="18"/>
              </w:rPr>
              <w:t xml:space="preserve">Clinical evaluation report </w:t>
            </w:r>
          </w:p>
        </w:tc>
      </w:tr>
      <w:tr w:rsidR="009C5024" w14:paraId="0299BAA4" w14:textId="77777777" w:rsidTr="009C5024">
        <w:tc>
          <w:tcPr>
            <w:tcW w:w="1890" w:type="dxa"/>
            <w:hideMark/>
          </w:tcPr>
          <w:p w14:paraId="014C2CA1" w14:textId="77777777" w:rsidR="009C5024" w:rsidRPr="0083202A" w:rsidRDefault="009C5024" w:rsidP="009C5024">
            <w:pPr>
              <w:rPr>
                <w:rFonts w:asciiTheme="minorHAnsi" w:hAnsiTheme="minorHAnsi"/>
                <w:szCs w:val="18"/>
              </w:rPr>
            </w:pPr>
            <w:r w:rsidRPr="0083202A">
              <w:rPr>
                <w:rFonts w:asciiTheme="minorHAnsi" w:hAnsiTheme="minorHAnsi"/>
                <w:szCs w:val="18"/>
              </w:rPr>
              <w:t>CI</w:t>
            </w:r>
          </w:p>
        </w:tc>
        <w:tc>
          <w:tcPr>
            <w:tcW w:w="6594" w:type="dxa"/>
            <w:hideMark/>
          </w:tcPr>
          <w:p w14:paraId="6258C566" w14:textId="77777777" w:rsidR="009C5024" w:rsidRPr="0083202A" w:rsidRDefault="009C5024" w:rsidP="009C5024">
            <w:pPr>
              <w:rPr>
                <w:rFonts w:asciiTheme="minorHAnsi" w:hAnsiTheme="minorHAnsi"/>
                <w:szCs w:val="18"/>
              </w:rPr>
            </w:pPr>
            <w:r w:rsidRPr="0083202A">
              <w:rPr>
                <w:rFonts w:asciiTheme="minorHAnsi" w:hAnsiTheme="minorHAnsi"/>
                <w:szCs w:val="18"/>
              </w:rPr>
              <w:t>Confidence interval</w:t>
            </w:r>
          </w:p>
        </w:tc>
      </w:tr>
      <w:tr w:rsidR="009C5024" w14:paraId="0A61399A" w14:textId="77777777" w:rsidTr="009C5024">
        <w:tc>
          <w:tcPr>
            <w:tcW w:w="1890" w:type="dxa"/>
            <w:hideMark/>
          </w:tcPr>
          <w:p w14:paraId="5E99E9B0" w14:textId="77777777" w:rsidR="009C5024" w:rsidRPr="0083202A" w:rsidRDefault="009C5024" w:rsidP="009C5024">
            <w:pPr>
              <w:rPr>
                <w:rFonts w:asciiTheme="minorHAnsi" w:hAnsiTheme="minorHAnsi"/>
                <w:szCs w:val="18"/>
              </w:rPr>
            </w:pPr>
            <w:r w:rsidRPr="0083202A">
              <w:rPr>
                <w:rFonts w:asciiTheme="minorHAnsi" w:hAnsiTheme="minorHAnsi"/>
                <w:szCs w:val="18"/>
              </w:rPr>
              <w:t>CL</w:t>
            </w:r>
          </w:p>
        </w:tc>
        <w:tc>
          <w:tcPr>
            <w:tcW w:w="6594" w:type="dxa"/>
            <w:hideMark/>
          </w:tcPr>
          <w:p w14:paraId="51A6E30D" w14:textId="77777777" w:rsidR="009C5024" w:rsidRPr="0083202A" w:rsidRDefault="009C5024" w:rsidP="009C5024">
            <w:pPr>
              <w:rPr>
                <w:rFonts w:asciiTheme="minorHAnsi" w:hAnsiTheme="minorHAnsi"/>
                <w:szCs w:val="18"/>
              </w:rPr>
            </w:pPr>
            <w:r w:rsidRPr="0083202A">
              <w:rPr>
                <w:rFonts w:asciiTheme="minorHAnsi" w:hAnsiTheme="minorHAnsi"/>
                <w:szCs w:val="18"/>
              </w:rPr>
              <w:t>Clearance</w:t>
            </w:r>
          </w:p>
        </w:tc>
      </w:tr>
      <w:tr w:rsidR="009C5024" w14:paraId="3FE66272" w14:textId="77777777" w:rsidTr="009C5024">
        <w:tc>
          <w:tcPr>
            <w:tcW w:w="1890" w:type="dxa"/>
          </w:tcPr>
          <w:p w14:paraId="4EEB6E2F" w14:textId="77777777" w:rsidR="009C5024" w:rsidRPr="0083202A" w:rsidRDefault="009C5024" w:rsidP="009C5024">
            <w:pPr>
              <w:rPr>
                <w:rFonts w:asciiTheme="minorHAnsi" w:hAnsiTheme="minorHAnsi"/>
                <w:szCs w:val="18"/>
              </w:rPr>
            </w:pPr>
            <w:proofErr w:type="spellStart"/>
            <w:r w:rsidRPr="0083202A">
              <w:rPr>
                <w:rFonts w:asciiTheme="minorHAnsi" w:hAnsiTheme="minorHAnsi"/>
                <w:szCs w:val="18"/>
              </w:rPr>
              <w:t>CnP</w:t>
            </w:r>
            <w:proofErr w:type="spellEnd"/>
          </w:p>
        </w:tc>
        <w:tc>
          <w:tcPr>
            <w:tcW w:w="6594" w:type="dxa"/>
          </w:tcPr>
          <w:p w14:paraId="38EEE57B" w14:textId="77777777" w:rsidR="009C5024" w:rsidRPr="0083202A" w:rsidRDefault="009C5024" w:rsidP="009C5024">
            <w:pPr>
              <w:rPr>
                <w:rFonts w:asciiTheme="minorHAnsi" w:hAnsiTheme="minorHAnsi"/>
                <w:szCs w:val="18"/>
              </w:rPr>
            </w:pPr>
            <w:r w:rsidRPr="0083202A">
              <w:rPr>
                <w:rFonts w:asciiTheme="minorHAnsi" w:hAnsiTheme="minorHAnsi"/>
                <w:szCs w:val="18"/>
              </w:rPr>
              <w:t>Carboplatin in combination with nab-paclitaxel</w:t>
            </w:r>
          </w:p>
        </w:tc>
      </w:tr>
      <w:tr w:rsidR="009C5024" w14:paraId="1E3FCCC5" w14:textId="77777777" w:rsidTr="009C5024">
        <w:tc>
          <w:tcPr>
            <w:tcW w:w="1890" w:type="dxa"/>
            <w:hideMark/>
          </w:tcPr>
          <w:p w14:paraId="045B8330" w14:textId="77777777" w:rsidR="009C5024" w:rsidRPr="0083202A" w:rsidRDefault="009C5024" w:rsidP="009C5024">
            <w:pPr>
              <w:rPr>
                <w:rFonts w:asciiTheme="minorHAnsi" w:hAnsiTheme="minorHAnsi"/>
                <w:szCs w:val="18"/>
              </w:rPr>
            </w:pPr>
            <w:r w:rsidRPr="0083202A">
              <w:rPr>
                <w:rFonts w:asciiTheme="minorHAnsi" w:hAnsiTheme="minorHAnsi"/>
                <w:szCs w:val="18"/>
              </w:rPr>
              <w:t>CNS</w:t>
            </w:r>
          </w:p>
        </w:tc>
        <w:tc>
          <w:tcPr>
            <w:tcW w:w="6594" w:type="dxa"/>
            <w:hideMark/>
          </w:tcPr>
          <w:p w14:paraId="45C47EC3" w14:textId="77777777" w:rsidR="009C5024" w:rsidRPr="0083202A" w:rsidRDefault="009C5024" w:rsidP="009C5024">
            <w:pPr>
              <w:rPr>
                <w:rFonts w:asciiTheme="minorHAnsi" w:hAnsiTheme="minorHAnsi"/>
                <w:szCs w:val="18"/>
              </w:rPr>
            </w:pPr>
            <w:r w:rsidRPr="0083202A">
              <w:rPr>
                <w:rFonts w:asciiTheme="minorHAnsi" w:hAnsiTheme="minorHAnsi"/>
                <w:szCs w:val="18"/>
              </w:rPr>
              <w:t>Central nervous system</w:t>
            </w:r>
          </w:p>
        </w:tc>
      </w:tr>
      <w:tr w:rsidR="009C5024" w14:paraId="01B896C3" w14:textId="77777777" w:rsidTr="009C5024">
        <w:tc>
          <w:tcPr>
            <w:tcW w:w="1890" w:type="dxa"/>
            <w:hideMark/>
          </w:tcPr>
          <w:p w14:paraId="109F5173" w14:textId="77777777" w:rsidR="009C5024" w:rsidRPr="0083202A" w:rsidRDefault="009C5024" w:rsidP="009C5024">
            <w:pPr>
              <w:rPr>
                <w:rFonts w:asciiTheme="minorHAnsi" w:hAnsiTheme="minorHAnsi"/>
                <w:szCs w:val="18"/>
              </w:rPr>
            </w:pPr>
            <w:r w:rsidRPr="0083202A">
              <w:rPr>
                <w:rFonts w:asciiTheme="minorHAnsi" w:hAnsiTheme="minorHAnsi"/>
                <w:szCs w:val="18"/>
              </w:rPr>
              <w:t>CR</w:t>
            </w:r>
          </w:p>
        </w:tc>
        <w:tc>
          <w:tcPr>
            <w:tcW w:w="6594" w:type="dxa"/>
            <w:hideMark/>
          </w:tcPr>
          <w:p w14:paraId="4B045EE0" w14:textId="77777777" w:rsidR="009C5024" w:rsidRPr="0083202A" w:rsidRDefault="009C5024" w:rsidP="009C5024">
            <w:pPr>
              <w:rPr>
                <w:rFonts w:asciiTheme="minorHAnsi" w:hAnsiTheme="minorHAnsi"/>
                <w:szCs w:val="18"/>
              </w:rPr>
            </w:pPr>
            <w:r w:rsidRPr="0083202A">
              <w:rPr>
                <w:rFonts w:asciiTheme="minorHAnsi" w:hAnsiTheme="minorHAnsi"/>
                <w:szCs w:val="18"/>
              </w:rPr>
              <w:t xml:space="preserve">Complete response </w:t>
            </w:r>
          </w:p>
        </w:tc>
      </w:tr>
      <w:tr w:rsidR="009C5024" w14:paraId="489F4FAF" w14:textId="77777777" w:rsidTr="009C5024">
        <w:tc>
          <w:tcPr>
            <w:tcW w:w="1890" w:type="dxa"/>
            <w:hideMark/>
          </w:tcPr>
          <w:p w14:paraId="217C7316" w14:textId="77777777" w:rsidR="009C5024" w:rsidRPr="0083202A" w:rsidRDefault="009C5024" w:rsidP="009C5024">
            <w:pPr>
              <w:rPr>
                <w:rFonts w:asciiTheme="minorHAnsi" w:hAnsiTheme="minorHAnsi"/>
                <w:szCs w:val="18"/>
              </w:rPr>
            </w:pPr>
            <w:r w:rsidRPr="0083202A">
              <w:rPr>
                <w:rFonts w:asciiTheme="minorHAnsi" w:hAnsiTheme="minorHAnsi"/>
                <w:szCs w:val="18"/>
              </w:rPr>
              <w:t>CSR</w:t>
            </w:r>
          </w:p>
        </w:tc>
        <w:tc>
          <w:tcPr>
            <w:tcW w:w="6594" w:type="dxa"/>
            <w:hideMark/>
          </w:tcPr>
          <w:p w14:paraId="3E57C7F8" w14:textId="77777777" w:rsidR="009C5024" w:rsidRPr="0083202A" w:rsidRDefault="009C5024" w:rsidP="009C5024">
            <w:pPr>
              <w:rPr>
                <w:rFonts w:asciiTheme="minorHAnsi" w:hAnsiTheme="minorHAnsi"/>
                <w:szCs w:val="18"/>
              </w:rPr>
            </w:pPr>
            <w:r w:rsidRPr="0083202A">
              <w:rPr>
                <w:rFonts w:asciiTheme="minorHAnsi" w:hAnsiTheme="minorHAnsi"/>
                <w:szCs w:val="18"/>
              </w:rPr>
              <w:t>Clinical study report</w:t>
            </w:r>
          </w:p>
        </w:tc>
      </w:tr>
      <w:tr w:rsidR="009C5024" w14:paraId="1AECA04C" w14:textId="77777777" w:rsidTr="009C5024">
        <w:tc>
          <w:tcPr>
            <w:tcW w:w="1890" w:type="dxa"/>
            <w:hideMark/>
          </w:tcPr>
          <w:p w14:paraId="22C0B734" w14:textId="77777777" w:rsidR="009C5024" w:rsidRPr="0083202A" w:rsidRDefault="009C5024" w:rsidP="009C5024">
            <w:pPr>
              <w:rPr>
                <w:rFonts w:asciiTheme="minorHAnsi" w:hAnsiTheme="minorHAnsi"/>
                <w:szCs w:val="18"/>
              </w:rPr>
            </w:pPr>
            <w:r w:rsidRPr="0083202A">
              <w:rPr>
                <w:rFonts w:asciiTheme="minorHAnsi" w:hAnsiTheme="minorHAnsi"/>
                <w:szCs w:val="18"/>
              </w:rPr>
              <w:t>ECOG</w:t>
            </w:r>
          </w:p>
        </w:tc>
        <w:tc>
          <w:tcPr>
            <w:tcW w:w="6594" w:type="dxa"/>
            <w:hideMark/>
          </w:tcPr>
          <w:p w14:paraId="56411C6F" w14:textId="77777777" w:rsidR="009C5024" w:rsidRPr="0083202A" w:rsidRDefault="009C5024" w:rsidP="009C5024">
            <w:pPr>
              <w:rPr>
                <w:rFonts w:asciiTheme="minorHAnsi" w:hAnsiTheme="minorHAnsi"/>
                <w:szCs w:val="18"/>
              </w:rPr>
            </w:pPr>
            <w:r w:rsidRPr="0083202A">
              <w:rPr>
                <w:rFonts w:asciiTheme="minorHAnsi" w:hAnsiTheme="minorHAnsi"/>
                <w:szCs w:val="18"/>
              </w:rPr>
              <w:t>Eastern Cooperative Oncology Group</w:t>
            </w:r>
          </w:p>
        </w:tc>
      </w:tr>
      <w:tr w:rsidR="009C5024" w14:paraId="787E6F21" w14:textId="77777777" w:rsidTr="009C5024">
        <w:tc>
          <w:tcPr>
            <w:tcW w:w="1890" w:type="dxa"/>
            <w:hideMark/>
          </w:tcPr>
          <w:p w14:paraId="02CE5283" w14:textId="77777777" w:rsidR="009C5024" w:rsidRPr="0083202A" w:rsidRDefault="009C5024" w:rsidP="009C5024">
            <w:pPr>
              <w:rPr>
                <w:rFonts w:asciiTheme="minorHAnsi" w:hAnsiTheme="minorHAnsi"/>
                <w:szCs w:val="18"/>
              </w:rPr>
            </w:pPr>
            <w:r w:rsidRPr="0083202A">
              <w:rPr>
                <w:rFonts w:asciiTheme="minorHAnsi" w:hAnsiTheme="minorHAnsi"/>
                <w:szCs w:val="18"/>
              </w:rPr>
              <w:t>EGFR</w:t>
            </w:r>
          </w:p>
        </w:tc>
        <w:tc>
          <w:tcPr>
            <w:tcW w:w="6594" w:type="dxa"/>
            <w:hideMark/>
          </w:tcPr>
          <w:p w14:paraId="40402955" w14:textId="77777777" w:rsidR="009C5024" w:rsidRPr="0083202A" w:rsidRDefault="009C5024" w:rsidP="009C5024">
            <w:pPr>
              <w:rPr>
                <w:rFonts w:asciiTheme="minorHAnsi" w:hAnsiTheme="minorHAnsi"/>
                <w:szCs w:val="18"/>
              </w:rPr>
            </w:pPr>
            <w:r w:rsidRPr="0083202A">
              <w:rPr>
                <w:rFonts w:asciiTheme="minorHAnsi" w:hAnsiTheme="minorHAnsi"/>
                <w:szCs w:val="18"/>
              </w:rPr>
              <w:t>Epidermal growth factor receptor</w:t>
            </w:r>
          </w:p>
        </w:tc>
      </w:tr>
      <w:tr w:rsidR="009C5024" w14:paraId="2E54A06F" w14:textId="77777777" w:rsidTr="009C5024">
        <w:tc>
          <w:tcPr>
            <w:tcW w:w="1890" w:type="dxa"/>
            <w:hideMark/>
          </w:tcPr>
          <w:p w14:paraId="257A403F" w14:textId="77777777" w:rsidR="009C5024" w:rsidRPr="0083202A" w:rsidRDefault="009C5024" w:rsidP="009C5024">
            <w:pPr>
              <w:rPr>
                <w:rFonts w:asciiTheme="minorHAnsi" w:hAnsiTheme="minorHAnsi"/>
                <w:szCs w:val="18"/>
              </w:rPr>
            </w:pPr>
            <w:r w:rsidRPr="0083202A">
              <w:rPr>
                <w:rFonts w:asciiTheme="minorHAnsi" w:hAnsiTheme="minorHAnsi"/>
                <w:szCs w:val="18"/>
              </w:rPr>
              <w:t>EMA</w:t>
            </w:r>
          </w:p>
        </w:tc>
        <w:tc>
          <w:tcPr>
            <w:tcW w:w="6594" w:type="dxa"/>
            <w:hideMark/>
          </w:tcPr>
          <w:p w14:paraId="5DFF8315" w14:textId="5EE14C92" w:rsidR="009C5024" w:rsidRPr="0083202A" w:rsidRDefault="009C5024" w:rsidP="009C5024">
            <w:pPr>
              <w:rPr>
                <w:rFonts w:asciiTheme="minorHAnsi" w:hAnsiTheme="minorHAnsi"/>
                <w:szCs w:val="18"/>
              </w:rPr>
            </w:pPr>
            <w:r w:rsidRPr="0083202A">
              <w:rPr>
                <w:rFonts w:asciiTheme="minorHAnsi" w:hAnsiTheme="minorHAnsi"/>
                <w:szCs w:val="18"/>
              </w:rPr>
              <w:t>European Medicines Agency</w:t>
            </w:r>
            <w:r w:rsidR="005C009E">
              <w:rPr>
                <w:rFonts w:asciiTheme="minorHAnsi" w:hAnsiTheme="minorHAnsi"/>
                <w:szCs w:val="18"/>
              </w:rPr>
              <w:t xml:space="preserve"> (European Union)</w:t>
            </w:r>
          </w:p>
        </w:tc>
      </w:tr>
      <w:tr w:rsidR="003A1C86" w14:paraId="7372B4BE" w14:textId="77777777" w:rsidTr="009C5024">
        <w:tc>
          <w:tcPr>
            <w:tcW w:w="1890" w:type="dxa"/>
          </w:tcPr>
          <w:p w14:paraId="32D2D733" w14:textId="3D721178" w:rsidR="003A1C86" w:rsidRPr="003A1C86" w:rsidRDefault="003A1C86" w:rsidP="009C5024">
            <w:pPr>
              <w:rPr>
                <w:rFonts w:asciiTheme="minorHAnsi" w:hAnsiTheme="minorHAnsi"/>
                <w:szCs w:val="18"/>
              </w:rPr>
            </w:pPr>
            <w:r>
              <w:rPr>
                <w:rFonts w:asciiTheme="minorHAnsi" w:hAnsiTheme="minorHAnsi"/>
                <w:szCs w:val="18"/>
              </w:rPr>
              <w:t>EPAR</w:t>
            </w:r>
          </w:p>
        </w:tc>
        <w:tc>
          <w:tcPr>
            <w:tcW w:w="6594" w:type="dxa"/>
          </w:tcPr>
          <w:p w14:paraId="5D968B81" w14:textId="2CAD0054" w:rsidR="003A1C86" w:rsidRPr="003A1C86" w:rsidRDefault="003A1C86" w:rsidP="009C5024">
            <w:pPr>
              <w:rPr>
                <w:rFonts w:asciiTheme="minorHAnsi" w:hAnsiTheme="minorHAnsi"/>
                <w:szCs w:val="18"/>
              </w:rPr>
            </w:pPr>
            <w:r>
              <w:rPr>
                <w:rFonts w:asciiTheme="minorHAnsi" w:hAnsiTheme="minorHAnsi"/>
                <w:szCs w:val="18"/>
              </w:rPr>
              <w:t>European Public Assessment Report (EMA/EU)</w:t>
            </w:r>
          </w:p>
        </w:tc>
      </w:tr>
      <w:tr w:rsidR="005C009E" w14:paraId="1722123F" w14:textId="77777777" w:rsidTr="009C5024">
        <w:tc>
          <w:tcPr>
            <w:tcW w:w="1890" w:type="dxa"/>
          </w:tcPr>
          <w:p w14:paraId="7F06356A" w14:textId="21FD5319" w:rsidR="005C009E" w:rsidRPr="005C009E" w:rsidRDefault="005C009E" w:rsidP="009C5024">
            <w:pPr>
              <w:rPr>
                <w:rFonts w:asciiTheme="minorHAnsi" w:hAnsiTheme="minorHAnsi"/>
                <w:szCs w:val="18"/>
              </w:rPr>
            </w:pPr>
            <w:r>
              <w:rPr>
                <w:rFonts w:asciiTheme="minorHAnsi" w:hAnsiTheme="minorHAnsi"/>
                <w:szCs w:val="18"/>
              </w:rPr>
              <w:t>EU</w:t>
            </w:r>
          </w:p>
        </w:tc>
        <w:tc>
          <w:tcPr>
            <w:tcW w:w="6594" w:type="dxa"/>
          </w:tcPr>
          <w:p w14:paraId="2C3C0F42" w14:textId="4A951C51" w:rsidR="005C009E" w:rsidRPr="005C009E" w:rsidRDefault="005C009E" w:rsidP="009C5024">
            <w:pPr>
              <w:rPr>
                <w:rFonts w:asciiTheme="minorHAnsi" w:hAnsiTheme="minorHAnsi"/>
                <w:szCs w:val="18"/>
              </w:rPr>
            </w:pPr>
            <w:r>
              <w:rPr>
                <w:rFonts w:asciiTheme="minorHAnsi" w:hAnsiTheme="minorHAnsi"/>
                <w:szCs w:val="18"/>
              </w:rPr>
              <w:t>European Union</w:t>
            </w:r>
          </w:p>
        </w:tc>
      </w:tr>
      <w:tr w:rsidR="009C5024" w14:paraId="2EEF9710" w14:textId="77777777" w:rsidTr="009C5024">
        <w:tc>
          <w:tcPr>
            <w:tcW w:w="1890" w:type="dxa"/>
            <w:hideMark/>
          </w:tcPr>
          <w:p w14:paraId="7F9B9A10" w14:textId="77777777" w:rsidR="009C5024" w:rsidRPr="0083202A" w:rsidRDefault="009C5024" w:rsidP="009C5024">
            <w:pPr>
              <w:rPr>
                <w:rFonts w:asciiTheme="minorHAnsi" w:hAnsiTheme="minorHAnsi"/>
                <w:szCs w:val="18"/>
              </w:rPr>
            </w:pPr>
            <w:r w:rsidRPr="0083202A">
              <w:rPr>
                <w:rFonts w:asciiTheme="minorHAnsi" w:hAnsiTheme="minorHAnsi"/>
                <w:szCs w:val="18"/>
              </w:rPr>
              <w:t>FDA</w:t>
            </w:r>
          </w:p>
        </w:tc>
        <w:tc>
          <w:tcPr>
            <w:tcW w:w="6594" w:type="dxa"/>
            <w:hideMark/>
          </w:tcPr>
          <w:p w14:paraId="0F724C8E" w14:textId="4610BD80" w:rsidR="009C5024" w:rsidRPr="0083202A" w:rsidRDefault="005C009E" w:rsidP="009C5024">
            <w:pPr>
              <w:rPr>
                <w:rFonts w:asciiTheme="minorHAnsi" w:hAnsiTheme="minorHAnsi"/>
                <w:szCs w:val="18"/>
              </w:rPr>
            </w:pPr>
            <w:r>
              <w:rPr>
                <w:rFonts w:asciiTheme="minorHAnsi" w:hAnsiTheme="minorHAnsi"/>
                <w:szCs w:val="18"/>
              </w:rPr>
              <w:t>(United States)</w:t>
            </w:r>
            <w:r w:rsidR="009C5024" w:rsidRPr="0083202A">
              <w:rPr>
                <w:rFonts w:asciiTheme="minorHAnsi" w:hAnsiTheme="minorHAnsi"/>
                <w:szCs w:val="18"/>
              </w:rPr>
              <w:t xml:space="preserve"> Food and Drug Administration</w:t>
            </w:r>
          </w:p>
        </w:tc>
      </w:tr>
      <w:tr w:rsidR="009C5024" w14:paraId="310FAEEA" w14:textId="77777777" w:rsidTr="009C5024">
        <w:tc>
          <w:tcPr>
            <w:tcW w:w="1890" w:type="dxa"/>
            <w:hideMark/>
          </w:tcPr>
          <w:p w14:paraId="3883127C" w14:textId="77777777" w:rsidR="009C5024" w:rsidRPr="0083202A" w:rsidRDefault="009C5024" w:rsidP="009C5024">
            <w:pPr>
              <w:rPr>
                <w:rFonts w:asciiTheme="minorHAnsi" w:hAnsiTheme="minorHAnsi"/>
                <w:szCs w:val="18"/>
              </w:rPr>
            </w:pPr>
            <w:r w:rsidRPr="0083202A">
              <w:rPr>
                <w:rFonts w:asciiTheme="minorHAnsi" w:hAnsiTheme="minorHAnsi"/>
                <w:szCs w:val="18"/>
              </w:rPr>
              <w:t>HR</w:t>
            </w:r>
          </w:p>
        </w:tc>
        <w:tc>
          <w:tcPr>
            <w:tcW w:w="6594" w:type="dxa"/>
            <w:hideMark/>
          </w:tcPr>
          <w:p w14:paraId="1768F870" w14:textId="77777777" w:rsidR="009C5024" w:rsidRPr="0083202A" w:rsidRDefault="009C5024" w:rsidP="009C5024">
            <w:pPr>
              <w:rPr>
                <w:rFonts w:asciiTheme="minorHAnsi" w:hAnsiTheme="minorHAnsi"/>
                <w:szCs w:val="18"/>
              </w:rPr>
            </w:pPr>
            <w:r w:rsidRPr="0083202A">
              <w:rPr>
                <w:rFonts w:asciiTheme="minorHAnsi" w:hAnsiTheme="minorHAnsi"/>
                <w:szCs w:val="18"/>
              </w:rPr>
              <w:t>Hazard ratio</w:t>
            </w:r>
          </w:p>
        </w:tc>
      </w:tr>
      <w:tr w:rsidR="00FF7216" w14:paraId="00763E84" w14:textId="77777777" w:rsidTr="009C5024">
        <w:tc>
          <w:tcPr>
            <w:tcW w:w="1890" w:type="dxa"/>
          </w:tcPr>
          <w:p w14:paraId="71AF7E0E" w14:textId="1B3270F7" w:rsidR="00FF7216" w:rsidRPr="00FF7216" w:rsidRDefault="00FF7216" w:rsidP="009C5024">
            <w:pPr>
              <w:rPr>
                <w:rFonts w:asciiTheme="minorHAnsi" w:hAnsiTheme="minorHAnsi"/>
                <w:szCs w:val="18"/>
              </w:rPr>
            </w:pPr>
            <w:r>
              <w:rPr>
                <w:rFonts w:asciiTheme="minorHAnsi" w:hAnsiTheme="minorHAnsi"/>
                <w:szCs w:val="18"/>
              </w:rPr>
              <w:t>IC</w:t>
            </w:r>
          </w:p>
        </w:tc>
        <w:tc>
          <w:tcPr>
            <w:tcW w:w="6594" w:type="dxa"/>
          </w:tcPr>
          <w:p w14:paraId="7483D459" w14:textId="218FFE21" w:rsidR="00FF7216" w:rsidRPr="00FF7216" w:rsidRDefault="00FF7216" w:rsidP="009C5024">
            <w:pPr>
              <w:rPr>
                <w:rFonts w:asciiTheme="minorHAnsi" w:hAnsiTheme="minorHAnsi"/>
                <w:szCs w:val="18"/>
              </w:rPr>
            </w:pPr>
            <w:r>
              <w:rPr>
                <w:rFonts w:asciiTheme="minorHAnsi" w:hAnsiTheme="minorHAnsi"/>
                <w:szCs w:val="18"/>
              </w:rPr>
              <w:t>Tumour infiltrating immune cell</w:t>
            </w:r>
          </w:p>
        </w:tc>
      </w:tr>
      <w:tr w:rsidR="009C5024" w14:paraId="2745C8CF" w14:textId="77777777" w:rsidTr="009C5024">
        <w:tc>
          <w:tcPr>
            <w:tcW w:w="1890" w:type="dxa"/>
            <w:hideMark/>
          </w:tcPr>
          <w:p w14:paraId="41B612C3" w14:textId="77777777" w:rsidR="009C5024" w:rsidRPr="0083202A" w:rsidRDefault="009C5024" w:rsidP="009C5024">
            <w:pPr>
              <w:rPr>
                <w:rFonts w:asciiTheme="minorHAnsi" w:hAnsiTheme="minorHAnsi"/>
                <w:szCs w:val="18"/>
              </w:rPr>
            </w:pPr>
            <w:r w:rsidRPr="0083202A">
              <w:rPr>
                <w:rFonts w:asciiTheme="minorHAnsi" w:hAnsiTheme="minorHAnsi"/>
                <w:szCs w:val="18"/>
              </w:rPr>
              <w:lastRenderedPageBreak/>
              <w:t>INR</w:t>
            </w:r>
          </w:p>
        </w:tc>
        <w:tc>
          <w:tcPr>
            <w:tcW w:w="6594" w:type="dxa"/>
            <w:hideMark/>
          </w:tcPr>
          <w:p w14:paraId="00FA8ED2" w14:textId="77777777" w:rsidR="009C5024" w:rsidRPr="0083202A" w:rsidRDefault="009C5024" w:rsidP="009C5024">
            <w:pPr>
              <w:rPr>
                <w:rFonts w:asciiTheme="minorHAnsi" w:hAnsiTheme="minorHAnsi"/>
                <w:szCs w:val="18"/>
              </w:rPr>
            </w:pPr>
            <w:r w:rsidRPr="0083202A">
              <w:rPr>
                <w:rFonts w:asciiTheme="minorHAnsi" w:hAnsiTheme="minorHAnsi"/>
                <w:szCs w:val="18"/>
              </w:rPr>
              <w:t>International normalised ratio</w:t>
            </w:r>
          </w:p>
        </w:tc>
      </w:tr>
      <w:tr w:rsidR="009C5024" w14:paraId="3635D3AD" w14:textId="77777777" w:rsidTr="009C5024">
        <w:tc>
          <w:tcPr>
            <w:tcW w:w="1890" w:type="dxa"/>
            <w:hideMark/>
          </w:tcPr>
          <w:p w14:paraId="3B3581B8" w14:textId="77777777" w:rsidR="009C5024" w:rsidRPr="0083202A" w:rsidRDefault="009C5024" w:rsidP="009C5024">
            <w:pPr>
              <w:rPr>
                <w:rFonts w:asciiTheme="minorHAnsi" w:hAnsiTheme="minorHAnsi"/>
                <w:szCs w:val="18"/>
              </w:rPr>
            </w:pPr>
            <w:r w:rsidRPr="0083202A">
              <w:rPr>
                <w:rFonts w:asciiTheme="minorHAnsi" w:hAnsiTheme="minorHAnsi"/>
                <w:szCs w:val="18"/>
              </w:rPr>
              <w:t>IV</w:t>
            </w:r>
          </w:p>
        </w:tc>
        <w:tc>
          <w:tcPr>
            <w:tcW w:w="6594" w:type="dxa"/>
            <w:hideMark/>
          </w:tcPr>
          <w:p w14:paraId="0EBE50FE" w14:textId="77777777" w:rsidR="009C5024" w:rsidRPr="0083202A" w:rsidRDefault="009C5024" w:rsidP="009C5024">
            <w:pPr>
              <w:rPr>
                <w:rFonts w:asciiTheme="minorHAnsi" w:hAnsiTheme="minorHAnsi"/>
                <w:szCs w:val="18"/>
              </w:rPr>
            </w:pPr>
            <w:r w:rsidRPr="0083202A">
              <w:rPr>
                <w:rFonts w:asciiTheme="minorHAnsi" w:hAnsiTheme="minorHAnsi"/>
                <w:szCs w:val="18"/>
              </w:rPr>
              <w:t>Intravenous</w:t>
            </w:r>
          </w:p>
        </w:tc>
      </w:tr>
      <w:tr w:rsidR="009C5024" w14:paraId="769C0E25" w14:textId="77777777" w:rsidTr="009C5024">
        <w:tc>
          <w:tcPr>
            <w:tcW w:w="1890" w:type="dxa"/>
            <w:hideMark/>
          </w:tcPr>
          <w:p w14:paraId="4A065E8D" w14:textId="77777777" w:rsidR="009C5024" w:rsidRPr="0083202A" w:rsidRDefault="009C5024" w:rsidP="009C5024">
            <w:pPr>
              <w:rPr>
                <w:rFonts w:asciiTheme="minorHAnsi" w:hAnsiTheme="minorHAnsi"/>
                <w:szCs w:val="18"/>
              </w:rPr>
            </w:pPr>
            <w:r w:rsidRPr="0083202A">
              <w:rPr>
                <w:rFonts w:asciiTheme="minorHAnsi" w:hAnsiTheme="minorHAnsi"/>
                <w:szCs w:val="18"/>
              </w:rPr>
              <w:t>NSCLC</w:t>
            </w:r>
          </w:p>
        </w:tc>
        <w:tc>
          <w:tcPr>
            <w:tcW w:w="6594" w:type="dxa"/>
            <w:hideMark/>
          </w:tcPr>
          <w:p w14:paraId="716624BB" w14:textId="053184B6" w:rsidR="009C5024" w:rsidRPr="0083202A" w:rsidRDefault="009C5024" w:rsidP="005C009E">
            <w:pPr>
              <w:rPr>
                <w:rFonts w:asciiTheme="minorHAnsi" w:hAnsiTheme="minorHAnsi"/>
                <w:szCs w:val="18"/>
              </w:rPr>
            </w:pPr>
            <w:r w:rsidRPr="0083202A">
              <w:rPr>
                <w:rFonts w:asciiTheme="minorHAnsi" w:hAnsiTheme="minorHAnsi"/>
                <w:szCs w:val="18"/>
              </w:rPr>
              <w:t>Non-</w:t>
            </w:r>
            <w:r w:rsidR="005C009E">
              <w:rPr>
                <w:rFonts w:asciiTheme="minorHAnsi" w:hAnsiTheme="minorHAnsi"/>
                <w:szCs w:val="18"/>
              </w:rPr>
              <w:t>s</w:t>
            </w:r>
            <w:r w:rsidR="005C009E" w:rsidRPr="0083202A">
              <w:rPr>
                <w:rFonts w:asciiTheme="minorHAnsi" w:hAnsiTheme="minorHAnsi"/>
                <w:szCs w:val="18"/>
              </w:rPr>
              <w:t xml:space="preserve">mall </w:t>
            </w:r>
            <w:r w:rsidR="005C009E">
              <w:rPr>
                <w:rFonts w:asciiTheme="minorHAnsi" w:hAnsiTheme="minorHAnsi"/>
                <w:szCs w:val="18"/>
              </w:rPr>
              <w:t>c</w:t>
            </w:r>
            <w:r w:rsidRPr="0083202A">
              <w:rPr>
                <w:rFonts w:asciiTheme="minorHAnsi" w:hAnsiTheme="minorHAnsi"/>
                <w:szCs w:val="18"/>
              </w:rPr>
              <w:t xml:space="preserve">ell </w:t>
            </w:r>
            <w:r w:rsidR="005C009E">
              <w:rPr>
                <w:rFonts w:asciiTheme="minorHAnsi" w:hAnsiTheme="minorHAnsi"/>
                <w:szCs w:val="18"/>
              </w:rPr>
              <w:t>l</w:t>
            </w:r>
            <w:r w:rsidRPr="0083202A">
              <w:rPr>
                <w:rFonts w:asciiTheme="minorHAnsi" w:hAnsiTheme="minorHAnsi"/>
                <w:szCs w:val="18"/>
              </w:rPr>
              <w:t xml:space="preserve">ung </w:t>
            </w:r>
            <w:r w:rsidR="005C009E">
              <w:rPr>
                <w:rFonts w:asciiTheme="minorHAnsi" w:hAnsiTheme="minorHAnsi"/>
                <w:szCs w:val="18"/>
              </w:rPr>
              <w:t>c</w:t>
            </w:r>
            <w:r w:rsidRPr="0083202A">
              <w:rPr>
                <w:rFonts w:asciiTheme="minorHAnsi" w:hAnsiTheme="minorHAnsi"/>
                <w:szCs w:val="18"/>
              </w:rPr>
              <w:t>ancer</w:t>
            </w:r>
          </w:p>
        </w:tc>
      </w:tr>
      <w:tr w:rsidR="009C5024" w14:paraId="29153F9B" w14:textId="77777777" w:rsidTr="009C5024">
        <w:tc>
          <w:tcPr>
            <w:tcW w:w="1890" w:type="dxa"/>
            <w:hideMark/>
          </w:tcPr>
          <w:p w14:paraId="5BD79727" w14:textId="77777777" w:rsidR="009C5024" w:rsidRPr="0083202A" w:rsidRDefault="009C5024" w:rsidP="009C5024">
            <w:pPr>
              <w:rPr>
                <w:rFonts w:asciiTheme="minorHAnsi" w:hAnsiTheme="minorHAnsi"/>
                <w:szCs w:val="18"/>
              </w:rPr>
            </w:pPr>
            <w:r w:rsidRPr="0083202A">
              <w:rPr>
                <w:rFonts w:asciiTheme="minorHAnsi" w:hAnsiTheme="minorHAnsi"/>
                <w:szCs w:val="18"/>
              </w:rPr>
              <w:t>ORR</w:t>
            </w:r>
          </w:p>
        </w:tc>
        <w:tc>
          <w:tcPr>
            <w:tcW w:w="6594" w:type="dxa"/>
            <w:hideMark/>
          </w:tcPr>
          <w:p w14:paraId="78CE9ACA" w14:textId="77777777" w:rsidR="009C5024" w:rsidRPr="0083202A" w:rsidRDefault="009C5024" w:rsidP="009C5024">
            <w:pPr>
              <w:rPr>
                <w:rFonts w:asciiTheme="minorHAnsi" w:hAnsiTheme="minorHAnsi"/>
                <w:szCs w:val="18"/>
              </w:rPr>
            </w:pPr>
            <w:r w:rsidRPr="0083202A">
              <w:rPr>
                <w:rFonts w:asciiTheme="minorHAnsi" w:hAnsiTheme="minorHAnsi"/>
                <w:szCs w:val="18"/>
              </w:rPr>
              <w:t>Objective response rate</w:t>
            </w:r>
          </w:p>
        </w:tc>
      </w:tr>
      <w:tr w:rsidR="009C5024" w14:paraId="4D18DB02" w14:textId="77777777" w:rsidTr="009C5024">
        <w:tc>
          <w:tcPr>
            <w:tcW w:w="1890" w:type="dxa"/>
            <w:hideMark/>
          </w:tcPr>
          <w:p w14:paraId="2F35D97A" w14:textId="77777777" w:rsidR="009C5024" w:rsidRPr="0083202A" w:rsidRDefault="009C5024" w:rsidP="009C5024">
            <w:pPr>
              <w:rPr>
                <w:rFonts w:asciiTheme="minorHAnsi" w:hAnsiTheme="minorHAnsi"/>
                <w:szCs w:val="18"/>
              </w:rPr>
            </w:pPr>
            <w:r w:rsidRPr="0083202A">
              <w:rPr>
                <w:rFonts w:asciiTheme="minorHAnsi" w:hAnsiTheme="minorHAnsi"/>
                <w:szCs w:val="18"/>
              </w:rPr>
              <w:t>OS</w:t>
            </w:r>
          </w:p>
        </w:tc>
        <w:tc>
          <w:tcPr>
            <w:tcW w:w="6594" w:type="dxa"/>
            <w:hideMark/>
          </w:tcPr>
          <w:p w14:paraId="3FE4F1B1" w14:textId="57BCDC49" w:rsidR="009C5024" w:rsidRPr="0083202A" w:rsidRDefault="009C5024" w:rsidP="009C5024">
            <w:pPr>
              <w:rPr>
                <w:rFonts w:asciiTheme="minorHAnsi" w:hAnsiTheme="minorHAnsi"/>
                <w:szCs w:val="18"/>
              </w:rPr>
            </w:pPr>
            <w:r w:rsidRPr="0083202A">
              <w:rPr>
                <w:rFonts w:asciiTheme="minorHAnsi" w:hAnsiTheme="minorHAnsi"/>
                <w:szCs w:val="18"/>
              </w:rPr>
              <w:t xml:space="preserve">Overall </w:t>
            </w:r>
            <w:r w:rsidR="005C009E">
              <w:rPr>
                <w:rFonts w:asciiTheme="minorHAnsi" w:hAnsiTheme="minorHAnsi"/>
                <w:szCs w:val="18"/>
              </w:rPr>
              <w:t>s</w:t>
            </w:r>
            <w:r w:rsidRPr="0083202A">
              <w:rPr>
                <w:rFonts w:asciiTheme="minorHAnsi" w:hAnsiTheme="minorHAnsi"/>
                <w:szCs w:val="18"/>
              </w:rPr>
              <w:t>urvival</w:t>
            </w:r>
          </w:p>
        </w:tc>
      </w:tr>
      <w:tr w:rsidR="009C5024" w14:paraId="57762C3C" w14:textId="77777777" w:rsidTr="009C5024">
        <w:tc>
          <w:tcPr>
            <w:tcW w:w="1890" w:type="dxa"/>
            <w:hideMark/>
          </w:tcPr>
          <w:p w14:paraId="4D96AF0C" w14:textId="77777777" w:rsidR="009C5024" w:rsidRPr="0083202A" w:rsidRDefault="009C5024" w:rsidP="009C5024">
            <w:pPr>
              <w:rPr>
                <w:rFonts w:asciiTheme="minorHAnsi" w:hAnsiTheme="minorHAnsi"/>
                <w:szCs w:val="18"/>
              </w:rPr>
            </w:pPr>
            <w:r w:rsidRPr="0083202A">
              <w:rPr>
                <w:rFonts w:asciiTheme="minorHAnsi" w:hAnsiTheme="minorHAnsi"/>
                <w:szCs w:val="18"/>
              </w:rPr>
              <w:t>PD-1</w:t>
            </w:r>
          </w:p>
        </w:tc>
        <w:tc>
          <w:tcPr>
            <w:tcW w:w="6594" w:type="dxa"/>
            <w:hideMark/>
          </w:tcPr>
          <w:p w14:paraId="28C6389A" w14:textId="77777777" w:rsidR="009C5024" w:rsidRPr="0083202A" w:rsidRDefault="009C5024" w:rsidP="009C5024">
            <w:pPr>
              <w:rPr>
                <w:rFonts w:asciiTheme="minorHAnsi" w:hAnsiTheme="minorHAnsi"/>
                <w:szCs w:val="18"/>
              </w:rPr>
            </w:pPr>
            <w:r w:rsidRPr="0083202A">
              <w:rPr>
                <w:rFonts w:asciiTheme="minorHAnsi" w:hAnsiTheme="minorHAnsi"/>
                <w:szCs w:val="18"/>
              </w:rPr>
              <w:t xml:space="preserve">Programmed death-1 </w:t>
            </w:r>
          </w:p>
        </w:tc>
      </w:tr>
      <w:tr w:rsidR="009C5024" w14:paraId="7E05CB61" w14:textId="77777777" w:rsidTr="009C5024">
        <w:tc>
          <w:tcPr>
            <w:tcW w:w="1890" w:type="dxa"/>
            <w:hideMark/>
          </w:tcPr>
          <w:p w14:paraId="6B8BCDCA" w14:textId="77777777" w:rsidR="009C5024" w:rsidRPr="0083202A" w:rsidRDefault="009C5024" w:rsidP="009C5024">
            <w:pPr>
              <w:rPr>
                <w:rFonts w:asciiTheme="minorHAnsi" w:hAnsiTheme="minorHAnsi"/>
                <w:szCs w:val="18"/>
              </w:rPr>
            </w:pPr>
            <w:r w:rsidRPr="0083202A">
              <w:rPr>
                <w:rFonts w:asciiTheme="minorHAnsi" w:hAnsiTheme="minorHAnsi"/>
                <w:szCs w:val="18"/>
              </w:rPr>
              <w:t>PD-L1</w:t>
            </w:r>
          </w:p>
        </w:tc>
        <w:tc>
          <w:tcPr>
            <w:tcW w:w="6594" w:type="dxa"/>
            <w:hideMark/>
          </w:tcPr>
          <w:p w14:paraId="6D62AFF9" w14:textId="77777777" w:rsidR="009C5024" w:rsidRPr="0083202A" w:rsidRDefault="009C5024" w:rsidP="009C5024">
            <w:pPr>
              <w:rPr>
                <w:rFonts w:asciiTheme="minorHAnsi" w:hAnsiTheme="minorHAnsi"/>
                <w:szCs w:val="18"/>
              </w:rPr>
            </w:pPr>
            <w:r w:rsidRPr="0083202A">
              <w:rPr>
                <w:rFonts w:asciiTheme="minorHAnsi" w:hAnsiTheme="minorHAnsi"/>
                <w:szCs w:val="18"/>
              </w:rPr>
              <w:t>Programmed death-1 ligand</w:t>
            </w:r>
          </w:p>
        </w:tc>
      </w:tr>
      <w:tr w:rsidR="009C5024" w14:paraId="38257DF7" w14:textId="77777777" w:rsidTr="009C5024">
        <w:tc>
          <w:tcPr>
            <w:tcW w:w="1890" w:type="dxa"/>
            <w:hideMark/>
          </w:tcPr>
          <w:p w14:paraId="3F58460B" w14:textId="77777777" w:rsidR="009C5024" w:rsidRPr="0083202A" w:rsidRDefault="009C5024" w:rsidP="009C5024">
            <w:pPr>
              <w:rPr>
                <w:rFonts w:asciiTheme="minorHAnsi" w:hAnsiTheme="minorHAnsi"/>
                <w:szCs w:val="18"/>
              </w:rPr>
            </w:pPr>
            <w:r w:rsidRPr="0083202A">
              <w:rPr>
                <w:rFonts w:asciiTheme="minorHAnsi" w:hAnsiTheme="minorHAnsi"/>
                <w:szCs w:val="18"/>
              </w:rPr>
              <w:t>PFS</w:t>
            </w:r>
          </w:p>
        </w:tc>
        <w:tc>
          <w:tcPr>
            <w:tcW w:w="6594" w:type="dxa"/>
            <w:hideMark/>
          </w:tcPr>
          <w:p w14:paraId="3883ECF0" w14:textId="77777777" w:rsidR="009C5024" w:rsidRPr="0083202A" w:rsidRDefault="009C5024" w:rsidP="009C5024">
            <w:pPr>
              <w:rPr>
                <w:rFonts w:asciiTheme="minorHAnsi" w:hAnsiTheme="minorHAnsi"/>
                <w:szCs w:val="18"/>
              </w:rPr>
            </w:pPr>
            <w:r w:rsidRPr="0083202A">
              <w:rPr>
                <w:rFonts w:asciiTheme="minorHAnsi" w:hAnsiTheme="minorHAnsi"/>
                <w:szCs w:val="18"/>
              </w:rPr>
              <w:t>Progression free survival</w:t>
            </w:r>
          </w:p>
        </w:tc>
      </w:tr>
      <w:tr w:rsidR="009C5024" w14:paraId="3EF07BFB" w14:textId="77777777" w:rsidTr="009C5024">
        <w:tc>
          <w:tcPr>
            <w:tcW w:w="1890" w:type="dxa"/>
            <w:hideMark/>
          </w:tcPr>
          <w:p w14:paraId="115E5136" w14:textId="77777777" w:rsidR="009C5024" w:rsidRPr="0083202A" w:rsidRDefault="009C5024" w:rsidP="009C5024">
            <w:pPr>
              <w:rPr>
                <w:rFonts w:asciiTheme="minorHAnsi" w:hAnsiTheme="minorHAnsi"/>
                <w:szCs w:val="18"/>
              </w:rPr>
            </w:pPr>
            <w:r w:rsidRPr="0083202A">
              <w:rPr>
                <w:rFonts w:asciiTheme="minorHAnsi" w:hAnsiTheme="minorHAnsi"/>
                <w:szCs w:val="18"/>
              </w:rPr>
              <w:t>PI</w:t>
            </w:r>
          </w:p>
        </w:tc>
        <w:tc>
          <w:tcPr>
            <w:tcW w:w="6594" w:type="dxa"/>
            <w:hideMark/>
          </w:tcPr>
          <w:p w14:paraId="6A5E4E58" w14:textId="035BAFC5" w:rsidR="009C5024" w:rsidRPr="0083202A" w:rsidRDefault="009C5024" w:rsidP="009C5024">
            <w:pPr>
              <w:rPr>
                <w:rFonts w:asciiTheme="minorHAnsi" w:hAnsiTheme="minorHAnsi"/>
                <w:szCs w:val="18"/>
              </w:rPr>
            </w:pPr>
            <w:r w:rsidRPr="0083202A">
              <w:rPr>
                <w:rFonts w:asciiTheme="minorHAnsi" w:hAnsiTheme="minorHAnsi"/>
                <w:szCs w:val="18"/>
              </w:rPr>
              <w:t xml:space="preserve">Product </w:t>
            </w:r>
            <w:r w:rsidR="005C009E">
              <w:rPr>
                <w:rFonts w:asciiTheme="minorHAnsi" w:hAnsiTheme="minorHAnsi"/>
                <w:szCs w:val="18"/>
              </w:rPr>
              <w:t>I</w:t>
            </w:r>
            <w:r w:rsidRPr="0083202A">
              <w:rPr>
                <w:rFonts w:asciiTheme="minorHAnsi" w:hAnsiTheme="minorHAnsi"/>
                <w:szCs w:val="18"/>
              </w:rPr>
              <w:t>nformation</w:t>
            </w:r>
          </w:p>
        </w:tc>
      </w:tr>
      <w:tr w:rsidR="009C5024" w14:paraId="5F6B9EE2" w14:textId="77777777" w:rsidTr="009C5024">
        <w:tc>
          <w:tcPr>
            <w:tcW w:w="1890" w:type="dxa"/>
            <w:hideMark/>
          </w:tcPr>
          <w:p w14:paraId="2AD1293F" w14:textId="77777777" w:rsidR="009C5024" w:rsidRPr="0083202A" w:rsidRDefault="009C5024" w:rsidP="009C5024">
            <w:pPr>
              <w:rPr>
                <w:rFonts w:asciiTheme="minorHAnsi" w:hAnsiTheme="minorHAnsi"/>
                <w:szCs w:val="18"/>
              </w:rPr>
            </w:pPr>
            <w:r w:rsidRPr="0083202A">
              <w:rPr>
                <w:rFonts w:asciiTheme="minorHAnsi" w:hAnsiTheme="minorHAnsi"/>
                <w:szCs w:val="18"/>
              </w:rPr>
              <w:t>PR</w:t>
            </w:r>
          </w:p>
        </w:tc>
        <w:tc>
          <w:tcPr>
            <w:tcW w:w="6594" w:type="dxa"/>
            <w:hideMark/>
          </w:tcPr>
          <w:p w14:paraId="3528204B" w14:textId="77777777" w:rsidR="009C5024" w:rsidRPr="0083202A" w:rsidRDefault="009C5024" w:rsidP="009C5024">
            <w:pPr>
              <w:rPr>
                <w:rFonts w:asciiTheme="minorHAnsi" w:hAnsiTheme="minorHAnsi"/>
                <w:szCs w:val="18"/>
              </w:rPr>
            </w:pPr>
            <w:r w:rsidRPr="0083202A">
              <w:rPr>
                <w:rFonts w:asciiTheme="minorHAnsi" w:hAnsiTheme="minorHAnsi"/>
                <w:szCs w:val="18"/>
              </w:rPr>
              <w:t>Partial response</w:t>
            </w:r>
          </w:p>
        </w:tc>
      </w:tr>
      <w:tr w:rsidR="009C5024" w14:paraId="2029CD8A" w14:textId="77777777" w:rsidTr="009C5024">
        <w:tc>
          <w:tcPr>
            <w:tcW w:w="1890" w:type="dxa"/>
            <w:hideMark/>
          </w:tcPr>
          <w:p w14:paraId="3EBB2270" w14:textId="77777777" w:rsidR="009C5024" w:rsidRPr="0083202A" w:rsidRDefault="009C5024" w:rsidP="009C5024">
            <w:pPr>
              <w:rPr>
                <w:rFonts w:asciiTheme="minorHAnsi" w:hAnsiTheme="minorHAnsi"/>
                <w:szCs w:val="18"/>
              </w:rPr>
            </w:pPr>
            <w:r w:rsidRPr="0083202A">
              <w:rPr>
                <w:rFonts w:asciiTheme="minorHAnsi" w:hAnsiTheme="minorHAnsi"/>
                <w:szCs w:val="18"/>
              </w:rPr>
              <w:t>RECIST</w:t>
            </w:r>
          </w:p>
        </w:tc>
        <w:tc>
          <w:tcPr>
            <w:tcW w:w="6594" w:type="dxa"/>
            <w:hideMark/>
          </w:tcPr>
          <w:p w14:paraId="2C24F077" w14:textId="77777777" w:rsidR="009C5024" w:rsidRPr="0083202A" w:rsidRDefault="009C5024" w:rsidP="009C5024">
            <w:pPr>
              <w:rPr>
                <w:rFonts w:asciiTheme="minorHAnsi" w:hAnsiTheme="minorHAnsi"/>
                <w:szCs w:val="18"/>
              </w:rPr>
            </w:pPr>
            <w:r w:rsidRPr="0083202A">
              <w:rPr>
                <w:rFonts w:asciiTheme="minorHAnsi" w:hAnsiTheme="minorHAnsi"/>
                <w:szCs w:val="18"/>
              </w:rPr>
              <w:t xml:space="preserve">Response evaluation criteria in solid tumours </w:t>
            </w:r>
          </w:p>
        </w:tc>
      </w:tr>
      <w:tr w:rsidR="009C5024" w14:paraId="5D595794" w14:textId="77777777" w:rsidTr="009C5024">
        <w:tc>
          <w:tcPr>
            <w:tcW w:w="1890" w:type="dxa"/>
            <w:hideMark/>
          </w:tcPr>
          <w:p w14:paraId="7EBEE578" w14:textId="77777777" w:rsidR="009C5024" w:rsidRPr="0083202A" w:rsidRDefault="009C5024" w:rsidP="009C5024">
            <w:pPr>
              <w:rPr>
                <w:rFonts w:asciiTheme="minorHAnsi" w:hAnsiTheme="minorHAnsi"/>
                <w:szCs w:val="18"/>
              </w:rPr>
            </w:pPr>
            <w:r w:rsidRPr="0083202A">
              <w:rPr>
                <w:rFonts w:asciiTheme="minorHAnsi" w:hAnsiTheme="minorHAnsi"/>
                <w:szCs w:val="18"/>
              </w:rPr>
              <w:t>SCLC</w:t>
            </w:r>
          </w:p>
        </w:tc>
        <w:tc>
          <w:tcPr>
            <w:tcW w:w="6594" w:type="dxa"/>
            <w:hideMark/>
          </w:tcPr>
          <w:p w14:paraId="7C763197" w14:textId="77777777" w:rsidR="009C5024" w:rsidRPr="0083202A" w:rsidRDefault="009C5024" w:rsidP="009C5024">
            <w:pPr>
              <w:rPr>
                <w:rFonts w:asciiTheme="minorHAnsi" w:hAnsiTheme="minorHAnsi"/>
                <w:szCs w:val="18"/>
              </w:rPr>
            </w:pPr>
            <w:r w:rsidRPr="0083202A">
              <w:rPr>
                <w:rFonts w:asciiTheme="minorHAnsi" w:hAnsiTheme="minorHAnsi"/>
                <w:szCs w:val="18"/>
              </w:rPr>
              <w:t>Small cell lung cancer</w:t>
            </w:r>
          </w:p>
        </w:tc>
      </w:tr>
      <w:tr w:rsidR="009C5024" w14:paraId="021D86F5" w14:textId="77777777" w:rsidTr="009C5024">
        <w:tc>
          <w:tcPr>
            <w:tcW w:w="1890" w:type="dxa"/>
            <w:hideMark/>
          </w:tcPr>
          <w:p w14:paraId="4781ADFE" w14:textId="77777777" w:rsidR="009C5024" w:rsidRPr="0083202A" w:rsidRDefault="009C5024" w:rsidP="009C5024">
            <w:pPr>
              <w:rPr>
                <w:rFonts w:asciiTheme="minorHAnsi" w:hAnsiTheme="minorHAnsi"/>
                <w:szCs w:val="18"/>
              </w:rPr>
            </w:pPr>
            <w:r w:rsidRPr="0083202A">
              <w:rPr>
                <w:rFonts w:asciiTheme="minorHAnsi" w:hAnsiTheme="minorHAnsi"/>
                <w:szCs w:val="18"/>
              </w:rPr>
              <w:t>SOC</w:t>
            </w:r>
          </w:p>
        </w:tc>
        <w:tc>
          <w:tcPr>
            <w:tcW w:w="6594" w:type="dxa"/>
            <w:hideMark/>
          </w:tcPr>
          <w:p w14:paraId="54FCD252" w14:textId="20E840BB" w:rsidR="009C5024" w:rsidRPr="0083202A" w:rsidRDefault="009C5024" w:rsidP="009C5024">
            <w:pPr>
              <w:rPr>
                <w:rFonts w:asciiTheme="minorHAnsi" w:hAnsiTheme="minorHAnsi"/>
                <w:szCs w:val="18"/>
              </w:rPr>
            </w:pPr>
            <w:r w:rsidRPr="0083202A">
              <w:rPr>
                <w:rFonts w:asciiTheme="minorHAnsi" w:hAnsiTheme="minorHAnsi"/>
                <w:szCs w:val="18"/>
              </w:rPr>
              <w:t xml:space="preserve">System </w:t>
            </w:r>
            <w:r w:rsidR="005C009E">
              <w:rPr>
                <w:rFonts w:asciiTheme="minorHAnsi" w:hAnsiTheme="minorHAnsi"/>
                <w:szCs w:val="18"/>
              </w:rPr>
              <w:t>O</w:t>
            </w:r>
            <w:r w:rsidRPr="0083202A">
              <w:rPr>
                <w:rFonts w:asciiTheme="minorHAnsi" w:hAnsiTheme="minorHAnsi"/>
                <w:szCs w:val="18"/>
              </w:rPr>
              <w:t xml:space="preserve">rgan </w:t>
            </w:r>
            <w:r w:rsidR="005C009E">
              <w:rPr>
                <w:rFonts w:asciiTheme="minorHAnsi" w:hAnsiTheme="minorHAnsi"/>
                <w:szCs w:val="18"/>
              </w:rPr>
              <w:t>C</w:t>
            </w:r>
            <w:r w:rsidRPr="0083202A">
              <w:rPr>
                <w:rFonts w:asciiTheme="minorHAnsi" w:hAnsiTheme="minorHAnsi"/>
                <w:szCs w:val="18"/>
              </w:rPr>
              <w:t>lass</w:t>
            </w:r>
          </w:p>
        </w:tc>
      </w:tr>
      <w:tr w:rsidR="00FF7216" w14:paraId="6DC32145" w14:textId="77777777" w:rsidTr="009C5024">
        <w:tc>
          <w:tcPr>
            <w:tcW w:w="1890" w:type="dxa"/>
          </w:tcPr>
          <w:p w14:paraId="27E06AB3" w14:textId="1F53B521" w:rsidR="00FF7216" w:rsidRPr="00FF7216" w:rsidRDefault="00FF7216" w:rsidP="009C5024">
            <w:pPr>
              <w:rPr>
                <w:rFonts w:asciiTheme="minorHAnsi" w:hAnsiTheme="minorHAnsi"/>
                <w:szCs w:val="18"/>
              </w:rPr>
            </w:pPr>
            <w:r>
              <w:rPr>
                <w:rFonts w:asciiTheme="minorHAnsi" w:hAnsiTheme="minorHAnsi"/>
                <w:szCs w:val="18"/>
              </w:rPr>
              <w:t>TC</w:t>
            </w:r>
          </w:p>
        </w:tc>
        <w:tc>
          <w:tcPr>
            <w:tcW w:w="6594" w:type="dxa"/>
          </w:tcPr>
          <w:p w14:paraId="676A22BA" w14:textId="3AF479BE" w:rsidR="00FF7216" w:rsidRPr="00FF7216" w:rsidRDefault="00FF7216" w:rsidP="009C5024">
            <w:pPr>
              <w:rPr>
                <w:rFonts w:asciiTheme="minorHAnsi" w:hAnsiTheme="minorHAnsi"/>
                <w:szCs w:val="18"/>
              </w:rPr>
            </w:pPr>
            <w:r>
              <w:rPr>
                <w:rFonts w:asciiTheme="minorHAnsi" w:hAnsiTheme="minorHAnsi"/>
                <w:szCs w:val="18"/>
              </w:rPr>
              <w:t>Tumour cell</w:t>
            </w:r>
          </w:p>
        </w:tc>
      </w:tr>
      <w:tr w:rsidR="009C5024" w14:paraId="20DB2349" w14:textId="77777777" w:rsidTr="009C5024">
        <w:tc>
          <w:tcPr>
            <w:tcW w:w="1890" w:type="dxa"/>
            <w:hideMark/>
          </w:tcPr>
          <w:p w14:paraId="41CF1F73" w14:textId="77777777" w:rsidR="009C5024" w:rsidRPr="0083202A" w:rsidRDefault="009C5024" w:rsidP="009C5024">
            <w:pPr>
              <w:rPr>
                <w:rFonts w:asciiTheme="minorHAnsi" w:hAnsiTheme="minorHAnsi"/>
                <w:szCs w:val="18"/>
              </w:rPr>
            </w:pPr>
            <w:r w:rsidRPr="0083202A">
              <w:rPr>
                <w:rFonts w:asciiTheme="minorHAnsi" w:hAnsiTheme="minorHAnsi"/>
                <w:szCs w:val="18"/>
              </w:rPr>
              <w:t>ULN</w:t>
            </w:r>
          </w:p>
        </w:tc>
        <w:tc>
          <w:tcPr>
            <w:tcW w:w="6594" w:type="dxa"/>
            <w:hideMark/>
          </w:tcPr>
          <w:p w14:paraId="41F64C55" w14:textId="77777777" w:rsidR="009C5024" w:rsidRPr="0083202A" w:rsidRDefault="009C5024" w:rsidP="009C5024">
            <w:pPr>
              <w:rPr>
                <w:rFonts w:asciiTheme="minorHAnsi" w:hAnsiTheme="minorHAnsi"/>
                <w:szCs w:val="18"/>
              </w:rPr>
            </w:pPr>
            <w:r w:rsidRPr="0083202A">
              <w:rPr>
                <w:rFonts w:asciiTheme="minorHAnsi" w:hAnsiTheme="minorHAnsi"/>
                <w:szCs w:val="18"/>
              </w:rPr>
              <w:t xml:space="preserve">Upper limit of normal </w:t>
            </w:r>
          </w:p>
        </w:tc>
      </w:tr>
      <w:tr w:rsidR="009C5024" w14:paraId="00546F6E" w14:textId="77777777" w:rsidTr="009C5024">
        <w:tc>
          <w:tcPr>
            <w:tcW w:w="1890" w:type="dxa"/>
            <w:hideMark/>
          </w:tcPr>
          <w:p w14:paraId="11E56929" w14:textId="77777777" w:rsidR="009C5024" w:rsidRPr="0083202A" w:rsidRDefault="009C5024" w:rsidP="009C5024">
            <w:pPr>
              <w:rPr>
                <w:rFonts w:asciiTheme="minorHAnsi" w:hAnsiTheme="minorHAnsi"/>
                <w:szCs w:val="18"/>
              </w:rPr>
            </w:pPr>
            <w:r w:rsidRPr="0083202A">
              <w:rPr>
                <w:rFonts w:asciiTheme="minorHAnsi" w:hAnsiTheme="minorHAnsi"/>
                <w:szCs w:val="18"/>
              </w:rPr>
              <w:t>VEGF</w:t>
            </w:r>
          </w:p>
        </w:tc>
        <w:tc>
          <w:tcPr>
            <w:tcW w:w="6594" w:type="dxa"/>
            <w:hideMark/>
          </w:tcPr>
          <w:p w14:paraId="290001DE" w14:textId="77777777" w:rsidR="009C5024" w:rsidRPr="0083202A" w:rsidRDefault="009C5024" w:rsidP="009C5024">
            <w:pPr>
              <w:rPr>
                <w:rFonts w:asciiTheme="minorHAnsi" w:hAnsiTheme="minorHAnsi"/>
                <w:szCs w:val="18"/>
              </w:rPr>
            </w:pPr>
            <w:r w:rsidRPr="0083202A">
              <w:rPr>
                <w:rFonts w:asciiTheme="minorHAnsi" w:hAnsiTheme="minorHAnsi"/>
                <w:szCs w:val="18"/>
              </w:rPr>
              <w:t>Vascular endothelial growth factor</w:t>
            </w:r>
          </w:p>
        </w:tc>
      </w:tr>
      <w:tr w:rsidR="009C5024" w14:paraId="6955EAC8" w14:textId="77777777" w:rsidTr="009C5024">
        <w:trPr>
          <w:trHeight w:val="220"/>
        </w:trPr>
        <w:tc>
          <w:tcPr>
            <w:tcW w:w="1890" w:type="dxa"/>
            <w:hideMark/>
          </w:tcPr>
          <w:p w14:paraId="424370E7" w14:textId="77777777" w:rsidR="009C5024" w:rsidRPr="0083202A" w:rsidRDefault="009C5024" w:rsidP="009C5024">
            <w:pPr>
              <w:rPr>
                <w:rFonts w:asciiTheme="minorHAnsi" w:hAnsiTheme="minorHAnsi"/>
                <w:szCs w:val="18"/>
              </w:rPr>
            </w:pPr>
            <w:r w:rsidRPr="0083202A">
              <w:rPr>
                <w:rFonts w:asciiTheme="minorHAnsi" w:hAnsiTheme="minorHAnsi"/>
                <w:szCs w:val="18"/>
              </w:rPr>
              <w:t>VEGFR</w:t>
            </w:r>
          </w:p>
        </w:tc>
        <w:tc>
          <w:tcPr>
            <w:tcW w:w="6594" w:type="dxa"/>
            <w:hideMark/>
          </w:tcPr>
          <w:p w14:paraId="304F32A0" w14:textId="77777777" w:rsidR="009C5024" w:rsidRPr="0083202A" w:rsidRDefault="009C5024" w:rsidP="009C5024">
            <w:pPr>
              <w:rPr>
                <w:rFonts w:asciiTheme="minorHAnsi" w:hAnsiTheme="minorHAnsi"/>
                <w:szCs w:val="18"/>
              </w:rPr>
            </w:pPr>
            <w:r w:rsidRPr="0083202A">
              <w:rPr>
                <w:rFonts w:asciiTheme="minorHAnsi" w:hAnsiTheme="minorHAnsi"/>
                <w:szCs w:val="18"/>
              </w:rPr>
              <w:t>Vascular endothelial growth factor receptor</w:t>
            </w:r>
          </w:p>
        </w:tc>
      </w:tr>
    </w:tbl>
    <w:p w14:paraId="201CDF83" w14:textId="77777777" w:rsidR="00FD119B" w:rsidRPr="00FD119B" w:rsidRDefault="00FD119B" w:rsidP="00FD119B">
      <w:pPr>
        <w:spacing w:before="0" w:after="200" w:line="0" w:lineRule="auto"/>
        <w:rPr>
          <w:b/>
          <w:i/>
          <w:sz w:val="24"/>
          <w:szCs w:val="24"/>
        </w:rPr>
      </w:pPr>
      <w:r w:rsidRPr="00FD119B">
        <w:rPr>
          <w:b/>
          <w:i/>
          <w:sz w:val="24"/>
          <w:szCs w:val="24"/>
        </w:rPr>
        <w:br w:type="page"/>
      </w:r>
    </w:p>
    <w:p w14:paraId="0EB76ACD" w14:textId="71C13BE8" w:rsidR="008E7846" w:rsidRDefault="00F53C07" w:rsidP="008E7846">
      <w:pPr>
        <w:pStyle w:val="Heading2"/>
      </w:pPr>
      <w:bookmarkStart w:id="9" w:name="_Toc43287528"/>
      <w:r>
        <w:lastRenderedPageBreak/>
        <w:t>I.</w:t>
      </w:r>
      <w:r w:rsidR="008E7846">
        <w:t xml:space="preserve"> Introduction to product submission</w:t>
      </w:r>
      <w:bookmarkEnd w:id="3"/>
      <w:bookmarkEnd w:id="0"/>
      <w:bookmarkEnd w:id="9"/>
    </w:p>
    <w:p w14:paraId="2D88F585" w14:textId="77777777" w:rsidR="008E7846" w:rsidRDefault="008E7846" w:rsidP="008E7846">
      <w:pPr>
        <w:pStyle w:val="Heading3"/>
        <w:rPr>
          <w:lang w:eastAsia="en-AU"/>
        </w:rPr>
      </w:pPr>
      <w:bookmarkStart w:id="10" w:name="_Toc247691502"/>
      <w:bookmarkStart w:id="11" w:name="_Toc314842483"/>
      <w:bookmarkStart w:id="12" w:name="_Toc43287529"/>
      <w:r>
        <w:rPr>
          <w:lang w:eastAsia="en-AU"/>
        </w:rPr>
        <w:t>Submission details</w:t>
      </w:r>
      <w:bookmarkEnd w:id="10"/>
      <w:bookmarkEnd w:id="11"/>
      <w:bookmarkEnd w:id="12"/>
    </w:p>
    <w:tbl>
      <w:tblPr>
        <w:tblW w:w="9531" w:type="dxa"/>
        <w:tblInd w:w="108" w:type="dxa"/>
        <w:tblLook w:val="01E0" w:firstRow="1" w:lastRow="1" w:firstColumn="1" w:lastColumn="1" w:noHBand="0" w:noVBand="0"/>
      </w:tblPr>
      <w:tblGrid>
        <w:gridCol w:w="2907"/>
        <w:gridCol w:w="6624"/>
      </w:tblGrid>
      <w:tr w:rsidR="008E7846" w:rsidRPr="003D1E62" w14:paraId="04245DFB" w14:textId="77777777" w:rsidTr="004D581F">
        <w:tc>
          <w:tcPr>
            <w:tcW w:w="2907" w:type="dxa"/>
          </w:tcPr>
          <w:p w14:paraId="7A3FA7E2" w14:textId="77777777" w:rsidR="008E7846" w:rsidRPr="003D1E62" w:rsidRDefault="001B5C90" w:rsidP="001B5C90">
            <w:pPr>
              <w:rPr>
                <w:i/>
              </w:rPr>
            </w:pPr>
            <w:r>
              <w:rPr>
                <w:i/>
              </w:rPr>
              <w:t>Type of s</w:t>
            </w:r>
            <w:r w:rsidR="008E7846" w:rsidRPr="003D1E62">
              <w:rPr>
                <w:i/>
              </w:rPr>
              <w:t>ubmission</w:t>
            </w:r>
            <w:r>
              <w:rPr>
                <w:i/>
              </w:rPr>
              <w:t>:</w:t>
            </w:r>
          </w:p>
        </w:tc>
        <w:tc>
          <w:tcPr>
            <w:tcW w:w="6624" w:type="dxa"/>
          </w:tcPr>
          <w:p w14:paraId="77188E9F" w14:textId="77777777" w:rsidR="008E7846" w:rsidRPr="003D1E62" w:rsidRDefault="00A8499C" w:rsidP="00A8499C">
            <w:r>
              <w:t>Extension of indications</w:t>
            </w:r>
          </w:p>
        </w:tc>
      </w:tr>
      <w:tr w:rsidR="008E7846" w:rsidRPr="003D1E62" w14:paraId="26D58EE0" w14:textId="77777777" w:rsidTr="004D581F">
        <w:tc>
          <w:tcPr>
            <w:tcW w:w="2907" w:type="dxa"/>
          </w:tcPr>
          <w:p w14:paraId="02360F2C" w14:textId="77777777" w:rsidR="008E7846" w:rsidRPr="003D1E62" w:rsidRDefault="008E7846" w:rsidP="003D1E62">
            <w:r w:rsidRPr="003D1E62">
              <w:rPr>
                <w:i/>
              </w:rPr>
              <w:t>Decision</w:t>
            </w:r>
            <w:r w:rsidRPr="003D1E62">
              <w:t>:</w:t>
            </w:r>
          </w:p>
        </w:tc>
        <w:tc>
          <w:tcPr>
            <w:tcW w:w="6624" w:type="dxa"/>
          </w:tcPr>
          <w:p w14:paraId="6EF0CC2B" w14:textId="77777777" w:rsidR="008E7846" w:rsidRPr="003D1E62" w:rsidRDefault="00D9566E" w:rsidP="00D9566E">
            <w:r>
              <w:t>Approved</w:t>
            </w:r>
          </w:p>
        </w:tc>
      </w:tr>
      <w:tr w:rsidR="008E7846" w:rsidRPr="003D1E62" w14:paraId="24AC37FF" w14:textId="77777777" w:rsidTr="004D581F">
        <w:tc>
          <w:tcPr>
            <w:tcW w:w="2907" w:type="dxa"/>
          </w:tcPr>
          <w:p w14:paraId="69D6FE84"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624" w:type="dxa"/>
          </w:tcPr>
          <w:p w14:paraId="77EEF14E" w14:textId="77777777" w:rsidR="008E7846" w:rsidRPr="003D1E62" w:rsidRDefault="00D9566E" w:rsidP="001B5C90">
            <w:r>
              <w:t>13 February 2020</w:t>
            </w:r>
          </w:p>
        </w:tc>
      </w:tr>
      <w:tr w:rsidR="00ED2922" w:rsidRPr="003D1E62" w14:paraId="48937A2E" w14:textId="77777777" w:rsidTr="004D581F">
        <w:tc>
          <w:tcPr>
            <w:tcW w:w="2907" w:type="dxa"/>
          </w:tcPr>
          <w:p w14:paraId="7DECF272" w14:textId="77777777" w:rsidR="00ED2922" w:rsidRPr="00441C3F" w:rsidRDefault="00ED2922" w:rsidP="001B5C90">
            <w:pPr>
              <w:rPr>
                <w:i/>
              </w:rPr>
            </w:pPr>
            <w:r w:rsidRPr="00441C3F">
              <w:rPr>
                <w:i/>
              </w:rPr>
              <w:t>Date of entry onto ARTG</w:t>
            </w:r>
            <w:r w:rsidR="00500337">
              <w:rPr>
                <w:i/>
              </w:rPr>
              <w:t>:</w:t>
            </w:r>
          </w:p>
        </w:tc>
        <w:tc>
          <w:tcPr>
            <w:tcW w:w="6624" w:type="dxa"/>
          </w:tcPr>
          <w:p w14:paraId="061E0431" w14:textId="77777777" w:rsidR="00ED2922" w:rsidRPr="00441C3F" w:rsidRDefault="00D9566E" w:rsidP="00D153D8">
            <w:pPr>
              <w:rPr>
                <w:i/>
              </w:rPr>
            </w:pPr>
            <w:r>
              <w:t>19 February 2020</w:t>
            </w:r>
          </w:p>
        </w:tc>
      </w:tr>
      <w:tr w:rsidR="00500337" w:rsidRPr="003D1E62" w14:paraId="57BDE233" w14:textId="77777777" w:rsidTr="004D581F">
        <w:tc>
          <w:tcPr>
            <w:tcW w:w="2907" w:type="dxa"/>
          </w:tcPr>
          <w:p w14:paraId="5CC32142" w14:textId="090819A2" w:rsidR="00500337" w:rsidRPr="00441C3F" w:rsidRDefault="00500337" w:rsidP="001B5C90">
            <w:pPr>
              <w:rPr>
                <w:i/>
              </w:rPr>
            </w:pPr>
            <w:r>
              <w:rPr>
                <w:i/>
              </w:rPr>
              <w:t>ARTG number</w:t>
            </w:r>
            <w:r w:rsidR="005C009E">
              <w:rPr>
                <w:i/>
              </w:rPr>
              <w:t>s</w:t>
            </w:r>
            <w:r>
              <w:rPr>
                <w:i/>
              </w:rPr>
              <w:t>:</w:t>
            </w:r>
          </w:p>
        </w:tc>
        <w:tc>
          <w:tcPr>
            <w:tcW w:w="6624" w:type="dxa"/>
          </w:tcPr>
          <w:p w14:paraId="44DFC60E" w14:textId="77777777" w:rsidR="00500337" w:rsidRPr="00441C3F" w:rsidRDefault="00D9566E" w:rsidP="00D9566E">
            <w:r>
              <w:t>277120 and 310681</w:t>
            </w:r>
          </w:p>
        </w:tc>
      </w:tr>
      <w:tr w:rsidR="003735BC" w:rsidRPr="003D1E62" w14:paraId="64A69875" w14:textId="77777777" w:rsidTr="004D581F">
        <w:tc>
          <w:tcPr>
            <w:tcW w:w="2907" w:type="dxa"/>
          </w:tcPr>
          <w:p w14:paraId="2A9B9393"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624" w:type="dxa"/>
          </w:tcPr>
          <w:p w14:paraId="1C041BAE" w14:textId="45E8D9D7" w:rsidR="003735BC" w:rsidRPr="00487162" w:rsidRDefault="00255325" w:rsidP="003735BC">
            <w:r>
              <w:t>No</w:t>
            </w:r>
          </w:p>
        </w:tc>
      </w:tr>
      <w:tr w:rsidR="008E7846" w:rsidRPr="00487162" w14:paraId="55CD740A" w14:textId="77777777" w:rsidTr="004D581F">
        <w:tc>
          <w:tcPr>
            <w:tcW w:w="2907" w:type="dxa"/>
          </w:tcPr>
          <w:p w14:paraId="67A05204" w14:textId="10F9ED18" w:rsidR="008E7846" w:rsidRPr="00487162" w:rsidRDefault="001B5C90" w:rsidP="00E45619">
            <w:pPr>
              <w:rPr>
                <w:i/>
              </w:rPr>
            </w:pPr>
            <w:r>
              <w:rPr>
                <w:i/>
              </w:rPr>
              <w:t>Active ingredient:</w:t>
            </w:r>
          </w:p>
        </w:tc>
        <w:tc>
          <w:tcPr>
            <w:tcW w:w="6624" w:type="dxa"/>
          </w:tcPr>
          <w:p w14:paraId="0C773F8B" w14:textId="77777777" w:rsidR="008E7846" w:rsidRPr="00487162" w:rsidRDefault="00A8499C" w:rsidP="00E55CB0">
            <w:proofErr w:type="spellStart"/>
            <w:r>
              <w:t>A</w:t>
            </w:r>
            <w:r w:rsidRPr="003613F2">
              <w:t>tezolizumab</w:t>
            </w:r>
            <w:proofErr w:type="spellEnd"/>
          </w:p>
        </w:tc>
      </w:tr>
      <w:tr w:rsidR="008E7846" w:rsidRPr="00487162" w14:paraId="650FC2FF" w14:textId="77777777" w:rsidTr="004D581F">
        <w:tc>
          <w:tcPr>
            <w:tcW w:w="2907" w:type="dxa"/>
          </w:tcPr>
          <w:p w14:paraId="45E9747B" w14:textId="5F0958FB" w:rsidR="008E7846" w:rsidRPr="00487162" w:rsidRDefault="008E7846" w:rsidP="001B5C90">
            <w:pPr>
              <w:rPr>
                <w:i/>
              </w:rPr>
            </w:pPr>
            <w:r w:rsidRPr="00487162">
              <w:rPr>
                <w:i/>
              </w:rPr>
              <w:t>Product</w:t>
            </w:r>
            <w:r w:rsidR="001B5C90">
              <w:rPr>
                <w:i/>
              </w:rPr>
              <w:t xml:space="preserve"> name:</w:t>
            </w:r>
          </w:p>
        </w:tc>
        <w:tc>
          <w:tcPr>
            <w:tcW w:w="6624" w:type="dxa"/>
          </w:tcPr>
          <w:p w14:paraId="28266C26" w14:textId="77777777" w:rsidR="008E7846" w:rsidRPr="00487162" w:rsidRDefault="00A8499C" w:rsidP="00A8499C">
            <w:proofErr w:type="spellStart"/>
            <w:r>
              <w:rPr>
                <w:rFonts w:eastAsiaTheme="minorHAnsi" w:cs="Cambria"/>
              </w:rPr>
              <w:t>Tecentriq</w:t>
            </w:r>
            <w:proofErr w:type="spellEnd"/>
          </w:p>
        </w:tc>
      </w:tr>
      <w:tr w:rsidR="008E7846" w:rsidRPr="00487162" w14:paraId="1FB58688" w14:textId="77777777" w:rsidTr="004D581F">
        <w:tc>
          <w:tcPr>
            <w:tcW w:w="2907" w:type="dxa"/>
          </w:tcPr>
          <w:p w14:paraId="28B89EA2"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624" w:type="dxa"/>
          </w:tcPr>
          <w:p w14:paraId="1FF89D41" w14:textId="04A775EC" w:rsidR="008E7846" w:rsidRPr="00487162" w:rsidRDefault="00A8499C" w:rsidP="00A8499C">
            <w:pPr>
              <w:autoSpaceDE w:val="0"/>
              <w:autoSpaceDN w:val="0"/>
              <w:adjustRightInd w:val="0"/>
              <w:spacing w:before="0" w:after="0" w:line="240" w:lineRule="auto"/>
            </w:pPr>
            <w:r>
              <w:rPr>
                <w:rFonts w:eastAsiaTheme="minorHAnsi" w:cs="Cambria"/>
              </w:rPr>
              <w:t xml:space="preserve">Roche Products Pty Limited30-34 </w:t>
            </w:r>
            <w:proofErr w:type="spellStart"/>
            <w:r>
              <w:rPr>
                <w:rFonts w:eastAsiaTheme="minorHAnsi" w:cs="Cambria"/>
              </w:rPr>
              <w:t>Hickson</w:t>
            </w:r>
            <w:proofErr w:type="spellEnd"/>
            <w:r>
              <w:rPr>
                <w:rFonts w:eastAsiaTheme="minorHAnsi" w:cs="Cambria"/>
              </w:rPr>
              <w:t xml:space="preserve"> Road, Sydney NSW 2000</w:t>
            </w:r>
          </w:p>
        </w:tc>
      </w:tr>
      <w:tr w:rsidR="008E7846" w:rsidRPr="00487162" w14:paraId="148B97B6" w14:textId="77777777" w:rsidTr="004D581F">
        <w:tc>
          <w:tcPr>
            <w:tcW w:w="2907" w:type="dxa"/>
          </w:tcPr>
          <w:p w14:paraId="11F6C090" w14:textId="27637EF5" w:rsidR="008E7846" w:rsidRPr="00487162" w:rsidRDefault="001B5C90" w:rsidP="00E45619">
            <w:pPr>
              <w:rPr>
                <w:i/>
              </w:rPr>
            </w:pPr>
            <w:r>
              <w:rPr>
                <w:i/>
              </w:rPr>
              <w:t>Dose form:</w:t>
            </w:r>
          </w:p>
        </w:tc>
        <w:tc>
          <w:tcPr>
            <w:tcW w:w="6624" w:type="dxa"/>
          </w:tcPr>
          <w:p w14:paraId="42460DC8" w14:textId="477560B4" w:rsidR="008E7846" w:rsidRPr="00487162" w:rsidRDefault="00A8499C" w:rsidP="00E45619">
            <w:r>
              <w:rPr>
                <w:rFonts w:eastAsiaTheme="minorHAnsi" w:cs="Cambria"/>
              </w:rPr>
              <w:t>Injection</w:t>
            </w:r>
            <w:r w:rsidR="005C009E">
              <w:rPr>
                <w:rFonts w:eastAsiaTheme="minorHAnsi" w:cs="Cambria"/>
              </w:rPr>
              <w:t>,</w:t>
            </w:r>
            <w:r>
              <w:rPr>
                <w:rFonts w:eastAsiaTheme="minorHAnsi" w:cs="Cambria"/>
              </w:rPr>
              <w:t xml:space="preserve"> concentrated</w:t>
            </w:r>
          </w:p>
        </w:tc>
      </w:tr>
      <w:tr w:rsidR="008E7846" w:rsidRPr="00487162" w14:paraId="49263E22" w14:textId="77777777" w:rsidTr="004D581F">
        <w:tc>
          <w:tcPr>
            <w:tcW w:w="2907" w:type="dxa"/>
          </w:tcPr>
          <w:p w14:paraId="4A47E3BA" w14:textId="358DE95F" w:rsidR="008E7846" w:rsidRPr="00487162" w:rsidRDefault="008E7846" w:rsidP="00E45619">
            <w:pPr>
              <w:rPr>
                <w:i/>
              </w:rPr>
            </w:pPr>
            <w:r w:rsidRPr="00487162">
              <w:rPr>
                <w:i/>
              </w:rPr>
              <w:t xml:space="preserve">Strengths: </w:t>
            </w:r>
          </w:p>
        </w:tc>
        <w:tc>
          <w:tcPr>
            <w:tcW w:w="6624" w:type="dxa"/>
          </w:tcPr>
          <w:p w14:paraId="42F842C4" w14:textId="77777777" w:rsidR="008E7846" w:rsidRPr="00487162" w:rsidRDefault="00A8499C" w:rsidP="00E45619">
            <w:r>
              <w:t>1200 mg/20 mL and 840 mg/</w:t>
            </w:r>
            <w:r w:rsidR="004955E8">
              <w:t xml:space="preserve">14 </w:t>
            </w:r>
            <w:r>
              <w:t>mL</w:t>
            </w:r>
          </w:p>
        </w:tc>
      </w:tr>
      <w:tr w:rsidR="008E7846" w:rsidRPr="00487162" w14:paraId="19FC30D4" w14:textId="77777777" w:rsidTr="004D581F">
        <w:tc>
          <w:tcPr>
            <w:tcW w:w="2907" w:type="dxa"/>
          </w:tcPr>
          <w:p w14:paraId="5B2A6B87" w14:textId="203EC28C" w:rsidR="008E7846" w:rsidRPr="00487162" w:rsidRDefault="008E7846" w:rsidP="00E45619">
            <w:pPr>
              <w:rPr>
                <w:i/>
              </w:rPr>
            </w:pPr>
            <w:r w:rsidRPr="00487162">
              <w:rPr>
                <w:i/>
              </w:rPr>
              <w:t>Container:</w:t>
            </w:r>
          </w:p>
        </w:tc>
        <w:tc>
          <w:tcPr>
            <w:tcW w:w="6624" w:type="dxa"/>
          </w:tcPr>
          <w:p w14:paraId="056BF755" w14:textId="77777777" w:rsidR="008E7846" w:rsidRPr="00487162" w:rsidRDefault="00A8499C" w:rsidP="00A8499C">
            <w:r>
              <w:t>Vial</w:t>
            </w:r>
          </w:p>
        </w:tc>
      </w:tr>
      <w:tr w:rsidR="008E7846" w:rsidRPr="00487162" w14:paraId="4ABD0B54" w14:textId="77777777" w:rsidTr="004D581F">
        <w:tc>
          <w:tcPr>
            <w:tcW w:w="2907" w:type="dxa"/>
          </w:tcPr>
          <w:p w14:paraId="7AE9EA49" w14:textId="22BA30F4" w:rsidR="008E7846" w:rsidRPr="00487162" w:rsidRDefault="008E7846" w:rsidP="00E45619">
            <w:pPr>
              <w:rPr>
                <w:i/>
              </w:rPr>
            </w:pPr>
            <w:r w:rsidRPr="00487162">
              <w:rPr>
                <w:i/>
              </w:rPr>
              <w:t>Pack size:</w:t>
            </w:r>
          </w:p>
        </w:tc>
        <w:tc>
          <w:tcPr>
            <w:tcW w:w="6624" w:type="dxa"/>
          </w:tcPr>
          <w:p w14:paraId="7ACDF857" w14:textId="77777777" w:rsidR="00FE28E4" w:rsidRPr="00487162" w:rsidRDefault="00FE28E4" w:rsidP="00FE28E4">
            <w:pPr>
              <w:pStyle w:val="ListBullet"/>
              <w:numPr>
                <w:ilvl w:val="0"/>
                <w:numId w:val="0"/>
              </w:numPr>
            </w:pPr>
            <w:r>
              <w:t>1</w:t>
            </w:r>
          </w:p>
        </w:tc>
      </w:tr>
      <w:tr w:rsidR="008E7846" w:rsidRPr="00487162" w14:paraId="30BE09B5" w14:textId="77777777" w:rsidTr="004D581F">
        <w:tc>
          <w:tcPr>
            <w:tcW w:w="2907" w:type="dxa"/>
          </w:tcPr>
          <w:p w14:paraId="51687ABE"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624" w:type="dxa"/>
          </w:tcPr>
          <w:p w14:paraId="3039B413" w14:textId="77777777" w:rsidR="00FE28E4" w:rsidRPr="00FE28E4" w:rsidRDefault="00A8499C" w:rsidP="009C5024">
            <w:proofErr w:type="spellStart"/>
            <w:r w:rsidRPr="00A8499C">
              <w:rPr>
                <w:i/>
              </w:rPr>
              <w:t>Tecentriq</w:t>
            </w:r>
            <w:proofErr w:type="spellEnd"/>
            <w:r w:rsidRPr="00A8499C">
              <w:rPr>
                <w:i/>
              </w:rPr>
              <w:t xml:space="preserve">, in combination with nab-paclitaxel and carboplatin, is indicated for </w:t>
            </w:r>
            <w:r w:rsidR="000556AD">
              <w:rPr>
                <w:i/>
              </w:rPr>
              <w:t>first line</w:t>
            </w:r>
            <w:r w:rsidRPr="00A8499C">
              <w:rPr>
                <w:i/>
              </w:rPr>
              <w:t xml:space="preserve"> treatment of patients with metastatic non-squamous NSCLC who do not have tumour EGFR or ALK genomic aberrations.</w:t>
            </w:r>
          </w:p>
        </w:tc>
      </w:tr>
      <w:tr w:rsidR="008E7846" w:rsidRPr="00487162" w14:paraId="34639A08" w14:textId="77777777" w:rsidTr="004D581F">
        <w:tc>
          <w:tcPr>
            <w:tcW w:w="2907" w:type="dxa"/>
          </w:tcPr>
          <w:p w14:paraId="05871F34" w14:textId="5BF4CE0A" w:rsidR="008E7846" w:rsidRPr="00487162" w:rsidRDefault="008E7846" w:rsidP="00E45619">
            <w:pPr>
              <w:rPr>
                <w:i/>
              </w:rPr>
            </w:pPr>
            <w:r w:rsidRPr="00487162">
              <w:rPr>
                <w:i/>
              </w:rPr>
              <w:t>Route of administration:</w:t>
            </w:r>
          </w:p>
        </w:tc>
        <w:tc>
          <w:tcPr>
            <w:tcW w:w="6624" w:type="dxa"/>
          </w:tcPr>
          <w:p w14:paraId="2BC4B514" w14:textId="77777777" w:rsidR="008E7846" w:rsidRPr="00487162" w:rsidRDefault="00A8499C" w:rsidP="00E45619">
            <w:r>
              <w:t>Intravenous (IV)</w:t>
            </w:r>
          </w:p>
        </w:tc>
      </w:tr>
      <w:tr w:rsidR="008E7846" w:rsidRPr="00487162" w14:paraId="060F7E20" w14:textId="77777777" w:rsidTr="004D581F">
        <w:tc>
          <w:tcPr>
            <w:tcW w:w="2907" w:type="dxa"/>
          </w:tcPr>
          <w:p w14:paraId="6C18EF9B" w14:textId="77777777" w:rsidR="008E7846" w:rsidRPr="00487162" w:rsidRDefault="008E7846" w:rsidP="00E45619">
            <w:pPr>
              <w:rPr>
                <w:i/>
              </w:rPr>
            </w:pPr>
            <w:r w:rsidRPr="00487162">
              <w:rPr>
                <w:i/>
              </w:rPr>
              <w:t>Dosage:</w:t>
            </w:r>
          </w:p>
        </w:tc>
        <w:tc>
          <w:tcPr>
            <w:tcW w:w="6624" w:type="dxa"/>
          </w:tcPr>
          <w:p w14:paraId="13AD112F" w14:textId="77777777" w:rsidR="00FE28E4" w:rsidRPr="009C5024" w:rsidRDefault="00FE28E4" w:rsidP="009C5024">
            <w:pPr>
              <w:rPr>
                <w:i/>
              </w:rPr>
            </w:pPr>
            <w:proofErr w:type="spellStart"/>
            <w:r w:rsidRPr="009C5024">
              <w:rPr>
                <w:i/>
              </w:rPr>
              <w:t>Tecentriq</w:t>
            </w:r>
            <w:proofErr w:type="spellEnd"/>
            <w:r w:rsidRPr="009C5024">
              <w:rPr>
                <w:i/>
              </w:rPr>
              <w:t xml:space="preserve"> in combination with nab-paclitaxel and carboplatin</w:t>
            </w:r>
          </w:p>
          <w:p w14:paraId="07291FAA" w14:textId="77777777" w:rsidR="004D581F" w:rsidRDefault="00FE28E4" w:rsidP="00FE28E4">
            <w:r>
              <w:t xml:space="preserve">During the induction phase, the recommended dose of </w:t>
            </w:r>
            <w:proofErr w:type="spellStart"/>
            <w:r>
              <w:t>Tecentriq</w:t>
            </w:r>
            <w:proofErr w:type="spellEnd"/>
            <w:r>
              <w:t xml:space="preserve"> is 1200 mg administered by IV infusion, followed by nab</w:t>
            </w:r>
            <w:r w:rsidR="005C009E">
              <w:noBreakHyphen/>
            </w:r>
            <w:r>
              <w:t xml:space="preserve">paclitaxel and carboplatin every 3 weeks for four or six cycles. For each 21-day cycle, </w:t>
            </w:r>
            <w:proofErr w:type="spellStart"/>
            <w:r>
              <w:t>Tecentriq</w:t>
            </w:r>
            <w:proofErr w:type="spellEnd"/>
            <w:r>
              <w:t xml:space="preserve">, nab-paclitaxel and carboplatin is administered on </w:t>
            </w:r>
            <w:r w:rsidR="00DA1FE4">
              <w:t>D</w:t>
            </w:r>
            <w:r>
              <w:t>ay 1. In addition, na</w:t>
            </w:r>
            <w:r w:rsidR="00A60E46">
              <w:t>b</w:t>
            </w:r>
            <w:r w:rsidR="00134CD0">
              <w:t>-</w:t>
            </w:r>
            <w:r w:rsidR="00A60E46">
              <w:t>paclitaxel is administered on D</w:t>
            </w:r>
            <w:r>
              <w:t>ays 8 and 15.</w:t>
            </w:r>
          </w:p>
          <w:p w14:paraId="4AE5245F" w14:textId="3968DE68" w:rsidR="00FE28E4" w:rsidRDefault="00FE28E4" w:rsidP="00FE28E4">
            <w:r>
              <w:t xml:space="preserve">The induction phase is followed by a maintenance phase without chemotherapy in which the recommended dosage of </w:t>
            </w:r>
            <w:proofErr w:type="spellStart"/>
            <w:r>
              <w:t>Tecentriq</w:t>
            </w:r>
            <w:proofErr w:type="spellEnd"/>
            <w:r>
              <w:t xml:space="preserve"> is either;</w:t>
            </w:r>
          </w:p>
          <w:p w14:paraId="54A74D7A" w14:textId="461F01A5" w:rsidR="00FE28E4" w:rsidRDefault="00FE28E4" w:rsidP="00FE28E4">
            <w:pPr>
              <w:pStyle w:val="ListBullet"/>
              <w:numPr>
                <w:ilvl w:val="0"/>
                <w:numId w:val="0"/>
              </w:numPr>
            </w:pPr>
            <w:r>
              <w:t>840 mg administered by IV infusion every 2 weeks</w:t>
            </w:r>
            <w:r w:rsidR="005C009E">
              <w:t>;</w:t>
            </w:r>
            <w:r w:rsidR="003A1C86">
              <w:t xml:space="preserve"> or</w:t>
            </w:r>
            <w:r w:rsidR="004D581F">
              <w:br/>
            </w:r>
            <w:r>
              <w:t>1200 mg administered by IV infusion every 3 weeks</w:t>
            </w:r>
            <w:r w:rsidR="005C009E">
              <w:t>;</w:t>
            </w:r>
            <w:r>
              <w:t xml:space="preserve"> or</w:t>
            </w:r>
            <w:r w:rsidR="004D581F">
              <w:br/>
            </w:r>
            <w:r>
              <w:t>1680 mg administered by IV infusion every 4 weeks.</w:t>
            </w:r>
          </w:p>
          <w:p w14:paraId="31543204" w14:textId="5D0AAFAE" w:rsidR="008E7846" w:rsidRPr="00487162" w:rsidRDefault="00FE28E4" w:rsidP="00FE28E4">
            <w:r w:rsidRPr="00FE28E4">
              <w:t>For further information please</w:t>
            </w:r>
            <w:r w:rsidR="005C009E">
              <w:t xml:space="preserve"> the</w:t>
            </w:r>
            <w:r w:rsidRPr="00FE28E4">
              <w:t xml:space="preserve"> Product Information (PI) </w:t>
            </w:r>
            <w:r w:rsidR="005C009E">
              <w:t xml:space="preserve">(available as </w:t>
            </w:r>
            <w:r w:rsidRPr="00FE28E4">
              <w:t>Attachment 1</w:t>
            </w:r>
            <w:r w:rsidR="005C009E">
              <w:t>)</w:t>
            </w:r>
            <w:r w:rsidRPr="00FE28E4">
              <w:t>.</w:t>
            </w:r>
          </w:p>
        </w:tc>
      </w:tr>
    </w:tbl>
    <w:p w14:paraId="1B664DB8" w14:textId="77777777" w:rsidR="008E7846" w:rsidRPr="00FE6BC7" w:rsidRDefault="008E7846" w:rsidP="008E7846">
      <w:pPr>
        <w:pStyle w:val="Heading3"/>
      </w:pPr>
      <w:bookmarkStart w:id="13" w:name="_Toc247691503"/>
      <w:bookmarkStart w:id="14" w:name="_Toc314842484"/>
      <w:bookmarkStart w:id="15" w:name="_Toc43287530"/>
      <w:r w:rsidRPr="00FE6BC7">
        <w:lastRenderedPageBreak/>
        <w:t>Product background</w:t>
      </w:r>
      <w:bookmarkEnd w:id="13"/>
      <w:bookmarkEnd w:id="14"/>
      <w:bookmarkEnd w:id="15"/>
    </w:p>
    <w:p w14:paraId="3EC0593F" w14:textId="07E0C271" w:rsidR="007C7845" w:rsidRPr="00FE6BC7" w:rsidRDefault="00940A89" w:rsidP="007C7845">
      <w:r w:rsidRPr="00FE6BC7">
        <w:t xml:space="preserve">This AusPAR describes the application by </w:t>
      </w:r>
      <w:r w:rsidR="009947A4">
        <w:t>Roche Products Pty Ltd (</w:t>
      </w:r>
      <w:r w:rsidRPr="00FE6BC7">
        <w:t>the sponsor</w:t>
      </w:r>
      <w:r w:rsidR="009947A4">
        <w:t>)</w:t>
      </w:r>
      <w:r w:rsidRPr="00FE6BC7">
        <w:t xml:space="preserve"> to </w:t>
      </w:r>
      <w:r w:rsidR="00FE28E4" w:rsidRPr="00FE6BC7">
        <w:t xml:space="preserve">extend the indications for </w:t>
      </w:r>
      <w:bookmarkStart w:id="16" w:name="_Toc314842485"/>
      <w:bookmarkStart w:id="17" w:name="_Toc247691504"/>
      <w:proofErr w:type="spellStart"/>
      <w:r w:rsidR="007C7845" w:rsidRPr="00FE6BC7">
        <w:t>Tecentriq</w:t>
      </w:r>
      <w:proofErr w:type="spellEnd"/>
      <w:r w:rsidR="007C7845" w:rsidRPr="00FE6BC7">
        <w:t xml:space="preserve"> (</w:t>
      </w:r>
      <w:proofErr w:type="spellStart"/>
      <w:r w:rsidR="007C7845" w:rsidRPr="00FE6BC7">
        <w:t>atezolizumab</w:t>
      </w:r>
      <w:proofErr w:type="spellEnd"/>
      <w:r w:rsidR="007C7845" w:rsidRPr="00FE6BC7">
        <w:t>)</w:t>
      </w:r>
      <w:r w:rsidR="00FE28E4" w:rsidRPr="00FE6BC7">
        <w:t xml:space="preserve"> to include the following: </w:t>
      </w:r>
    </w:p>
    <w:p w14:paraId="742C91B6" w14:textId="77777777" w:rsidR="007C7845" w:rsidRPr="00FE6BC7" w:rsidRDefault="007C7845" w:rsidP="00FE28E4">
      <w:pPr>
        <w:ind w:left="720"/>
        <w:rPr>
          <w:i/>
        </w:rPr>
      </w:pPr>
      <w:proofErr w:type="spellStart"/>
      <w:r w:rsidRPr="00FE6BC7">
        <w:rPr>
          <w:i/>
        </w:rPr>
        <w:t>Tecentriq</w:t>
      </w:r>
      <w:proofErr w:type="spellEnd"/>
      <w:r w:rsidRPr="00FE6BC7">
        <w:rPr>
          <w:i/>
        </w:rPr>
        <w:t xml:space="preserve">, in combination with nab-paclitaxel and carboplatin is indicated for the </w:t>
      </w:r>
      <w:r w:rsidR="000556AD" w:rsidRPr="00FE6BC7">
        <w:rPr>
          <w:i/>
        </w:rPr>
        <w:t>first line</w:t>
      </w:r>
      <w:r w:rsidRPr="00FE6BC7">
        <w:rPr>
          <w:i/>
        </w:rPr>
        <w:t xml:space="preserve"> treatment of patients with metastatic non-squamous NSCLC who do not have tumour E</w:t>
      </w:r>
      <w:r w:rsidR="00FE28E4" w:rsidRPr="00FE6BC7">
        <w:rPr>
          <w:i/>
        </w:rPr>
        <w:t>GFR or ALK genomic aberrations.</w:t>
      </w:r>
    </w:p>
    <w:p w14:paraId="6CDEEC6C" w14:textId="208A9658" w:rsidR="007C7845" w:rsidRPr="00FE6BC7" w:rsidRDefault="007C7845" w:rsidP="007C7845">
      <w:r w:rsidRPr="00FE6BC7">
        <w:t>In Australia, lung cancer is the leading cause of cancer related mortality and the fifth most common malignancy. It has been estimated that there were 12,741 new cases of lung cancer diagnosed in Australia in 2018, representing 9.2% of all new cancers diagnosed in that year. It has been estimated that there were 9,198 deaths from lung cancer in Australia in 2018, representing 18.9% of all estimated deaths from cancer in that year. In Australia, over the period from 2009 to 2013 the chance of a patient with lung cancer surviving 5</w:t>
      </w:r>
      <w:r w:rsidR="009947A4">
        <w:t> </w:t>
      </w:r>
      <w:r w:rsidRPr="00FE6BC7">
        <w:t>years was 16%.</w:t>
      </w:r>
    </w:p>
    <w:p w14:paraId="3F20EE6F" w14:textId="7FB682DC" w:rsidR="007C7845" w:rsidRPr="00FE6BC7" w:rsidRDefault="007C7845" w:rsidP="007C7845">
      <w:r w:rsidRPr="00FE6BC7">
        <w:t>Non-small cell lung cancer (NSCLC) is the predominant lung cancer subtype, and accounts for approximately 85% of all cases of lung cancer. NSCLC can be divided into two major histological types, comprising non-squamous and squamous cell carcinoma. Non</w:t>
      </w:r>
      <w:r w:rsidR="009947A4">
        <w:noBreakHyphen/>
      </w:r>
      <w:r w:rsidRPr="00FE6BC7">
        <w:t>squamous cell carcinoma accounts for more than half of all NSCLC, whereas squamous cell carcinoma accounts for approximately 30%.</w:t>
      </w:r>
    </w:p>
    <w:p w14:paraId="6D67F442" w14:textId="77777777" w:rsidR="007C7845" w:rsidRPr="00FE6BC7" w:rsidRDefault="007C7845" w:rsidP="007C7845">
      <w:r w:rsidRPr="00FE6BC7">
        <w:t>Platinum-based chemotherapy, with or without maintenance treatment, has become the standard of care for those patients without a targetable driver mutation yielding a median survival of approximately 1 year.</w:t>
      </w:r>
    </w:p>
    <w:p w14:paraId="4812834F" w14:textId="77777777" w:rsidR="007C7845" w:rsidRDefault="007C7845" w:rsidP="007C7845">
      <w:r w:rsidRPr="00FE6BC7">
        <w:t>However, the combination of immunotherapy with standard of care chemotherapy in patients with NSCLC without a targetable driver mutation has the potential to improve overall survival compared with chemotherapy.</w:t>
      </w:r>
    </w:p>
    <w:p w14:paraId="094446F1" w14:textId="17C72A69" w:rsidR="00BE3BB0" w:rsidRPr="00CE7CBC" w:rsidRDefault="004955E8" w:rsidP="007C7845">
      <w:proofErr w:type="spellStart"/>
      <w:r w:rsidRPr="00CE7CBC">
        <w:t>Atezolizumab</w:t>
      </w:r>
      <w:proofErr w:type="spellEnd"/>
      <w:r w:rsidRPr="00CE7CBC">
        <w:t xml:space="preserve"> is a </w:t>
      </w:r>
      <w:r w:rsidR="00BE3BB0" w:rsidRPr="00CE7CBC">
        <w:t>genetically engineered, humanised, monoclonal antibody. It targets human programmed death-ligand 1 (PD-L1) on tumour-infiltrating immune cells (ICs) and tumour cells (TCs), and inhibits the interaction of the ligand with its receptors</w:t>
      </w:r>
      <w:r w:rsidR="009947A4">
        <w:t xml:space="preserve">, the </w:t>
      </w:r>
      <w:r w:rsidR="00BE3BB0" w:rsidRPr="00CE7CBC">
        <w:t>programmed death-1 (PD-1) and B7.1</w:t>
      </w:r>
      <w:r w:rsidR="009947A4">
        <w:t xml:space="preserve"> receptors</w:t>
      </w:r>
      <w:r w:rsidR="00BE3BB0" w:rsidRPr="00CE7CBC">
        <w:t>, both of which can provide inhibitory signals to T cells.</w:t>
      </w:r>
    </w:p>
    <w:p w14:paraId="1B624BD8" w14:textId="4EB2B49E" w:rsidR="007C7845" w:rsidRPr="00CE7CBC" w:rsidRDefault="007C7845" w:rsidP="007C7845">
      <w:proofErr w:type="spellStart"/>
      <w:r w:rsidRPr="00CE7CBC">
        <w:t>Tecentriq</w:t>
      </w:r>
      <w:proofErr w:type="spellEnd"/>
      <w:r w:rsidRPr="00CE7CBC">
        <w:t xml:space="preserve"> is presented as a 1200 mg/mL injection concentrated vial.</w:t>
      </w:r>
      <w:r w:rsidR="00FE28E4" w:rsidRPr="00CE7CBC">
        <w:t xml:space="preserve"> </w:t>
      </w:r>
      <w:r w:rsidRPr="00CE7CBC">
        <w:t>Since the submission of this application, a variation to register an 840</w:t>
      </w:r>
      <w:r w:rsidR="004955E8" w:rsidRPr="00CE7CBC">
        <w:t xml:space="preserve"> </w:t>
      </w:r>
      <w:r w:rsidRPr="00CE7CBC">
        <w:t>mg/14</w:t>
      </w:r>
      <w:r w:rsidR="004955E8" w:rsidRPr="00CE7CBC">
        <w:t xml:space="preserve"> </w:t>
      </w:r>
      <w:r w:rsidRPr="00CE7CBC">
        <w:t xml:space="preserve">mL vial for </w:t>
      </w:r>
      <w:proofErr w:type="spellStart"/>
      <w:r w:rsidRPr="00CE7CBC">
        <w:t>Tecentriq</w:t>
      </w:r>
      <w:proofErr w:type="spellEnd"/>
      <w:r w:rsidRPr="00CE7CBC">
        <w:t xml:space="preserve"> has been approved, AUST R 310681.</w:t>
      </w:r>
      <w:r w:rsidR="009947A4">
        <w:rPr>
          <w:rStyle w:val="FootnoteReference"/>
        </w:rPr>
        <w:footnoteReference w:id="1"/>
      </w:r>
      <w:r w:rsidRPr="00CE7CBC">
        <w:t xml:space="preserve"> The sponsor requests that the new indication also be approved for the 840 mg</w:t>
      </w:r>
      <w:r w:rsidR="004955E8" w:rsidRPr="00CE7CBC">
        <w:t>/ 14 mL</w:t>
      </w:r>
      <w:r w:rsidRPr="00CE7CBC">
        <w:t xml:space="preserve"> vial.</w:t>
      </w:r>
      <w:r w:rsidR="004955E8" w:rsidRPr="00CE7CBC">
        <w:t xml:space="preserve"> The sponsor has proposed the following Dosing and </w:t>
      </w:r>
      <w:r w:rsidR="009947A4">
        <w:t>A</w:t>
      </w:r>
      <w:r w:rsidR="004955E8" w:rsidRPr="00CE7CBC">
        <w:t>dministration instructions:</w:t>
      </w:r>
    </w:p>
    <w:p w14:paraId="25044B1A" w14:textId="38C7ED43" w:rsidR="007C7845" w:rsidRPr="00CE7CBC" w:rsidRDefault="007C7845" w:rsidP="004955E8">
      <w:pPr>
        <w:ind w:left="720"/>
      </w:pPr>
      <w:r w:rsidRPr="00CE7CBC">
        <w:t xml:space="preserve">During the induction phase, the recommended dose of </w:t>
      </w:r>
      <w:proofErr w:type="spellStart"/>
      <w:r w:rsidRPr="00CE7CBC">
        <w:t>Tecentriq</w:t>
      </w:r>
      <w:proofErr w:type="spellEnd"/>
      <w:r w:rsidRPr="00CE7CBC">
        <w:t xml:space="preserve"> is 1200 mg administered by IV infusion, followed by nab-paclitaxel and carboplatin every three weeks for four or six cycles. For each 21-day cycle, </w:t>
      </w:r>
      <w:proofErr w:type="spellStart"/>
      <w:r w:rsidRPr="00CE7CBC">
        <w:t>Tecentriq</w:t>
      </w:r>
      <w:proofErr w:type="spellEnd"/>
      <w:r w:rsidRPr="00CE7CBC">
        <w:t>, nab-paclitaxel and carboplatin are administered on Day 1. In addition, nab-paclitaxel is administered on Days 8 and 15.</w:t>
      </w:r>
    </w:p>
    <w:p w14:paraId="30C1EFAD" w14:textId="77777777" w:rsidR="007C7845" w:rsidRPr="003613F2" w:rsidRDefault="007C7845" w:rsidP="004955E8">
      <w:pPr>
        <w:ind w:left="720"/>
      </w:pPr>
      <w:r w:rsidRPr="00CE7CBC">
        <w:t xml:space="preserve">The induction phase is followed by a maintenance phase without chemotherapy in which 1200 mg </w:t>
      </w:r>
      <w:proofErr w:type="spellStart"/>
      <w:r w:rsidRPr="00CE7CBC">
        <w:t>Tecentriq</w:t>
      </w:r>
      <w:proofErr w:type="spellEnd"/>
      <w:r w:rsidRPr="00CE7CBC">
        <w:t xml:space="preserve"> is administered by IV infusion every three weeks.</w:t>
      </w:r>
    </w:p>
    <w:p w14:paraId="1B14816A" w14:textId="77777777" w:rsidR="008E7846" w:rsidRPr="00F16CE9" w:rsidRDefault="00386150" w:rsidP="008E7846">
      <w:pPr>
        <w:pStyle w:val="Heading3"/>
      </w:pPr>
      <w:bookmarkStart w:id="18" w:name="_Toc43287531"/>
      <w:r w:rsidRPr="00F16CE9">
        <w:lastRenderedPageBreak/>
        <w:t>Regulatory s</w:t>
      </w:r>
      <w:r w:rsidR="008E7846" w:rsidRPr="00F16CE9">
        <w:t>tatus</w:t>
      </w:r>
      <w:bookmarkEnd w:id="16"/>
      <w:bookmarkEnd w:id="17"/>
      <w:bookmarkEnd w:id="18"/>
    </w:p>
    <w:p w14:paraId="7CB57082" w14:textId="77777777" w:rsidR="007C7845" w:rsidRPr="00F16CE9" w:rsidRDefault="007C7845" w:rsidP="007C7845">
      <w:pPr>
        <w:rPr>
          <w:lang w:val="en-US"/>
        </w:rPr>
      </w:pPr>
      <w:bookmarkStart w:id="19" w:name="_Toc247691505"/>
      <w:bookmarkStart w:id="20" w:name="_Toc314842486"/>
      <w:proofErr w:type="spellStart"/>
      <w:r w:rsidRPr="00F16CE9">
        <w:rPr>
          <w:lang w:val="en-US"/>
        </w:rPr>
        <w:t>Tecentriq</w:t>
      </w:r>
      <w:proofErr w:type="spellEnd"/>
      <w:r w:rsidRPr="00F16CE9">
        <w:rPr>
          <w:lang w:val="en-US"/>
        </w:rPr>
        <w:t xml:space="preserve"> was first registered in Australia in July 2017 as monotherapy for the 2L treatment of patients with locally advanced or metastatic NSCLC (2L+ NSCLC).</w:t>
      </w:r>
    </w:p>
    <w:p w14:paraId="57AA237C" w14:textId="77777777" w:rsidR="007C7845" w:rsidRPr="00F16CE9" w:rsidRDefault="007C7845" w:rsidP="007C7845">
      <w:pPr>
        <w:rPr>
          <w:lang w:val="en-US"/>
        </w:rPr>
      </w:pPr>
      <w:r w:rsidRPr="00F16CE9">
        <w:rPr>
          <w:lang w:val="en-US"/>
        </w:rPr>
        <w:t>The following combination therapy indication in NSCLC has subsequently been approved:</w:t>
      </w:r>
    </w:p>
    <w:p w14:paraId="35203A6B" w14:textId="77777777" w:rsidR="007C7845" w:rsidRPr="00F16CE9" w:rsidRDefault="007C7845" w:rsidP="004955E8">
      <w:pPr>
        <w:ind w:left="720"/>
        <w:rPr>
          <w:i/>
          <w:lang w:val="en-US"/>
        </w:rPr>
      </w:pPr>
      <w:proofErr w:type="spellStart"/>
      <w:r w:rsidRPr="00F16CE9">
        <w:rPr>
          <w:i/>
          <w:lang w:val="en-US"/>
        </w:rPr>
        <w:t>Tecentriq</w:t>
      </w:r>
      <w:proofErr w:type="spellEnd"/>
      <w:r w:rsidRPr="00F16CE9">
        <w:rPr>
          <w:i/>
          <w:lang w:val="en-US"/>
        </w:rPr>
        <w:t xml:space="preserve">, in combination with bevacizumab, paclitaxel and carboplatin, is indicated for the </w:t>
      </w:r>
      <w:r w:rsidR="000556AD" w:rsidRPr="00F16CE9">
        <w:rPr>
          <w:i/>
          <w:lang w:val="en-US"/>
        </w:rPr>
        <w:t>first line</w:t>
      </w:r>
      <w:r w:rsidRPr="00F16CE9">
        <w:rPr>
          <w:i/>
          <w:lang w:val="en-US"/>
        </w:rPr>
        <w:t xml:space="preserve"> treatment of adult patients with metastatic non-squamous non-small cell lung cancer (NSCLC). In patients with EGFR mutant or ALK-positive NSCLC, </w:t>
      </w:r>
      <w:proofErr w:type="spellStart"/>
      <w:r w:rsidRPr="00F16CE9">
        <w:rPr>
          <w:i/>
          <w:lang w:val="en-US"/>
        </w:rPr>
        <w:t>Tecentriq</w:t>
      </w:r>
      <w:proofErr w:type="spellEnd"/>
      <w:r w:rsidRPr="00F16CE9">
        <w:rPr>
          <w:i/>
          <w:lang w:val="en-US"/>
        </w:rPr>
        <w:t>, in combination with bevacizumab, paclitaxel and carboplatin, is indicated only after failure of appropriate targeted therapies.</w:t>
      </w:r>
    </w:p>
    <w:p w14:paraId="306DE3B4" w14:textId="68E5F157" w:rsidR="007C7845" w:rsidRPr="00F16CE9" w:rsidRDefault="007C7845" w:rsidP="007C7845">
      <w:pPr>
        <w:rPr>
          <w:lang w:val="en-US"/>
        </w:rPr>
      </w:pPr>
      <w:r w:rsidRPr="00F16CE9">
        <w:rPr>
          <w:lang w:val="en-US"/>
        </w:rPr>
        <w:t xml:space="preserve">The </w:t>
      </w:r>
      <w:r w:rsidR="00C614A7">
        <w:rPr>
          <w:lang w:val="en-US"/>
        </w:rPr>
        <w:t>United States (US) Food and Drug Administration (</w:t>
      </w:r>
      <w:r w:rsidR="00A60E46" w:rsidRPr="00F16CE9">
        <w:rPr>
          <w:lang w:val="en-US"/>
        </w:rPr>
        <w:t>FDA</w:t>
      </w:r>
      <w:r w:rsidR="00C614A7">
        <w:rPr>
          <w:lang w:val="en-US"/>
        </w:rPr>
        <w:t>)</w:t>
      </w:r>
      <w:r w:rsidR="00A60E46" w:rsidRPr="00F16CE9">
        <w:rPr>
          <w:lang w:val="en-US"/>
        </w:rPr>
        <w:t xml:space="preserve"> approved the submission for the extension of indication for </w:t>
      </w:r>
      <w:proofErr w:type="spellStart"/>
      <w:r w:rsidR="00A60E46" w:rsidRPr="00F16CE9">
        <w:rPr>
          <w:lang w:val="en-US"/>
        </w:rPr>
        <w:t>Tecentriq</w:t>
      </w:r>
      <w:proofErr w:type="spellEnd"/>
      <w:r w:rsidR="00A60E46" w:rsidRPr="00F16CE9">
        <w:rPr>
          <w:lang w:val="en-US"/>
        </w:rPr>
        <w:t xml:space="preserve"> in combination with carboplatin and nab-paclitaxel for the 1L treatment of metastatic non-squamous NSCLC</w:t>
      </w:r>
      <w:r w:rsidRPr="00F16CE9">
        <w:rPr>
          <w:lang w:val="en-US"/>
        </w:rPr>
        <w:t xml:space="preserve"> on </w:t>
      </w:r>
      <w:r w:rsidR="00C614A7">
        <w:rPr>
          <w:lang w:val="en-US"/>
        </w:rPr>
        <w:t xml:space="preserve">3 </w:t>
      </w:r>
      <w:r w:rsidRPr="00F16CE9">
        <w:rPr>
          <w:lang w:val="en-US"/>
        </w:rPr>
        <w:t>December 2019.</w:t>
      </w:r>
    </w:p>
    <w:p w14:paraId="02C53926" w14:textId="424752E5" w:rsidR="007C7845" w:rsidRPr="00F16CE9" w:rsidRDefault="007C7845" w:rsidP="007C7845">
      <w:pPr>
        <w:rPr>
          <w:lang w:val="en-US"/>
        </w:rPr>
      </w:pPr>
      <w:r w:rsidRPr="00F16CE9">
        <w:rPr>
          <w:lang w:val="en-US"/>
        </w:rPr>
        <w:t>In Europe, on 25</w:t>
      </w:r>
      <w:r w:rsidR="00C614A7">
        <w:rPr>
          <w:lang w:val="en-US"/>
        </w:rPr>
        <w:t xml:space="preserve"> </w:t>
      </w:r>
      <w:r w:rsidR="007728FA">
        <w:rPr>
          <w:lang w:val="en-US"/>
        </w:rPr>
        <w:t>July</w:t>
      </w:r>
      <w:r w:rsidR="007728FA" w:rsidRPr="00F16CE9">
        <w:rPr>
          <w:lang w:val="en-US"/>
        </w:rPr>
        <w:t xml:space="preserve"> </w:t>
      </w:r>
      <w:r w:rsidR="007728FA">
        <w:rPr>
          <w:lang w:val="en-US"/>
        </w:rPr>
        <w:t>2019</w:t>
      </w:r>
      <w:r w:rsidR="00C614A7" w:rsidRPr="00F16CE9">
        <w:rPr>
          <w:lang w:val="en-US"/>
        </w:rPr>
        <w:t xml:space="preserve"> </w:t>
      </w:r>
      <w:r w:rsidRPr="00F16CE9">
        <w:t xml:space="preserve">the </w:t>
      </w:r>
      <w:r w:rsidR="00BE3BB0" w:rsidRPr="00F16CE9">
        <w:t>Committee for Medicinal Products for Human Use (</w:t>
      </w:r>
      <w:r w:rsidRPr="00F16CE9">
        <w:t>CHMP</w:t>
      </w:r>
      <w:r w:rsidR="00BE3BB0" w:rsidRPr="00F16CE9">
        <w:t>)</w:t>
      </w:r>
      <w:r w:rsidRPr="00F16CE9">
        <w:t xml:space="preserve"> made</w:t>
      </w:r>
      <w:r w:rsidRPr="00F16CE9">
        <w:rPr>
          <w:lang w:val="en-US"/>
        </w:rPr>
        <w:t xml:space="preserve"> a positive recommendation for the extension of indication for </w:t>
      </w:r>
      <w:proofErr w:type="spellStart"/>
      <w:r w:rsidRPr="00F16CE9">
        <w:rPr>
          <w:lang w:val="en-US"/>
        </w:rPr>
        <w:t>Tecentriq</w:t>
      </w:r>
      <w:proofErr w:type="spellEnd"/>
      <w:r w:rsidRPr="00F16CE9">
        <w:rPr>
          <w:lang w:val="en-US"/>
        </w:rPr>
        <w:t>:</w:t>
      </w:r>
    </w:p>
    <w:p w14:paraId="632E2897" w14:textId="77777777" w:rsidR="007C7845" w:rsidRPr="00F16CE9" w:rsidRDefault="007C7845" w:rsidP="00FE28E4">
      <w:pPr>
        <w:ind w:left="720"/>
        <w:rPr>
          <w:i/>
          <w:lang w:val="en-US"/>
        </w:rPr>
      </w:pPr>
      <w:proofErr w:type="spellStart"/>
      <w:r w:rsidRPr="00F16CE9">
        <w:rPr>
          <w:i/>
          <w:lang w:val="en-US"/>
        </w:rPr>
        <w:t>Tecentriq</w:t>
      </w:r>
      <w:proofErr w:type="spellEnd"/>
      <w:r w:rsidRPr="00F16CE9">
        <w:rPr>
          <w:i/>
          <w:lang w:val="en-US"/>
        </w:rPr>
        <w:t xml:space="preserve">, in combination with nab paclitaxel and carboplatin, is indicated for the first line treatment </w:t>
      </w:r>
      <w:r w:rsidRPr="00F16CE9">
        <w:rPr>
          <w:i/>
        </w:rPr>
        <w:t>of</w:t>
      </w:r>
      <w:r w:rsidRPr="00F16CE9">
        <w:rPr>
          <w:i/>
          <w:lang w:val="en-US"/>
        </w:rPr>
        <w:t xml:space="preserve"> adult patients with metastatic non-squamous NSCLC who do not have EGFR</w:t>
      </w:r>
      <w:r w:rsidR="00FE28E4" w:rsidRPr="00F16CE9">
        <w:rPr>
          <w:i/>
          <w:lang w:val="en-US"/>
        </w:rPr>
        <w:t xml:space="preserve"> mutant or ALK positive NSCLC.</w:t>
      </w:r>
    </w:p>
    <w:p w14:paraId="7CD81520" w14:textId="3A2FF144" w:rsidR="007C7845" w:rsidRPr="005A63F4" w:rsidRDefault="00A60E46" w:rsidP="007C7845">
      <w:pPr>
        <w:rPr>
          <w:lang w:val="en-US"/>
        </w:rPr>
      </w:pPr>
      <w:r w:rsidRPr="00F16CE9">
        <w:rPr>
          <w:lang w:val="en-US"/>
        </w:rPr>
        <w:t>The European Union (EU) adopted this recommendation</w:t>
      </w:r>
      <w:r w:rsidR="007C7845" w:rsidRPr="00F16CE9">
        <w:rPr>
          <w:lang w:val="en-US"/>
        </w:rPr>
        <w:t xml:space="preserve"> in </w:t>
      </w:r>
      <w:r w:rsidR="00A47551">
        <w:rPr>
          <w:lang w:val="en-US"/>
        </w:rPr>
        <w:t>September</w:t>
      </w:r>
      <w:r w:rsidR="00A47551" w:rsidRPr="00F16CE9">
        <w:rPr>
          <w:lang w:val="en-US"/>
        </w:rPr>
        <w:t xml:space="preserve"> </w:t>
      </w:r>
      <w:r w:rsidR="007C7845" w:rsidRPr="00F16CE9">
        <w:rPr>
          <w:lang w:val="en-US"/>
        </w:rPr>
        <w:t xml:space="preserve">2019 and an </w:t>
      </w:r>
      <w:r w:rsidR="004955E8" w:rsidRPr="00F16CE9">
        <w:rPr>
          <w:lang w:val="en-US"/>
        </w:rPr>
        <w:t>European Public Assessment Report (</w:t>
      </w:r>
      <w:r w:rsidR="007C7845" w:rsidRPr="00F16CE9">
        <w:rPr>
          <w:lang w:val="en-US"/>
        </w:rPr>
        <w:t>EPAR</w:t>
      </w:r>
      <w:r w:rsidR="004955E8" w:rsidRPr="00F16CE9">
        <w:rPr>
          <w:lang w:val="en-US"/>
        </w:rPr>
        <w:t>)</w:t>
      </w:r>
      <w:r w:rsidR="007C7845" w:rsidRPr="00F16CE9">
        <w:rPr>
          <w:lang w:val="en-US"/>
        </w:rPr>
        <w:t xml:space="preserve"> has been published.</w:t>
      </w:r>
      <w:r w:rsidR="002E55A3">
        <w:rPr>
          <w:rStyle w:val="FootnoteReference"/>
          <w:lang w:val="en-US"/>
        </w:rPr>
        <w:footnoteReference w:id="2"/>
      </w:r>
    </w:p>
    <w:p w14:paraId="08AF6F87" w14:textId="77777777" w:rsidR="008E7846" w:rsidRPr="00DA4BDF" w:rsidRDefault="008E7846" w:rsidP="00940A89">
      <w:pPr>
        <w:pStyle w:val="Heading3"/>
      </w:pPr>
      <w:bookmarkStart w:id="21" w:name="_Toc43287532"/>
      <w:r w:rsidRPr="00DA4BDF">
        <w:t>Product Information</w:t>
      </w:r>
      <w:bookmarkEnd w:id="19"/>
      <w:bookmarkEnd w:id="20"/>
      <w:bookmarkEnd w:id="21"/>
    </w:p>
    <w:p w14:paraId="4D564E1B" w14:textId="77777777" w:rsidR="00940A89" w:rsidRDefault="006136D7" w:rsidP="00940A89">
      <w:bookmarkStart w:id="22" w:name="_Toc247691506"/>
      <w:bookmarkStart w:id="23" w:name="_Toc314842487"/>
      <w:r w:rsidRPr="00DA4BDF">
        <w:t xml:space="preserve">The Product Information (PI) approved with the </w:t>
      </w:r>
      <w:r w:rsidR="00A60E46" w:rsidRPr="00DA4BDF">
        <w:t>submission, which is described in this AusPAR,</w:t>
      </w:r>
      <w:r w:rsidRPr="00DA4BDF">
        <w:t xml:space="preserve"> can be found as Attachment 1. For the most recent PI, please refer to the TGA website at </w:t>
      </w:r>
      <w:r w:rsidR="00441C3F" w:rsidRPr="00DA4BDF">
        <w:t>&lt;</w:t>
      </w:r>
      <w:hyperlink r:id="rId16" w:history="1">
        <w:r w:rsidR="00441C3F" w:rsidRPr="00DA4BDF">
          <w:rPr>
            <w:rStyle w:val="Hyperlink"/>
          </w:rPr>
          <w:t>https://www.tga.gov.au/product-information-pi</w:t>
        </w:r>
      </w:hyperlink>
      <w:r w:rsidR="00441C3F" w:rsidRPr="00DA4BDF">
        <w:t>&gt;</w:t>
      </w:r>
      <w:r w:rsidR="00940A89" w:rsidRPr="00DA4BDF">
        <w:t>.</w:t>
      </w:r>
    </w:p>
    <w:p w14:paraId="02FF4744" w14:textId="77777777" w:rsidR="00500337" w:rsidRPr="00F16CE9" w:rsidRDefault="00500337" w:rsidP="00500337">
      <w:pPr>
        <w:pStyle w:val="Heading2"/>
      </w:pPr>
      <w:bookmarkStart w:id="24" w:name="_Toc504480011"/>
      <w:bookmarkStart w:id="25" w:name="_Toc43287533"/>
      <w:r w:rsidRPr="00F16CE9">
        <w:t>II. Registration time line</w:t>
      </w:r>
      <w:bookmarkEnd w:id="24"/>
      <w:bookmarkEnd w:id="25"/>
    </w:p>
    <w:p w14:paraId="165DACEF" w14:textId="77777777" w:rsidR="00500337" w:rsidRPr="00F16CE9" w:rsidRDefault="00500337" w:rsidP="00500337">
      <w:r w:rsidRPr="00F16CE9">
        <w:t>The following table captures the key steps and dates for this application</w:t>
      </w:r>
      <w:r w:rsidR="00BE3BB0" w:rsidRPr="00F16CE9">
        <w:t>,</w:t>
      </w:r>
      <w:r w:rsidRPr="00F16CE9">
        <w:t xml:space="preserve"> which are detail</w:t>
      </w:r>
      <w:r w:rsidR="00A8499C" w:rsidRPr="00F16CE9">
        <w:t>ed and discussed in this AusPAR</w:t>
      </w:r>
      <w:r w:rsidRPr="00F16CE9">
        <w:t>.</w:t>
      </w:r>
    </w:p>
    <w:p w14:paraId="22C00D44" w14:textId="77777777" w:rsidR="006A58A8" w:rsidRPr="006A58A8" w:rsidRDefault="006A58A8" w:rsidP="001B7556">
      <w:pPr>
        <w:pStyle w:val="TableTitle"/>
      </w:pPr>
      <w:r w:rsidRPr="00F16CE9">
        <w:t>Table 1</w:t>
      </w:r>
      <w:r w:rsidR="001B7556" w:rsidRPr="00F16CE9">
        <w:t>:</w:t>
      </w:r>
      <w:r w:rsidRPr="00F16CE9">
        <w:t xml:space="preserve"> Timeline for Submission PM-201</w:t>
      </w:r>
      <w:r w:rsidR="00A8499C" w:rsidRPr="00F16CE9">
        <w:t>9</w:t>
      </w:r>
      <w:r w:rsidRPr="00F16CE9">
        <w:t>-</w:t>
      </w:r>
      <w:r w:rsidR="00A8499C" w:rsidRPr="00F16CE9">
        <w:t>00505</w:t>
      </w:r>
      <w:r w:rsidRPr="00F16CE9">
        <w:t>-1-</w:t>
      </w:r>
      <w:r w:rsidR="00A8499C" w:rsidRPr="00F16CE9">
        <w:t>4</w:t>
      </w:r>
    </w:p>
    <w:tbl>
      <w:tblPr>
        <w:tblStyle w:val="TableTGAblue"/>
        <w:tblW w:w="0" w:type="auto"/>
        <w:tblLook w:val="04A0" w:firstRow="1" w:lastRow="0" w:firstColumn="1" w:lastColumn="0" w:noHBand="0" w:noVBand="1"/>
      </w:tblPr>
      <w:tblGrid>
        <w:gridCol w:w="4259"/>
        <w:gridCol w:w="4225"/>
      </w:tblGrid>
      <w:tr w:rsidR="00500337" w14:paraId="58A3949D" w14:textId="77777777" w:rsidTr="00A8499C">
        <w:trPr>
          <w:cnfStyle w:val="100000000000" w:firstRow="1" w:lastRow="0" w:firstColumn="0" w:lastColumn="0" w:oddVBand="0" w:evenVBand="0" w:oddHBand="0" w:evenHBand="0" w:firstRowFirstColumn="0" w:firstRowLastColumn="0" w:lastRowFirstColumn="0" w:lastRowLastColumn="0"/>
          <w:cantSplit/>
        </w:trPr>
        <w:tc>
          <w:tcPr>
            <w:tcW w:w="4259" w:type="dxa"/>
          </w:tcPr>
          <w:p w14:paraId="3CC9BC46" w14:textId="77777777" w:rsidR="00500337" w:rsidRDefault="00500337" w:rsidP="00500337">
            <w:pPr>
              <w:ind w:left="0" w:right="0"/>
            </w:pPr>
            <w:r>
              <w:t>Description</w:t>
            </w:r>
          </w:p>
        </w:tc>
        <w:tc>
          <w:tcPr>
            <w:tcW w:w="4225" w:type="dxa"/>
          </w:tcPr>
          <w:p w14:paraId="2248A9B7" w14:textId="77777777" w:rsidR="00500337" w:rsidRDefault="00500337" w:rsidP="00500337">
            <w:pPr>
              <w:ind w:left="0" w:right="0"/>
            </w:pPr>
            <w:r>
              <w:t>Date</w:t>
            </w:r>
          </w:p>
        </w:tc>
      </w:tr>
      <w:tr w:rsidR="00500337" w14:paraId="147AB6C4" w14:textId="77777777" w:rsidTr="00A8499C">
        <w:tc>
          <w:tcPr>
            <w:tcW w:w="4259" w:type="dxa"/>
          </w:tcPr>
          <w:p w14:paraId="168941A6" w14:textId="77777777" w:rsidR="00500337" w:rsidRDefault="00500337" w:rsidP="00500337">
            <w:pPr>
              <w:ind w:left="0" w:right="0"/>
            </w:pPr>
            <w:r>
              <w:t>Submission dossier accepted and first round evaluation commenced</w:t>
            </w:r>
          </w:p>
        </w:tc>
        <w:tc>
          <w:tcPr>
            <w:tcW w:w="4225" w:type="dxa"/>
          </w:tcPr>
          <w:p w14:paraId="2AA84563" w14:textId="77777777" w:rsidR="00500337" w:rsidRDefault="009C5024" w:rsidP="00500337">
            <w:pPr>
              <w:ind w:left="0" w:right="0"/>
            </w:pPr>
            <w:r>
              <w:t>1 April 2019</w:t>
            </w:r>
          </w:p>
        </w:tc>
      </w:tr>
      <w:tr w:rsidR="00500337" w14:paraId="7B0BF473" w14:textId="77777777" w:rsidTr="00A8499C">
        <w:tc>
          <w:tcPr>
            <w:tcW w:w="4259" w:type="dxa"/>
          </w:tcPr>
          <w:p w14:paraId="42C241D6" w14:textId="77777777" w:rsidR="00500337" w:rsidRDefault="00500337" w:rsidP="00500337">
            <w:pPr>
              <w:ind w:left="0" w:right="0"/>
            </w:pPr>
            <w:r>
              <w:t>First round evaluation completed</w:t>
            </w:r>
          </w:p>
        </w:tc>
        <w:tc>
          <w:tcPr>
            <w:tcW w:w="4225" w:type="dxa"/>
          </w:tcPr>
          <w:p w14:paraId="31649745" w14:textId="77777777" w:rsidR="00500337" w:rsidRDefault="009C5024" w:rsidP="00500337">
            <w:pPr>
              <w:ind w:left="0" w:right="0"/>
            </w:pPr>
            <w:r>
              <w:t>30 August 2019</w:t>
            </w:r>
          </w:p>
        </w:tc>
      </w:tr>
      <w:tr w:rsidR="00500337" w14:paraId="4EA38789" w14:textId="77777777" w:rsidTr="00A8499C">
        <w:tc>
          <w:tcPr>
            <w:tcW w:w="4259" w:type="dxa"/>
          </w:tcPr>
          <w:p w14:paraId="14ADDD6F" w14:textId="77777777" w:rsidR="00500337" w:rsidRDefault="00500337" w:rsidP="00500337">
            <w:pPr>
              <w:ind w:left="0" w:right="0"/>
            </w:pPr>
            <w:r>
              <w:t>Sponsor provides responses on questions raised in first round evaluation</w:t>
            </w:r>
          </w:p>
        </w:tc>
        <w:tc>
          <w:tcPr>
            <w:tcW w:w="4225" w:type="dxa"/>
          </w:tcPr>
          <w:p w14:paraId="6D14B653" w14:textId="77777777" w:rsidR="00500337" w:rsidRDefault="009C5024" w:rsidP="00500337">
            <w:pPr>
              <w:ind w:left="0" w:right="0"/>
            </w:pPr>
            <w:r>
              <w:t>1 October 2019</w:t>
            </w:r>
          </w:p>
        </w:tc>
      </w:tr>
      <w:tr w:rsidR="00500337" w14:paraId="13769914" w14:textId="77777777" w:rsidTr="00A8499C">
        <w:tc>
          <w:tcPr>
            <w:tcW w:w="4259" w:type="dxa"/>
          </w:tcPr>
          <w:p w14:paraId="7293767F" w14:textId="77777777" w:rsidR="00500337" w:rsidRDefault="00500337" w:rsidP="00500337">
            <w:pPr>
              <w:ind w:left="0" w:right="0"/>
            </w:pPr>
            <w:r>
              <w:t>Second round evaluation completed</w:t>
            </w:r>
          </w:p>
        </w:tc>
        <w:tc>
          <w:tcPr>
            <w:tcW w:w="4225" w:type="dxa"/>
          </w:tcPr>
          <w:p w14:paraId="1E35DD46" w14:textId="77777777" w:rsidR="00500337" w:rsidRDefault="009C5024" w:rsidP="00500337">
            <w:pPr>
              <w:ind w:left="0" w:right="0"/>
            </w:pPr>
            <w:r>
              <w:t>22 October 2019</w:t>
            </w:r>
          </w:p>
        </w:tc>
      </w:tr>
      <w:tr w:rsidR="00500337" w14:paraId="7CF5317B" w14:textId="77777777" w:rsidTr="00A8499C">
        <w:tc>
          <w:tcPr>
            <w:tcW w:w="4259" w:type="dxa"/>
          </w:tcPr>
          <w:p w14:paraId="47DB5527" w14:textId="77777777" w:rsidR="00500337" w:rsidRDefault="00500337" w:rsidP="00500337">
            <w:pPr>
              <w:ind w:left="0" w:right="0"/>
            </w:pPr>
            <w:r>
              <w:lastRenderedPageBreak/>
              <w:t>Delegate’s Overall benefit-risk assessment and request for Advisory Committee advice</w:t>
            </w:r>
          </w:p>
        </w:tc>
        <w:tc>
          <w:tcPr>
            <w:tcW w:w="4225" w:type="dxa"/>
          </w:tcPr>
          <w:p w14:paraId="445E9E8C" w14:textId="77777777" w:rsidR="00500337" w:rsidRDefault="009C5024" w:rsidP="009C5024">
            <w:pPr>
              <w:ind w:left="0" w:right="0"/>
            </w:pPr>
            <w:r>
              <w:t>4 February 2020</w:t>
            </w:r>
          </w:p>
        </w:tc>
      </w:tr>
      <w:tr w:rsidR="00500337" w14:paraId="0CB49008" w14:textId="77777777" w:rsidTr="00A8499C">
        <w:tc>
          <w:tcPr>
            <w:tcW w:w="4259" w:type="dxa"/>
          </w:tcPr>
          <w:p w14:paraId="6578269B" w14:textId="77777777" w:rsidR="00500337" w:rsidRDefault="00500337" w:rsidP="00500337">
            <w:pPr>
              <w:ind w:left="0" w:right="0"/>
            </w:pPr>
            <w:r>
              <w:t>Sponsor’s pre-Advisory Committee response</w:t>
            </w:r>
          </w:p>
        </w:tc>
        <w:tc>
          <w:tcPr>
            <w:tcW w:w="4225" w:type="dxa"/>
          </w:tcPr>
          <w:p w14:paraId="4D6DE9F1" w14:textId="77777777" w:rsidR="00500337" w:rsidRDefault="009C5024" w:rsidP="00500337">
            <w:pPr>
              <w:ind w:left="0" w:right="0"/>
            </w:pPr>
            <w:r>
              <w:t>Not applicable</w:t>
            </w:r>
          </w:p>
        </w:tc>
      </w:tr>
      <w:tr w:rsidR="00500337" w14:paraId="261EB819" w14:textId="77777777" w:rsidTr="00A8499C">
        <w:tc>
          <w:tcPr>
            <w:tcW w:w="4259" w:type="dxa"/>
          </w:tcPr>
          <w:p w14:paraId="06062F58" w14:textId="77777777" w:rsidR="00500337" w:rsidRDefault="00500337" w:rsidP="00500337">
            <w:pPr>
              <w:ind w:left="0" w:right="0"/>
            </w:pPr>
            <w:r>
              <w:t>Advisory Committee meeting</w:t>
            </w:r>
          </w:p>
        </w:tc>
        <w:tc>
          <w:tcPr>
            <w:tcW w:w="4225" w:type="dxa"/>
          </w:tcPr>
          <w:p w14:paraId="3652EB6E" w14:textId="77777777" w:rsidR="00500337" w:rsidRDefault="009C5024" w:rsidP="00500337">
            <w:pPr>
              <w:ind w:left="0" w:right="0"/>
            </w:pPr>
            <w:r>
              <w:t>Not applicable</w:t>
            </w:r>
          </w:p>
        </w:tc>
      </w:tr>
      <w:tr w:rsidR="009C5024" w14:paraId="441BB487" w14:textId="77777777" w:rsidTr="00A8499C">
        <w:tc>
          <w:tcPr>
            <w:tcW w:w="4259" w:type="dxa"/>
          </w:tcPr>
          <w:p w14:paraId="03896875" w14:textId="77777777" w:rsidR="009C5024" w:rsidRDefault="009C5024" w:rsidP="009C5024">
            <w:pPr>
              <w:ind w:left="0" w:right="0"/>
            </w:pPr>
            <w:r>
              <w:t>Registration decision (Outcome)</w:t>
            </w:r>
          </w:p>
        </w:tc>
        <w:tc>
          <w:tcPr>
            <w:tcW w:w="4225" w:type="dxa"/>
          </w:tcPr>
          <w:p w14:paraId="49790E05" w14:textId="77777777" w:rsidR="009C5024" w:rsidRPr="003D1E62" w:rsidRDefault="009C5024" w:rsidP="009C5024">
            <w:pPr>
              <w:ind w:left="0"/>
            </w:pPr>
            <w:r>
              <w:t>13 February 2020</w:t>
            </w:r>
          </w:p>
        </w:tc>
      </w:tr>
      <w:tr w:rsidR="009C5024" w14:paraId="49CB4736" w14:textId="77777777" w:rsidTr="00A8499C">
        <w:tc>
          <w:tcPr>
            <w:tcW w:w="4259" w:type="dxa"/>
          </w:tcPr>
          <w:p w14:paraId="75E9694B" w14:textId="47954A8F" w:rsidR="009C5024" w:rsidRDefault="009C5024" w:rsidP="009C5024">
            <w:pPr>
              <w:ind w:left="0" w:right="0"/>
            </w:pPr>
            <w:r>
              <w:t xml:space="preserve">Completion of administrative activities and registration on </w:t>
            </w:r>
            <w:r w:rsidR="00C614A7">
              <w:t xml:space="preserve">the </w:t>
            </w:r>
            <w:r>
              <w:t>ARTG</w:t>
            </w:r>
          </w:p>
        </w:tc>
        <w:tc>
          <w:tcPr>
            <w:tcW w:w="4225" w:type="dxa"/>
          </w:tcPr>
          <w:p w14:paraId="167962AD" w14:textId="77777777" w:rsidR="009C5024" w:rsidRPr="00441C3F" w:rsidRDefault="009C5024" w:rsidP="001B7556">
            <w:pPr>
              <w:ind w:left="0"/>
              <w:rPr>
                <w:i/>
              </w:rPr>
            </w:pPr>
            <w:r>
              <w:t>19 February 2020</w:t>
            </w:r>
          </w:p>
        </w:tc>
      </w:tr>
      <w:tr w:rsidR="009C5024" w14:paraId="3A651A19" w14:textId="77777777" w:rsidTr="00A8499C">
        <w:tc>
          <w:tcPr>
            <w:tcW w:w="4259" w:type="dxa"/>
          </w:tcPr>
          <w:p w14:paraId="1677BD95" w14:textId="77777777" w:rsidR="009C5024" w:rsidRDefault="009C5024" w:rsidP="009C5024">
            <w:pPr>
              <w:ind w:left="0" w:right="0"/>
            </w:pPr>
            <w:r>
              <w:t>Number of working days from submission dossier acceptance to registration decision*</w:t>
            </w:r>
          </w:p>
        </w:tc>
        <w:tc>
          <w:tcPr>
            <w:tcW w:w="4225" w:type="dxa"/>
          </w:tcPr>
          <w:p w14:paraId="0AB0C43D" w14:textId="77777777" w:rsidR="009C5024" w:rsidRDefault="009C5024" w:rsidP="009C5024">
            <w:pPr>
              <w:ind w:left="0" w:right="0"/>
            </w:pPr>
            <w:r>
              <w:t>194</w:t>
            </w:r>
          </w:p>
        </w:tc>
      </w:tr>
    </w:tbl>
    <w:p w14:paraId="53A704ED"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4974DBC1" w14:textId="77777777" w:rsidR="008E7846" w:rsidRPr="00FE6BC7" w:rsidRDefault="00456765" w:rsidP="008E7846">
      <w:pPr>
        <w:pStyle w:val="Heading2"/>
      </w:pPr>
      <w:bookmarkStart w:id="26" w:name="_Toc196046504"/>
      <w:bookmarkStart w:id="27" w:name="_Toc247691527"/>
      <w:bookmarkStart w:id="28" w:name="_Toc314842510"/>
      <w:bookmarkStart w:id="29" w:name="_Toc163441390"/>
      <w:bookmarkStart w:id="30" w:name="_Toc43287534"/>
      <w:bookmarkEnd w:id="22"/>
      <w:bookmarkEnd w:id="23"/>
      <w:bookmarkEnd w:id="1"/>
      <w:r w:rsidRPr="00FE6BC7">
        <w:t>I</w:t>
      </w:r>
      <w:r w:rsidR="00DA64CB" w:rsidRPr="00FE6BC7">
        <w:t>I</w:t>
      </w:r>
      <w:r w:rsidR="008E7846" w:rsidRPr="00FE6BC7">
        <w:t>I. Overall conclusion and risk/benefit assessment</w:t>
      </w:r>
      <w:bookmarkEnd w:id="26"/>
      <w:bookmarkEnd w:id="27"/>
      <w:bookmarkEnd w:id="28"/>
      <w:bookmarkEnd w:id="30"/>
    </w:p>
    <w:p w14:paraId="231F44EB" w14:textId="77777777" w:rsidR="008E7846" w:rsidRPr="00FE6BC7" w:rsidRDefault="008E7846" w:rsidP="008E7846">
      <w:bookmarkStart w:id="31" w:name="_Toc247691528"/>
      <w:r w:rsidRPr="00FE6BC7">
        <w:t>The submission was summarised in the following Delegate’s overview and recommendations:</w:t>
      </w:r>
    </w:p>
    <w:p w14:paraId="01A3C1FE" w14:textId="77777777" w:rsidR="008E7846" w:rsidRPr="00FE6BC7" w:rsidRDefault="008E7846" w:rsidP="008E7846">
      <w:pPr>
        <w:pStyle w:val="Heading3"/>
      </w:pPr>
      <w:bookmarkStart w:id="32" w:name="_Toc314842511"/>
      <w:bookmarkStart w:id="33" w:name="_Toc43287535"/>
      <w:r w:rsidRPr="00FE6BC7">
        <w:t>Quality</w:t>
      </w:r>
      <w:bookmarkEnd w:id="31"/>
      <w:bookmarkEnd w:id="32"/>
      <w:bookmarkEnd w:id="33"/>
    </w:p>
    <w:p w14:paraId="0255DFDB" w14:textId="77777777" w:rsidR="00E45619" w:rsidRPr="00FE6BC7" w:rsidRDefault="008E7846" w:rsidP="003A7F6C">
      <w:r w:rsidRPr="00FE6BC7">
        <w:t>There was no requirement for a quality evaluation in a submission of this type.</w:t>
      </w:r>
    </w:p>
    <w:p w14:paraId="337978FA" w14:textId="77777777" w:rsidR="008E7846" w:rsidRPr="00FE6BC7" w:rsidRDefault="008E7846" w:rsidP="008E7846">
      <w:pPr>
        <w:pStyle w:val="Heading3"/>
      </w:pPr>
      <w:bookmarkStart w:id="34" w:name="_Toc314842512"/>
      <w:bookmarkStart w:id="35" w:name="_Toc43287536"/>
      <w:r w:rsidRPr="00FE6BC7">
        <w:t>Nonclinical</w:t>
      </w:r>
      <w:bookmarkEnd w:id="34"/>
      <w:bookmarkEnd w:id="35"/>
    </w:p>
    <w:p w14:paraId="5622D86F" w14:textId="77777777" w:rsidR="008E7846" w:rsidRDefault="008E7846" w:rsidP="008E7846">
      <w:r w:rsidRPr="00FE6BC7">
        <w:t>There was no requirement for a nonclinical evaluation in a submission of this type.</w:t>
      </w:r>
    </w:p>
    <w:p w14:paraId="11D60211" w14:textId="77777777" w:rsidR="008E7846" w:rsidRPr="00FE6BC7" w:rsidRDefault="008E7846" w:rsidP="008E7846">
      <w:pPr>
        <w:pStyle w:val="Heading3"/>
      </w:pPr>
      <w:bookmarkStart w:id="36" w:name="_Toc247691530"/>
      <w:bookmarkStart w:id="37" w:name="_Toc314842513"/>
      <w:bookmarkStart w:id="38" w:name="_Toc43287537"/>
      <w:r w:rsidRPr="00FE6BC7">
        <w:t>Clinical</w:t>
      </w:r>
      <w:bookmarkEnd w:id="36"/>
      <w:bookmarkEnd w:id="37"/>
      <w:bookmarkEnd w:id="38"/>
    </w:p>
    <w:p w14:paraId="5A19F8FA" w14:textId="1DF0EF00" w:rsidR="007C7845" w:rsidRPr="00FE6BC7" w:rsidRDefault="007C7845" w:rsidP="007C7845">
      <w:bookmarkStart w:id="39" w:name="_Toc314842514"/>
      <w:r w:rsidRPr="00FE6BC7">
        <w:t>The evide</w:t>
      </w:r>
      <w:r w:rsidR="00D005B3" w:rsidRPr="00FE6BC7">
        <w:t>nce to support this submission wa</w:t>
      </w:r>
      <w:r w:rsidRPr="00FE6BC7">
        <w:t xml:space="preserve">s derived from the pivotal </w:t>
      </w:r>
      <w:r w:rsidR="00BE3BB0" w:rsidRPr="00FE6BC7">
        <w:t>P</w:t>
      </w:r>
      <w:r w:rsidRPr="00FE6BC7">
        <w:t xml:space="preserve">hase </w:t>
      </w:r>
      <w:r w:rsidR="00BE3BB0" w:rsidRPr="00FE6BC7">
        <w:t>III</w:t>
      </w:r>
      <w:r w:rsidR="00162215">
        <w:t xml:space="preserve"> Study </w:t>
      </w:r>
      <w:r w:rsidR="007728FA" w:rsidRPr="00FE6BC7">
        <w:t>IMpower130</w:t>
      </w:r>
      <w:r w:rsidR="007728FA">
        <w:t xml:space="preserve"> (</w:t>
      </w:r>
      <w:r w:rsidR="00C614A7">
        <w:t xml:space="preserve">also referred to as Study </w:t>
      </w:r>
      <w:r w:rsidRPr="00FE6BC7">
        <w:t>GO29537).</w:t>
      </w:r>
    </w:p>
    <w:p w14:paraId="31716E81" w14:textId="77777777" w:rsidR="007C7845" w:rsidRPr="00FE6BC7" w:rsidRDefault="007C7845" w:rsidP="007C7845">
      <w:pPr>
        <w:pStyle w:val="Heading4"/>
      </w:pPr>
      <w:r w:rsidRPr="00FE6BC7">
        <w:t>Study IMpower130</w:t>
      </w:r>
    </w:p>
    <w:p w14:paraId="67A922FA" w14:textId="77777777" w:rsidR="007C7845" w:rsidRPr="00FE6BC7" w:rsidRDefault="007C7845" w:rsidP="00BE3BB0">
      <w:pPr>
        <w:pStyle w:val="Heading5"/>
      </w:pPr>
      <w:r w:rsidRPr="00FE6BC7">
        <w:t>Title</w:t>
      </w:r>
    </w:p>
    <w:p w14:paraId="5EAFC209" w14:textId="2CFE2FAE" w:rsidR="007C7845" w:rsidRPr="00FE6BC7" w:rsidRDefault="001478C7" w:rsidP="007C7845">
      <w:r>
        <w:t xml:space="preserve">A </w:t>
      </w:r>
      <w:r w:rsidR="007C7845" w:rsidRPr="00FE6BC7">
        <w:t xml:space="preserve">Phase III, </w:t>
      </w:r>
      <w:r w:rsidRPr="00FE6BC7">
        <w:t xml:space="preserve">multicentre, randomised, open-label study evaluating the efficacy and safety of </w:t>
      </w:r>
      <w:proofErr w:type="spellStart"/>
      <w:r w:rsidRPr="00FE6BC7">
        <w:t>atezolizumab</w:t>
      </w:r>
      <w:proofErr w:type="spellEnd"/>
      <w:r w:rsidRPr="00FE6BC7">
        <w:t xml:space="preserve"> </w:t>
      </w:r>
      <w:r w:rsidR="007C7845" w:rsidRPr="00FE6BC7">
        <w:t xml:space="preserve">(MPDL3280A, </w:t>
      </w:r>
      <w:r>
        <w:t>a</w:t>
      </w:r>
      <w:r w:rsidR="007C7845" w:rsidRPr="00FE6BC7">
        <w:t xml:space="preserve">nti−PD-L1 </w:t>
      </w:r>
      <w:r>
        <w:t>a</w:t>
      </w:r>
      <w:r w:rsidR="007C7845" w:rsidRPr="00FE6BC7">
        <w:t xml:space="preserve">ntibody) in </w:t>
      </w:r>
      <w:r w:rsidRPr="00FE6BC7">
        <w:t>combination with carboplatin +nab-paclitaxel for chemotherapy-naïve patients w</w:t>
      </w:r>
      <w:r w:rsidR="007C7845" w:rsidRPr="00FE6BC7">
        <w:t xml:space="preserve">ith Stage IV </w:t>
      </w:r>
      <w:r w:rsidRPr="00FE6BC7">
        <w:t>non-squamous non-small cell lung cancer.</w:t>
      </w:r>
    </w:p>
    <w:p w14:paraId="17B3BEB8" w14:textId="77777777" w:rsidR="007C7845" w:rsidRPr="00FE6BC7" w:rsidRDefault="002546ED" w:rsidP="00BE3BB0">
      <w:pPr>
        <w:pStyle w:val="Heading5"/>
      </w:pPr>
      <w:r w:rsidRPr="00FE6BC7">
        <w:t>Study d</w:t>
      </w:r>
      <w:r w:rsidR="007C7845" w:rsidRPr="00FE6BC7">
        <w:t>esign</w:t>
      </w:r>
    </w:p>
    <w:p w14:paraId="65A85E73" w14:textId="2E77DE8F" w:rsidR="007C7845" w:rsidRPr="00FE6BC7" w:rsidRDefault="00D2321C" w:rsidP="007C7845">
      <w:r w:rsidRPr="00FE6BC7">
        <w:t xml:space="preserve">Study </w:t>
      </w:r>
      <w:r w:rsidR="007C7845" w:rsidRPr="00FE6BC7">
        <w:t>IMpower130 was a multicentre, randomised, open</w:t>
      </w:r>
      <w:r w:rsidR="00BE3BB0" w:rsidRPr="00FE6BC7">
        <w:t xml:space="preserve"> </w:t>
      </w:r>
      <w:r w:rsidR="007C7845" w:rsidRPr="00FE6BC7">
        <w:t xml:space="preserve">label, </w:t>
      </w:r>
      <w:r w:rsidR="00BE3BB0" w:rsidRPr="00FE6BC7">
        <w:t>Phase III</w:t>
      </w:r>
      <w:r w:rsidR="007C7845" w:rsidRPr="00FE6BC7">
        <w:t xml:space="preserve"> study done in 131</w:t>
      </w:r>
      <w:r w:rsidR="001478C7">
        <w:t> </w:t>
      </w:r>
      <w:r w:rsidR="007C7845" w:rsidRPr="00FE6BC7">
        <w:t xml:space="preserve">academic medical centres and community oncology practices in North America </w:t>
      </w:r>
      <w:r w:rsidR="007C7845" w:rsidRPr="00FE6BC7">
        <w:lastRenderedPageBreak/>
        <w:t>(Canada and the USA), western Europe (Belgium, France, Germany, Italy and Spain) and Israel.</w:t>
      </w:r>
    </w:p>
    <w:p w14:paraId="073C582B" w14:textId="77777777" w:rsidR="007C7845" w:rsidRPr="00FE6BC7" w:rsidRDefault="007C7845" w:rsidP="002546ED">
      <w:r w:rsidRPr="00FE6BC7">
        <w:t xml:space="preserve">The study included an induction phase of four or </w:t>
      </w:r>
      <w:r w:rsidR="00BE3BB0" w:rsidRPr="00FE6BC7">
        <w:t xml:space="preserve">six 21 </w:t>
      </w:r>
      <w:r w:rsidRPr="00FE6BC7">
        <w:t>day cycles comparing the two treatment arms, with the number of induction cycles being at the discretion of the investigator and selected and documented prior to randomisation.</w:t>
      </w:r>
    </w:p>
    <w:p w14:paraId="310F1CCC" w14:textId="47A1DE34" w:rsidR="007C7845" w:rsidRPr="00FE6BC7" w:rsidRDefault="007C7845" w:rsidP="002546ED">
      <w:r w:rsidRPr="00FE6BC7">
        <w:t xml:space="preserve">Patients were eligible for enrolment irrespective of PD-L1 status. Tumour specimens were prospectively tested for PD-L1 expression by a central laboratory with the </w:t>
      </w:r>
      <w:proofErr w:type="spellStart"/>
      <w:r w:rsidR="001478C7" w:rsidRPr="00FE6BC7">
        <w:t>Ventana</w:t>
      </w:r>
      <w:proofErr w:type="spellEnd"/>
      <w:r w:rsidRPr="00FE6BC7">
        <w:t xml:space="preserve"> PD-L1 (SP142) </w:t>
      </w:r>
      <w:r w:rsidR="001478C7">
        <w:t>a</w:t>
      </w:r>
      <w:r w:rsidRPr="00FE6BC7">
        <w:t>ssay.</w:t>
      </w:r>
    </w:p>
    <w:p w14:paraId="2BD09A46" w14:textId="63065937" w:rsidR="007C7845" w:rsidRPr="00FE6BC7" w:rsidRDefault="007C7845" w:rsidP="002546ED">
      <w:r w:rsidRPr="00FE6BC7">
        <w:t xml:space="preserve">Eligible patients were stratified by sex, presence of liver metastases at </w:t>
      </w:r>
      <w:r w:rsidR="00162215">
        <w:t>B</w:t>
      </w:r>
      <w:r w:rsidRPr="00FE6BC7">
        <w:t>aseline, and PD</w:t>
      </w:r>
      <w:r w:rsidR="00D71D9F">
        <w:noBreakHyphen/>
      </w:r>
      <w:r w:rsidRPr="00FE6BC7">
        <w:t>L1 tumour expression. However, per the Statistical Evaluation Plan (SAP, v</w:t>
      </w:r>
      <w:r w:rsidR="001478C7">
        <w:t xml:space="preserve">ersion </w:t>
      </w:r>
      <w:r w:rsidRPr="00FE6BC7">
        <w:t>4), liver metastases were excluded from the final stratification factors</w:t>
      </w:r>
      <w:r w:rsidR="006B582C" w:rsidRPr="00FE6BC7">
        <w:t xml:space="preserve"> as the incidence of both progression free survival (PFS) and overall survival (OS) events in patients with liver metastases was low</w:t>
      </w:r>
      <w:r w:rsidRPr="00FE6BC7">
        <w:t>. Therefore, the final set of stratification factors used in all stratified analyses included sex (male v</w:t>
      </w:r>
      <w:r w:rsidR="00BE3BB0" w:rsidRPr="00FE6BC7">
        <w:t>ersu</w:t>
      </w:r>
      <w:r w:rsidRPr="00FE6BC7">
        <w:t xml:space="preserve">s female) and PD-L1 expression by </w:t>
      </w:r>
      <w:r w:rsidR="002148CD">
        <w:t>immunohistochemistry (</w:t>
      </w:r>
      <w:r w:rsidRPr="00FE6BC7">
        <w:t>IHC</w:t>
      </w:r>
      <w:r w:rsidR="002148CD">
        <w:t>)</w:t>
      </w:r>
      <w:r w:rsidRPr="00FE6BC7">
        <w:t xml:space="preserve"> (</w:t>
      </w:r>
      <w:r w:rsidR="002546ED" w:rsidRPr="00FE6BC7">
        <w:t>‘</w:t>
      </w:r>
      <w:r w:rsidRPr="00FE6BC7">
        <w:t>TC3 and any IC</w:t>
      </w:r>
      <w:r w:rsidR="002546ED" w:rsidRPr="00FE6BC7">
        <w:t>’</w:t>
      </w:r>
      <w:r w:rsidRPr="00FE6BC7">
        <w:t xml:space="preserve"> v</w:t>
      </w:r>
      <w:r w:rsidR="00BE3BB0" w:rsidRPr="00FE6BC7">
        <w:t>ersu</w:t>
      </w:r>
      <w:r w:rsidRPr="00FE6BC7">
        <w:t xml:space="preserve">s </w:t>
      </w:r>
      <w:r w:rsidR="002546ED" w:rsidRPr="00FE6BC7">
        <w:t>‘</w:t>
      </w:r>
      <w:r w:rsidRPr="00FE6BC7">
        <w:t>TC0/1/2 and IC2/3</w:t>
      </w:r>
      <w:r w:rsidR="002546ED" w:rsidRPr="00FE6BC7">
        <w:t>’</w:t>
      </w:r>
      <w:r w:rsidRPr="00FE6BC7">
        <w:t xml:space="preserve"> v</w:t>
      </w:r>
      <w:r w:rsidR="00BE3BB0" w:rsidRPr="00FE6BC7">
        <w:t>ersu</w:t>
      </w:r>
      <w:r w:rsidRPr="00FE6BC7">
        <w:t xml:space="preserve">s </w:t>
      </w:r>
      <w:r w:rsidR="002546ED" w:rsidRPr="00FE6BC7">
        <w:t>‘</w:t>
      </w:r>
      <w:r w:rsidRPr="00FE6BC7">
        <w:t>TC0/1/2 and IC0/1</w:t>
      </w:r>
      <w:r w:rsidR="002546ED" w:rsidRPr="00FE6BC7">
        <w:t>’</w:t>
      </w:r>
      <w:r w:rsidRPr="00FE6BC7">
        <w:t>).</w:t>
      </w:r>
      <w:r w:rsidR="00162215">
        <w:rPr>
          <w:rStyle w:val="FootnoteReference"/>
        </w:rPr>
        <w:footnoteReference w:id="3"/>
      </w:r>
    </w:p>
    <w:p w14:paraId="7CBB32F0" w14:textId="2F1B1479" w:rsidR="007C7845" w:rsidRPr="00FE6BC7" w:rsidRDefault="007C7845" w:rsidP="002546ED">
      <w:r w:rsidRPr="00FE6BC7">
        <w:t>Tumour assessments occurred every 6 weeks for the first 48 weeks following Cycle 1 Day</w:t>
      </w:r>
      <w:r w:rsidR="002148CD">
        <w:t> </w:t>
      </w:r>
      <w:r w:rsidRPr="00FE6BC7">
        <w:t xml:space="preserve">1 (C1D1) and every 9 weeks thereafter. Patients underwent tumour assessments until radiographic disease progression according to </w:t>
      </w:r>
      <w:r w:rsidR="002546ED" w:rsidRPr="00FE6BC7">
        <w:t>Response Evaluation Criteria in Solid Tumo</w:t>
      </w:r>
      <w:r w:rsidR="002148CD">
        <w:t>u</w:t>
      </w:r>
      <w:r w:rsidR="002546ED" w:rsidRPr="00FE6BC7">
        <w:t>rs version 1.1 (</w:t>
      </w:r>
      <w:r w:rsidRPr="00FE6BC7">
        <w:t>RECIST v1.1</w:t>
      </w:r>
      <w:r w:rsidR="002546ED" w:rsidRPr="00FE6BC7">
        <w:t>)</w:t>
      </w:r>
      <w:r w:rsidR="002148CD">
        <w:t>;</w:t>
      </w:r>
      <w:r w:rsidR="00BE3BB0" w:rsidRPr="00FE6BC7">
        <w:rPr>
          <w:rStyle w:val="FootnoteReference"/>
        </w:rPr>
        <w:footnoteReference w:id="4"/>
      </w:r>
      <w:r w:rsidRPr="00FE6BC7">
        <w:t xml:space="preserve"> loss of clinical benefit as determined by the investigator for patients in the </w:t>
      </w:r>
      <w:proofErr w:type="spellStart"/>
      <w:r w:rsidR="002148CD">
        <w:t>a</w:t>
      </w:r>
      <w:r w:rsidR="000556AD" w:rsidRPr="00FE6BC7">
        <w:t>tezolizumab</w:t>
      </w:r>
      <w:proofErr w:type="spellEnd"/>
      <w:r w:rsidR="000556AD" w:rsidRPr="00FE6BC7">
        <w:t xml:space="preserve"> in combination with carboplatin and nab-paclitaxel (</w:t>
      </w:r>
      <w:proofErr w:type="spellStart"/>
      <w:r w:rsidRPr="00FE6BC7">
        <w:t>Atezo+CnP</w:t>
      </w:r>
      <w:proofErr w:type="spellEnd"/>
      <w:r w:rsidR="000556AD" w:rsidRPr="00FE6BC7">
        <w:t>)</w:t>
      </w:r>
      <w:r w:rsidRPr="00FE6BC7">
        <w:t xml:space="preserve"> arm who had continued treatment with </w:t>
      </w:r>
      <w:proofErr w:type="spellStart"/>
      <w:r w:rsidRPr="00FE6BC7">
        <w:t>atezolizumab</w:t>
      </w:r>
      <w:proofErr w:type="spellEnd"/>
      <w:r w:rsidRPr="00FE6BC7">
        <w:t xml:space="preserve"> after radiographic disease progression according to RECIST v1.1 had been identified, withdrawal of consent, study termination by </w:t>
      </w:r>
      <w:r w:rsidR="00BE3BB0" w:rsidRPr="00FE6BC7">
        <w:t>s</w:t>
      </w:r>
      <w:r w:rsidRPr="00FE6BC7">
        <w:t>ponsor, or death, whichever occurs first.</w:t>
      </w:r>
    </w:p>
    <w:p w14:paraId="349E1447" w14:textId="77777777" w:rsidR="007C7845" w:rsidRPr="00FE6BC7" w:rsidRDefault="002546ED" w:rsidP="002546ED">
      <w:pPr>
        <w:pStyle w:val="Heading5"/>
      </w:pPr>
      <w:r w:rsidRPr="00FE6BC7">
        <w:t>Suitability of c</w:t>
      </w:r>
      <w:r w:rsidR="007C7845" w:rsidRPr="00FE6BC7">
        <w:t>omparator</w:t>
      </w:r>
    </w:p>
    <w:p w14:paraId="2F7CC1A2" w14:textId="77777777" w:rsidR="007C7845" w:rsidRPr="00FE6BC7" w:rsidRDefault="007C7845" w:rsidP="007C7845">
      <w:r w:rsidRPr="00FE6BC7">
        <w:t xml:space="preserve">From a regulatory viewpoint and taking into account when </w:t>
      </w:r>
      <w:r w:rsidR="00D2321C" w:rsidRPr="00FE6BC7">
        <w:t xml:space="preserve">Study </w:t>
      </w:r>
      <w:r w:rsidRPr="00FE6BC7">
        <w:t>IMpower130 was designed and conducted, the chemotherapy arm (carboplatin plus nab-paclitaxel) is considered acceptable.</w:t>
      </w:r>
    </w:p>
    <w:p w14:paraId="601D3586" w14:textId="77777777" w:rsidR="007C7845" w:rsidRPr="00FE6BC7" w:rsidRDefault="007C7845" w:rsidP="007C7845">
      <w:r w:rsidRPr="00FE6BC7">
        <w:t xml:space="preserve">Pembrolizumab has </w:t>
      </w:r>
      <w:r w:rsidR="000556AD" w:rsidRPr="00FE6BC7">
        <w:t>first line</w:t>
      </w:r>
      <w:r w:rsidRPr="00FE6BC7">
        <w:t xml:space="preserve"> indications, in combination with platinum-doublet chemotherapy, in s</w:t>
      </w:r>
      <w:r w:rsidR="002546ED" w:rsidRPr="00FE6BC7">
        <w:t>quamous and non-squamous NSCLC.</w:t>
      </w:r>
    </w:p>
    <w:p w14:paraId="5B9B2F11" w14:textId="77777777" w:rsidR="007C7845" w:rsidRPr="00AE71C5" w:rsidRDefault="007C7845" w:rsidP="007C7845">
      <w:proofErr w:type="spellStart"/>
      <w:r w:rsidRPr="00FE6BC7">
        <w:t>Atezolizumab</w:t>
      </w:r>
      <w:proofErr w:type="spellEnd"/>
      <w:r w:rsidRPr="00FE6BC7">
        <w:t xml:space="preserve"> also has </w:t>
      </w:r>
      <w:r w:rsidR="000556AD" w:rsidRPr="00FE6BC7">
        <w:t>first line</w:t>
      </w:r>
      <w:r w:rsidRPr="00FE6BC7">
        <w:t xml:space="preserve"> indications, in combination with bevacizumab and platinum-doublet chemotherapy, in non-squamous NSCLC.</w:t>
      </w:r>
    </w:p>
    <w:p w14:paraId="6B6993C3" w14:textId="77777777" w:rsidR="007C7845" w:rsidRPr="00FE6BC7" w:rsidRDefault="002546ED" w:rsidP="002546ED">
      <w:pPr>
        <w:pStyle w:val="Heading5"/>
      </w:pPr>
      <w:r w:rsidRPr="00FE6BC7">
        <w:t>Key inclusion</w:t>
      </w:r>
      <w:r w:rsidR="006D73C7" w:rsidRPr="00FE6BC7">
        <w:t xml:space="preserve"> </w:t>
      </w:r>
      <w:r w:rsidRPr="00FE6BC7">
        <w:t>c</w:t>
      </w:r>
      <w:r w:rsidR="007C7845" w:rsidRPr="00FE6BC7">
        <w:t>riteria</w:t>
      </w:r>
    </w:p>
    <w:p w14:paraId="4C5691F5" w14:textId="77777777" w:rsidR="007C7845" w:rsidRPr="00FE6BC7" w:rsidRDefault="007C7845" w:rsidP="002546ED">
      <w:pPr>
        <w:pStyle w:val="ListBullet"/>
      </w:pPr>
      <w:r w:rsidRPr="00FE6BC7">
        <w:t>Patients were aged 18 years or older</w:t>
      </w:r>
      <w:r w:rsidR="002546ED" w:rsidRPr="00FE6BC7">
        <w:t>.</w:t>
      </w:r>
    </w:p>
    <w:p w14:paraId="302A300F" w14:textId="77777777" w:rsidR="007C7845" w:rsidRPr="00FE6BC7" w:rsidRDefault="002546ED" w:rsidP="002546ED">
      <w:pPr>
        <w:pStyle w:val="ListBullet"/>
      </w:pPr>
      <w:r w:rsidRPr="00FE6BC7">
        <w:t>H</w:t>
      </w:r>
      <w:r w:rsidR="007C7845" w:rsidRPr="00FE6BC7">
        <w:t>istologica</w:t>
      </w:r>
      <w:r w:rsidRPr="00FE6BC7">
        <w:t xml:space="preserve">lly or </w:t>
      </w:r>
      <w:proofErr w:type="spellStart"/>
      <w:r w:rsidRPr="00FE6BC7">
        <w:t>cytologically</w:t>
      </w:r>
      <w:proofErr w:type="spellEnd"/>
      <w:r w:rsidRPr="00FE6BC7">
        <w:t xml:space="preserve"> confirmed S</w:t>
      </w:r>
      <w:r w:rsidR="007C7845" w:rsidRPr="00FE6BC7">
        <w:t>tage IV non-squamous non-small-cell lung cancer</w:t>
      </w:r>
      <w:r w:rsidRPr="00FE6BC7">
        <w:t>.</w:t>
      </w:r>
    </w:p>
    <w:p w14:paraId="5D8270EF" w14:textId="77777777" w:rsidR="007C7845" w:rsidRPr="00FE6BC7" w:rsidRDefault="007C7845" w:rsidP="002546ED">
      <w:pPr>
        <w:pStyle w:val="ListBullet"/>
      </w:pPr>
      <w:r w:rsidRPr="00FE6BC7">
        <w:t>Eastern Cooperative Oncology Group performance status of 0 or 1</w:t>
      </w:r>
      <w:r w:rsidR="002546ED" w:rsidRPr="00FE6BC7">
        <w:t>.</w:t>
      </w:r>
      <w:r w:rsidR="00D2321C" w:rsidRPr="00FE6BC7">
        <w:rPr>
          <w:rStyle w:val="FootnoteReference"/>
        </w:rPr>
        <w:footnoteReference w:id="5"/>
      </w:r>
    </w:p>
    <w:p w14:paraId="70337795" w14:textId="77777777" w:rsidR="007C7845" w:rsidRPr="00FE6BC7" w:rsidRDefault="007C7845" w:rsidP="002546ED">
      <w:pPr>
        <w:pStyle w:val="ListBullet"/>
      </w:pPr>
      <w:r w:rsidRPr="00FE6BC7">
        <w:t xml:space="preserve">Received no previous chemotherapy for </w:t>
      </w:r>
      <w:r w:rsidR="00D2321C" w:rsidRPr="00FE6BC7">
        <w:t>S</w:t>
      </w:r>
      <w:r w:rsidRPr="00FE6BC7">
        <w:t xml:space="preserve">tage IV non-squamous </w:t>
      </w:r>
      <w:r w:rsidR="00D2321C" w:rsidRPr="00FE6BC7">
        <w:t>NSCLC</w:t>
      </w:r>
      <w:r w:rsidRPr="00FE6BC7">
        <w:t>.</w:t>
      </w:r>
    </w:p>
    <w:p w14:paraId="017F8B84" w14:textId="4DCFDE4C" w:rsidR="007C7845" w:rsidRPr="00FE6BC7" w:rsidRDefault="007C7845" w:rsidP="002546ED">
      <w:pPr>
        <w:pStyle w:val="ListBullet"/>
      </w:pPr>
      <w:r w:rsidRPr="00FE6BC7">
        <w:t xml:space="preserve">Patients with a sensitising mutation in the </w:t>
      </w:r>
      <w:r w:rsidR="002148CD" w:rsidRPr="00FE6BC7">
        <w:t>epidermal growth factor</w:t>
      </w:r>
      <w:r w:rsidR="002900AC" w:rsidRPr="00FE6BC7">
        <w:t xml:space="preserve"> receptor (</w:t>
      </w:r>
      <w:r w:rsidRPr="00FE6BC7">
        <w:t>EGFR</w:t>
      </w:r>
      <w:r w:rsidR="002900AC" w:rsidRPr="00FE6BC7">
        <w:t>)</w:t>
      </w:r>
      <w:r w:rsidRPr="00FE6BC7">
        <w:t xml:space="preserve"> gene or </w:t>
      </w:r>
      <w:r w:rsidR="002148CD">
        <w:t>a</w:t>
      </w:r>
      <w:r w:rsidR="002900AC" w:rsidRPr="00FE6BC7">
        <w:t xml:space="preserve">naplastic </w:t>
      </w:r>
      <w:r w:rsidR="002148CD">
        <w:t>l</w:t>
      </w:r>
      <w:r w:rsidR="002900AC" w:rsidRPr="00FE6BC7">
        <w:t xml:space="preserve">ymphoma </w:t>
      </w:r>
      <w:r w:rsidR="002148CD">
        <w:t>k</w:t>
      </w:r>
      <w:r w:rsidR="002900AC" w:rsidRPr="00FE6BC7">
        <w:t>inase (</w:t>
      </w:r>
      <w:r w:rsidRPr="00FE6BC7">
        <w:t>ALK</w:t>
      </w:r>
      <w:r w:rsidR="002900AC" w:rsidRPr="00FE6BC7">
        <w:t>)</w:t>
      </w:r>
      <w:r w:rsidRPr="00FE6BC7">
        <w:t xml:space="preserve"> fusion oncogene must have had disease </w:t>
      </w:r>
      <w:r w:rsidRPr="00FE6BC7">
        <w:lastRenderedPageBreak/>
        <w:t xml:space="preserve">progression (during or after treatment) based on </w:t>
      </w:r>
      <w:r w:rsidR="002546ED" w:rsidRPr="00FE6BC7">
        <w:t>RECIST v</w:t>
      </w:r>
      <w:r w:rsidRPr="00FE6BC7">
        <w:t>1.1, or intolerance to treatment with at least one tyrosine kinase inhibitor (discontinued &gt;</w:t>
      </w:r>
      <w:r w:rsidR="002148CD">
        <w:t xml:space="preserve"> </w:t>
      </w:r>
      <w:r w:rsidRPr="00FE6BC7">
        <w:t>7 days before randomisation). Patients with unknown EGFR or ALK status were required to have had locally or centrally assesse</w:t>
      </w:r>
      <w:r w:rsidR="00DA7395" w:rsidRPr="00FE6BC7">
        <w:t>d testing at screening.</w:t>
      </w:r>
    </w:p>
    <w:p w14:paraId="1517E826" w14:textId="77777777" w:rsidR="007C7845" w:rsidRPr="00FE6BC7" w:rsidRDefault="007C7845" w:rsidP="002546ED">
      <w:pPr>
        <w:pStyle w:val="ListBullet"/>
      </w:pPr>
      <w:r w:rsidRPr="00FE6BC7">
        <w:t>Patients were required to have known PD-L1 tumour status, determined by centrally assessed immunohistochemistry either on archival tumour tissue or tissue obtained at screening.</w:t>
      </w:r>
    </w:p>
    <w:p w14:paraId="5131BF30" w14:textId="77777777" w:rsidR="007C7845" w:rsidRPr="00FE6BC7" w:rsidRDefault="007C7845" w:rsidP="0083202A">
      <w:pPr>
        <w:pStyle w:val="ListBullet"/>
      </w:pPr>
      <w:r w:rsidRPr="00FE6BC7">
        <w:t xml:space="preserve">Patients with treated asymptomatic </w:t>
      </w:r>
      <w:r w:rsidR="00E625F3" w:rsidRPr="00FE6BC7">
        <w:t>central nervous system (</w:t>
      </w:r>
      <w:r w:rsidRPr="00FE6BC7">
        <w:t>CNS</w:t>
      </w:r>
      <w:r w:rsidR="00E625F3" w:rsidRPr="00FE6BC7">
        <w:t>)</w:t>
      </w:r>
      <w:r w:rsidRPr="00FE6BC7">
        <w:t xml:space="preserve"> metastases were also eligible, but those with active or untreated CNS metastases, spinal cord compression, or leptomen</w:t>
      </w:r>
      <w:r w:rsidR="00E625F3" w:rsidRPr="00FE6BC7">
        <w:t>ingeal disease were ineligible.</w:t>
      </w:r>
    </w:p>
    <w:p w14:paraId="7C80816B" w14:textId="77777777" w:rsidR="007C7845" w:rsidRPr="00FE6BC7" w:rsidRDefault="007C7845" w:rsidP="0083202A">
      <w:pPr>
        <w:pStyle w:val="ListBullet"/>
      </w:pPr>
      <w:r w:rsidRPr="00FE6BC7">
        <w:t>Eligible patients were required to have adequate haematological and end-organ function, which was defined as</w:t>
      </w:r>
      <w:r w:rsidR="00E625F3" w:rsidRPr="00FE6BC7">
        <w:t>:</w:t>
      </w:r>
      <w:r w:rsidRPr="00FE6BC7">
        <w:t xml:space="preserve"> </w:t>
      </w:r>
    </w:p>
    <w:p w14:paraId="68F1DA75" w14:textId="3A8FDDE8" w:rsidR="007C7845" w:rsidRPr="00FE6BC7" w:rsidRDefault="007C7845" w:rsidP="00E625F3">
      <w:pPr>
        <w:pStyle w:val="ListBullet2"/>
      </w:pPr>
      <w:r w:rsidRPr="00FE6BC7">
        <w:t xml:space="preserve">an absolute neutrophil count of 1500 cells per </w:t>
      </w:r>
      <w:r w:rsidR="002148CD">
        <w:t>µ</w:t>
      </w:r>
      <w:r w:rsidRPr="00FE6BC7">
        <w:t>L or more without granulocyte col</w:t>
      </w:r>
      <w:r w:rsidR="00E625F3" w:rsidRPr="00FE6BC7">
        <w:t>ony-stimulating factor support;</w:t>
      </w:r>
    </w:p>
    <w:p w14:paraId="2156AC9F" w14:textId="3C40CE05" w:rsidR="007C7845" w:rsidRPr="00FE6BC7" w:rsidRDefault="007C7845" w:rsidP="00E625F3">
      <w:pPr>
        <w:pStyle w:val="ListBullet2"/>
      </w:pPr>
      <w:r w:rsidRPr="00FE6BC7">
        <w:t xml:space="preserve">a lymphocyte count of 500 cells per </w:t>
      </w:r>
      <w:r w:rsidR="002148CD">
        <w:t>µ</w:t>
      </w:r>
      <w:r w:rsidRPr="00FE6BC7">
        <w:t>L or more;</w:t>
      </w:r>
    </w:p>
    <w:p w14:paraId="15291BBE" w14:textId="1D2C6D43" w:rsidR="007C7845" w:rsidRPr="00FE6BC7" w:rsidRDefault="007C7845" w:rsidP="00E625F3">
      <w:pPr>
        <w:pStyle w:val="ListBullet2"/>
      </w:pPr>
      <w:r w:rsidRPr="00FE6BC7">
        <w:t xml:space="preserve">a platelet count of 100 000 per </w:t>
      </w:r>
      <w:r w:rsidR="002148CD">
        <w:t>µ</w:t>
      </w:r>
      <w:r w:rsidRPr="00FE6BC7">
        <w:t>L or more without transfusion;</w:t>
      </w:r>
    </w:p>
    <w:p w14:paraId="651A028A" w14:textId="77777777" w:rsidR="007C7845" w:rsidRPr="00FE6BC7" w:rsidRDefault="007C7845" w:rsidP="00E625F3">
      <w:pPr>
        <w:pStyle w:val="ListBullet2"/>
      </w:pPr>
      <w:r w:rsidRPr="00FE6BC7">
        <w:t>haemoglobin concentration of 9·0 g/</w:t>
      </w:r>
      <w:proofErr w:type="spellStart"/>
      <w:r w:rsidRPr="00FE6BC7">
        <w:t>dL</w:t>
      </w:r>
      <w:proofErr w:type="spellEnd"/>
      <w:r w:rsidRPr="00FE6BC7">
        <w:t xml:space="preserve"> or more (patients could be transfused to meet this criterion);</w:t>
      </w:r>
    </w:p>
    <w:p w14:paraId="31E06304" w14:textId="4C6855D7" w:rsidR="007C7845" w:rsidRPr="00FE6BC7" w:rsidRDefault="007C7845" w:rsidP="00E625F3">
      <w:pPr>
        <w:pStyle w:val="ListBullet2"/>
      </w:pPr>
      <w:r w:rsidRPr="00FE6BC7">
        <w:t>aspartate aminotransferase, alanine aminotransferase, and alkaline phosphatase 2</w:t>
      </w:r>
      <w:r w:rsidR="002148CD">
        <w:t>.</w:t>
      </w:r>
      <w:r w:rsidRPr="00FE6BC7">
        <w:t>5</w:t>
      </w:r>
      <w:r w:rsidR="000556AD" w:rsidRPr="00FE6BC7">
        <w:t xml:space="preserve"> x </w:t>
      </w:r>
      <w:r w:rsidR="00E625F3" w:rsidRPr="00FE6BC7">
        <w:t>upper limit of normal (</w:t>
      </w:r>
      <w:r w:rsidRPr="00FE6BC7">
        <w:t>ULN</w:t>
      </w:r>
      <w:r w:rsidR="00E625F3" w:rsidRPr="00FE6BC7">
        <w:t>)</w:t>
      </w:r>
      <w:r w:rsidRPr="00FE6BC7">
        <w:t xml:space="preserve"> or less (with the following exceptions: aspartate aminotransferase or alanine aminotransferase ≤</w:t>
      </w:r>
      <w:r w:rsidR="00E625F3" w:rsidRPr="00FE6BC7">
        <w:t xml:space="preserve"> </w:t>
      </w:r>
      <w:r w:rsidRPr="00FE6BC7">
        <w:t>5</w:t>
      </w:r>
      <w:r w:rsidR="000556AD" w:rsidRPr="00FE6BC7">
        <w:t xml:space="preserve"> x </w:t>
      </w:r>
      <w:r w:rsidRPr="00FE6BC7">
        <w:t>ULN in patients with documented liver metastases; alkaline phosphatase ≤</w:t>
      </w:r>
      <w:r w:rsidR="00E625F3" w:rsidRPr="00FE6BC7">
        <w:t xml:space="preserve"> </w:t>
      </w:r>
      <w:r w:rsidRPr="00FE6BC7">
        <w:t>5</w:t>
      </w:r>
      <w:r w:rsidR="000556AD" w:rsidRPr="00FE6BC7">
        <w:t xml:space="preserve"> x </w:t>
      </w:r>
      <w:r w:rsidRPr="00FE6BC7">
        <w:t xml:space="preserve">ULN in patients with documented liver or bone metastases); </w:t>
      </w:r>
    </w:p>
    <w:p w14:paraId="0843661A" w14:textId="1D34A365" w:rsidR="007C7845" w:rsidRPr="00FE6BC7" w:rsidRDefault="007C7845" w:rsidP="00E625F3">
      <w:pPr>
        <w:pStyle w:val="ListBullet2"/>
      </w:pPr>
      <w:r w:rsidRPr="00FE6BC7">
        <w:t>serum bilirubin 1</w:t>
      </w:r>
      <w:r w:rsidR="002148CD">
        <w:t>.</w:t>
      </w:r>
      <w:r w:rsidRPr="00FE6BC7">
        <w:t>25</w:t>
      </w:r>
      <w:r w:rsidR="000556AD" w:rsidRPr="00FE6BC7">
        <w:t xml:space="preserve"> x </w:t>
      </w:r>
      <w:r w:rsidRPr="00FE6BC7">
        <w:t>ULN or less (patients with known Gilbert disease who had serum bilirubin level ≤</w:t>
      </w:r>
      <w:r w:rsidR="00E625F3" w:rsidRPr="00FE6BC7">
        <w:t xml:space="preserve"> </w:t>
      </w:r>
      <w:r w:rsidRPr="00FE6BC7">
        <w:t>3</w:t>
      </w:r>
      <w:r w:rsidR="000556AD" w:rsidRPr="00FE6BC7">
        <w:t xml:space="preserve"> x </w:t>
      </w:r>
      <w:r w:rsidRPr="00FE6BC7">
        <w:t>ULN could be enrolled); and serum creatinine 1</w:t>
      </w:r>
      <w:r w:rsidR="002148CD">
        <w:t>.</w:t>
      </w:r>
      <w:r w:rsidRPr="00FE6BC7">
        <w:t>5</w:t>
      </w:r>
      <w:r w:rsidR="000556AD" w:rsidRPr="00FE6BC7">
        <w:t xml:space="preserve"> x </w:t>
      </w:r>
      <w:r w:rsidRPr="00FE6BC7">
        <w:t>ULN or less.</w:t>
      </w:r>
    </w:p>
    <w:p w14:paraId="1CB0982A" w14:textId="77777777" w:rsidR="007C7845" w:rsidRPr="00FE6BC7" w:rsidRDefault="007C7845" w:rsidP="00E625F3">
      <w:pPr>
        <w:pStyle w:val="Heading5"/>
      </w:pPr>
      <w:r w:rsidRPr="00FE6BC7">
        <w:t xml:space="preserve">Key </w:t>
      </w:r>
      <w:r w:rsidR="00D005B3" w:rsidRPr="00FE6BC7">
        <w:t>e</w:t>
      </w:r>
      <w:r w:rsidRPr="00FE6BC7">
        <w:t>xclusion criteria</w:t>
      </w:r>
    </w:p>
    <w:p w14:paraId="3DCA36E2" w14:textId="77777777" w:rsidR="007C7845" w:rsidRPr="00FE6BC7" w:rsidRDefault="007C7845" w:rsidP="00E625F3">
      <w:pPr>
        <w:pStyle w:val="ListBullet"/>
      </w:pPr>
      <w:r w:rsidRPr="00FE6BC7">
        <w:t xml:space="preserve">Patients were ineligible </w:t>
      </w:r>
      <w:r w:rsidR="00E625F3" w:rsidRPr="00FE6BC7">
        <w:t>if they had autoimmune disease.</w:t>
      </w:r>
    </w:p>
    <w:p w14:paraId="11A85BB7" w14:textId="77777777" w:rsidR="007C7845" w:rsidRPr="00FE6BC7" w:rsidRDefault="007C7845" w:rsidP="00E625F3">
      <w:pPr>
        <w:pStyle w:val="ListBullet"/>
      </w:pPr>
      <w:r w:rsidRPr="00FE6BC7">
        <w:t xml:space="preserve">Patients with malignancies other than </w:t>
      </w:r>
      <w:r w:rsidR="00E625F3" w:rsidRPr="00FE6BC7">
        <w:t>NSCLC</w:t>
      </w:r>
      <w:r w:rsidRPr="00FE6BC7">
        <w:t xml:space="preserve"> within the 5 years before randomisation were excluded</w:t>
      </w:r>
      <w:r w:rsidR="00E625F3" w:rsidRPr="00FE6BC7">
        <w:t>.</w:t>
      </w:r>
    </w:p>
    <w:p w14:paraId="02D32645" w14:textId="77777777" w:rsidR="007C7845" w:rsidRPr="00FE6BC7" w:rsidRDefault="007C7845" w:rsidP="00E625F3">
      <w:pPr>
        <w:pStyle w:val="ListBullet"/>
      </w:pPr>
      <w:r w:rsidRPr="00FE6BC7">
        <w:t>Patients with a history of interstitial lung disease (including idiopathic pulmonary fibrosis, organising pneumonia, drug induced pneumonitis, idiopathic pneumonitis, or evidence of ac</w:t>
      </w:r>
      <w:r w:rsidR="00E625F3" w:rsidRPr="00FE6BC7">
        <w:t>tive pneumonitis at screening).</w:t>
      </w:r>
    </w:p>
    <w:p w14:paraId="796FCDAD" w14:textId="77777777" w:rsidR="007C7845" w:rsidRPr="00FE6BC7" w:rsidRDefault="007C7845" w:rsidP="00E625F3">
      <w:pPr>
        <w:pStyle w:val="ListBullet"/>
      </w:pPr>
      <w:r w:rsidRPr="00FE6BC7">
        <w:t>Previous treatment with CD137 agonists or immune checkpoint blockade therapies, anti-PD-1 therapeutic antibodies, and anti-PD-L1 therapeutic antibodies was not permitted</w:t>
      </w:r>
      <w:r w:rsidR="00E625F3" w:rsidRPr="00FE6BC7">
        <w:t>.</w:t>
      </w:r>
    </w:p>
    <w:p w14:paraId="513250EC" w14:textId="77777777" w:rsidR="007C7845" w:rsidRPr="00FE6BC7" w:rsidRDefault="00E625F3" w:rsidP="00E625F3">
      <w:pPr>
        <w:pStyle w:val="Heading5"/>
      </w:pPr>
      <w:r w:rsidRPr="00FE6BC7">
        <w:t>Recruitment</w:t>
      </w:r>
    </w:p>
    <w:p w14:paraId="12574DDF" w14:textId="076D230D" w:rsidR="007C7845" w:rsidRPr="00FE6BC7" w:rsidRDefault="00E625F3" w:rsidP="007C7845">
      <w:r w:rsidRPr="00FE6BC7">
        <w:t>First patient was randomis</w:t>
      </w:r>
      <w:r w:rsidR="007C7845" w:rsidRPr="00FE6BC7">
        <w:t>ed</w:t>
      </w:r>
      <w:r w:rsidRPr="00FE6BC7">
        <w:t xml:space="preserve"> on</w:t>
      </w:r>
      <w:r w:rsidR="007C7845" w:rsidRPr="00FE6BC7">
        <w:t xml:space="preserve"> 16 April 2015. Last patient </w:t>
      </w:r>
      <w:r w:rsidRPr="00FE6BC7">
        <w:t>was randomis</w:t>
      </w:r>
      <w:r w:rsidR="007C7845" w:rsidRPr="00FE6BC7">
        <w:t>ed</w:t>
      </w:r>
      <w:r w:rsidRPr="00FE6BC7">
        <w:t xml:space="preserve"> on </w:t>
      </w:r>
      <w:r w:rsidR="007C7845" w:rsidRPr="00FE6BC7">
        <w:t>13</w:t>
      </w:r>
      <w:r w:rsidR="002148CD">
        <w:t> </w:t>
      </w:r>
      <w:r w:rsidR="007C7845" w:rsidRPr="00FE6BC7">
        <w:t xml:space="preserve">February 2017. </w:t>
      </w:r>
      <w:r w:rsidRPr="00FE6BC7">
        <w:t>The d</w:t>
      </w:r>
      <w:r w:rsidR="007C7845" w:rsidRPr="00FE6BC7">
        <w:t>ata cut-off date</w:t>
      </w:r>
      <w:r w:rsidRPr="00FE6BC7">
        <w:t xml:space="preserve"> was</w:t>
      </w:r>
      <w:r w:rsidR="007C7845" w:rsidRPr="00FE6BC7">
        <w:t xml:space="preserve"> 15 March 2018.</w:t>
      </w:r>
    </w:p>
    <w:p w14:paraId="3A531936" w14:textId="77777777" w:rsidR="007C7845" w:rsidRPr="00FE6BC7" w:rsidRDefault="00D005B3" w:rsidP="00E625F3">
      <w:pPr>
        <w:pStyle w:val="Heading5"/>
      </w:pPr>
      <w:r w:rsidRPr="00FE6BC7">
        <w:t>Protocol a</w:t>
      </w:r>
      <w:r w:rsidR="00E625F3" w:rsidRPr="00FE6BC7">
        <w:t>mendments</w:t>
      </w:r>
    </w:p>
    <w:p w14:paraId="20FB051C" w14:textId="00E65689" w:rsidR="007C7845" w:rsidRDefault="007C7845" w:rsidP="007C7845">
      <w:r w:rsidRPr="00FE6BC7">
        <w:t>The first version (v1) of the protocol was issued on 21 November 2014 and amended (v2) on 29 March 2015, pri</w:t>
      </w:r>
      <w:r w:rsidR="00E625F3" w:rsidRPr="00FE6BC7">
        <w:t>or to the first patient randomis</w:t>
      </w:r>
      <w:r w:rsidRPr="00FE6BC7">
        <w:t>ed (16 April 2015). The protocol was subsequently amended five times (v3</w:t>
      </w:r>
      <w:r w:rsidR="00FE01CC">
        <w:t xml:space="preserve"> to </w:t>
      </w:r>
      <w:r w:rsidRPr="00FE6BC7">
        <w:t xml:space="preserve">v7). The key changes to the protocol are summarised below (Table </w:t>
      </w:r>
      <w:r w:rsidR="00E625F3" w:rsidRPr="00FE6BC7">
        <w:t>2</w:t>
      </w:r>
      <w:r w:rsidRPr="00FE6BC7">
        <w:t>).</w:t>
      </w:r>
    </w:p>
    <w:p w14:paraId="58FFCA81" w14:textId="4F1490A6" w:rsidR="007C7845" w:rsidRDefault="007C7845" w:rsidP="001B7556">
      <w:pPr>
        <w:pStyle w:val="TableTitle"/>
      </w:pPr>
      <w:r>
        <w:lastRenderedPageBreak/>
        <w:t xml:space="preserve">Table </w:t>
      </w:r>
      <w:r w:rsidR="001B7556">
        <w:t>2:</w:t>
      </w:r>
      <w:r>
        <w:t xml:space="preserve"> </w:t>
      </w:r>
      <w:r w:rsidRPr="0052210C">
        <w:t xml:space="preserve">Comparison of key features in </w:t>
      </w:r>
      <w:r w:rsidR="00FE01CC">
        <w:t>s</w:t>
      </w:r>
      <w:r w:rsidR="00D2321C">
        <w:t>tudy p</w:t>
      </w:r>
      <w:r w:rsidRPr="0052210C">
        <w:t>rotocol versions 1</w:t>
      </w:r>
      <w:r w:rsidR="00FE01CC">
        <w:t xml:space="preserve"> to</w:t>
      </w:r>
      <w:r w:rsidRPr="0052210C">
        <w:t>7</w:t>
      </w:r>
    </w:p>
    <w:p w14:paraId="68088DB4" w14:textId="77777777" w:rsidR="007C7845" w:rsidRDefault="007C7845" w:rsidP="007C7845">
      <w:r>
        <w:rPr>
          <w:noProof/>
          <w:lang w:eastAsia="en-AU"/>
        </w:rPr>
        <w:drawing>
          <wp:inline distT="0" distB="0" distL="0" distR="0" wp14:anchorId="3CAD6405" wp14:editId="62E2DEAB">
            <wp:extent cx="5810298" cy="4056361"/>
            <wp:effectExtent l="0" t="0" r="0" b="1905"/>
            <wp:docPr id="1" name="Picture 1" descr="Comparison of key features in IMpower130 Protocol version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Lst>
                    </a:blip>
                    <a:srcRect l="1400" b="496"/>
                    <a:stretch/>
                  </pic:blipFill>
                  <pic:spPr bwMode="auto">
                    <a:xfrm>
                      <a:off x="0" y="0"/>
                      <a:ext cx="5819747" cy="4062958"/>
                    </a:xfrm>
                    <a:prstGeom prst="rect">
                      <a:avLst/>
                    </a:prstGeom>
                    <a:ln>
                      <a:noFill/>
                    </a:ln>
                    <a:extLst>
                      <a:ext uri="{53640926-AAD7-44D8-BBD7-CCE9431645EC}">
                        <a14:shadowObscured xmlns:a14="http://schemas.microsoft.com/office/drawing/2010/main"/>
                      </a:ext>
                    </a:extLst>
                  </pic:spPr>
                </pic:pic>
              </a:graphicData>
            </a:graphic>
          </wp:inline>
        </w:drawing>
      </w:r>
    </w:p>
    <w:p w14:paraId="2B31203D" w14:textId="77777777" w:rsidR="007C7845" w:rsidRPr="00306FE2" w:rsidRDefault="00D005B3" w:rsidP="00D005B3">
      <w:pPr>
        <w:pStyle w:val="Heading5"/>
      </w:pPr>
      <w:r w:rsidRPr="00306FE2">
        <w:t>Efficacy e</w:t>
      </w:r>
      <w:r w:rsidR="007C7845" w:rsidRPr="00306FE2">
        <w:t>ndpoints</w:t>
      </w:r>
    </w:p>
    <w:p w14:paraId="16AE8294" w14:textId="62FE0F0D" w:rsidR="007C7845" w:rsidRPr="00306FE2" w:rsidRDefault="007C7845" w:rsidP="00D005B3">
      <w:pPr>
        <w:pStyle w:val="Heading6"/>
      </w:pPr>
      <w:r w:rsidRPr="00306FE2">
        <w:t xml:space="preserve">Primary </w:t>
      </w:r>
      <w:r w:rsidR="00E625F3" w:rsidRPr="00306FE2">
        <w:t xml:space="preserve">efficacy endpoints </w:t>
      </w:r>
      <w:r w:rsidR="00FE01CC">
        <w:t>(</w:t>
      </w:r>
      <w:r w:rsidR="00E625F3" w:rsidRPr="00306FE2">
        <w:t>co-primary</w:t>
      </w:r>
      <w:r w:rsidR="00FE01CC">
        <w:t>)</w:t>
      </w:r>
    </w:p>
    <w:p w14:paraId="3FD42701" w14:textId="77777777" w:rsidR="007C7845" w:rsidRPr="00306FE2" w:rsidRDefault="007C7845" w:rsidP="007C7845">
      <w:r w:rsidRPr="00306FE2">
        <w:t>The co-primary endpoints were PFS, as assessed by the investigator according to RECIST v1.1 (</w:t>
      </w:r>
      <w:r w:rsidR="00E625F3" w:rsidRPr="00306FE2">
        <w:t>investigator (</w:t>
      </w:r>
      <w:r w:rsidRPr="00306FE2">
        <w:t>INV</w:t>
      </w:r>
      <w:r w:rsidR="00E625F3" w:rsidRPr="00306FE2">
        <w:t xml:space="preserve">) </w:t>
      </w:r>
      <w:r w:rsidRPr="00306FE2">
        <w:t xml:space="preserve">assessed per RECIST v1.1) and OS in the </w:t>
      </w:r>
      <w:r w:rsidR="00E625F3" w:rsidRPr="00306FE2">
        <w:t>Intent-to-Treat wild type (</w:t>
      </w:r>
      <w:r w:rsidRPr="00306FE2">
        <w:t>ITT-WT</w:t>
      </w:r>
      <w:r w:rsidR="00E625F3" w:rsidRPr="00306FE2">
        <w:t>)</w:t>
      </w:r>
      <w:r w:rsidRPr="00306FE2">
        <w:t xml:space="preserve"> population.</w:t>
      </w:r>
    </w:p>
    <w:p w14:paraId="48E936E4" w14:textId="77777777" w:rsidR="007C7845" w:rsidRPr="00306FE2" w:rsidRDefault="007C7845" w:rsidP="00D005B3">
      <w:pPr>
        <w:pStyle w:val="Heading6"/>
      </w:pPr>
      <w:r w:rsidRPr="00306FE2">
        <w:t>The secondary efficacy endpoints</w:t>
      </w:r>
    </w:p>
    <w:p w14:paraId="35EBA763" w14:textId="77777777" w:rsidR="007C7845" w:rsidRPr="00306FE2" w:rsidRDefault="007C7845" w:rsidP="00E625F3">
      <w:pPr>
        <w:pStyle w:val="ListBullet"/>
      </w:pPr>
      <w:r w:rsidRPr="00306FE2">
        <w:t>PFS (INV-assessed per RECIST v1.1</w:t>
      </w:r>
      <w:r w:rsidR="00E625F3" w:rsidRPr="00306FE2">
        <w:t>) and OS in the ITT population.</w:t>
      </w:r>
    </w:p>
    <w:p w14:paraId="2C8163A6" w14:textId="77777777" w:rsidR="007C7845" w:rsidRPr="00306FE2" w:rsidRDefault="007C7845" w:rsidP="00E625F3">
      <w:pPr>
        <w:pStyle w:val="ListBullet"/>
      </w:pPr>
      <w:r w:rsidRPr="00306FE2">
        <w:t xml:space="preserve">PFS (INV-assessed per RECIST v1.1) and OS in both the PD-L1 expression ITT population and WT population for the </w:t>
      </w:r>
      <w:r w:rsidR="002546ED" w:rsidRPr="00306FE2">
        <w:t>‘</w:t>
      </w:r>
      <w:r w:rsidRPr="00306FE2">
        <w:t>TC1/2/3 or IC1/2/3</w:t>
      </w:r>
      <w:r w:rsidR="002546ED" w:rsidRPr="00306FE2">
        <w:t>’</w:t>
      </w:r>
      <w:r w:rsidRPr="00306FE2">
        <w:t xml:space="preserve"> subgroup. OS and PFS in other PD-LI expression subgroups were analysed as exploratory efficacy endpoints. </w:t>
      </w:r>
    </w:p>
    <w:p w14:paraId="7AD8933E" w14:textId="77777777" w:rsidR="007C7845" w:rsidRPr="00306FE2" w:rsidRDefault="007C7845" w:rsidP="00E625F3">
      <w:pPr>
        <w:pStyle w:val="ListBullet"/>
      </w:pPr>
      <w:r w:rsidRPr="00306FE2">
        <w:t xml:space="preserve">Objective Response Rate (ORR = </w:t>
      </w:r>
      <w:r w:rsidR="00E625F3" w:rsidRPr="00306FE2">
        <w:t>complete response (CR)</w:t>
      </w:r>
      <w:r w:rsidRPr="00306FE2">
        <w:t xml:space="preserve"> + </w:t>
      </w:r>
      <w:r w:rsidR="00E625F3" w:rsidRPr="00306FE2">
        <w:t>partial response (PR)</w:t>
      </w:r>
      <w:r w:rsidRPr="00306FE2">
        <w:t xml:space="preserve"> was defined as the proportion of patients with either a CR or PR, INV-assessed per RECIST v1.1, in the ITT-WT population; confirmation was not required.</w:t>
      </w:r>
    </w:p>
    <w:p w14:paraId="6195BDB6" w14:textId="77777777" w:rsidR="007C7845" w:rsidRPr="00306FE2" w:rsidRDefault="007C7845" w:rsidP="00E625F3">
      <w:pPr>
        <w:pStyle w:val="ListBullet"/>
      </w:pPr>
      <w:r w:rsidRPr="00306FE2">
        <w:t xml:space="preserve">Duration of Response (DOR) was defined as the time from first documented objective response (CR or PR) to documented </w:t>
      </w:r>
      <w:r w:rsidR="003413EF" w:rsidRPr="00306FE2">
        <w:t>progressive disease (</w:t>
      </w:r>
      <w:r w:rsidRPr="00306FE2">
        <w:t>PD</w:t>
      </w:r>
      <w:r w:rsidR="003413EF" w:rsidRPr="00306FE2">
        <w:t>)</w:t>
      </w:r>
      <w:r w:rsidRPr="00306FE2">
        <w:t>, as determined by the investigator using RECIST v1.1, or death from any cause, whichever occurred first; confirmation was not required.</w:t>
      </w:r>
    </w:p>
    <w:p w14:paraId="489BE9A0" w14:textId="77777777" w:rsidR="007C7845" w:rsidRPr="00306FE2" w:rsidRDefault="007C7845" w:rsidP="00E625F3">
      <w:pPr>
        <w:pStyle w:val="ListBullet"/>
      </w:pPr>
      <w:r w:rsidRPr="00306FE2">
        <w:t>OS rates at the 1</w:t>
      </w:r>
      <w:r w:rsidR="003413EF" w:rsidRPr="00306FE2">
        <w:t xml:space="preserve"> </w:t>
      </w:r>
      <w:r w:rsidRPr="00306FE2">
        <w:t>year and 2</w:t>
      </w:r>
      <w:r w:rsidR="003413EF" w:rsidRPr="00306FE2">
        <w:t xml:space="preserve"> </w:t>
      </w:r>
      <w:r w:rsidRPr="00306FE2">
        <w:t>year landmark time-points in the ITT-WT population.</w:t>
      </w:r>
    </w:p>
    <w:p w14:paraId="205E784B" w14:textId="1E685CB3" w:rsidR="007C7845" w:rsidRPr="00306FE2" w:rsidRDefault="003413EF" w:rsidP="00E625F3">
      <w:pPr>
        <w:pStyle w:val="ListBullet"/>
      </w:pPr>
      <w:r w:rsidRPr="00306FE2">
        <w:t xml:space="preserve">Patient </w:t>
      </w:r>
      <w:r w:rsidR="00FE01CC">
        <w:t>r</w:t>
      </w:r>
      <w:r w:rsidRPr="00306FE2">
        <w:t xml:space="preserve">eported </w:t>
      </w:r>
      <w:r w:rsidR="00FE01CC">
        <w:t>o</w:t>
      </w:r>
      <w:r w:rsidRPr="00306FE2">
        <w:t>utcomes (</w:t>
      </w:r>
      <w:r w:rsidR="007C7845" w:rsidRPr="00306FE2">
        <w:t>PROs</w:t>
      </w:r>
      <w:r w:rsidRPr="00306FE2">
        <w:t>)</w:t>
      </w:r>
      <w:r w:rsidR="007C7845" w:rsidRPr="00306FE2">
        <w:t xml:space="preserve"> as specified in the Statistical Analysis Plan (SAP).</w:t>
      </w:r>
    </w:p>
    <w:p w14:paraId="63398E90" w14:textId="77777777" w:rsidR="007C7845" w:rsidRPr="00306FE2" w:rsidRDefault="00935E59" w:rsidP="00935E59">
      <w:pPr>
        <w:pStyle w:val="Heading5"/>
      </w:pPr>
      <w:r w:rsidRPr="00306FE2">
        <w:t>ITT population</w:t>
      </w:r>
    </w:p>
    <w:p w14:paraId="321F28CB" w14:textId="77777777" w:rsidR="007C7845" w:rsidRPr="00306FE2" w:rsidRDefault="007C7845" w:rsidP="007C7845">
      <w:r w:rsidRPr="00306FE2">
        <w:t xml:space="preserve">Patient disposition in the ITT population is summarised below in Table </w:t>
      </w:r>
      <w:r w:rsidR="003413EF" w:rsidRPr="00306FE2">
        <w:t>3.</w:t>
      </w:r>
    </w:p>
    <w:p w14:paraId="706CBE99" w14:textId="24B9108D" w:rsidR="007C7845" w:rsidRPr="00306FE2" w:rsidRDefault="007C7845" w:rsidP="007C7845">
      <w:r w:rsidRPr="00306FE2">
        <w:lastRenderedPageBreak/>
        <w:t xml:space="preserve">A total of 724 patients were randomised in a 2:1 ratio to the </w:t>
      </w:r>
      <w:proofErr w:type="spellStart"/>
      <w:r w:rsidRPr="00306FE2">
        <w:t>Atezo+CnP</w:t>
      </w:r>
      <w:proofErr w:type="spellEnd"/>
      <w:r w:rsidRPr="00306FE2">
        <w:t xml:space="preserve"> arm (484</w:t>
      </w:r>
      <w:r w:rsidR="00FE01CC">
        <w:t> </w:t>
      </w:r>
      <w:r w:rsidRPr="00306FE2">
        <w:t xml:space="preserve">patients) or the </w:t>
      </w:r>
      <w:proofErr w:type="spellStart"/>
      <w:r w:rsidRPr="00306FE2">
        <w:t>CnP</w:t>
      </w:r>
      <w:proofErr w:type="spellEnd"/>
      <w:r w:rsidRPr="00306FE2">
        <w:t xml:space="preserve"> arm (240 patients). </w:t>
      </w:r>
      <w:r w:rsidR="00C12781" w:rsidRPr="00306FE2">
        <w:t xml:space="preserve">One patient had been randomised in the former, but </w:t>
      </w:r>
      <w:r w:rsidRPr="00306FE2">
        <w:t xml:space="preserve">had died prior to the randomisation date and was excluded from the ITT population. Therefore, the ITT population included 723 patients, consisting of 483 patients in the </w:t>
      </w:r>
      <w:proofErr w:type="spellStart"/>
      <w:r w:rsidRPr="00306FE2">
        <w:t>Atezo+CnP</w:t>
      </w:r>
      <w:proofErr w:type="spellEnd"/>
      <w:r w:rsidRPr="00306FE2">
        <w:t xml:space="preserve"> arm a</w:t>
      </w:r>
      <w:r w:rsidR="003413EF" w:rsidRPr="00306FE2">
        <w:t xml:space="preserve">nd 240 patients in the </w:t>
      </w:r>
      <w:proofErr w:type="spellStart"/>
      <w:r w:rsidR="003413EF" w:rsidRPr="00306FE2">
        <w:t>CnP</w:t>
      </w:r>
      <w:proofErr w:type="spellEnd"/>
      <w:r w:rsidR="003413EF" w:rsidRPr="00306FE2">
        <w:t xml:space="preserve"> arm.</w:t>
      </w:r>
    </w:p>
    <w:p w14:paraId="16D8DF08" w14:textId="221B616E" w:rsidR="007C7845" w:rsidRPr="00306FE2" w:rsidRDefault="007C7845" w:rsidP="007C7845">
      <w:r w:rsidRPr="00306FE2">
        <w:t xml:space="preserve">As of the </w:t>
      </w:r>
      <w:r w:rsidR="00986238" w:rsidRPr="00306FE2">
        <w:t xml:space="preserve">clinical cut-off date </w:t>
      </w:r>
      <w:r w:rsidR="00FE01CC">
        <w:t>(</w:t>
      </w:r>
      <w:r w:rsidR="00986238" w:rsidRPr="00306FE2">
        <w:t>CCOD</w:t>
      </w:r>
      <w:r w:rsidR="00FE01CC">
        <w:t>)</w:t>
      </w:r>
      <w:r w:rsidRPr="00306FE2">
        <w:t xml:space="preserve"> of 15 March 2018, 473 (97.9%) patients in the </w:t>
      </w:r>
      <w:proofErr w:type="spellStart"/>
      <w:r w:rsidRPr="00306FE2">
        <w:t>Atezo+CnP</w:t>
      </w:r>
      <w:proofErr w:type="spellEnd"/>
      <w:r w:rsidRPr="00306FE2">
        <w:t xml:space="preserve"> arm had received study treatment compared with 232 (96.7%) patients in the </w:t>
      </w:r>
      <w:proofErr w:type="spellStart"/>
      <w:r w:rsidRPr="00306FE2">
        <w:t>CnP</w:t>
      </w:r>
      <w:proofErr w:type="spellEnd"/>
      <w:r w:rsidRPr="00306FE2">
        <w:t xml:space="preserve"> arm. The 18 untreated patients had discontinued due to death (4 patients), withdrawal by subject (2 patients), physician decision (1 patient) or other reasons (11</w:t>
      </w:r>
      <w:r w:rsidR="00FE01CC">
        <w:t> </w:t>
      </w:r>
      <w:r w:rsidRPr="00306FE2">
        <w:t>patients).</w:t>
      </w:r>
    </w:p>
    <w:p w14:paraId="18F0FBAB" w14:textId="77777777" w:rsidR="007C7845" w:rsidRDefault="007C7845" w:rsidP="007C7845">
      <w:r w:rsidRPr="00306FE2">
        <w:t>The ITT-W</w:t>
      </w:r>
      <w:r w:rsidR="003413EF" w:rsidRPr="00306FE2">
        <w:t>T</w:t>
      </w:r>
      <w:r w:rsidRPr="00306FE2">
        <w:t xml:space="preserve"> population refers to randomised patients who did not have an activating EGFR mutation or ALK translocation. The ITT population refers to all randomised patients</w:t>
      </w:r>
      <w:r w:rsidR="003413EF" w:rsidRPr="00306FE2">
        <w:t>.</w:t>
      </w:r>
    </w:p>
    <w:p w14:paraId="6FF386B7" w14:textId="77777777" w:rsidR="007C7845" w:rsidRDefault="007C7845" w:rsidP="001B7556">
      <w:pPr>
        <w:pStyle w:val="TableTitle"/>
      </w:pPr>
      <w:r>
        <w:t xml:space="preserve">Table </w:t>
      </w:r>
      <w:r w:rsidR="001B7556">
        <w:t>3:</w:t>
      </w:r>
      <w:r w:rsidRPr="000821E9">
        <w:t xml:space="preserve"> </w:t>
      </w:r>
      <w:r w:rsidR="002402BE">
        <w:t xml:space="preserve">Study </w:t>
      </w:r>
      <w:r w:rsidR="00623931">
        <w:t>IMpower130</w:t>
      </w:r>
      <w:r w:rsidR="00D2321C">
        <w:t>, p</w:t>
      </w:r>
      <w:r w:rsidRPr="000821E9">
        <w:t>atient disposition, ITT population</w:t>
      </w:r>
    </w:p>
    <w:p w14:paraId="6C841223" w14:textId="77777777" w:rsidR="007C7845" w:rsidRDefault="007C7845" w:rsidP="00674ED0">
      <w:r>
        <w:rPr>
          <w:noProof/>
          <w:lang w:eastAsia="en-AU"/>
        </w:rPr>
        <w:drawing>
          <wp:inline distT="0" distB="0" distL="0" distR="0" wp14:anchorId="34853192" wp14:editId="74CB73A5">
            <wp:extent cx="5334000" cy="2819400"/>
            <wp:effectExtent l="0" t="0" r="0" b="0"/>
            <wp:docPr id="2" name="Picture 2" descr="IMpower130, patient disposi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l="1822" r="5391" b="5425"/>
                    <a:stretch/>
                  </pic:blipFill>
                  <pic:spPr bwMode="auto">
                    <a:xfrm>
                      <a:off x="0" y="0"/>
                      <a:ext cx="5337445" cy="2821221"/>
                    </a:xfrm>
                    <a:prstGeom prst="rect">
                      <a:avLst/>
                    </a:prstGeom>
                    <a:ln>
                      <a:noFill/>
                    </a:ln>
                    <a:extLst>
                      <a:ext uri="{53640926-AAD7-44D8-BBD7-CCE9431645EC}">
                        <a14:shadowObscured xmlns:a14="http://schemas.microsoft.com/office/drawing/2010/main"/>
                      </a:ext>
                    </a:extLst>
                  </pic:spPr>
                </pic:pic>
              </a:graphicData>
            </a:graphic>
          </wp:inline>
        </w:drawing>
      </w:r>
    </w:p>
    <w:p w14:paraId="21B8CC11" w14:textId="77777777" w:rsidR="007C7845" w:rsidRPr="00306FE2" w:rsidRDefault="007C7845" w:rsidP="003413EF">
      <w:pPr>
        <w:pStyle w:val="Heading5"/>
      </w:pPr>
      <w:r w:rsidRPr="00306FE2">
        <w:t xml:space="preserve">Baseline </w:t>
      </w:r>
      <w:r w:rsidR="002402BE" w:rsidRPr="00306FE2">
        <w:t>c</w:t>
      </w:r>
      <w:r w:rsidRPr="00306FE2">
        <w:t>haracteristics</w:t>
      </w:r>
    </w:p>
    <w:p w14:paraId="49796BB0" w14:textId="77777777" w:rsidR="007C7845" w:rsidRPr="00306FE2" w:rsidRDefault="007C7845" w:rsidP="007C7845">
      <w:pPr>
        <w:pStyle w:val="BodyCopy"/>
      </w:pPr>
      <w:r w:rsidRPr="00306FE2">
        <w:t xml:space="preserve">Baseline characteristics were generally balanced between treatment groups, including in the PD-L1 diagnostic subgroups (see Table </w:t>
      </w:r>
      <w:r w:rsidR="002402BE" w:rsidRPr="00306FE2">
        <w:t>4</w:t>
      </w:r>
      <w:r w:rsidRPr="00306FE2">
        <w:t>). Of note, use of corticosteroids (including all use, irrespective of reason) was similar in both groups at around 80%.</w:t>
      </w:r>
    </w:p>
    <w:p w14:paraId="52250BAA" w14:textId="77777777" w:rsidR="007C7845" w:rsidRPr="00306FE2" w:rsidRDefault="001B7556" w:rsidP="001B7556">
      <w:pPr>
        <w:pStyle w:val="TableTitle"/>
      </w:pPr>
      <w:r w:rsidRPr="00306FE2">
        <w:lastRenderedPageBreak/>
        <w:t>Table 4:</w:t>
      </w:r>
      <w:r w:rsidR="007C7845" w:rsidRPr="00306FE2">
        <w:t xml:space="preserve"> Baseline </w:t>
      </w:r>
      <w:r w:rsidR="002402BE" w:rsidRPr="00306FE2">
        <w:t>c</w:t>
      </w:r>
      <w:r w:rsidR="007C7845" w:rsidRPr="00306FE2">
        <w:t>haracteristics</w:t>
      </w:r>
    </w:p>
    <w:p w14:paraId="723D5298" w14:textId="77777777" w:rsidR="007C7845" w:rsidRPr="00306FE2" w:rsidRDefault="007C7845" w:rsidP="00674ED0">
      <w:r w:rsidRPr="00306FE2">
        <w:rPr>
          <w:noProof/>
          <w:lang w:eastAsia="en-AU"/>
        </w:rPr>
        <w:drawing>
          <wp:inline distT="0" distB="0" distL="0" distR="0" wp14:anchorId="3C207754" wp14:editId="448EAB0E">
            <wp:extent cx="4691126" cy="6236263"/>
            <wp:effectExtent l="0" t="0" r="0" b="0"/>
            <wp:docPr id="3" name="Picture 3" descr="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4695844" cy="6242536"/>
                    </a:xfrm>
                    <a:prstGeom prst="rect">
                      <a:avLst/>
                    </a:prstGeom>
                  </pic:spPr>
                </pic:pic>
              </a:graphicData>
            </a:graphic>
          </wp:inline>
        </w:drawing>
      </w:r>
    </w:p>
    <w:p w14:paraId="35968941" w14:textId="77777777" w:rsidR="007C7845" w:rsidRPr="00306FE2" w:rsidRDefault="007C7845" w:rsidP="002402BE">
      <w:pPr>
        <w:pStyle w:val="TableDescription"/>
      </w:pPr>
      <w:r w:rsidRPr="00306FE2">
        <w:t>Extract from Lancet Oncology</w:t>
      </w:r>
    </w:p>
    <w:p w14:paraId="6B1C5C26" w14:textId="77777777" w:rsidR="007C7845" w:rsidRPr="00306FE2" w:rsidRDefault="00D005B3" w:rsidP="00D005B3">
      <w:pPr>
        <w:pStyle w:val="Heading5"/>
      </w:pPr>
      <w:r w:rsidRPr="00306FE2">
        <w:t>Efficacy r</w:t>
      </w:r>
      <w:r w:rsidR="007C7845" w:rsidRPr="00306FE2">
        <w:t>esults</w:t>
      </w:r>
    </w:p>
    <w:p w14:paraId="3A082055" w14:textId="77777777" w:rsidR="007C7845" w:rsidRPr="00306FE2" w:rsidRDefault="00DA7395" w:rsidP="007C7845">
      <w:pPr>
        <w:pStyle w:val="BodyCopy"/>
      </w:pPr>
      <w:r w:rsidRPr="00306FE2">
        <w:t>The p</w:t>
      </w:r>
      <w:r w:rsidR="007C7845" w:rsidRPr="00306FE2">
        <w:t xml:space="preserve">rimary </w:t>
      </w:r>
      <w:r w:rsidR="002402BE" w:rsidRPr="00306FE2">
        <w:t>clinical study report (</w:t>
      </w:r>
      <w:r w:rsidR="007C7845" w:rsidRPr="00306FE2">
        <w:t>CSR</w:t>
      </w:r>
      <w:r w:rsidR="002402BE" w:rsidRPr="00306FE2">
        <w:t>)</w:t>
      </w:r>
      <w:r w:rsidR="007C7845" w:rsidRPr="00306FE2">
        <w:t xml:space="preserve"> described the efficacy results for the final PFS analysis (545 events) and the in</w:t>
      </w:r>
      <w:r w:rsidR="002402BE" w:rsidRPr="00306FE2">
        <w:t>terim OS analysis (357 events).</w:t>
      </w:r>
    </w:p>
    <w:p w14:paraId="64CD208A" w14:textId="1B7184C8" w:rsidR="007C7845" w:rsidRPr="00306FE2" w:rsidRDefault="007C7845" w:rsidP="007C7845">
      <w:pPr>
        <w:pStyle w:val="BodyCopy"/>
      </w:pPr>
      <w:r w:rsidRPr="00306FE2">
        <w:t>In the original ITT-WT population, the overall median duration of survival was 18.6 months (</w:t>
      </w:r>
      <w:r w:rsidR="003126A9">
        <w:t>95% CI</w:t>
      </w:r>
      <w:r w:rsidRPr="00306FE2">
        <w:t xml:space="preserve">: 16.0, 21.2 months) in the </w:t>
      </w:r>
      <w:proofErr w:type="spellStart"/>
      <w:r w:rsidR="00A60E46" w:rsidRPr="00306FE2">
        <w:t>A</w:t>
      </w:r>
      <w:r w:rsidRPr="00306FE2">
        <w:t>tezo+CnP</w:t>
      </w:r>
      <w:proofErr w:type="spellEnd"/>
      <w:r w:rsidRPr="00306FE2">
        <w:t xml:space="preserve"> arm v</w:t>
      </w:r>
      <w:r w:rsidR="002402BE" w:rsidRPr="00306FE2">
        <w:t>ersu</w:t>
      </w:r>
      <w:r w:rsidRPr="00306FE2">
        <w:t>s 13.9 months (</w:t>
      </w:r>
      <w:r w:rsidR="003126A9">
        <w:t xml:space="preserve">95% CI: </w:t>
      </w:r>
      <w:r w:rsidRPr="00306FE2">
        <w:t xml:space="preserve">12.0, 18.7 months) in the </w:t>
      </w:r>
      <w:proofErr w:type="spellStart"/>
      <w:r w:rsidRPr="00306FE2">
        <w:t>CnP</w:t>
      </w:r>
      <w:proofErr w:type="spellEnd"/>
      <w:r w:rsidRPr="00306FE2">
        <w:t xml:space="preserve"> arm (p= 0.0331), </w:t>
      </w:r>
      <w:r w:rsidR="00FE01CC">
        <w:t>h</w:t>
      </w:r>
      <w:r w:rsidR="002402BE" w:rsidRPr="00306FE2">
        <w:t>azard ratio (</w:t>
      </w:r>
      <w:r w:rsidRPr="00306FE2">
        <w:t>HR</w:t>
      </w:r>
      <w:r w:rsidR="002402BE" w:rsidRPr="00306FE2">
        <w:t>)</w:t>
      </w:r>
      <w:r w:rsidRPr="00306FE2">
        <w:t xml:space="preserve"> 0.79 (</w:t>
      </w:r>
      <w:r w:rsidR="003126A9">
        <w:t xml:space="preserve">95% CI: </w:t>
      </w:r>
      <w:r w:rsidRPr="00306FE2">
        <w:t>0.64, 0.98).</w:t>
      </w:r>
    </w:p>
    <w:p w14:paraId="2C6628CC" w14:textId="77777777" w:rsidR="007C7845" w:rsidRPr="00306FE2" w:rsidRDefault="007C7845" w:rsidP="007C7845">
      <w:pPr>
        <w:pStyle w:val="BodyCopy"/>
      </w:pPr>
      <w:r w:rsidRPr="00306FE2">
        <w:t xml:space="preserve">The results for the two co-primary efficacy endpoints in the original ITT-WT population at the CCOD of 15 March 2018 and database snapshot date of 18 May 2018 are summarised below in Table </w:t>
      </w:r>
      <w:r w:rsidR="002402BE" w:rsidRPr="00306FE2">
        <w:t>5</w:t>
      </w:r>
      <w:r w:rsidRPr="00306FE2">
        <w:t>, and the Kaplan-Meier (KM) plots are provided below in Figure 1 (OS) and Figure 2 (PF</w:t>
      </w:r>
      <w:r w:rsidR="002402BE" w:rsidRPr="00306FE2">
        <w:t>S).</w:t>
      </w:r>
    </w:p>
    <w:p w14:paraId="6637EBB4" w14:textId="77777777" w:rsidR="007C7845" w:rsidRPr="00306FE2" w:rsidRDefault="007C7845" w:rsidP="001B7556">
      <w:pPr>
        <w:pStyle w:val="TableTitle"/>
      </w:pPr>
      <w:r w:rsidRPr="00306FE2">
        <w:lastRenderedPageBreak/>
        <w:t xml:space="preserve">Table </w:t>
      </w:r>
      <w:r w:rsidR="001B7556" w:rsidRPr="00306FE2">
        <w:t>5:</w:t>
      </w:r>
      <w:r w:rsidRPr="00306FE2">
        <w:t xml:space="preserve"> </w:t>
      </w:r>
      <w:r w:rsidR="002402BE" w:rsidRPr="00306FE2">
        <w:t xml:space="preserve">Study </w:t>
      </w:r>
      <w:r w:rsidRPr="00306FE2">
        <w:t>IMpower130</w:t>
      </w:r>
      <w:r w:rsidR="00D2321C" w:rsidRPr="00306FE2">
        <w:t>, p</w:t>
      </w:r>
      <w:r w:rsidRPr="00306FE2">
        <w:t>rimary analysis of PFS (INV-assessed per RECIST v1.1; unconfirmed) and interim analysis of OS, stratified analyses in the original ITT-WT population</w:t>
      </w:r>
    </w:p>
    <w:p w14:paraId="0A5A512E" w14:textId="77777777" w:rsidR="007C7845" w:rsidRPr="00306FE2" w:rsidRDefault="007C7845" w:rsidP="00674ED0">
      <w:r w:rsidRPr="00306FE2">
        <w:rPr>
          <w:noProof/>
          <w:lang w:eastAsia="en-AU"/>
        </w:rPr>
        <w:drawing>
          <wp:inline distT="0" distB="0" distL="0" distR="0" wp14:anchorId="30451440" wp14:editId="65269EC2">
            <wp:extent cx="4321048" cy="1878381"/>
            <wp:effectExtent l="0" t="0" r="3810" b="7620"/>
            <wp:docPr id="9" name="Picture 9" descr="IMpower130, primary analysis of PFS (INV-assessed per RECIST v1.1; unconfirmed) and interim analysis of OS, stratified analyses in the original ITT-W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t="1" r="1400" b="4978"/>
                    <a:stretch/>
                  </pic:blipFill>
                  <pic:spPr bwMode="auto">
                    <a:xfrm>
                      <a:off x="0" y="0"/>
                      <a:ext cx="4337093" cy="1885356"/>
                    </a:xfrm>
                    <a:prstGeom prst="rect">
                      <a:avLst/>
                    </a:prstGeom>
                    <a:ln>
                      <a:noFill/>
                    </a:ln>
                    <a:extLst>
                      <a:ext uri="{53640926-AAD7-44D8-BBD7-CCE9431645EC}">
                        <a14:shadowObscured xmlns:a14="http://schemas.microsoft.com/office/drawing/2010/main"/>
                      </a:ext>
                    </a:extLst>
                  </pic:spPr>
                </pic:pic>
              </a:graphicData>
            </a:graphic>
          </wp:inline>
        </w:drawing>
      </w:r>
    </w:p>
    <w:p w14:paraId="45E8FDB2" w14:textId="77777777" w:rsidR="00D84679" w:rsidRPr="00306FE2" w:rsidRDefault="007C7845" w:rsidP="001B7556">
      <w:pPr>
        <w:pStyle w:val="FigureTitle"/>
      </w:pPr>
      <w:r w:rsidRPr="00306FE2">
        <w:t xml:space="preserve">Figure 1. </w:t>
      </w:r>
      <w:r w:rsidR="00D2321C" w:rsidRPr="00306FE2">
        <w:t xml:space="preserve">Study IMpower130, </w:t>
      </w:r>
      <w:r w:rsidRPr="00306FE2">
        <w:t>Kaplan-Meier plot of OS with stratified analysis, original ITT-WT population</w:t>
      </w:r>
      <w:r w:rsidR="003A7D45" w:rsidRPr="00306FE2">
        <w:t xml:space="preserve"> </w:t>
      </w:r>
      <w:r w:rsidRPr="00306FE2">
        <w:t>(March 2018 data cut-off)</w:t>
      </w:r>
    </w:p>
    <w:p w14:paraId="1659610B" w14:textId="77777777" w:rsidR="007C7845" w:rsidRPr="00306FE2" w:rsidRDefault="007C7845" w:rsidP="00674ED0">
      <w:r w:rsidRPr="00306FE2">
        <w:rPr>
          <w:noProof/>
          <w:lang w:eastAsia="en-AU"/>
        </w:rPr>
        <w:drawing>
          <wp:inline distT="0" distB="0" distL="0" distR="0" wp14:anchorId="15A56B92" wp14:editId="061C7385">
            <wp:extent cx="4618355" cy="2440556"/>
            <wp:effectExtent l="0" t="0" r="0" b="0"/>
            <wp:docPr id="5" name="Picture 5" descr="IMpower130 – Kaplan-Meier plot of overall survival (OS) with stratified analysis, original ITT-WT population.(March 2018 data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 b="2369"/>
                    <a:stretch/>
                  </pic:blipFill>
                  <pic:spPr bwMode="auto">
                    <a:xfrm>
                      <a:off x="0" y="0"/>
                      <a:ext cx="4626801" cy="2445019"/>
                    </a:xfrm>
                    <a:prstGeom prst="rect">
                      <a:avLst/>
                    </a:prstGeom>
                    <a:ln>
                      <a:noFill/>
                    </a:ln>
                    <a:extLst>
                      <a:ext uri="{53640926-AAD7-44D8-BBD7-CCE9431645EC}">
                        <a14:shadowObscured xmlns:a14="http://schemas.microsoft.com/office/drawing/2010/main"/>
                      </a:ext>
                    </a:extLst>
                  </pic:spPr>
                </pic:pic>
              </a:graphicData>
            </a:graphic>
          </wp:inline>
        </w:drawing>
      </w:r>
    </w:p>
    <w:p w14:paraId="7DECB27E" w14:textId="6CFFBF26" w:rsidR="007C7845" w:rsidRPr="00306FE2" w:rsidRDefault="007C7845" w:rsidP="002402BE">
      <w:pPr>
        <w:pStyle w:val="FigureTitle"/>
        <w:keepLines/>
      </w:pPr>
      <w:r w:rsidRPr="00306FE2">
        <w:t xml:space="preserve">Figure 2. </w:t>
      </w:r>
      <w:r w:rsidR="00D2321C" w:rsidRPr="00306FE2">
        <w:t xml:space="preserve">Study </w:t>
      </w:r>
      <w:r w:rsidRPr="00306FE2">
        <w:t>IMpower130</w:t>
      </w:r>
      <w:r w:rsidR="00D2321C" w:rsidRPr="00306FE2">
        <w:t xml:space="preserve">, </w:t>
      </w:r>
      <w:r w:rsidRPr="00306FE2">
        <w:t xml:space="preserve">Kaplan-Meier plot of investigator assessed </w:t>
      </w:r>
      <w:r w:rsidR="002900AC" w:rsidRPr="00306FE2">
        <w:t>PFS</w:t>
      </w:r>
      <w:r w:rsidRPr="00306FE2">
        <w:t xml:space="preserve"> with stratified analysis, original ITT-WT population</w:t>
      </w:r>
    </w:p>
    <w:p w14:paraId="7C888142" w14:textId="77777777" w:rsidR="007C7845" w:rsidRPr="00306FE2" w:rsidRDefault="007C7845" w:rsidP="00674ED0">
      <w:r w:rsidRPr="00306FE2">
        <w:rPr>
          <w:noProof/>
          <w:lang w:eastAsia="en-AU"/>
        </w:rPr>
        <w:drawing>
          <wp:inline distT="0" distB="0" distL="0" distR="0" wp14:anchorId="0C8860A1" wp14:editId="18A22C6C">
            <wp:extent cx="4632706" cy="2468307"/>
            <wp:effectExtent l="0" t="0" r="0" b="8255"/>
            <wp:docPr id="24" name="Picture 24" descr="Figure 2. Study IMpower130, Kaplan-Meier plot of investigator assessed PFS with stratified analysis, original ITT-W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51334" cy="2478232"/>
                    </a:xfrm>
                    <a:prstGeom prst="rect">
                      <a:avLst/>
                    </a:prstGeom>
                    <a:noFill/>
                  </pic:spPr>
                </pic:pic>
              </a:graphicData>
            </a:graphic>
          </wp:inline>
        </w:drawing>
      </w:r>
    </w:p>
    <w:p w14:paraId="1BD3B9FD" w14:textId="15B5A036" w:rsidR="007C7845" w:rsidRPr="00306FE2" w:rsidRDefault="007C7845" w:rsidP="007C7845">
      <w:pPr>
        <w:pStyle w:val="BodyCopy"/>
      </w:pPr>
      <w:r w:rsidRPr="00306FE2">
        <w:t xml:space="preserve">Note: In response to a </w:t>
      </w:r>
      <w:r w:rsidR="002A41EA" w:rsidRPr="00306FE2">
        <w:t>request for further information from the TGA, the sponsor</w:t>
      </w:r>
      <w:r w:rsidRPr="00306FE2">
        <w:t>, updated OS analyses have been performed with an additional six months’ follow-up (CCOD 4</w:t>
      </w:r>
      <w:r w:rsidR="003A1C86">
        <w:t> </w:t>
      </w:r>
      <w:r w:rsidRPr="00306FE2">
        <w:t xml:space="preserve">September 2018). At that time, 422 deaths had occurred in the </w:t>
      </w:r>
      <w:r w:rsidR="00D84679" w:rsidRPr="00306FE2">
        <w:t>I</w:t>
      </w:r>
      <w:r w:rsidR="002A41EA" w:rsidRPr="00306FE2">
        <w:t>T</w:t>
      </w:r>
      <w:r w:rsidR="00D84679" w:rsidRPr="00306FE2">
        <w:t>T-WT</w:t>
      </w:r>
      <w:r w:rsidRPr="00306FE2">
        <w:t xml:space="preserve"> population (both </w:t>
      </w:r>
      <w:r w:rsidRPr="00306FE2">
        <w:lastRenderedPageBreak/>
        <w:t xml:space="preserve">arms combined). The stratified HR was 0.82 (95% </w:t>
      </w:r>
      <w:r w:rsidR="00986238" w:rsidRPr="00306FE2">
        <w:t>confidence interval (</w:t>
      </w:r>
      <w:r w:rsidRPr="00306FE2">
        <w:t>CI</w:t>
      </w:r>
      <w:r w:rsidR="00986238" w:rsidRPr="00306FE2">
        <w:t>)</w:t>
      </w:r>
      <w:r w:rsidRPr="00306FE2">
        <w:t xml:space="preserve">: 0.67, 1.01; see Figure 3 </w:t>
      </w:r>
      <w:r w:rsidR="003A1C86">
        <w:t>(</w:t>
      </w:r>
      <w:r w:rsidRPr="00306FE2">
        <w:t>below</w:t>
      </w:r>
      <w:r w:rsidR="003A1C86">
        <w:t>)</w:t>
      </w:r>
      <w:r w:rsidRPr="00306FE2">
        <w:t xml:space="preserve">). The median OS was 18.1 months (95% CI: 15.1, 20.8) in the </w:t>
      </w:r>
      <w:proofErr w:type="spellStart"/>
      <w:r w:rsidRPr="00306FE2">
        <w:t>Atezo+CnP</w:t>
      </w:r>
      <w:proofErr w:type="spellEnd"/>
      <w:r w:rsidRPr="00306FE2">
        <w:t xml:space="preserve"> arm and 13.5 months (95% </w:t>
      </w:r>
      <w:r w:rsidR="006D73C7" w:rsidRPr="00306FE2">
        <w:t xml:space="preserve">CI: 11.9, 17.7) in the </w:t>
      </w:r>
      <w:proofErr w:type="spellStart"/>
      <w:r w:rsidR="006D73C7" w:rsidRPr="00306FE2">
        <w:t>CnP</w:t>
      </w:r>
      <w:proofErr w:type="spellEnd"/>
      <w:r w:rsidR="006D73C7" w:rsidRPr="00306FE2">
        <w:t xml:space="preserve"> arm.</w:t>
      </w:r>
    </w:p>
    <w:p w14:paraId="2492DFE0" w14:textId="0D5CAEC2" w:rsidR="00D27CC8" w:rsidRPr="00306FE2" w:rsidRDefault="000C4442" w:rsidP="00D27CC8">
      <w:pPr>
        <w:pStyle w:val="BodyCopy"/>
      </w:pPr>
      <w:r w:rsidRPr="00306FE2">
        <w:t>Sponsor stated ‘Results are consistent with those observed at the time of interim analysis’. Although p value was 0.0568</w:t>
      </w:r>
      <w:r w:rsidR="007E0BC2">
        <w:t>;</w:t>
      </w:r>
      <w:r w:rsidR="00E77A15">
        <w:rPr>
          <w:rStyle w:val="FootnoteReference"/>
        </w:rPr>
        <w:footnoteReference w:id="6"/>
      </w:r>
      <w:r w:rsidRPr="00306FE2">
        <w:t xml:space="preserve"> compared to 0.033 previously.</w:t>
      </w:r>
    </w:p>
    <w:p w14:paraId="31A35A5C" w14:textId="77777777" w:rsidR="00D27CC8" w:rsidRPr="00306FE2" w:rsidRDefault="00D27CC8" w:rsidP="00D27CC8">
      <w:pPr>
        <w:pStyle w:val="TableTitle"/>
      </w:pPr>
      <w:r w:rsidRPr="00306FE2">
        <w:t>Figure 3. O</w:t>
      </w:r>
      <w:r w:rsidR="00DA7395" w:rsidRPr="00306FE2">
        <w:t xml:space="preserve">S </w:t>
      </w:r>
      <w:r w:rsidRPr="00306FE2">
        <w:t>in ITT-WT population (Sept</w:t>
      </w:r>
      <w:r w:rsidR="00DA7395" w:rsidRPr="00306FE2">
        <w:t>ember</w:t>
      </w:r>
      <w:r w:rsidRPr="00306FE2">
        <w:t xml:space="preserve"> 2018 data cut-off)</w:t>
      </w:r>
    </w:p>
    <w:p w14:paraId="62CE47EC" w14:textId="77777777" w:rsidR="007C7845" w:rsidRPr="00306FE2" w:rsidRDefault="007C7845" w:rsidP="00674ED0">
      <w:r w:rsidRPr="00306FE2">
        <w:rPr>
          <w:noProof/>
          <w:lang w:eastAsia="en-AU"/>
        </w:rPr>
        <w:drawing>
          <wp:inline distT="0" distB="0" distL="0" distR="0" wp14:anchorId="14C69D2E" wp14:editId="2288B977">
            <wp:extent cx="4679061" cy="3116448"/>
            <wp:effectExtent l="0" t="0" r="7620" b="8255"/>
            <wp:docPr id="20" name="Picture 20" descr="Overall survival in ITT-WT population. (Sept 2018 data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Lst>
                    </a:blip>
                    <a:srcRect l="3581" r="5525" b="-5"/>
                    <a:stretch/>
                  </pic:blipFill>
                  <pic:spPr bwMode="auto">
                    <a:xfrm>
                      <a:off x="0" y="0"/>
                      <a:ext cx="4685215" cy="3120547"/>
                    </a:xfrm>
                    <a:prstGeom prst="rect">
                      <a:avLst/>
                    </a:prstGeom>
                    <a:ln>
                      <a:noFill/>
                    </a:ln>
                    <a:extLst>
                      <a:ext uri="{53640926-AAD7-44D8-BBD7-CCE9431645EC}">
                        <a14:shadowObscured xmlns:a14="http://schemas.microsoft.com/office/drawing/2010/main"/>
                      </a:ext>
                    </a:extLst>
                  </pic:spPr>
                </pic:pic>
              </a:graphicData>
            </a:graphic>
          </wp:inline>
        </w:drawing>
      </w:r>
    </w:p>
    <w:p w14:paraId="1EAA1409" w14:textId="77777777" w:rsidR="007C7845" w:rsidRPr="00306FE2" w:rsidRDefault="00334944" w:rsidP="00D005B3">
      <w:pPr>
        <w:pStyle w:val="Heading5"/>
      </w:pPr>
      <w:r w:rsidRPr="00306FE2">
        <w:t>Efficacy s</w:t>
      </w:r>
      <w:r w:rsidR="007C7845" w:rsidRPr="00306FE2">
        <w:t>ummary</w:t>
      </w:r>
    </w:p>
    <w:p w14:paraId="7DCF54F0" w14:textId="581E0B83" w:rsidR="007C7845" w:rsidRPr="00306FE2" w:rsidRDefault="007C7845" w:rsidP="007C7845">
      <w:pPr>
        <w:pStyle w:val="BodyCopy"/>
      </w:pPr>
      <w:r w:rsidRPr="00306FE2">
        <w:t>Median overall survival was 18</w:t>
      </w:r>
      <w:r w:rsidR="002A41EA" w:rsidRPr="00306FE2">
        <w:t>.</w:t>
      </w:r>
      <w:r w:rsidRPr="00306FE2">
        <w:t>6 months (95% CI</w:t>
      </w:r>
      <w:r w:rsidR="00FD10E1">
        <w:t>:</w:t>
      </w:r>
      <w:r w:rsidRPr="00306FE2">
        <w:t xml:space="preserve"> 16</w:t>
      </w:r>
      <w:r w:rsidR="002A41EA" w:rsidRPr="00306FE2">
        <w:t>.</w:t>
      </w:r>
      <w:r w:rsidRPr="00306FE2">
        <w:t>0</w:t>
      </w:r>
      <w:r w:rsidR="002A41EA" w:rsidRPr="00306FE2">
        <w:t xml:space="preserve">, </w:t>
      </w:r>
      <w:r w:rsidRPr="00306FE2">
        <w:t xml:space="preserve">21·2) in the </w:t>
      </w:r>
      <w:proofErr w:type="spellStart"/>
      <w:r w:rsidRPr="00306FE2">
        <w:t>atezolizumab</w:t>
      </w:r>
      <w:proofErr w:type="spellEnd"/>
      <w:r w:rsidRPr="00306FE2">
        <w:t xml:space="preserve"> plus chemotherapy group and 13·9 months (</w:t>
      </w:r>
      <w:r w:rsidR="007478CA">
        <w:t xml:space="preserve">95% CI: </w:t>
      </w:r>
      <w:r w:rsidRPr="00306FE2">
        <w:t>12</w:t>
      </w:r>
      <w:r w:rsidR="002A41EA" w:rsidRPr="00306FE2">
        <w:t>.</w:t>
      </w:r>
      <w:r w:rsidRPr="00306FE2">
        <w:t>0</w:t>
      </w:r>
      <w:r w:rsidR="002A41EA" w:rsidRPr="00306FE2">
        <w:t xml:space="preserve">, </w:t>
      </w:r>
      <w:r w:rsidRPr="00306FE2">
        <w:t>18·7) in the chemotherapy group (HR</w:t>
      </w:r>
      <w:r w:rsidR="003A1C86">
        <w:t> </w:t>
      </w:r>
      <w:r w:rsidR="00F36C63">
        <w:t>=</w:t>
      </w:r>
      <w:r w:rsidRPr="00306FE2">
        <w:t>0</w:t>
      </w:r>
      <w:r w:rsidR="002A41EA" w:rsidRPr="00306FE2">
        <w:t>.</w:t>
      </w:r>
      <w:r w:rsidRPr="00306FE2">
        <w:t xml:space="preserve">79 </w:t>
      </w:r>
      <w:r w:rsidR="003A1C86">
        <w:t>(</w:t>
      </w:r>
      <w:r w:rsidRPr="00306FE2">
        <w:t>95% CI</w:t>
      </w:r>
      <w:r w:rsidR="00EA3DA8">
        <w:t>:</w:t>
      </w:r>
      <w:r w:rsidRPr="00306FE2">
        <w:t xml:space="preserve"> 0</w:t>
      </w:r>
      <w:r w:rsidR="002A41EA" w:rsidRPr="00306FE2">
        <w:t>.</w:t>
      </w:r>
      <w:r w:rsidRPr="00306FE2">
        <w:t>64</w:t>
      </w:r>
      <w:r w:rsidR="002A41EA" w:rsidRPr="00306FE2">
        <w:t xml:space="preserve">, </w:t>
      </w:r>
      <w:r w:rsidRPr="00306FE2">
        <w:t>0</w:t>
      </w:r>
      <w:r w:rsidR="002A41EA" w:rsidRPr="00306FE2">
        <w:t>.</w:t>
      </w:r>
      <w:r w:rsidRPr="00306FE2">
        <w:t>98</w:t>
      </w:r>
      <w:r w:rsidR="003A1C86">
        <w:t>)</w:t>
      </w:r>
      <w:r w:rsidRPr="00306FE2">
        <w:t>; p</w:t>
      </w:r>
      <w:r w:rsidR="003A1C86">
        <w:t> </w:t>
      </w:r>
      <w:r w:rsidRPr="00306FE2">
        <w:t>=</w:t>
      </w:r>
      <w:r w:rsidR="003A1C86">
        <w:t> </w:t>
      </w:r>
      <w:r w:rsidRPr="00306FE2">
        <w:t>0</w:t>
      </w:r>
      <w:r w:rsidR="003A3E02" w:rsidRPr="00306FE2">
        <w:t>.</w:t>
      </w:r>
      <w:r w:rsidRPr="00306FE2">
        <w:t>033, an improvement in median OS of 4.7 months.</w:t>
      </w:r>
    </w:p>
    <w:p w14:paraId="15FA79D2" w14:textId="7B783F50" w:rsidR="007C7845" w:rsidRPr="00306FE2" w:rsidRDefault="007C7845" w:rsidP="007C7845">
      <w:pPr>
        <w:pStyle w:val="BodyCopy"/>
      </w:pPr>
      <w:r w:rsidRPr="00306FE2">
        <w:t>An overall survival advantage was observed, however crossover to at least one subsequent line of immunotherapy by almost 60% of patients in the chemotherapy group</w:t>
      </w:r>
      <w:r w:rsidR="005D5C90">
        <w:rPr>
          <w:rStyle w:val="FootnoteReference"/>
        </w:rPr>
        <w:footnoteReference w:id="7"/>
      </w:r>
      <w:r w:rsidRPr="00306FE2">
        <w:t xml:space="preserve"> (see Table </w:t>
      </w:r>
      <w:r w:rsidR="00334944" w:rsidRPr="00306FE2">
        <w:t>6</w:t>
      </w:r>
      <w:r w:rsidRPr="00306FE2">
        <w:t>).</w:t>
      </w:r>
    </w:p>
    <w:p w14:paraId="45201FDE" w14:textId="77777777" w:rsidR="00334944" w:rsidRPr="00306FE2" w:rsidRDefault="00334944" w:rsidP="00334944">
      <w:pPr>
        <w:pStyle w:val="TableTitle"/>
      </w:pPr>
      <w:r w:rsidRPr="00306FE2">
        <w:lastRenderedPageBreak/>
        <w:t>Table 6: Non-protocol follow-up cancer therapies and crossover (ITT-WT)</w:t>
      </w:r>
    </w:p>
    <w:p w14:paraId="7C73526C" w14:textId="77777777" w:rsidR="00334944" w:rsidRPr="00306FE2" w:rsidRDefault="00334944" w:rsidP="00334944">
      <w:r w:rsidRPr="00306FE2">
        <w:rPr>
          <w:noProof/>
          <w:lang w:eastAsia="en-AU"/>
        </w:rPr>
        <w:drawing>
          <wp:inline distT="0" distB="0" distL="0" distR="0" wp14:anchorId="723FD634" wp14:editId="16099024">
            <wp:extent cx="5400040" cy="2621915"/>
            <wp:effectExtent l="0" t="0" r="0" b="6985"/>
            <wp:docPr id="13" name="Picture 13" descr="Non-protocol follow-up cancer therapies and crossover (ITT-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2621915"/>
                    </a:xfrm>
                    <a:prstGeom prst="rect">
                      <a:avLst/>
                    </a:prstGeom>
                  </pic:spPr>
                </pic:pic>
              </a:graphicData>
            </a:graphic>
          </wp:inline>
        </w:drawing>
      </w:r>
    </w:p>
    <w:p w14:paraId="6F2E0413" w14:textId="51425F9D" w:rsidR="007C7845" w:rsidRPr="00306FE2" w:rsidRDefault="007C7845" w:rsidP="007C7845">
      <w:pPr>
        <w:pStyle w:val="BodyCopy"/>
      </w:pPr>
      <w:r w:rsidRPr="00306FE2">
        <w:t xml:space="preserve">Median investigator-assessed </w:t>
      </w:r>
      <w:r w:rsidR="002A41EA" w:rsidRPr="00306FE2">
        <w:t>PFS</w:t>
      </w:r>
      <w:r w:rsidRPr="00306FE2">
        <w:t xml:space="preserve"> was 7</w:t>
      </w:r>
      <w:r w:rsidR="002A41EA" w:rsidRPr="00306FE2">
        <w:t>.</w:t>
      </w:r>
      <w:r w:rsidRPr="00306FE2">
        <w:t>0 months (95% CI</w:t>
      </w:r>
      <w:r w:rsidR="00C54DE1">
        <w:t>:</w:t>
      </w:r>
      <w:r w:rsidRPr="00306FE2">
        <w:t xml:space="preserve"> 6</w:t>
      </w:r>
      <w:r w:rsidR="002A41EA" w:rsidRPr="00306FE2">
        <w:t>.</w:t>
      </w:r>
      <w:r w:rsidRPr="00306FE2">
        <w:t>2</w:t>
      </w:r>
      <w:r w:rsidR="002A41EA" w:rsidRPr="00306FE2">
        <w:t xml:space="preserve">, </w:t>
      </w:r>
      <w:r w:rsidRPr="00306FE2">
        <w:t>7</w:t>
      </w:r>
      <w:r w:rsidR="002A41EA" w:rsidRPr="00306FE2">
        <w:t>.</w:t>
      </w:r>
      <w:r w:rsidRPr="00306FE2">
        <w:t xml:space="preserve">3) in the </w:t>
      </w:r>
      <w:proofErr w:type="spellStart"/>
      <w:r w:rsidRPr="00306FE2">
        <w:t>atezolizumab</w:t>
      </w:r>
      <w:proofErr w:type="spellEnd"/>
      <w:r w:rsidRPr="00306FE2">
        <w:t xml:space="preserve"> plus chemotherapy group and 5</w:t>
      </w:r>
      <w:r w:rsidR="002A41EA" w:rsidRPr="00306FE2">
        <w:t>.</w:t>
      </w:r>
      <w:r w:rsidRPr="00306FE2">
        <w:t>5 months (</w:t>
      </w:r>
      <w:r w:rsidR="007478CA">
        <w:t xml:space="preserve">95% CI: </w:t>
      </w:r>
      <w:r w:rsidRPr="00306FE2">
        <w:t>4</w:t>
      </w:r>
      <w:r w:rsidR="002A41EA" w:rsidRPr="00306FE2">
        <w:t>.</w:t>
      </w:r>
      <w:r w:rsidRPr="00306FE2">
        <w:t>4</w:t>
      </w:r>
      <w:r w:rsidR="002A41EA" w:rsidRPr="00306FE2">
        <w:t xml:space="preserve">, </w:t>
      </w:r>
      <w:r w:rsidRPr="00306FE2">
        <w:t>5</w:t>
      </w:r>
      <w:r w:rsidR="002A41EA" w:rsidRPr="00306FE2">
        <w:t>.</w:t>
      </w:r>
      <w:r w:rsidRPr="00306FE2">
        <w:t>9) in the chemotherapy group (HR</w:t>
      </w:r>
      <w:r w:rsidR="00F36C63">
        <w:t>=</w:t>
      </w:r>
      <w:r w:rsidRPr="00306FE2">
        <w:t>0</w:t>
      </w:r>
      <w:r w:rsidR="002A41EA" w:rsidRPr="00306FE2">
        <w:t>.</w:t>
      </w:r>
      <w:r w:rsidRPr="00306FE2">
        <w:t xml:space="preserve">64 </w:t>
      </w:r>
      <w:r w:rsidR="00C527A8">
        <w:t>(</w:t>
      </w:r>
      <w:r w:rsidRPr="00306FE2">
        <w:t>95% CI</w:t>
      </w:r>
      <w:r w:rsidR="00C54DE1">
        <w:t>:</w:t>
      </w:r>
      <w:r w:rsidRPr="00306FE2">
        <w:t xml:space="preserve"> 0</w:t>
      </w:r>
      <w:r w:rsidR="002A41EA" w:rsidRPr="00306FE2">
        <w:t>.</w:t>
      </w:r>
      <w:r w:rsidRPr="00306FE2">
        <w:t>54</w:t>
      </w:r>
      <w:r w:rsidR="002A41EA" w:rsidRPr="00306FE2">
        <w:t xml:space="preserve">, </w:t>
      </w:r>
      <w:r w:rsidRPr="00306FE2">
        <w:t>0</w:t>
      </w:r>
      <w:r w:rsidR="002A41EA" w:rsidRPr="00306FE2">
        <w:t>.</w:t>
      </w:r>
      <w:r w:rsidRPr="00306FE2">
        <w:t>77</w:t>
      </w:r>
      <w:r w:rsidR="00C527A8">
        <w:t>)</w:t>
      </w:r>
      <w:r w:rsidRPr="00306FE2">
        <w:t>; p</w:t>
      </w:r>
      <w:r w:rsidR="00C527A8">
        <w:t xml:space="preserve"> </w:t>
      </w:r>
      <w:r w:rsidRPr="00306FE2">
        <w:t>&lt;</w:t>
      </w:r>
      <w:r w:rsidR="00C527A8">
        <w:t xml:space="preserve"> </w:t>
      </w:r>
      <w:r w:rsidRPr="00306FE2">
        <w:t>0·0001</w:t>
      </w:r>
      <w:r w:rsidR="00C527A8">
        <w:t>)</w:t>
      </w:r>
      <w:r w:rsidRPr="00306FE2">
        <w:t>.</w:t>
      </w:r>
    </w:p>
    <w:p w14:paraId="535F3D12" w14:textId="77777777" w:rsidR="007C7845" w:rsidRPr="00306FE2" w:rsidRDefault="007C7845" w:rsidP="007C7845">
      <w:pPr>
        <w:pStyle w:val="BodyCopy"/>
      </w:pPr>
      <w:r w:rsidRPr="00306FE2">
        <w:t xml:space="preserve">Subgroup analyses showed consistent </w:t>
      </w:r>
      <w:r w:rsidR="002A41EA" w:rsidRPr="00306FE2">
        <w:t>OS</w:t>
      </w:r>
      <w:r w:rsidRPr="00306FE2">
        <w:t xml:space="preserve"> and </w:t>
      </w:r>
      <w:r w:rsidR="002A41EA" w:rsidRPr="00306FE2">
        <w:t>PFS</w:t>
      </w:r>
      <w:r w:rsidRPr="00306FE2">
        <w:t xml:space="preserve"> (see Tables </w:t>
      </w:r>
      <w:r w:rsidR="00334944" w:rsidRPr="00306FE2">
        <w:t>7 and 8</w:t>
      </w:r>
      <w:r w:rsidRPr="00306FE2">
        <w:t xml:space="preserve">) benefit with </w:t>
      </w:r>
      <w:proofErr w:type="spellStart"/>
      <w:r w:rsidRPr="00306FE2">
        <w:t>atezolizumab</w:t>
      </w:r>
      <w:proofErr w:type="spellEnd"/>
      <w:r w:rsidRPr="00306FE2">
        <w:t xml:space="preserve"> across the majority of clinical subgroups, except for patients with liver metastases, in whom </w:t>
      </w:r>
      <w:proofErr w:type="spellStart"/>
      <w:r w:rsidRPr="00306FE2">
        <w:t>atezolizumab</w:t>
      </w:r>
      <w:proofErr w:type="spellEnd"/>
      <w:r w:rsidRPr="00306FE2">
        <w:t xml:space="preserve"> plus chemotherapy did not show improved overall survival versus chemotherapy alone.</w:t>
      </w:r>
    </w:p>
    <w:p w14:paraId="07B6B23C" w14:textId="77777777" w:rsidR="00334944" w:rsidRPr="00306FE2" w:rsidRDefault="00334944" w:rsidP="00334944">
      <w:pPr>
        <w:pStyle w:val="TableTitle"/>
      </w:pPr>
      <w:r w:rsidRPr="00306FE2">
        <w:t>Table 7: Forest plot of hazard ratios for OS in the ITT-WT population according to patient characteristics at baseline</w:t>
      </w:r>
    </w:p>
    <w:p w14:paraId="06E06158" w14:textId="77777777" w:rsidR="00334944" w:rsidRPr="00306FE2" w:rsidRDefault="00334944" w:rsidP="00334944">
      <w:r w:rsidRPr="00306FE2">
        <w:rPr>
          <w:noProof/>
          <w:lang w:eastAsia="en-AU"/>
        </w:rPr>
        <w:drawing>
          <wp:inline distT="0" distB="0" distL="0" distR="0" wp14:anchorId="07EB6350" wp14:editId="6C4DAA4F">
            <wp:extent cx="5400040" cy="3720465"/>
            <wp:effectExtent l="0" t="0" r="0" b="0"/>
            <wp:docPr id="16" name="Picture 16" descr="Forest plot of hazard ratios for overall survival in the intention-to-treat wild-type population according to patient characteristics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3720465"/>
                    </a:xfrm>
                    <a:prstGeom prst="rect">
                      <a:avLst/>
                    </a:prstGeom>
                  </pic:spPr>
                </pic:pic>
              </a:graphicData>
            </a:graphic>
          </wp:inline>
        </w:drawing>
      </w:r>
    </w:p>
    <w:p w14:paraId="41B53F91" w14:textId="77777777" w:rsidR="00674ED0" w:rsidRDefault="00334944" w:rsidP="00674ED0">
      <w:pPr>
        <w:pStyle w:val="TableTitle"/>
      </w:pPr>
      <w:r w:rsidRPr="00306FE2">
        <w:lastRenderedPageBreak/>
        <w:t>Table 8: PFS in the ITT-WT population according to patient characteristics at baseline</w:t>
      </w:r>
    </w:p>
    <w:p w14:paraId="690333A0" w14:textId="1F094553" w:rsidR="00334944" w:rsidRPr="00306FE2" w:rsidRDefault="00334944" w:rsidP="00674ED0">
      <w:r w:rsidRPr="00306FE2">
        <w:rPr>
          <w:noProof/>
          <w:lang w:eastAsia="en-AU"/>
        </w:rPr>
        <w:drawing>
          <wp:inline distT="0" distB="0" distL="0" distR="0" wp14:anchorId="7A8B8604" wp14:editId="55A14841">
            <wp:extent cx="5400040" cy="3810000"/>
            <wp:effectExtent l="0" t="0" r="0" b="0"/>
            <wp:docPr id="17" name="Picture 17" descr="PFS in the ITT-WT population according to patient characteristics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3810000"/>
                    </a:xfrm>
                    <a:prstGeom prst="rect">
                      <a:avLst/>
                    </a:prstGeom>
                  </pic:spPr>
                </pic:pic>
              </a:graphicData>
            </a:graphic>
          </wp:inline>
        </w:drawing>
      </w:r>
    </w:p>
    <w:p w14:paraId="3AE065FB" w14:textId="77777777" w:rsidR="007C7845" w:rsidRPr="00306FE2" w:rsidRDefault="007C7845" w:rsidP="007C7845">
      <w:pPr>
        <w:pStyle w:val="BodyCopy"/>
      </w:pPr>
      <w:r w:rsidRPr="00306FE2">
        <w:t xml:space="preserve">With respect to the PD-L1 subgroups, treatment benefit was observed in terms of </w:t>
      </w:r>
      <w:r w:rsidR="002A41EA" w:rsidRPr="00306FE2">
        <w:t>OS</w:t>
      </w:r>
      <w:r w:rsidRPr="00306FE2">
        <w:t xml:space="preserve"> and </w:t>
      </w:r>
      <w:r w:rsidR="002A41EA" w:rsidRPr="00306FE2">
        <w:t>PFS</w:t>
      </w:r>
      <w:r w:rsidR="00DA7395" w:rsidRPr="00306FE2">
        <w:t xml:space="preserve"> in the ITT</w:t>
      </w:r>
      <w:r w:rsidRPr="00306FE2">
        <w:t xml:space="preserve"> and </w:t>
      </w:r>
      <w:r w:rsidR="002A41EA" w:rsidRPr="00306FE2">
        <w:t>ITT-WT</w:t>
      </w:r>
      <w:r w:rsidRPr="00306FE2">
        <w:t xml:space="preserve"> populations, regardless of PD-L1 expression (see Table </w:t>
      </w:r>
      <w:r w:rsidR="00334944" w:rsidRPr="00306FE2">
        <w:t>9</w:t>
      </w:r>
      <w:r w:rsidRPr="00306FE2">
        <w:t>).</w:t>
      </w:r>
    </w:p>
    <w:p w14:paraId="4DB51464" w14:textId="7A5AE991" w:rsidR="00334944" w:rsidRPr="00306FE2" w:rsidRDefault="00334944" w:rsidP="00334944">
      <w:pPr>
        <w:pStyle w:val="TableTitle"/>
      </w:pPr>
      <w:r w:rsidRPr="00306FE2">
        <w:lastRenderedPageBreak/>
        <w:t xml:space="preserve">Table 9: PFS and OS by </w:t>
      </w:r>
      <w:r w:rsidR="00C527A8">
        <w:t>B</w:t>
      </w:r>
      <w:r w:rsidRPr="00306FE2">
        <w:t>aseline PD-L1 expression (ITT-WT population)</w:t>
      </w:r>
    </w:p>
    <w:p w14:paraId="36DC21BC" w14:textId="77777777" w:rsidR="00334944" w:rsidRPr="00306FE2" w:rsidRDefault="00334944" w:rsidP="00334944">
      <w:r w:rsidRPr="00306FE2">
        <w:rPr>
          <w:noProof/>
          <w:lang w:eastAsia="en-AU"/>
        </w:rPr>
        <w:drawing>
          <wp:inline distT="0" distB="0" distL="0" distR="0" wp14:anchorId="275DC8BF" wp14:editId="687EDEE3">
            <wp:extent cx="5400040" cy="5797296"/>
            <wp:effectExtent l="0" t="0" r="0" b="6985"/>
            <wp:docPr id="14" name="Picture 14" descr="PFS and OS by baseline PD-L1 expression (ITT-W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2253"/>
                    <a:stretch/>
                  </pic:blipFill>
                  <pic:spPr bwMode="auto">
                    <a:xfrm>
                      <a:off x="0" y="0"/>
                      <a:ext cx="5400040" cy="5797296"/>
                    </a:xfrm>
                    <a:prstGeom prst="rect">
                      <a:avLst/>
                    </a:prstGeom>
                    <a:ln>
                      <a:noFill/>
                    </a:ln>
                    <a:extLst>
                      <a:ext uri="{53640926-AAD7-44D8-BBD7-CCE9431645EC}">
                        <a14:shadowObscured xmlns:a14="http://schemas.microsoft.com/office/drawing/2010/main"/>
                      </a:ext>
                    </a:extLst>
                  </pic:spPr>
                </pic:pic>
              </a:graphicData>
            </a:graphic>
          </wp:inline>
        </w:drawing>
      </w:r>
    </w:p>
    <w:p w14:paraId="3607083B" w14:textId="77777777" w:rsidR="007C7845" w:rsidRPr="00306FE2" w:rsidRDefault="007C7845" w:rsidP="007C7845">
      <w:pPr>
        <w:pStyle w:val="BodyCopy"/>
      </w:pPr>
      <w:r w:rsidRPr="00306FE2">
        <w:t xml:space="preserve">Although patient numbers were low, </w:t>
      </w:r>
      <w:r w:rsidR="002A41EA" w:rsidRPr="00306FE2">
        <w:t>OS</w:t>
      </w:r>
      <w:r w:rsidRPr="00306FE2">
        <w:t xml:space="preserve"> and </w:t>
      </w:r>
      <w:r w:rsidR="002A41EA" w:rsidRPr="00306FE2">
        <w:t>PFS</w:t>
      </w:r>
      <w:r w:rsidRPr="00306FE2">
        <w:t xml:space="preserve"> benefits were not observed in patients with EGFR or ALK genomic alterations (see Figure </w:t>
      </w:r>
      <w:r w:rsidR="00291785" w:rsidRPr="00306FE2">
        <w:t>4)</w:t>
      </w:r>
      <w:r w:rsidRPr="00306FE2">
        <w:t>.</w:t>
      </w:r>
    </w:p>
    <w:p w14:paraId="46D39E98" w14:textId="77777777" w:rsidR="00291785" w:rsidRPr="00306FE2" w:rsidRDefault="00291785" w:rsidP="00291785">
      <w:pPr>
        <w:pStyle w:val="FigureTitle"/>
      </w:pPr>
      <w:r w:rsidRPr="00306FE2">
        <w:lastRenderedPageBreak/>
        <w:t>Figure 4: Kaplan-Meier plots for (A) PFS and (B) OS in the subgroup with EGFR or ALK genomic alterations</w:t>
      </w:r>
    </w:p>
    <w:p w14:paraId="3F77FAEB" w14:textId="77777777" w:rsidR="00291785" w:rsidRPr="00306FE2" w:rsidRDefault="00291785" w:rsidP="00291785">
      <w:r w:rsidRPr="00306FE2">
        <w:rPr>
          <w:noProof/>
          <w:lang w:eastAsia="en-AU"/>
        </w:rPr>
        <w:drawing>
          <wp:inline distT="0" distB="0" distL="0" distR="0" wp14:anchorId="7A6FCD64" wp14:editId="2E277203">
            <wp:extent cx="4590523" cy="5005959"/>
            <wp:effectExtent l="0" t="0" r="635" b="4445"/>
            <wp:docPr id="23" name="Picture 23" descr="Kaplan-Meier plots for (A) PFS and (B) OS in the subgroup with EGFR or ALK genomic alt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6309"/>
                    <a:stretch/>
                  </pic:blipFill>
                  <pic:spPr bwMode="auto">
                    <a:xfrm>
                      <a:off x="0" y="0"/>
                      <a:ext cx="4601292" cy="5017703"/>
                    </a:xfrm>
                    <a:prstGeom prst="rect">
                      <a:avLst/>
                    </a:prstGeom>
                    <a:ln>
                      <a:noFill/>
                    </a:ln>
                    <a:extLst>
                      <a:ext uri="{53640926-AAD7-44D8-BBD7-CCE9431645EC}">
                        <a14:shadowObscured xmlns:a14="http://schemas.microsoft.com/office/drawing/2010/main"/>
                      </a:ext>
                    </a:extLst>
                  </pic:spPr>
                </pic:pic>
              </a:graphicData>
            </a:graphic>
          </wp:inline>
        </w:drawing>
      </w:r>
    </w:p>
    <w:p w14:paraId="78E1F112" w14:textId="22754797" w:rsidR="007C7845" w:rsidRPr="00306FE2" w:rsidRDefault="007C7845" w:rsidP="007C7845">
      <w:pPr>
        <w:pStyle w:val="BodyCopy"/>
        <w:rPr>
          <w:i/>
        </w:rPr>
      </w:pPr>
      <w:r w:rsidRPr="00306FE2">
        <w:rPr>
          <w:i/>
        </w:rPr>
        <w:t>Note: The only PD-1 or PD-L1 plus chemotherapy combination that has demonstrated benefit in patients with EGFR or ALK genomic alterations was in IMpower150 (</w:t>
      </w:r>
      <w:proofErr w:type="spellStart"/>
      <w:r w:rsidRPr="00306FE2">
        <w:rPr>
          <w:i/>
        </w:rPr>
        <w:t>atezolizumab</w:t>
      </w:r>
      <w:proofErr w:type="spellEnd"/>
      <w:r w:rsidRPr="00306FE2">
        <w:rPr>
          <w:i/>
        </w:rPr>
        <w:t xml:space="preserve"> plus bevacizumab and carboplatin and paclitaxel v</w:t>
      </w:r>
      <w:r w:rsidR="002A41EA" w:rsidRPr="00306FE2">
        <w:rPr>
          <w:i/>
        </w:rPr>
        <w:t>ersu</w:t>
      </w:r>
      <w:r w:rsidRPr="00306FE2">
        <w:rPr>
          <w:i/>
        </w:rPr>
        <w:t>s bevacizumab plus carboplatin and paclitaxel in chemotherapy-naive patients with</w:t>
      </w:r>
      <w:r w:rsidRPr="00306FE2">
        <w:t xml:space="preserve"> </w:t>
      </w:r>
      <w:r w:rsidRPr="00306FE2">
        <w:rPr>
          <w:i/>
        </w:rPr>
        <w:t xml:space="preserve">metastatic </w:t>
      </w:r>
      <w:r w:rsidR="007912BD">
        <w:rPr>
          <w:i/>
        </w:rPr>
        <w:t>non squamous</w:t>
      </w:r>
      <w:r w:rsidR="002A41EA" w:rsidRPr="00306FE2">
        <w:rPr>
          <w:i/>
        </w:rPr>
        <w:t>-NSCLC</w:t>
      </w:r>
      <w:r w:rsidRPr="00306FE2">
        <w:rPr>
          <w:i/>
        </w:rPr>
        <w:t xml:space="preserve">); addition of bevacizumab to </w:t>
      </w:r>
      <w:proofErr w:type="spellStart"/>
      <w:r w:rsidRPr="00306FE2">
        <w:rPr>
          <w:i/>
        </w:rPr>
        <w:t>atezolizumab</w:t>
      </w:r>
      <w:proofErr w:type="spellEnd"/>
      <w:r w:rsidRPr="00306FE2">
        <w:rPr>
          <w:i/>
        </w:rPr>
        <w:t xml:space="preserve"> might confer activity to PD-L1 inhibition in this patient population.</w:t>
      </w:r>
      <w:r w:rsidR="00AB2F21" w:rsidRPr="00306FE2">
        <w:rPr>
          <w:rStyle w:val="FootnoteReference"/>
          <w:i/>
        </w:rPr>
        <w:footnoteReference w:id="8"/>
      </w:r>
      <w:r w:rsidR="00AB2F21" w:rsidRPr="00306FE2">
        <w:rPr>
          <w:i/>
          <w:vertAlign w:val="superscript"/>
        </w:rPr>
        <w:t>,</w:t>
      </w:r>
      <w:r w:rsidR="00AB2F21" w:rsidRPr="00306FE2">
        <w:rPr>
          <w:rStyle w:val="FootnoteReference"/>
          <w:i/>
        </w:rPr>
        <w:footnoteReference w:id="9"/>
      </w:r>
    </w:p>
    <w:p w14:paraId="0EEA285E" w14:textId="192ADAC1" w:rsidR="007C7845" w:rsidRPr="00306FE2" w:rsidRDefault="007C7845" w:rsidP="007C7845">
      <w:pPr>
        <w:pStyle w:val="BodyCopy"/>
      </w:pPr>
      <w:r w:rsidRPr="00306FE2">
        <w:t xml:space="preserve">In the </w:t>
      </w:r>
      <w:r w:rsidR="002A41EA" w:rsidRPr="00306FE2">
        <w:t>ITT-WT</w:t>
      </w:r>
      <w:r w:rsidRPr="00306FE2">
        <w:t xml:space="preserve"> population, the proportion of patients (who had measurable disease at </w:t>
      </w:r>
      <w:r w:rsidR="007912BD">
        <w:t>B</w:t>
      </w:r>
      <w:r w:rsidRPr="00306FE2">
        <w:t xml:space="preserve">aseline) with a confirmed objective response was higher in the </w:t>
      </w:r>
      <w:proofErr w:type="spellStart"/>
      <w:r w:rsidRPr="00306FE2">
        <w:t>atezolizumab</w:t>
      </w:r>
      <w:proofErr w:type="spellEnd"/>
      <w:r w:rsidRPr="00306FE2">
        <w:t xml:space="preserve"> plus </w:t>
      </w:r>
      <w:r w:rsidR="00A60E46" w:rsidRPr="00306FE2">
        <w:t>chemotherapy</w:t>
      </w:r>
      <w:r w:rsidRPr="00306FE2">
        <w:t xml:space="preserve"> group (220 </w:t>
      </w:r>
      <w:r w:rsidR="007912BD">
        <w:t>(</w:t>
      </w:r>
      <w:r w:rsidRPr="00306FE2">
        <w:t>49</w:t>
      </w:r>
      <w:r w:rsidR="00494C4B" w:rsidRPr="00306FE2">
        <w:t>.</w:t>
      </w:r>
      <w:r w:rsidRPr="00306FE2">
        <w:t>2%, 95% CI</w:t>
      </w:r>
      <w:r w:rsidR="00841265">
        <w:t>:</w:t>
      </w:r>
      <w:r w:rsidRPr="00306FE2">
        <w:t xml:space="preserve"> 44</w:t>
      </w:r>
      <w:r w:rsidR="00494C4B" w:rsidRPr="00306FE2">
        <w:t>.</w:t>
      </w:r>
      <w:r w:rsidRPr="00306FE2">
        <w:t>5</w:t>
      </w:r>
      <w:r w:rsidR="00D005B3" w:rsidRPr="00306FE2">
        <w:t xml:space="preserve">, </w:t>
      </w:r>
      <w:r w:rsidRPr="00306FE2">
        <w:t>54</w:t>
      </w:r>
      <w:r w:rsidR="00494C4B" w:rsidRPr="00306FE2">
        <w:t>.</w:t>
      </w:r>
      <w:r w:rsidRPr="00306FE2">
        <w:t>0</w:t>
      </w:r>
      <w:r w:rsidR="007912BD">
        <w:t>)</w:t>
      </w:r>
      <w:r w:rsidRPr="00306FE2">
        <w:t xml:space="preserve"> of 447 patients) than in the chemotherapy group (72 </w:t>
      </w:r>
      <w:r w:rsidR="007912BD">
        <w:t>(</w:t>
      </w:r>
      <w:r w:rsidRPr="00306FE2">
        <w:t>31·9%, 25</w:t>
      </w:r>
      <w:r w:rsidR="00494C4B" w:rsidRPr="00306FE2">
        <w:t>.</w:t>
      </w:r>
      <w:r w:rsidRPr="00306FE2">
        <w:t>8</w:t>
      </w:r>
      <w:r w:rsidR="00D005B3" w:rsidRPr="00306FE2">
        <w:t xml:space="preserve">, </w:t>
      </w:r>
      <w:r w:rsidRPr="00306FE2">
        <w:t>38</w:t>
      </w:r>
      <w:r w:rsidR="00494C4B" w:rsidRPr="00306FE2">
        <w:t>.</w:t>
      </w:r>
      <w:r w:rsidRPr="00306FE2">
        <w:t>4</w:t>
      </w:r>
      <w:r w:rsidR="007912BD">
        <w:t>)</w:t>
      </w:r>
      <w:r w:rsidRPr="00306FE2">
        <w:t xml:space="preserve"> of 226 patients (see Table </w:t>
      </w:r>
      <w:r w:rsidR="00291785" w:rsidRPr="00306FE2">
        <w:t>10</w:t>
      </w:r>
      <w:r w:rsidRPr="00306FE2">
        <w:t>).</w:t>
      </w:r>
    </w:p>
    <w:p w14:paraId="481B561F" w14:textId="1C16CD65" w:rsidR="00291785" w:rsidRPr="00306FE2" w:rsidRDefault="00291785" w:rsidP="00291785">
      <w:pPr>
        <w:pStyle w:val="TableTitle"/>
      </w:pPr>
      <w:r w:rsidRPr="00306FE2">
        <w:lastRenderedPageBreak/>
        <w:t>Table 10: Confirmed objective response rate and duration of response in the ITT</w:t>
      </w:r>
      <w:r w:rsidR="007912BD">
        <w:noBreakHyphen/>
      </w:r>
      <w:r w:rsidRPr="00306FE2">
        <w:t>WT population</w:t>
      </w:r>
    </w:p>
    <w:p w14:paraId="5BC3B109" w14:textId="77777777" w:rsidR="00291785" w:rsidRDefault="00291785" w:rsidP="00291785">
      <w:r w:rsidRPr="00306FE2">
        <w:rPr>
          <w:noProof/>
          <w:lang w:eastAsia="en-AU"/>
        </w:rPr>
        <w:drawing>
          <wp:inline distT="0" distB="0" distL="0" distR="0" wp14:anchorId="3A4D9A28" wp14:editId="4E1FCBCB">
            <wp:extent cx="5400040" cy="2802636"/>
            <wp:effectExtent l="0" t="0" r="0" b="0"/>
            <wp:docPr id="15" name="Picture 15" descr="Confirmed objective response rate and duration of response in the ITT-W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2784"/>
                    <a:stretch/>
                  </pic:blipFill>
                  <pic:spPr bwMode="auto">
                    <a:xfrm>
                      <a:off x="0" y="0"/>
                      <a:ext cx="5400040" cy="2802636"/>
                    </a:xfrm>
                    <a:prstGeom prst="rect">
                      <a:avLst/>
                    </a:prstGeom>
                    <a:ln>
                      <a:noFill/>
                    </a:ln>
                    <a:extLst>
                      <a:ext uri="{53640926-AAD7-44D8-BBD7-CCE9431645EC}">
                        <a14:shadowObscured xmlns:a14="http://schemas.microsoft.com/office/drawing/2010/main"/>
                      </a:ext>
                    </a:extLst>
                  </pic:spPr>
                </pic:pic>
              </a:graphicData>
            </a:graphic>
          </wp:inline>
        </w:drawing>
      </w:r>
    </w:p>
    <w:p w14:paraId="7D6B94EF" w14:textId="77777777" w:rsidR="007C7845" w:rsidRPr="00306FE2" w:rsidRDefault="007C7845" w:rsidP="00E706E5">
      <w:pPr>
        <w:pStyle w:val="Heading5"/>
      </w:pPr>
      <w:r w:rsidRPr="00306FE2">
        <w:t>Immunogenicity</w:t>
      </w:r>
    </w:p>
    <w:p w14:paraId="233D9FE5" w14:textId="745328FE" w:rsidR="007C7845" w:rsidRPr="00306FE2" w:rsidRDefault="007C7845" w:rsidP="007C7845">
      <w:r w:rsidRPr="00306FE2">
        <w:t xml:space="preserve">Approximately 22% of patients </w:t>
      </w:r>
      <w:r w:rsidR="00D97113">
        <w:t xml:space="preserve">who received </w:t>
      </w:r>
      <w:proofErr w:type="spellStart"/>
      <w:r w:rsidR="00D97113">
        <w:t>atezolizumab</w:t>
      </w:r>
      <w:proofErr w:type="spellEnd"/>
      <w:r w:rsidR="00D97113">
        <w:t xml:space="preserve"> </w:t>
      </w:r>
      <w:r w:rsidRPr="00306FE2">
        <w:t>had post-baseline anti-drug antibodies (ADAs).</w:t>
      </w:r>
    </w:p>
    <w:p w14:paraId="0E2BCC77" w14:textId="77777777" w:rsidR="007C7845" w:rsidRPr="00306FE2" w:rsidRDefault="007C7845" w:rsidP="007C7845">
      <w:r w:rsidRPr="00306FE2">
        <w:t xml:space="preserve">The potential impact of ADAs on efficacy is the subject of ongoing </w:t>
      </w:r>
      <w:r w:rsidR="00494C4B" w:rsidRPr="00306FE2">
        <w:t>analyses across studies by the s</w:t>
      </w:r>
      <w:r w:rsidRPr="00306FE2">
        <w:t>ponsor and will be reviewed separately to this submission.</w:t>
      </w:r>
    </w:p>
    <w:p w14:paraId="414FB484" w14:textId="77777777" w:rsidR="007C7845" w:rsidRPr="00306FE2" w:rsidRDefault="007C7845" w:rsidP="00E706E5">
      <w:pPr>
        <w:pStyle w:val="Heading5"/>
      </w:pPr>
      <w:r w:rsidRPr="00306FE2">
        <w:t>Safety</w:t>
      </w:r>
    </w:p>
    <w:p w14:paraId="29CD0A24" w14:textId="59A98DA7" w:rsidR="007C7845" w:rsidRPr="00306FE2" w:rsidRDefault="00494C4B" w:rsidP="007C7845">
      <w:pPr>
        <w:pStyle w:val="BodyCopy"/>
      </w:pPr>
      <w:r w:rsidRPr="00306FE2">
        <w:t>The safety p</w:t>
      </w:r>
      <w:r w:rsidR="007C7845" w:rsidRPr="00306FE2">
        <w:t>opulation included all treated patients, defined as randomised patients who received any amount of any component of study treatment, according to actual treatment received. The</w:t>
      </w:r>
      <w:r w:rsidR="00D97113">
        <w:t>re</w:t>
      </w:r>
      <w:r w:rsidR="007C7845" w:rsidRPr="00306FE2">
        <w:t xml:space="preserve"> were 473 patients treated with </w:t>
      </w:r>
      <w:proofErr w:type="spellStart"/>
      <w:r w:rsidR="007C7845" w:rsidRPr="00306FE2">
        <w:t>Atezo+CnP</w:t>
      </w:r>
      <w:proofErr w:type="spellEnd"/>
      <w:r w:rsidR="007C7845" w:rsidRPr="00306FE2">
        <w:t xml:space="preserve"> and 232 patients treated with </w:t>
      </w:r>
      <w:proofErr w:type="spellStart"/>
      <w:r w:rsidR="007C7845" w:rsidRPr="00306FE2">
        <w:t>CnP</w:t>
      </w:r>
      <w:proofErr w:type="spellEnd"/>
      <w:r w:rsidR="007C7845" w:rsidRPr="00306FE2">
        <w:t>.</w:t>
      </w:r>
    </w:p>
    <w:p w14:paraId="3A0AC6EB" w14:textId="77777777" w:rsidR="007C7845" w:rsidRPr="00306FE2" w:rsidRDefault="007C7845" w:rsidP="00E706E5">
      <w:pPr>
        <w:pStyle w:val="Heading6"/>
      </w:pPr>
      <w:r w:rsidRPr="00306FE2">
        <w:t xml:space="preserve">Exposure to </w:t>
      </w:r>
      <w:proofErr w:type="spellStart"/>
      <w:r w:rsidRPr="00306FE2">
        <w:t>atezolizumab</w:t>
      </w:r>
      <w:proofErr w:type="spellEnd"/>
    </w:p>
    <w:p w14:paraId="4A7DF5EB" w14:textId="77777777" w:rsidR="007C7845" w:rsidRPr="00306FE2" w:rsidRDefault="007C7845" w:rsidP="007C7845">
      <w:pPr>
        <w:pStyle w:val="BodyCopy"/>
      </w:pPr>
      <w:r w:rsidRPr="00306FE2">
        <w:t xml:space="preserve">In the </w:t>
      </w:r>
      <w:proofErr w:type="spellStart"/>
      <w:r w:rsidRPr="00306FE2">
        <w:t>Atezo+CnP</w:t>
      </w:r>
      <w:proofErr w:type="spellEnd"/>
      <w:r w:rsidRPr="00306FE2">
        <w:t xml:space="preserve"> arm, the median duration of exposure to </w:t>
      </w:r>
      <w:r w:rsidR="000556AD" w:rsidRPr="00306FE2">
        <w:t>first line</w:t>
      </w:r>
      <w:r w:rsidRPr="00306FE2">
        <w:t xml:space="preserve"> </w:t>
      </w:r>
      <w:proofErr w:type="spellStart"/>
      <w:r w:rsidRPr="00306FE2">
        <w:t>atezolizumab</w:t>
      </w:r>
      <w:proofErr w:type="spellEnd"/>
      <w:r w:rsidRPr="00306FE2">
        <w:t xml:space="preserve"> therapy was 6.9 months (range: 0, 32 months), the median dose intensity was 94.9% (range: 60, 102%). Treatment duration in the </w:t>
      </w:r>
      <w:proofErr w:type="spellStart"/>
      <w:r w:rsidRPr="00306FE2">
        <w:t>Atezo+CnP</w:t>
      </w:r>
      <w:proofErr w:type="spellEnd"/>
      <w:r w:rsidRPr="00306FE2">
        <w:t xml:space="preserve"> arm was 0 to ≤ 3 months in 120 (25.4%) patients, &gt; 3 months to ≤ 6 months in 94 (19.9%) patients, &gt; 6 months to ≤ 12 months in 96 (20.3%) patients and &gt; 12 months in 163 (34.5%) patients.</w:t>
      </w:r>
    </w:p>
    <w:p w14:paraId="5D501C53" w14:textId="01D0970E" w:rsidR="007C7845" w:rsidRPr="00306FE2" w:rsidRDefault="007C7845" w:rsidP="007C7845">
      <w:pPr>
        <w:pStyle w:val="BodyCopy"/>
      </w:pPr>
      <w:r w:rsidRPr="00306FE2">
        <w:t xml:space="preserve">Per Protocol v1-v4, patients randomised to the </w:t>
      </w:r>
      <w:proofErr w:type="spellStart"/>
      <w:r w:rsidRPr="00306FE2">
        <w:t>CnP</w:t>
      </w:r>
      <w:proofErr w:type="spellEnd"/>
      <w:r w:rsidRPr="00306FE2">
        <w:t xml:space="preserve"> arm were permitted to </w:t>
      </w:r>
      <w:r w:rsidR="007728FA" w:rsidRPr="00306FE2">
        <w:t>crossover</w:t>
      </w:r>
      <w:r w:rsidRPr="00306FE2">
        <w:t xml:space="preserve"> to receive </w:t>
      </w:r>
      <w:proofErr w:type="spellStart"/>
      <w:r w:rsidRPr="00306FE2">
        <w:t>atezolizumab</w:t>
      </w:r>
      <w:proofErr w:type="spellEnd"/>
      <w:r w:rsidRPr="00306FE2">
        <w:t xml:space="preserve"> monotherapy following progressive disease. There were 96 patients randomised to the </w:t>
      </w:r>
      <w:proofErr w:type="spellStart"/>
      <w:r w:rsidRPr="00306FE2">
        <w:t>CnP</w:t>
      </w:r>
      <w:proofErr w:type="spellEnd"/>
      <w:r w:rsidRPr="00306FE2">
        <w:t xml:space="preserve"> arm who crossed-over to receive </w:t>
      </w:r>
      <w:proofErr w:type="spellStart"/>
      <w:r w:rsidRPr="00306FE2">
        <w:t>atezolizumab</w:t>
      </w:r>
      <w:proofErr w:type="spellEnd"/>
      <w:r w:rsidRPr="00306FE2">
        <w:t xml:space="preserve"> monotherapy, and in these </w:t>
      </w:r>
      <w:r w:rsidR="00A60E46" w:rsidRPr="00306FE2">
        <w:t>patients</w:t>
      </w:r>
      <w:r w:rsidR="000C4442" w:rsidRPr="00306FE2">
        <w:t xml:space="preserve">, </w:t>
      </w:r>
      <w:proofErr w:type="spellStart"/>
      <w:r w:rsidR="000C4442" w:rsidRPr="00306FE2">
        <w:t>atezolizumab</w:t>
      </w:r>
      <w:proofErr w:type="spellEnd"/>
      <w:r w:rsidR="000C4442" w:rsidRPr="00306FE2">
        <w:t xml:space="preserve"> monotherapy was administered as second-line rather than first line therapy</w:t>
      </w:r>
      <w:r w:rsidRPr="00306FE2">
        <w:t>.</w:t>
      </w:r>
      <w:r w:rsidR="00494C4B" w:rsidRPr="00306FE2">
        <w:t xml:space="preserve"> In the 96 patients who crossed </w:t>
      </w:r>
      <w:r w:rsidRPr="00306FE2">
        <w:t xml:space="preserve">over, the median treatment duration with second-line </w:t>
      </w:r>
      <w:proofErr w:type="spellStart"/>
      <w:r w:rsidRPr="00306FE2">
        <w:t>atezolizumab</w:t>
      </w:r>
      <w:proofErr w:type="spellEnd"/>
      <w:r w:rsidRPr="00306FE2">
        <w:t xml:space="preserve"> monotherapy was 2.8 months (range: 0, 19 months).</w:t>
      </w:r>
    </w:p>
    <w:p w14:paraId="655B81D4" w14:textId="5120C032" w:rsidR="007C7845" w:rsidRPr="00306FE2" w:rsidRDefault="007C7845" w:rsidP="007C7845">
      <w:pPr>
        <w:pStyle w:val="BodyCopy"/>
      </w:pPr>
      <w:r w:rsidRPr="00306FE2">
        <w:t xml:space="preserve">The duration of treatment with </w:t>
      </w:r>
      <w:proofErr w:type="spellStart"/>
      <w:r w:rsidRPr="00306FE2">
        <w:t>atezolizumab</w:t>
      </w:r>
      <w:proofErr w:type="spellEnd"/>
      <w:r w:rsidRPr="00306FE2">
        <w:t xml:space="preserve"> monotherapy was 0 to ≤ 3 months in 49</w:t>
      </w:r>
      <w:r w:rsidR="007912BD">
        <w:t> </w:t>
      </w:r>
      <w:r w:rsidRPr="00306FE2">
        <w:t>(51.0%) patients, &gt; 3 months to ≤ 6 months in 14 (14.6%) patients, &gt; 6 months to ≤</w:t>
      </w:r>
      <w:r w:rsidR="007912BD">
        <w:t> </w:t>
      </w:r>
      <w:r w:rsidRPr="00306FE2">
        <w:t>12</w:t>
      </w:r>
      <w:r w:rsidR="007912BD">
        <w:t> </w:t>
      </w:r>
      <w:r w:rsidRPr="00306FE2">
        <w:t>months in 20 (20.8%) patients and &gt; 12 months in 13 (13.5%) patients.</w:t>
      </w:r>
    </w:p>
    <w:p w14:paraId="02908E84" w14:textId="77777777" w:rsidR="007C7845" w:rsidRPr="00306FE2" w:rsidRDefault="007C7845" w:rsidP="00E706E5">
      <w:pPr>
        <w:pStyle w:val="Heading6"/>
      </w:pPr>
      <w:r w:rsidRPr="00306FE2">
        <w:t xml:space="preserve">Adverse </w:t>
      </w:r>
      <w:r w:rsidR="00E706E5" w:rsidRPr="00306FE2">
        <w:t>e</w:t>
      </w:r>
      <w:r w:rsidRPr="00306FE2">
        <w:t>vents</w:t>
      </w:r>
    </w:p>
    <w:p w14:paraId="7EB81206" w14:textId="77777777" w:rsidR="007C7845" w:rsidRPr="00306FE2" w:rsidRDefault="007C7845" w:rsidP="007C7845">
      <w:pPr>
        <w:pStyle w:val="BodyCopy"/>
      </w:pPr>
      <w:r w:rsidRPr="00306FE2">
        <w:t xml:space="preserve">The high-level safety profile of the two treatment arms from </w:t>
      </w:r>
      <w:r w:rsidR="00494C4B" w:rsidRPr="00306FE2">
        <w:t xml:space="preserve">Study </w:t>
      </w:r>
      <w:r w:rsidRPr="00306FE2">
        <w:t>IMpower130 are summarised bel</w:t>
      </w:r>
      <w:r w:rsidR="00494C4B" w:rsidRPr="00306FE2">
        <w:t xml:space="preserve">ow in Table </w:t>
      </w:r>
      <w:r w:rsidR="00291785" w:rsidRPr="00306FE2">
        <w:t>11</w:t>
      </w:r>
      <w:r w:rsidR="00494C4B" w:rsidRPr="00306FE2">
        <w:t>.</w:t>
      </w:r>
    </w:p>
    <w:p w14:paraId="63F556A4" w14:textId="77777777" w:rsidR="00674ED0" w:rsidRDefault="001B7556" w:rsidP="0083202A">
      <w:pPr>
        <w:pStyle w:val="TableTitle"/>
      </w:pPr>
      <w:r w:rsidRPr="00306FE2">
        <w:lastRenderedPageBreak/>
        <w:t xml:space="preserve">Table </w:t>
      </w:r>
      <w:r w:rsidR="00291785" w:rsidRPr="00306FE2">
        <w:t>11</w:t>
      </w:r>
      <w:r w:rsidRPr="00306FE2">
        <w:t>:</w:t>
      </w:r>
      <w:r w:rsidR="007C7845" w:rsidRPr="00306FE2">
        <w:t xml:space="preserve"> </w:t>
      </w:r>
      <w:r w:rsidR="00494C4B" w:rsidRPr="00306FE2">
        <w:t xml:space="preserve">Study </w:t>
      </w:r>
      <w:r w:rsidR="00623931" w:rsidRPr="00306FE2">
        <w:t>IM</w:t>
      </w:r>
      <w:r w:rsidR="00D2321C" w:rsidRPr="00306FE2">
        <w:t>power130, h</w:t>
      </w:r>
      <w:r w:rsidR="007C7845" w:rsidRPr="00306FE2">
        <w:t>igh-level overview of safety in the two treatment ar</w:t>
      </w:r>
      <w:r w:rsidR="00494C4B" w:rsidRPr="00306FE2">
        <w:t>ms, safety evaluable population</w:t>
      </w:r>
    </w:p>
    <w:p w14:paraId="4F3BEC3D" w14:textId="1A44FEF2" w:rsidR="00556DDB" w:rsidRDefault="005D5C90" w:rsidP="00674ED0">
      <w:r w:rsidRPr="00306FE2">
        <w:rPr>
          <w:noProof/>
          <w:lang w:eastAsia="en-AU"/>
        </w:rPr>
        <w:drawing>
          <wp:inline distT="0" distB="0" distL="0" distR="0" wp14:anchorId="2D5F1F10" wp14:editId="577598E1">
            <wp:extent cx="4826000" cy="3200400"/>
            <wp:effectExtent l="0" t="0" r="0" b="0"/>
            <wp:docPr id="6" name="Picture 6" descr="IMpower130 - High-level overview of safety in the two treatment arms, safety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50000"/>
                              </a14:imgEffect>
                            </a14:imgLayer>
                          </a14:imgProps>
                        </a:ext>
                      </a:extLst>
                    </a:blip>
                    <a:srcRect r="-535" b="13268"/>
                    <a:stretch/>
                  </pic:blipFill>
                  <pic:spPr bwMode="auto">
                    <a:xfrm>
                      <a:off x="0" y="0"/>
                      <a:ext cx="4833488" cy="3205365"/>
                    </a:xfrm>
                    <a:prstGeom prst="rect">
                      <a:avLst/>
                    </a:prstGeom>
                    <a:ln>
                      <a:noFill/>
                    </a:ln>
                    <a:extLst>
                      <a:ext uri="{53640926-AAD7-44D8-BBD7-CCE9431645EC}">
                        <a14:shadowObscured xmlns:a14="http://schemas.microsoft.com/office/drawing/2010/main"/>
                      </a:ext>
                    </a:extLst>
                  </pic:spPr>
                </pic:pic>
              </a:graphicData>
            </a:graphic>
          </wp:inline>
        </w:drawing>
      </w:r>
    </w:p>
    <w:p w14:paraId="7163B3E7" w14:textId="607C5F52" w:rsidR="00556DDB" w:rsidRPr="00306FE2" w:rsidRDefault="00556DDB" w:rsidP="0083202A">
      <w:pPr>
        <w:pStyle w:val="TableDescription"/>
      </w:pPr>
      <w:r>
        <w:t xml:space="preserve">Only events reported in the AE form are included. Investigator text for AEs encoded using </w:t>
      </w:r>
      <w:proofErr w:type="spellStart"/>
      <w:r>
        <w:t>MeDRA</w:t>
      </w:r>
      <w:proofErr w:type="spellEnd"/>
      <w:r>
        <w:t xml:space="preserve"> v21.0. Multiple occurrences of the same AE in one individual are counted only once except ‘total number of events row in which multiple occurrences of the same AEs are counted separately. Counts in ‘Grade 3-4 AE’ are the number of patients whose highest grades of AE are 3 or 4. Data cut off 15 March 2018, data extracted 18 May 2018.</w:t>
      </w:r>
    </w:p>
    <w:p w14:paraId="40E55C9D" w14:textId="006E2AF8" w:rsidR="007C7845" w:rsidRPr="00306FE2" w:rsidRDefault="007C7845" w:rsidP="007C7845">
      <w:pPr>
        <w:pStyle w:val="BodyCopy"/>
      </w:pPr>
      <w:r w:rsidRPr="00306FE2">
        <w:t xml:space="preserve">Adverse events reported in ≥ 20% of patients in either treatment arm by decreasing order of frequency in the </w:t>
      </w:r>
      <w:proofErr w:type="spellStart"/>
      <w:r w:rsidRPr="00306FE2">
        <w:t>Atezo+CnP</w:t>
      </w:r>
      <w:proofErr w:type="spellEnd"/>
      <w:r w:rsidRPr="00306FE2">
        <w:t xml:space="preserve"> arm are</w:t>
      </w:r>
      <w:r w:rsidR="00494C4B" w:rsidRPr="00306FE2">
        <w:t xml:space="preserve"> summarised below in Table </w:t>
      </w:r>
      <w:r w:rsidR="00291785" w:rsidRPr="00306FE2">
        <w:t>12</w:t>
      </w:r>
      <w:r w:rsidRPr="00306FE2">
        <w:t>.</w:t>
      </w:r>
    </w:p>
    <w:p w14:paraId="3A1ECCA6" w14:textId="679FCD29" w:rsidR="007C7845" w:rsidRPr="00306FE2" w:rsidRDefault="007C7845" w:rsidP="001B7556">
      <w:pPr>
        <w:pStyle w:val="TableTitle"/>
      </w:pPr>
      <w:r w:rsidRPr="00306FE2">
        <w:t xml:space="preserve">Table </w:t>
      </w:r>
      <w:r w:rsidR="00291785" w:rsidRPr="00306FE2">
        <w:t>12</w:t>
      </w:r>
      <w:r w:rsidR="001B7556" w:rsidRPr="00306FE2">
        <w:t>:</w:t>
      </w:r>
      <w:r w:rsidRPr="00306FE2">
        <w:t xml:space="preserve"> </w:t>
      </w:r>
      <w:r w:rsidR="00494C4B" w:rsidRPr="00306FE2">
        <w:t xml:space="preserve">Study </w:t>
      </w:r>
      <w:r w:rsidRPr="00306FE2">
        <w:t>IMpower130</w:t>
      </w:r>
      <w:r w:rsidR="00D2321C" w:rsidRPr="00306FE2">
        <w:t>, a</w:t>
      </w:r>
      <w:r w:rsidRPr="00306FE2">
        <w:t xml:space="preserve">dverse events (AEs) by </w:t>
      </w:r>
      <w:r w:rsidR="007912BD">
        <w:t>P</w:t>
      </w:r>
      <w:r w:rsidRPr="00306FE2">
        <w:t>referred-</w:t>
      </w:r>
      <w:r w:rsidR="007912BD">
        <w:t>T</w:t>
      </w:r>
      <w:r w:rsidRPr="00306FE2">
        <w:t>erm (PT) in ≥</w:t>
      </w:r>
      <w:r w:rsidR="007912BD">
        <w:t> </w:t>
      </w:r>
      <w:r w:rsidRPr="00306FE2">
        <w:t xml:space="preserve">20% of patients </w:t>
      </w:r>
      <w:r w:rsidR="00494C4B" w:rsidRPr="00306FE2">
        <w:t xml:space="preserve">in either treatment arm, safety </w:t>
      </w:r>
      <w:r w:rsidRPr="00306FE2">
        <w:t>evaluable patients</w:t>
      </w:r>
    </w:p>
    <w:p w14:paraId="4A9DDF6F" w14:textId="34DDDFD2" w:rsidR="007C7845" w:rsidRPr="00306FE2" w:rsidRDefault="007C7845" w:rsidP="00674ED0">
      <w:r w:rsidRPr="00306FE2">
        <w:rPr>
          <w:noProof/>
          <w:lang w:eastAsia="en-AU"/>
        </w:rPr>
        <w:drawing>
          <wp:inline distT="0" distB="0" distL="0" distR="0" wp14:anchorId="31DD5B4F" wp14:editId="1404BB45">
            <wp:extent cx="4411980" cy="2473383"/>
            <wp:effectExtent l="0" t="0" r="7620" b="3175"/>
            <wp:docPr id="11" name="Picture 11" descr="Study IMpower130 – Adverse events (AEs) by preferred-term (PT) in ≥ 20% of patients in either treatment arm, safety evaluable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999" t="-305" r="3867" b="9786"/>
                    <a:stretch/>
                  </pic:blipFill>
                  <pic:spPr bwMode="auto">
                    <a:xfrm>
                      <a:off x="0" y="0"/>
                      <a:ext cx="4419542" cy="2477622"/>
                    </a:xfrm>
                    <a:prstGeom prst="rect">
                      <a:avLst/>
                    </a:prstGeom>
                    <a:ln>
                      <a:noFill/>
                    </a:ln>
                    <a:extLst>
                      <a:ext uri="{53640926-AAD7-44D8-BBD7-CCE9431645EC}">
                        <a14:shadowObscured xmlns:a14="http://schemas.microsoft.com/office/drawing/2010/main"/>
                      </a:ext>
                    </a:extLst>
                  </pic:spPr>
                </pic:pic>
              </a:graphicData>
            </a:graphic>
          </wp:inline>
        </w:drawing>
      </w:r>
    </w:p>
    <w:p w14:paraId="25918B14" w14:textId="1E94C1E8" w:rsidR="007C7845" w:rsidRPr="00306FE2" w:rsidRDefault="007C7845" w:rsidP="007C7845">
      <w:pPr>
        <w:pStyle w:val="BodyCopy"/>
      </w:pPr>
      <w:r w:rsidRPr="00306FE2">
        <w:t>Grade 3</w:t>
      </w:r>
      <w:r w:rsidR="007912BD">
        <w:t xml:space="preserve"> or </w:t>
      </w:r>
      <w:r w:rsidRPr="00306FE2">
        <w:t xml:space="preserve">4 </w:t>
      </w:r>
      <w:r w:rsidR="00494C4B" w:rsidRPr="00306FE2">
        <w:t>adverse events (</w:t>
      </w:r>
      <w:r w:rsidRPr="00306FE2">
        <w:t>AEs</w:t>
      </w:r>
      <w:r w:rsidR="00494C4B" w:rsidRPr="00306FE2">
        <w:t xml:space="preserve">) </w:t>
      </w:r>
      <w:r w:rsidRPr="00306FE2">
        <w:t xml:space="preserve">were reported in a higher proportion of patients in the </w:t>
      </w:r>
      <w:proofErr w:type="spellStart"/>
      <w:r w:rsidRPr="00306FE2">
        <w:t>Atezo+CnP</w:t>
      </w:r>
      <w:proofErr w:type="spellEnd"/>
      <w:r w:rsidRPr="00306FE2">
        <w:t xml:space="preserve"> arm than in the </w:t>
      </w:r>
      <w:proofErr w:type="spellStart"/>
      <w:r w:rsidRPr="00306FE2">
        <w:t>CnP</w:t>
      </w:r>
      <w:proofErr w:type="spellEnd"/>
      <w:r w:rsidRPr="00306FE2">
        <w:t xml:space="preserve"> arm (80.5% v</w:t>
      </w:r>
      <w:r w:rsidR="00494C4B" w:rsidRPr="00306FE2">
        <w:t>ersu</w:t>
      </w:r>
      <w:r w:rsidRPr="00306FE2">
        <w:t>s 70.7%). Grade 3</w:t>
      </w:r>
      <w:r w:rsidR="007912BD">
        <w:t xml:space="preserve"> or </w:t>
      </w:r>
      <w:r w:rsidRPr="00306FE2">
        <w:t>4 AEs reported in</w:t>
      </w:r>
      <w:r w:rsidR="00494C4B" w:rsidRPr="00306FE2">
        <w:t xml:space="preserve"> </w:t>
      </w:r>
      <w:r w:rsidRPr="00306FE2">
        <w:t>≥</w:t>
      </w:r>
      <w:r w:rsidR="007912BD">
        <w:t> </w:t>
      </w:r>
      <w:r w:rsidRPr="00306FE2">
        <w:t xml:space="preserve">5% of patients in either treatment arm by descending order of frequency in the </w:t>
      </w:r>
      <w:proofErr w:type="spellStart"/>
      <w:r w:rsidRPr="00306FE2">
        <w:t>Atezo+CnP</w:t>
      </w:r>
      <w:proofErr w:type="spellEnd"/>
      <w:r w:rsidRPr="00306FE2">
        <w:t xml:space="preserve"> arm are summarised below in Table </w:t>
      </w:r>
      <w:r w:rsidR="00291785" w:rsidRPr="00306FE2">
        <w:t>13</w:t>
      </w:r>
      <w:r w:rsidRPr="00306FE2">
        <w:t>.</w:t>
      </w:r>
    </w:p>
    <w:p w14:paraId="5B914B5E" w14:textId="1FBF79E6" w:rsidR="007C7845" w:rsidRPr="00306FE2" w:rsidRDefault="007C7845" w:rsidP="001B7556">
      <w:pPr>
        <w:pStyle w:val="TableTitle"/>
      </w:pPr>
      <w:r w:rsidRPr="00306FE2">
        <w:lastRenderedPageBreak/>
        <w:t xml:space="preserve">Table </w:t>
      </w:r>
      <w:r w:rsidR="00291785" w:rsidRPr="00306FE2">
        <w:t>13</w:t>
      </w:r>
      <w:r w:rsidR="001B7556" w:rsidRPr="00306FE2">
        <w:t>:</w:t>
      </w:r>
      <w:r w:rsidRPr="00306FE2">
        <w:t xml:space="preserve"> </w:t>
      </w:r>
      <w:r w:rsidR="00494C4B" w:rsidRPr="00306FE2">
        <w:t xml:space="preserve">Study </w:t>
      </w:r>
      <w:r w:rsidRPr="00306FE2">
        <w:t>IMpower130</w:t>
      </w:r>
      <w:r w:rsidR="00D2321C" w:rsidRPr="00306FE2">
        <w:t xml:space="preserve">, </w:t>
      </w:r>
      <w:r w:rsidRPr="00306FE2">
        <w:t>Grade 3</w:t>
      </w:r>
      <w:r w:rsidR="007912BD">
        <w:t xml:space="preserve"> or </w:t>
      </w:r>
      <w:r w:rsidRPr="00306FE2">
        <w:t>4 adverse events (</w:t>
      </w:r>
      <w:r w:rsidR="007912BD">
        <w:t>P</w:t>
      </w:r>
      <w:r w:rsidRPr="00306FE2">
        <w:t>referred-</w:t>
      </w:r>
      <w:r w:rsidR="007912BD">
        <w:t>T</w:t>
      </w:r>
      <w:r w:rsidRPr="00306FE2">
        <w:t>erm) reported in in ≥ 5% of patients in either treatment arm, safety-evaluable patients</w:t>
      </w:r>
    </w:p>
    <w:p w14:paraId="70052B77" w14:textId="77777777" w:rsidR="007C7845" w:rsidRPr="00306FE2" w:rsidRDefault="007C7845" w:rsidP="00674ED0">
      <w:r w:rsidRPr="00306FE2">
        <w:rPr>
          <w:noProof/>
          <w:lang w:eastAsia="en-AU"/>
        </w:rPr>
        <w:drawing>
          <wp:inline distT="0" distB="0" distL="0" distR="0" wp14:anchorId="14910A2E" wp14:editId="1B403E76">
            <wp:extent cx="4475607" cy="1613596"/>
            <wp:effectExtent l="0" t="0" r="1270" b="5715"/>
            <wp:docPr id="12" name="Picture 12" descr="Study IMpower130 – Grade 3-4 adverse events (preferred-term) reported in in ≥ 5% of patients in either treatment arm, safety-evaluable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704" r="3338" b="12173"/>
                    <a:stretch/>
                  </pic:blipFill>
                  <pic:spPr bwMode="auto">
                    <a:xfrm>
                      <a:off x="0" y="0"/>
                      <a:ext cx="4493670" cy="1620108"/>
                    </a:xfrm>
                    <a:prstGeom prst="rect">
                      <a:avLst/>
                    </a:prstGeom>
                    <a:ln>
                      <a:noFill/>
                    </a:ln>
                    <a:extLst>
                      <a:ext uri="{53640926-AAD7-44D8-BBD7-CCE9431645EC}">
                        <a14:shadowObscured xmlns:a14="http://schemas.microsoft.com/office/drawing/2010/main"/>
                      </a:ext>
                    </a:extLst>
                  </pic:spPr>
                </pic:pic>
              </a:graphicData>
            </a:graphic>
          </wp:inline>
        </w:drawing>
      </w:r>
    </w:p>
    <w:p w14:paraId="116157AA" w14:textId="77777777" w:rsidR="007C7845" w:rsidRPr="00306FE2" w:rsidRDefault="007C7845" w:rsidP="00E706E5">
      <w:pPr>
        <w:pStyle w:val="Heading6"/>
      </w:pPr>
      <w:r w:rsidRPr="00306FE2">
        <w:t xml:space="preserve">Safety </w:t>
      </w:r>
      <w:r w:rsidR="00494C4B" w:rsidRPr="00306FE2">
        <w:t>s</w:t>
      </w:r>
      <w:r w:rsidRPr="00306FE2">
        <w:t>ummary</w:t>
      </w:r>
    </w:p>
    <w:p w14:paraId="5E6CC9BB" w14:textId="0FB4310B" w:rsidR="007C7845" w:rsidRPr="00306FE2" w:rsidRDefault="007C7845" w:rsidP="007C7845">
      <w:pPr>
        <w:pStyle w:val="BodyCopy"/>
      </w:pPr>
      <w:r w:rsidRPr="00306FE2">
        <w:t xml:space="preserve">The safety profile in the </w:t>
      </w:r>
      <w:proofErr w:type="spellStart"/>
      <w:r w:rsidRPr="00306FE2">
        <w:t>Atezo+Chemo</w:t>
      </w:r>
      <w:proofErr w:type="spellEnd"/>
      <w:r w:rsidRPr="00306FE2">
        <w:t xml:space="preserve"> </w:t>
      </w:r>
      <w:r w:rsidR="00494C4B" w:rsidRPr="00306FE2">
        <w:t>c</w:t>
      </w:r>
      <w:r w:rsidRPr="00306FE2">
        <w:t xml:space="preserve">ombo population was consistent with the safety profile in the </w:t>
      </w:r>
      <w:proofErr w:type="spellStart"/>
      <w:r w:rsidRPr="00306FE2">
        <w:t>Atezo+CnP</w:t>
      </w:r>
      <w:proofErr w:type="spellEnd"/>
      <w:r w:rsidRPr="00306FE2">
        <w:t xml:space="preserve"> arm (</w:t>
      </w:r>
      <w:r w:rsidR="00D2321C" w:rsidRPr="00306FE2">
        <w:t xml:space="preserve">Study </w:t>
      </w:r>
      <w:r w:rsidRPr="00306FE2">
        <w:t xml:space="preserve">IMpower130), and no new or unexpected findings were observed in the total pooled </w:t>
      </w:r>
      <w:proofErr w:type="spellStart"/>
      <w:r w:rsidRPr="00306FE2">
        <w:t>Atezo+Chemo</w:t>
      </w:r>
      <w:proofErr w:type="spellEnd"/>
      <w:r w:rsidRPr="00306FE2">
        <w:t xml:space="preserve"> </w:t>
      </w:r>
      <w:r w:rsidR="007912BD">
        <w:t>c</w:t>
      </w:r>
      <w:r w:rsidRPr="00306FE2">
        <w:t>ombo population.</w:t>
      </w:r>
    </w:p>
    <w:p w14:paraId="0E83F4E3" w14:textId="10E4A612" w:rsidR="007C7845" w:rsidRPr="00306FE2" w:rsidRDefault="007C7845" w:rsidP="007C7845">
      <w:pPr>
        <w:pStyle w:val="BodyCopy"/>
      </w:pPr>
      <w:r w:rsidRPr="00306FE2">
        <w:t xml:space="preserve">There was a notably increased incidence (≥ 10% difference) in patients in the </w:t>
      </w:r>
      <w:proofErr w:type="spellStart"/>
      <w:r w:rsidRPr="00306FE2">
        <w:t>Atezo+CnP</w:t>
      </w:r>
      <w:proofErr w:type="spellEnd"/>
      <w:r w:rsidRPr="00306FE2">
        <w:t xml:space="preserve"> arm (</w:t>
      </w:r>
      <w:r w:rsidR="00D2321C" w:rsidRPr="00306FE2">
        <w:t xml:space="preserve">Study </w:t>
      </w:r>
      <w:r w:rsidRPr="00306FE2">
        <w:t xml:space="preserve">IMpower130) compared with the </w:t>
      </w:r>
      <w:proofErr w:type="spellStart"/>
      <w:r w:rsidRPr="00306FE2">
        <w:t>Atezo+Chemo</w:t>
      </w:r>
      <w:proofErr w:type="spellEnd"/>
      <w:r w:rsidRPr="00306FE2">
        <w:t xml:space="preserve"> </w:t>
      </w:r>
      <w:r w:rsidR="007912BD">
        <w:t>c</w:t>
      </w:r>
      <w:r w:rsidRPr="00306FE2">
        <w:t>ombo population of Grade</w:t>
      </w:r>
      <w:r w:rsidR="007912BD">
        <w:t> </w:t>
      </w:r>
      <w:r w:rsidRPr="00306FE2">
        <w:t>3</w:t>
      </w:r>
      <w:r w:rsidR="007912BD">
        <w:t xml:space="preserve"> or </w:t>
      </w:r>
      <w:r w:rsidRPr="00306FE2">
        <w:t>4 AEs (80.5%</w:t>
      </w:r>
      <w:r w:rsidR="00494C4B" w:rsidRPr="00306FE2">
        <w:t xml:space="preserve"> versus </w:t>
      </w:r>
      <w:r w:rsidRPr="00306FE2">
        <w:t>66.1%), treatment-related Grade 3 AEs (73.2%</w:t>
      </w:r>
      <w:r w:rsidR="00494C4B" w:rsidRPr="00306FE2">
        <w:t xml:space="preserve"> versus </w:t>
      </w:r>
      <w:r w:rsidRPr="00306FE2">
        <w:t>57.0%), and AEs leading to treatment modification/interruption (85.0%</w:t>
      </w:r>
      <w:r w:rsidR="00494C4B" w:rsidRPr="00306FE2">
        <w:t xml:space="preserve"> versus </w:t>
      </w:r>
      <w:r w:rsidRPr="00306FE2">
        <w:t>66.4%).</w:t>
      </w:r>
    </w:p>
    <w:p w14:paraId="775655CB" w14:textId="2EC3B00C" w:rsidR="007C7845" w:rsidRDefault="007C7845" w:rsidP="007C7845">
      <w:pPr>
        <w:pStyle w:val="BodyCopy"/>
      </w:pPr>
      <w:r w:rsidRPr="00306FE2">
        <w:t>The difference in the incidence of Grade 3</w:t>
      </w:r>
      <w:r w:rsidR="007912BD">
        <w:t xml:space="preserve"> or</w:t>
      </w:r>
      <w:r w:rsidRPr="00306FE2">
        <w:t>4 AEs in patients in the two groups was primarily driven by the increased incidence of Blood and Lymphatic System Disorders (</w:t>
      </w:r>
      <w:r w:rsidR="00494C4B" w:rsidRPr="00306FE2">
        <w:t>System Organ Class (</w:t>
      </w:r>
      <w:r w:rsidRPr="00306FE2">
        <w:t>SOC</w:t>
      </w:r>
      <w:r w:rsidR="00494C4B" w:rsidRPr="00306FE2">
        <w:t>)</w:t>
      </w:r>
      <w:r w:rsidRPr="00306FE2">
        <w:t xml:space="preserve">) in the </w:t>
      </w:r>
      <w:proofErr w:type="spellStart"/>
      <w:r w:rsidRPr="00306FE2">
        <w:t>Atezo+CnP</w:t>
      </w:r>
      <w:proofErr w:type="spellEnd"/>
      <w:r w:rsidRPr="00306FE2">
        <w:t xml:space="preserve"> arm (</w:t>
      </w:r>
      <w:r w:rsidR="00D2321C" w:rsidRPr="00306FE2">
        <w:t xml:space="preserve">Study </w:t>
      </w:r>
      <w:r w:rsidRPr="00306FE2">
        <w:t xml:space="preserve">IMpower130) compared with the </w:t>
      </w:r>
      <w:proofErr w:type="spellStart"/>
      <w:r w:rsidRPr="00306FE2">
        <w:t>Atezo+Chemo</w:t>
      </w:r>
      <w:proofErr w:type="spellEnd"/>
      <w:r w:rsidRPr="00306FE2">
        <w:t xml:space="preserve"> Combo population (57.1%</w:t>
      </w:r>
      <w:r w:rsidR="00494C4B" w:rsidRPr="00306FE2">
        <w:t xml:space="preserve"> versus </w:t>
      </w:r>
      <w:r w:rsidRPr="00306FE2">
        <w:t xml:space="preserve">36.3%), which was primarily due to the higher incidence of </w:t>
      </w:r>
      <w:proofErr w:type="spellStart"/>
      <w:r w:rsidRPr="00306FE2">
        <w:t>neutrop</w:t>
      </w:r>
      <w:r w:rsidR="007912BD">
        <w:t>a</w:t>
      </w:r>
      <w:r w:rsidRPr="00306FE2">
        <w:t>enia</w:t>
      </w:r>
      <w:proofErr w:type="spellEnd"/>
      <w:r w:rsidRPr="00306FE2">
        <w:t xml:space="preserve"> (32.3%</w:t>
      </w:r>
      <w:r w:rsidR="00494C4B" w:rsidRPr="00306FE2">
        <w:t xml:space="preserve"> versus </w:t>
      </w:r>
      <w:r w:rsidRPr="00306FE2">
        <w:t>17.1%, respectively) and anaemia (31.9%</w:t>
      </w:r>
      <w:r w:rsidR="00494C4B" w:rsidRPr="00306FE2">
        <w:t xml:space="preserve"> versus </w:t>
      </w:r>
      <w:r w:rsidRPr="00306FE2">
        <w:t>17.1%, respectively).</w:t>
      </w:r>
    </w:p>
    <w:p w14:paraId="51A7B8A5" w14:textId="244575FB" w:rsidR="00556DDB" w:rsidRDefault="00386150" w:rsidP="008E7846">
      <w:pPr>
        <w:pStyle w:val="Heading3"/>
        <w:rPr>
          <w:lang w:eastAsia="en-AU"/>
        </w:rPr>
      </w:pPr>
      <w:bookmarkStart w:id="40" w:name="_Toc43287538"/>
      <w:r w:rsidRPr="00306FE2">
        <w:rPr>
          <w:lang w:eastAsia="en-AU"/>
        </w:rPr>
        <w:t>Risk m</w:t>
      </w:r>
      <w:r w:rsidR="008E7846" w:rsidRPr="00306FE2">
        <w:rPr>
          <w:lang w:eastAsia="en-AU"/>
        </w:rPr>
        <w:t xml:space="preserve">anagement </w:t>
      </w:r>
      <w:r w:rsidRPr="00306FE2">
        <w:rPr>
          <w:lang w:eastAsia="en-AU"/>
        </w:rPr>
        <w:t>p</w:t>
      </w:r>
      <w:r w:rsidR="008E7846" w:rsidRPr="00306FE2">
        <w:rPr>
          <w:lang w:eastAsia="en-AU"/>
        </w:rPr>
        <w:t>lan</w:t>
      </w:r>
      <w:bookmarkEnd w:id="39"/>
      <w:bookmarkEnd w:id="40"/>
    </w:p>
    <w:p w14:paraId="22A743E6" w14:textId="26CF85AB" w:rsidR="00556DDB" w:rsidRDefault="006471FC" w:rsidP="0083202A">
      <w:pPr>
        <w:rPr>
          <w:lang w:eastAsia="en-AU"/>
        </w:rPr>
      </w:pPr>
      <w:r>
        <w:t>Th</w:t>
      </w:r>
      <w:r w:rsidR="00770C12">
        <w:t>is</w:t>
      </w:r>
      <w:r w:rsidR="0057491F">
        <w:t xml:space="preserve"> extension of indications</w:t>
      </w:r>
      <w:r>
        <w:t xml:space="preserve"> submission </w:t>
      </w:r>
      <w:r w:rsidR="0057491F">
        <w:t xml:space="preserve">was planned to </w:t>
      </w:r>
      <w:r w:rsidR="007728FA">
        <w:t>include Risk</w:t>
      </w:r>
      <w:r>
        <w:t xml:space="preserve"> Management Plan (EU), Version </w:t>
      </w:r>
      <w:r w:rsidR="0057491F">
        <w:t>9</w:t>
      </w:r>
      <w:r>
        <w:t>.0, data lock point 11 September 2018</w:t>
      </w:r>
      <w:r w:rsidR="0057491F">
        <w:t>, however</w:t>
      </w:r>
      <w:r>
        <w:t xml:space="preserve"> </w:t>
      </w:r>
      <w:r w:rsidR="0057491F">
        <w:t>t</w:t>
      </w:r>
      <w:r>
        <w:t xml:space="preserve">he </w:t>
      </w:r>
      <w:r w:rsidR="007728FA">
        <w:t>sponsor has</w:t>
      </w:r>
      <w:r>
        <w:t xml:space="preserve"> </w:t>
      </w:r>
      <w:r w:rsidR="0057491F">
        <w:t xml:space="preserve">had an </w:t>
      </w:r>
      <w:r>
        <w:t xml:space="preserve">agreement </w:t>
      </w:r>
      <w:r w:rsidR="0057491F">
        <w:t>with</w:t>
      </w:r>
      <w:r w:rsidR="00255325">
        <w:t xml:space="preserve"> </w:t>
      </w:r>
      <w:r>
        <w:t xml:space="preserve">the TGA, </w:t>
      </w:r>
      <w:r w:rsidR="0057491F">
        <w:t>to</w:t>
      </w:r>
      <w:r>
        <w:t xml:space="preserve"> not include </w:t>
      </w:r>
      <w:r w:rsidR="007728FA">
        <w:t>this updated</w:t>
      </w:r>
      <w:r>
        <w:t xml:space="preserve"> </w:t>
      </w:r>
      <w:r w:rsidR="0057491F">
        <w:t>version of</w:t>
      </w:r>
      <w:r>
        <w:t xml:space="preserve"> the Risk Management Plan for </w:t>
      </w:r>
      <w:proofErr w:type="spellStart"/>
      <w:r>
        <w:t>Tecentriq</w:t>
      </w:r>
      <w:proofErr w:type="spellEnd"/>
      <w:r>
        <w:t xml:space="preserve"> (Version 9.0). Email correspondence from the sponsor to the TGA (Pre-submission details) states that Version 9.0 of the RMP (submitted to the EU in October 2018) does not introduce any new risks to the safety specification.</w:t>
      </w:r>
    </w:p>
    <w:p w14:paraId="6185461D" w14:textId="3DEAF657" w:rsidR="008E7846" w:rsidRPr="00CC6446" w:rsidRDefault="000C4442" w:rsidP="008E7846">
      <w:pPr>
        <w:pStyle w:val="Heading3"/>
      </w:pPr>
      <w:bookmarkStart w:id="41" w:name="_Toc247691531"/>
      <w:bookmarkStart w:id="42" w:name="_Toc314842515"/>
      <w:bookmarkStart w:id="43" w:name="_Toc196046505"/>
      <w:bookmarkStart w:id="44" w:name="_Toc196046949"/>
      <w:bookmarkStart w:id="45" w:name="_Toc43287539"/>
      <w:r w:rsidRPr="00CC6446">
        <w:t>Risk-benefit analysis</w:t>
      </w:r>
      <w:bookmarkEnd w:id="41"/>
      <w:bookmarkEnd w:id="42"/>
      <w:bookmarkEnd w:id="45"/>
    </w:p>
    <w:p w14:paraId="50DFB37B" w14:textId="77777777" w:rsidR="00D23139" w:rsidRPr="00CC6446" w:rsidRDefault="00D23139" w:rsidP="00D23139">
      <w:pPr>
        <w:pStyle w:val="Heading4"/>
      </w:pPr>
      <w:r w:rsidRPr="00CC6446">
        <w:t xml:space="preserve">Delegate’s considerations </w:t>
      </w:r>
    </w:p>
    <w:p w14:paraId="30F55392" w14:textId="77777777" w:rsidR="007C7845" w:rsidRPr="00CC6446" w:rsidRDefault="007C7845" w:rsidP="00494C4B">
      <w:pPr>
        <w:pStyle w:val="Heading5"/>
      </w:pPr>
      <w:r w:rsidRPr="00CC6446">
        <w:t>Extract from E</w:t>
      </w:r>
      <w:r w:rsidR="008F3D0E" w:rsidRPr="00CC6446">
        <w:t xml:space="preserve">uropean </w:t>
      </w:r>
      <w:r w:rsidRPr="00CC6446">
        <w:t>P</w:t>
      </w:r>
      <w:r w:rsidR="008F3D0E" w:rsidRPr="00CC6446">
        <w:t xml:space="preserve">ublic </w:t>
      </w:r>
      <w:r w:rsidRPr="00CC6446">
        <w:t>A</w:t>
      </w:r>
      <w:r w:rsidR="008F3D0E" w:rsidRPr="00CC6446">
        <w:t xml:space="preserve">ssessment </w:t>
      </w:r>
      <w:r w:rsidRPr="00CC6446">
        <w:t>R</w:t>
      </w:r>
      <w:r w:rsidR="008F3D0E" w:rsidRPr="00CC6446">
        <w:t>eport (EPAR)</w:t>
      </w:r>
    </w:p>
    <w:p w14:paraId="4E93D25E" w14:textId="3E0C20FA" w:rsidR="007C7845" w:rsidRPr="00CC6446" w:rsidRDefault="002546ED" w:rsidP="007C7845">
      <w:r w:rsidRPr="00CC6446">
        <w:rPr>
          <w:i/>
        </w:rPr>
        <w:t>‘</w:t>
      </w:r>
      <w:r w:rsidR="007C7845" w:rsidRPr="00CC6446">
        <w:rPr>
          <w:i/>
        </w:rPr>
        <w:t>The MAH amended the protocol seven times. The majority of the protocol amendments are not controversial, however with protocol amendment 4 (version 5) the co-primary endpoint OS was added. This was, according to the MAH, motivated by the fact that emerging and accumulating knowledge about immune checkpoint inhibitors showed that PFS may not be as sensitive endpoint as OS. Patients were allowed to cross over after the addition of OS as co</w:t>
      </w:r>
      <w:r w:rsidR="00A33E42">
        <w:rPr>
          <w:i/>
        </w:rPr>
        <w:noBreakHyphen/>
      </w:r>
      <w:r w:rsidR="007C7845" w:rsidRPr="00CC6446">
        <w:rPr>
          <w:i/>
        </w:rPr>
        <w:t>primary endpoint. Analyses showed that those patients that crossed over prior to the amendment had little effect on the final results</w:t>
      </w:r>
      <w:r w:rsidR="007C7845" w:rsidRPr="00CC6446">
        <w:t>.</w:t>
      </w:r>
    </w:p>
    <w:p w14:paraId="17FA412F" w14:textId="735B1F4A" w:rsidR="007C7845" w:rsidRPr="00CC6446" w:rsidRDefault="007C7845" w:rsidP="007C7845">
      <w:pPr>
        <w:rPr>
          <w:i/>
        </w:rPr>
      </w:pPr>
      <w:r w:rsidRPr="00CC6446">
        <w:rPr>
          <w:i/>
        </w:rPr>
        <w:lastRenderedPageBreak/>
        <w:t xml:space="preserve">As a consequence of the addition of OS as co-primary endpoint the SAP was accordingly amended. Also, the testing of PFS in ITT-WT </w:t>
      </w:r>
      <w:proofErr w:type="spellStart"/>
      <w:r w:rsidRPr="00CC6446">
        <w:rPr>
          <w:i/>
        </w:rPr>
        <w:t>Teff</w:t>
      </w:r>
      <w:proofErr w:type="spellEnd"/>
      <w:r w:rsidR="003749BA" w:rsidRPr="00CC6446">
        <w:rPr>
          <w:rStyle w:val="FootnoteReference"/>
          <w:i/>
        </w:rPr>
        <w:footnoteReference w:id="10"/>
      </w:r>
      <w:r w:rsidR="003749BA" w:rsidRPr="00CC6446">
        <w:rPr>
          <w:i/>
        </w:rPr>
        <w:t>-high</w:t>
      </w:r>
      <w:r w:rsidRPr="00CC6446">
        <w:rPr>
          <w:i/>
        </w:rPr>
        <w:t xml:space="preserve"> was removed from the primary testing and listed as an exploratory analysis. The final set of stratification factors were amended </w:t>
      </w:r>
      <w:r w:rsidR="002546ED" w:rsidRPr="00CC6446">
        <w:rPr>
          <w:i/>
        </w:rPr>
        <w:t>‘</w:t>
      </w:r>
      <w:r w:rsidRPr="00CC6446">
        <w:rPr>
          <w:i/>
        </w:rPr>
        <w:t>due to the potential risk of over-stratification</w:t>
      </w:r>
      <w:r w:rsidR="002546ED" w:rsidRPr="00CC6446">
        <w:rPr>
          <w:i/>
        </w:rPr>
        <w:t>’</w:t>
      </w:r>
      <w:r w:rsidRPr="00CC6446">
        <w:rPr>
          <w:i/>
        </w:rPr>
        <w:t>. According to the guideline on adjustment for baseline covariates in clinical trials (EMA/CHMP/295050/2013</w:t>
      </w:r>
      <w:r w:rsidR="00A33E42">
        <w:rPr>
          <w:i/>
        </w:rPr>
        <w:t>;</w:t>
      </w:r>
      <w:r w:rsidR="006D73C7" w:rsidRPr="00CC6446">
        <w:rPr>
          <w:rStyle w:val="FootnoteReference"/>
          <w:i/>
        </w:rPr>
        <w:footnoteReference w:id="11"/>
      </w:r>
      <w:r w:rsidRPr="00CC6446">
        <w:rPr>
          <w:i/>
        </w:rPr>
        <w:t>)</w:t>
      </w:r>
      <w:r w:rsidR="002546ED" w:rsidRPr="00CC6446">
        <w:rPr>
          <w:i/>
        </w:rPr>
        <w:t>’</w:t>
      </w:r>
      <w:r w:rsidRPr="00CC6446">
        <w:rPr>
          <w:i/>
        </w:rPr>
        <w:t>, the factors that are the basis of stratification should normally be included as covariates or stratification variables in the primary outcome model, except where stratification was done purely</w:t>
      </w:r>
      <w:r w:rsidR="00AB2F21" w:rsidRPr="00CC6446">
        <w:rPr>
          <w:i/>
        </w:rPr>
        <w:t xml:space="preserve"> for an administrative reason.</w:t>
      </w:r>
    </w:p>
    <w:p w14:paraId="76A3642A" w14:textId="77777777" w:rsidR="007C7845" w:rsidRPr="00CC6446" w:rsidRDefault="007C7845" w:rsidP="007C7845">
      <w:pPr>
        <w:rPr>
          <w:i/>
        </w:rPr>
      </w:pPr>
      <w:r w:rsidRPr="00CC6446">
        <w:rPr>
          <w:i/>
        </w:rPr>
        <w:t>Overall, no major concerns have been identified with regards to design and conduct of the study.</w:t>
      </w:r>
      <w:r w:rsidR="002546ED" w:rsidRPr="00CC6446">
        <w:rPr>
          <w:i/>
        </w:rPr>
        <w:t>’</w:t>
      </w:r>
    </w:p>
    <w:p w14:paraId="75469305" w14:textId="5BB4431A" w:rsidR="007C7845" w:rsidRPr="00CC6446" w:rsidRDefault="007C7845" w:rsidP="007C7845">
      <w:r w:rsidRPr="00CC6446">
        <w:t>The primary analysis was conducted in all patients, excluding those with EGFR mutations or ALK rearrangements, define</w:t>
      </w:r>
      <w:r w:rsidR="00AB2F21" w:rsidRPr="00CC6446">
        <w:t>d as ITT-WT population (n</w:t>
      </w:r>
      <w:r w:rsidR="00A33E42">
        <w:t xml:space="preserve"> </w:t>
      </w:r>
      <w:r w:rsidR="00AB2F21" w:rsidRPr="00CC6446">
        <w:t>=</w:t>
      </w:r>
      <w:r w:rsidR="00A33E42">
        <w:t xml:space="preserve"> </w:t>
      </w:r>
      <w:r w:rsidR="00AB2F21" w:rsidRPr="00CC6446">
        <w:t>679).</w:t>
      </w:r>
    </w:p>
    <w:p w14:paraId="2F831915" w14:textId="77777777" w:rsidR="007C7845" w:rsidRPr="00CC6446" w:rsidRDefault="007C7845" w:rsidP="007C7845">
      <w:r w:rsidRPr="00CC6446">
        <w:t>Patients had a median survival</w:t>
      </w:r>
      <w:r w:rsidR="00AB2F21" w:rsidRPr="00CC6446">
        <w:t xml:space="preserve"> follow up time of 18.6 months.</w:t>
      </w:r>
    </w:p>
    <w:p w14:paraId="5366149E" w14:textId="7259E677" w:rsidR="007C7845" w:rsidRPr="00CC6446" w:rsidRDefault="007C7845" w:rsidP="007C7845">
      <w:r w:rsidRPr="00CC6446">
        <w:t>The study met its co-primary endpoints. PFS in ITT-WT showed a HR of 0.64 (95%</w:t>
      </w:r>
      <w:r w:rsidR="00A33E42">
        <w:t> </w:t>
      </w:r>
      <w:r w:rsidRPr="00CC6446">
        <w:t>CI:</w:t>
      </w:r>
      <w:r w:rsidR="00A33E42">
        <w:t> </w:t>
      </w:r>
      <w:r w:rsidRPr="00CC6446">
        <w:t xml:space="preserve">0.54, 0.77; p&lt;0.0001). The median duration of PFS was 7.0 months in the </w:t>
      </w:r>
      <w:proofErr w:type="spellStart"/>
      <w:r w:rsidR="00A60E46" w:rsidRPr="00CC6446">
        <w:t>Atezo+CnP</w:t>
      </w:r>
      <w:proofErr w:type="spellEnd"/>
      <w:r w:rsidRPr="00CC6446">
        <w:t xml:space="preserve"> arm compared to 5.5 months in the </w:t>
      </w:r>
      <w:proofErr w:type="spellStart"/>
      <w:r w:rsidRPr="00CC6446">
        <w:t>CnP</w:t>
      </w:r>
      <w:proofErr w:type="spellEnd"/>
      <w:r w:rsidRPr="00CC6446">
        <w:t xml:space="preserve"> arm.</w:t>
      </w:r>
    </w:p>
    <w:p w14:paraId="0E31D103" w14:textId="44531124" w:rsidR="007C7845" w:rsidRPr="00CC6446" w:rsidRDefault="007C7845" w:rsidP="007C7845">
      <w:r w:rsidRPr="00CC6446">
        <w:t xml:space="preserve">Based on the March 2018 data cut-off, in ITT-WT </w:t>
      </w:r>
      <w:r w:rsidR="00A60E46" w:rsidRPr="00CC6446">
        <w:t>population, median</w:t>
      </w:r>
      <w:r w:rsidRPr="00CC6446">
        <w:t xml:space="preserve"> OS was 18.6 months (95% CI 16</w:t>
      </w:r>
      <w:r w:rsidR="00A60E46" w:rsidRPr="00CC6446">
        <w:t>.</w:t>
      </w:r>
      <w:r w:rsidRPr="00CC6446">
        <w:t>0</w:t>
      </w:r>
      <w:r w:rsidR="004A5F44">
        <w:t xml:space="preserve">, </w:t>
      </w:r>
      <w:r w:rsidRPr="00CC6446">
        <w:t>21</w:t>
      </w:r>
      <w:r w:rsidR="00A60E46" w:rsidRPr="00CC6446">
        <w:t>.</w:t>
      </w:r>
      <w:r w:rsidRPr="00CC6446">
        <w:t xml:space="preserve">2) in the </w:t>
      </w:r>
      <w:proofErr w:type="spellStart"/>
      <w:r w:rsidR="00A60E46" w:rsidRPr="00CC6446">
        <w:t>Atezo+CnP</w:t>
      </w:r>
      <w:proofErr w:type="spellEnd"/>
      <w:r w:rsidR="00494C4B" w:rsidRPr="00CC6446">
        <w:t xml:space="preserve"> versus </w:t>
      </w:r>
      <w:r w:rsidRPr="00CC6446">
        <w:t>13.9 months (</w:t>
      </w:r>
      <w:r w:rsidR="000C4442">
        <w:t>95% CI</w:t>
      </w:r>
      <w:r w:rsidR="000C4442">
        <w:rPr>
          <w:lang w:val="en-US"/>
        </w:rPr>
        <w:t xml:space="preserve">: </w:t>
      </w:r>
      <w:r w:rsidRPr="00CC6446">
        <w:t>12</w:t>
      </w:r>
      <w:r w:rsidR="00A60E46" w:rsidRPr="00CC6446">
        <w:t>.</w:t>
      </w:r>
      <w:r w:rsidRPr="00CC6446">
        <w:t>0</w:t>
      </w:r>
      <w:r w:rsidR="004A5F44">
        <w:t xml:space="preserve">, </w:t>
      </w:r>
      <w:r w:rsidRPr="00CC6446">
        <w:t>18</w:t>
      </w:r>
      <w:r w:rsidR="00A60E46" w:rsidRPr="00CC6446">
        <w:t>.</w:t>
      </w:r>
      <w:r w:rsidRPr="00CC6446">
        <w:t>7) in the comparator arm (</w:t>
      </w:r>
      <w:proofErr w:type="spellStart"/>
      <w:r w:rsidRPr="00CC6446">
        <w:t>CnP</w:t>
      </w:r>
      <w:proofErr w:type="spellEnd"/>
      <w:r w:rsidRPr="00CC6446">
        <w:t xml:space="preserve">) </w:t>
      </w:r>
      <w:r w:rsidR="003A1C86">
        <w:t>(</w:t>
      </w:r>
      <w:r w:rsidRPr="00CC6446">
        <w:t>HR</w:t>
      </w:r>
      <w:r w:rsidR="003A1C86">
        <w:t> </w:t>
      </w:r>
      <w:r w:rsidRPr="00CC6446">
        <w:t>=</w:t>
      </w:r>
      <w:r w:rsidR="003A1C86">
        <w:t> </w:t>
      </w:r>
      <w:r w:rsidRPr="00CC6446">
        <w:t>0.79 (95%</w:t>
      </w:r>
      <w:r w:rsidR="001B32A8">
        <w:t xml:space="preserve"> </w:t>
      </w:r>
      <w:r w:rsidRPr="00CC6446">
        <w:t>CI</w:t>
      </w:r>
      <w:r w:rsidR="000C4442">
        <w:t>:</w:t>
      </w:r>
      <w:r w:rsidRPr="00CC6446">
        <w:t xml:space="preserve"> 0.64, 0.98); p=0·033</w:t>
      </w:r>
      <w:r w:rsidR="003A1C86">
        <w:t>)</w:t>
      </w:r>
      <w:r w:rsidRPr="00CC6446">
        <w:t>, an improvement of median survival of 4.7 months.</w:t>
      </w:r>
    </w:p>
    <w:p w14:paraId="282C0AE0" w14:textId="77777777" w:rsidR="007C7845" w:rsidRPr="00CC6446" w:rsidRDefault="007C7845" w:rsidP="007C7845">
      <w:r w:rsidRPr="00CC6446">
        <w:t xml:space="preserve">The </w:t>
      </w:r>
      <w:r w:rsidR="008F3D0E" w:rsidRPr="00CC6446">
        <w:t>OS</w:t>
      </w:r>
      <w:r w:rsidRPr="00CC6446">
        <w:t xml:space="preserve"> advantage was observed, despite crossover to at least one subsequent line of immunotherapy by almost 60% of patients in the chemotherapy group (s</w:t>
      </w:r>
      <w:r w:rsidR="00334944" w:rsidRPr="00CC6446">
        <w:t>ee Table 6</w:t>
      </w:r>
      <w:r w:rsidRPr="00CC6446">
        <w:t>).</w:t>
      </w:r>
    </w:p>
    <w:p w14:paraId="3CAA025A" w14:textId="77777777" w:rsidR="007C7845" w:rsidRPr="00CC6446" w:rsidRDefault="007C7845" w:rsidP="007C7845">
      <w:r w:rsidRPr="00CC6446">
        <w:t xml:space="preserve">Subgroup analyses showed consistent </w:t>
      </w:r>
      <w:r w:rsidR="008F3D0E" w:rsidRPr="00CC6446">
        <w:t>OS</w:t>
      </w:r>
      <w:r w:rsidRPr="00CC6446">
        <w:t xml:space="preserve"> and </w:t>
      </w:r>
      <w:r w:rsidR="008F3D0E" w:rsidRPr="00CC6446">
        <w:t>PFS</w:t>
      </w:r>
      <w:r w:rsidRPr="00CC6446">
        <w:t xml:space="preserve"> (see Tables </w:t>
      </w:r>
      <w:r w:rsidR="00334944" w:rsidRPr="00CC6446">
        <w:t>7 and 8</w:t>
      </w:r>
      <w:r w:rsidRPr="00CC6446">
        <w:t xml:space="preserve">) benefit with </w:t>
      </w:r>
      <w:proofErr w:type="spellStart"/>
      <w:r w:rsidRPr="00CC6446">
        <w:t>atezolizumab</w:t>
      </w:r>
      <w:proofErr w:type="spellEnd"/>
      <w:r w:rsidRPr="00CC6446">
        <w:t xml:space="preserve"> across the majority of clinical subgroups, except for patients with liver metastases, in whom </w:t>
      </w:r>
      <w:proofErr w:type="spellStart"/>
      <w:r w:rsidRPr="00CC6446">
        <w:t>atezolizumab</w:t>
      </w:r>
      <w:proofErr w:type="spellEnd"/>
      <w:r w:rsidRPr="00CC6446">
        <w:t xml:space="preserve"> plus chemotherapy did not show improved </w:t>
      </w:r>
      <w:r w:rsidR="00AB2F21" w:rsidRPr="00CC6446">
        <w:t>OS</w:t>
      </w:r>
      <w:r w:rsidRPr="00CC6446">
        <w:t xml:space="preserve"> versus chemotherapy alone.</w:t>
      </w:r>
    </w:p>
    <w:p w14:paraId="6128FB67" w14:textId="77777777" w:rsidR="007C7845" w:rsidRPr="00CC6446" w:rsidRDefault="007C7845" w:rsidP="007C7845">
      <w:r w:rsidRPr="00CC6446">
        <w:t xml:space="preserve">With respect to the PD-L1 subgroups, treatment benefit was observed in terms of </w:t>
      </w:r>
      <w:r w:rsidR="00AB2F21" w:rsidRPr="00CC6446">
        <w:t>OS</w:t>
      </w:r>
      <w:r w:rsidRPr="00CC6446">
        <w:t xml:space="preserve"> and </w:t>
      </w:r>
      <w:r w:rsidR="00AB2F21" w:rsidRPr="00CC6446">
        <w:t>PFS</w:t>
      </w:r>
      <w:r w:rsidRPr="00CC6446">
        <w:t xml:space="preserve"> in the </w:t>
      </w:r>
      <w:r w:rsidR="00AB2F21" w:rsidRPr="00CC6446">
        <w:t>ITT-WT</w:t>
      </w:r>
      <w:r w:rsidRPr="00CC6446">
        <w:t xml:space="preserve"> populations, regardless of PD-L1 expression.</w:t>
      </w:r>
    </w:p>
    <w:p w14:paraId="7C418DE8" w14:textId="77777777" w:rsidR="007C7845" w:rsidRPr="00CC6446" w:rsidRDefault="007C7845" w:rsidP="007C7845">
      <w:r w:rsidRPr="00CC6446">
        <w:t xml:space="preserve">Overall, the safety profile of </w:t>
      </w:r>
      <w:proofErr w:type="spellStart"/>
      <w:r w:rsidRPr="00CC6446">
        <w:t>atezolizumab</w:t>
      </w:r>
      <w:proofErr w:type="spellEnd"/>
      <w:r w:rsidRPr="00CC6446">
        <w:t xml:space="preserve"> in combination with </w:t>
      </w:r>
      <w:proofErr w:type="spellStart"/>
      <w:r w:rsidRPr="00CC6446">
        <w:t>CnP</w:t>
      </w:r>
      <w:proofErr w:type="spellEnd"/>
      <w:r w:rsidRPr="00CC6446">
        <w:t xml:space="preserve"> is considered acceptable. Howe</w:t>
      </w:r>
      <w:r w:rsidR="00A60E46" w:rsidRPr="00CC6446">
        <w:t>ver, there are more O</w:t>
      </w:r>
      <w:r w:rsidRPr="00CC6446">
        <w:t xml:space="preserve">verall AEs and </w:t>
      </w:r>
      <w:r w:rsidR="00AB2F21" w:rsidRPr="00CC6446">
        <w:t>G</w:t>
      </w:r>
      <w:r w:rsidRPr="00CC6446">
        <w:t xml:space="preserve">rade 3 and 4 AEs in the </w:t>
      </w:r>
      <w:proofErr w:type="spellStart"/>
      <w:r w:rsidRPr="00CC6446">
        <w:t>Atezo+CnP</w:t>
      </w:r>
      <w:proofErr w:type="spellEnd"/>
      <w:r w:rsidRPr="00CC6446">
        <w:t xml:space="preserve"> arm, but no new safety concerns were identified.</w:t>
      </w:r>
    </w:p>
    <w:p w14:paraId="79EE0845" w14:textId="77777777" w:rsidR="007C7845" w:rsidRPr="00CC6446" w:rsidRDefault="007C7845" w:rsidP="00AB2F21">
      <w:pPr>
        <w:pStyle w:val="Heading4"/>
      </w:pPr>
      <w:bookmarkStart w:id="46" w:name="_Toc31700900"/>
      <w:r w:rsidRPr="00CC6446">
        <w:t>Benefit/</w:t>
      </w:r>
      <w:r w:rsidR="00E706E5" w:rsidRPr="00CC6446">
        <w:t>r</w:t>
      </w:r>
      <w:r w:rsidRPr="00CC6446">
        <w:t xml:space="preserve">isk </w:t>
      </w:r>
      <w:r w:rsidR="00E706E5" w:rsidRPr="00CC6446">
        <w:t>b</w:t>
      </w:r>
      <w:r w:rsidRPr="00CC6446">
        <w:t>alance</w:t>
      </w:r>
      <w:bookmarkEnd w:id="46"/>
    </w:p>
    <w:p w14:paraId="3BC03D2C" w14:textId="41C55C7B" w:rsidR="007C7845" w:rsidRPr="002F7315" w:rsidRDefault="007C7845" w:rsidP="007C7845">
      <w:r w:rsidRPr="00CC6446">
        <w:t xml:space="preserve">The benefit/risk balance of </w:t>
      </w:r>
      <w:proofErr w:type="spellStart"/>
      <w:r w:rsidRPr="00CC6446">
        <w:t>Tecentriq</w:t>
      </w:r>
      <w:proofErr w:type="spellEnd"/>
      <w:r w:rsidRPr="00CC6446">
        <w:t xml:space="preserve"> in combination with nab</w:t>
      </w:r>
      <w:r w:rsidR="0036228B" w:rsidRPr="00CC6446">
        <w:t>-</w:t>
      </w:r>
      <w:r w:rsidRPr="00CC6446">
        <w:t>paclitaxel and carboplatin, for the first line treatment of adult patients with metastatic non-squamous NSCLC who do not have EGFR mutant or ALK positive NSCLC is considered positive.</w:t>
      </w:r>
    </w:p>
    <w:p w14:paraId="58F78F6F" w14:textId="77777777" w:rsidR="008F3D0E" w:rsidRPr="0003226A" w:rsidRDefault="008F3D0E" w:rsidP="00AB2F21">
      <w:pPr>
        <w:pStyle w:val="Heading4"/>
      </w:pPr>
      <w:bookmarkStart w:id="47" w:name="_Toc31700901"/>
      <w:r w:rsidRPr="0003226A">
        <w:t>Expert advice</w:t>
      </w:r>
    </w:p>
    <w:p w14:paraId="2C4675FC" w14:textId="77777777" w:rsidR="007C7845" w:rsidRPr="0003226A" w:rsidRDefault="00291785" w:rsidP="008F3D0E">
      <w:pPr>
        <w:pStyle w:val="Heading5"/>
      </w:pPr>
      <w:r w:rsidRPr="0003226A">
        <w:t>Question for cl</w:t>
      </w:r>
      <w:r w:rsidR="007C7845" w:rsidRPr="0003226A">
        <w:t xml:space="preserve">inical </w:t>
      </w:r>
      <w:r w:rsidRPr="0003226A">
        <w:t>e</w:t>
      </w:r>
      <w:r w:rsidR="007C7845" w:rsidRPr="0003226A">
        <w:t>xperts</w:t>
      </w:r>
      <w:bookmarkEnd w:id="47"/>
    </w:p>
    <w:p w14:paraId="2629042A" w14:textId="77777777" w:rsidR="007C7845" w:rsidRPr="0003226A" w:rsidRDefault="007C7845" w:rsidP="007C7845">
      <w:r w:rsidRPr="0003226A">
        <w:t xml:space="preserve">The study met its co-primary endpoints for the </w:t>
      </w:r>
      <w:r w:rsidR="000556AD" w:rsidRPr="0003226A">
        <w:t>first line</w:t>
      </w:r>
      <w:r w:rsidR="00AB2F21" w:rsidRPr="0003226A">
        <w:t xml:space="preserve"> treatment of patients with S</w:t>
      </w:r>
      <w:r w:rsidRPr="0003226A">
        <w:t xml:space="preserve">tage IV </w:t>
      </w:r>
      <w:r w:rsidR="00D2321C" w:rsidRPr="0003226A">
        <w:t xml:space="preserve">non-squamous </w:t>
      </w:r>
      <w:r w:rsidR="00AB2F21" w:rsidRPr="0003226A">
        <w:t>NSCLC</w:t>
      </w:r>
      <w:r w:rsidRPr="0003226A">
        <w:t xml:space="preserve"> and no ALK or EGFR mutations.</w:t>
      </w:r>
    </w:p>
    <w:p w14:paraId="0E917AE7" w14:textId="3F2946EC" w:rsidR="007C7845" w:rsidRPr="0003226A" w:rsidRDefault="007C7845" w:rsidP="007C7845">
      <w:r w:rsidRPr="0003226A">
        <w:t>PFS in ITT-WT showed a HR of 0.64 (95%CI: 0.54, 0.77; p</w:t>
      </w:r>
      <w:r w:rsidR="003A1C86">
        <w:t xml:space="preserve"> </w:t>
      </w:r>
      <w:r w:rsidRPr="0003226A">
        <w:t>&lt;</w:t>
      </w:r>
      <w:r w:rsidR="003A1C86">
        <w:t xml:space="preserve"> </w:t>
      </w:r>
      <w:r w:rsidRPr="0003226A">
        <w:t xml:space="preserve">0.0001). The median duration of PFS was 7.0 months in the </w:t>
      </w:r>
      <w:proofErr w:type="spellStart"/>
      <w:r w:rsidR="00A60E46" w:rsidRPr="0003226A">
        <w:t>Atezo+CnP</w:t>
      </w:r>
      <w:proofErr w:type="spellEnd"/>
      <w:r w:rsidRPr="0003226A">
        <w:t xml:space="preserve"> arm compared to 5.5 months in the </w:t>
      </w:r>
      <w:proofErr w:type="spellStart"/>
      <w:r w:rsidRPr="0003226A">
        <w:t>CnP</w:t>
      </w:r>
      <w:proofErr w:type="spellEnd"/>
      <w:r w:rsidRPr="0003226A">
        <w:t xml:space="preserve"> arm.</w:t>
      </w:r>
    </w:p>
    <w:p w14:paraId="7E24B9DE" w14:textId="665FA88A" w:rsidR="007C7845" w:rsidRPr="0003226A" w:rsidRDefault="007C7845" w:rsidP="007C7845">
      <w:r w:rsidRPr="0003226A">
        <w:lastRenderedPageBreak/>
        <w:t>In ITT-WT population, median OS was 18.6 months (95% CI</w:t>
      </w:r>
      <w:r w:rsidR="000C4442">
        <w:t>:</w:t>
      </w:r>
      <w:r w:rsidRPr="0003226A">
        <w:t xml:space="preserve"> 16</w:t>
      </w:r>
      <w:r w:rsidR="00AB2F21" w:rsidRPr="0003226A">
        <w:t>.</w:t>
      </w:r>
      <w:r w:rsidRPr="0003226A">
        <w:t>0</w:t>
      </w:r>
      <w:r w:rsidR="003A1C86">
        <w:t xml:space="preserve"> to </w:t>
      </w:r>
      <w:r w:rsidRPr="0003226A">
        <w:t>21</w:t>
      </w:r>
      <w:r w:rsidR="00AB2F21" w:rsidRPr="0003226A">
        <w:t>.</w:t>
      </w:r>
      <w:r w:rsidRPr="0003226A">
        <w:t xml:space="preserve">2) in the </w:t>
      </w:r>
      <w:proofErr w:type="spellStart"/>
      <w:r w:rsidR="00A60E46" w:rsidRPr="0003226A">
        <w:t>Atezo+CnP</w:t>
      </w:r>
      <w:proofErr w:type="spellEnd"/>
      <w:r w:rsidR="00494C4B" w:rsidRPr="0003226A">
        <w:t xml:space="preserve"> versus </w:t>
      </w:r>
      <w:r w:rsidRPr="0003226A">
        <w:t>13.9 months (</w:t>
      </w:r>
      <w:r w:rsidR="000C4442">
        <w:t>95% CI</w:t>
      </w:r>
      <w:r w:rsidR="000C4442">
        <w:rPr>
          <w:lang w:val="en-US"/>
        </w:rPr>
        <w:t xml:space="preserve">: </w:t>
      </w:r>
      <w:r w:rsidRPr="0003226A">
        <w:t>12</w:t>
      </w:r>
      <w:r w:rsidR="00AB2F21" w:rsidRPr="0003226A">
        <w:t>.</w:t>
      </w:r>
      <w:r w:rsidRPr="0003226A">
        <w:t>0</w:t>
      </w:r>
      <w:r w:rsidR="004A5F44">
        <w:t xml:space="preserve">, </w:t>
      </w:r>
      <w:r w:rsidRPr="0003226A">
        <w:t>18</w:t>
      </w:r>
      <w:r w:rsidR="00AB2F21" w:rsidRPr="0003226A">
        <w:t>.</w:t>
      </w:r>
      <w:r w:rsidRPr="0003226A">
        <w:t xml:space="preserve">7) in the comparator arm </w:t>
      </w:r>
      <w:r w:rsidR="003A1C86">
        <w:t>(</w:t>
      </w:r>
      <w:r w:rsidRPr="0003226A">
        <w:t>HR</w:t>
      </w:r>
      <w:r w:rsidR="003A1C86">
        <w:t> </w:t>
      </w:r>
      <w:r w:rsidRPr="0003226A">
        <w:t>=</w:t>
      </w:r>
      <w:r w:rsidR="003A1C86">
        <w:t> </w:t>
      </w:r>
      <w:r w:rsidRPr="0003226A">
        <w:t>0.79 (95%</w:t>
      </w:r>
      <w:r w:rsidR="000C4442">
        <w:t xml:space="preserve"> </w:t>
      </w:r>
      <w:r w:rsidRPr="0003226A">
        <w:t>CI</w:t>
      </w:r>
      <w:r w:rsidR="000C4442">
        <w:t>:</w:t>
      </w:r>
      <w:r w:rsidRPr="0003226A">
        <w:t xml:space="preserve"> 0.64, 0.98); p</w:t>
      </w:r>
      <w:r w:rsidR="003A1C86">
        <w:t> </w:t>
      </w:r>
      <w:r w:rsidRPr="0003226A">
        <w:t>=</w:t>
      </w:r>
      <w:r w:rsidR="003A1C86">
        <w:t> </w:t>
      </w:r>
      <w:r w:rsidRPr="0003226A">
        <w:t>0·033</w:t>
      </w:r>
      <w:r w:rsidR="003A1C86">
        <w:t>)</w:t>
      </w:r>
      <w:r w:rsidRPr="0003226A">
        <w:t>, an improvement of median survival of 4.7 months.</w:t>
      </w:r>
    </w:p>
    <w:p w14:paraId="61FB8490" w14:textId="7ED19AD5" w:rsidR="007C7845" w:rsidRPr="0003226A" w:rsidRDefault="007C7845" w:rsidP="007C7845">
      <w:r w:rsidRPr="0003226A">
        <w:t xml:space="preserve">Do you think that the observed differences in </w:t>
      </w:r>
      <w:r w:rsidR="00AB2F21" w:rsidRPr="0003226A">
        <w:t>OS</w:t>
      </w:r>
      <w:r w:rsidRPr="0003226A">
        <w:t xml:space="preserve"> and </w:t>
      </w:r>
      <w:r w:rsidR="00AB2F21" w:rsidRPr="0003226A">
        <w:t>PFS</w:t>
      </w:r>
      <w:r w:rsidRPr="0003226A">
        <w:t xml:space="preserve"> for </w:t>
      </w:r>
      <w:proofErr w:type="spellStart"/>
      <w:r w:rsidRPr="0003226A">
        <w:t>Tecentriq</w:t>
      </w:r>
      <w:proofErr w:type="spellEnd"/>
      <w:r w:rsidRPr="0003226A">
        <w:t xml:space="preserve"> used in combination with nab</w:t>
      </w:r>
      <w:r w:rsidR="000D5298">
        <w:t>-</w:t>
      </w:r>
      <w:r w:rsidRPr="0003226A">
        <w:t xml:space="preserve">paclitaxel and carboplatin, for the first line treatment of adult patients with metastatic non-squamous NSCLC observed in </w:t>
      </w:r>
      <w:r w:rsidR="00AB2F21" w:rsidRPr="0003226A">
        <w:t xml:space="preserve">Study </w:t>
      </w:r>
      <w:r w:rsidRPr="0003226A">
        <w:t>IMpower130 are clinically meaningful?</w:t>
      </w:r>
    </w:p>
    <w:p w14:paraId="09197F87" w14:textId="77777777" w:rsidR="007C7845" w:rsidRPr="0003226A" w:rsidRDefault="00291785" w:rsidP="00AB2F21">
      <w:pPr>
        <w:pStyle w:val="Heading5"/>
      </w:pPr>
      <w:r w:rsidRPr="0003226A">
        <w:t>Clinical e</w:t>
      </w:r>
      <w:r w:rsidR="00AB2F21" w:rsidRPr="0003226A">
        <w:t>xperts r</w:t>
      </w:r>
      <w:r w:rsidR="007C7845" w:rsidRPr="0003226A">
        <w:t>esponse</w:t>
      </w:r>
    </w:p>
    <w:p w14:paraId="323E1125" w14:textId="4A2DE260" w:rsidR="007C7845" w:rsidRPr="0003226A" w:rsidRDefault="00AB2F21" w:rsidP="007C7845">
      <w:r w:rsidRPr="0003226A">
        <w:t>The c</w:t>
      </w:r>
      <w:r w:rsidR="007C7845" w:rsidRPr="0003226A">
        <w:t xml:space="preserve">linical experts confirmed that the observed differences in </w:t>
      </w:r>
      <w:r w:rsidRPr="0003226A">
        <w:t>OS</w:t>
      </w:r>
      <w:r w:rsidR="007C7845" w:rsidRPr="0003226A">
        <w:t xml:space="preserve"> and </w:t>
      </w:r>
      <w:r w:rsidRPr="0003226A">
        <w:t>PFS</w:t>
      </w:r>
      <w:r w:rsidR="007C7845" w:rsidRPr="0003226A">
        <w:t xml:space="preserve"> in </w:t>
      </w:r>
      <w:r w:rsidRPr="0003226A">
        <w:t>Study</w:t>
      </w:r>
      <w:r w:rsidR="00A33E42">
        <w:t> </w:t>
      </w:r>
      <w:r w:rsidR="007C7845" w:rsidRPr="0003226A">
        <w:t>IMpower130 are clinically meaningful.</w:t>
      </w:r>
    </w:p>
    <w:p w14:paraId="12248DA3" w14:textId="77777777" w:rsidR="00D23139" w:rsidRPr="0003226A" w:rsidRDefault="00AB2F21" w:rsidP="00D23139">
      <w:pPr>
        <w:pStyle w:val="Heading4"/>
      </w:pPr>
      <w:r w:rsidRPr="0003226A">
        <w:t>Delegate’s p</w:t>
      </w:r>
      <w:r w:rsidR="00D23139" w:rsidRPr="0003226A">
        <w:t>roposed action</w:t>
      </w:r>
    </w:p>
    <w:p w14:paraId="1F5A6DD9" w14:textId="77777777" w:rsidR="007C7845" w:rsidRDefault="007C7845" w:rsidP="007C7845">
      <w:pPr>
        <w:rPr>
          <w:rFonts w:asciiTheme="minorHAnsi" w:hAnsiTheme="minorHAnsi"/>
          <w:noProof/>
          <w:lang w:eastAsia="en-AU"/>
        </w:rPr>
      </w:pPr>
      <w:r w:rsidRPr="0003226A">
        <w:rPr>
          <w:rFonts w:asciiTheme="minorHAnsi" w:hAnsiTheme="minorHAnsi"/>
          <w:noProof/>
          <w:lang w:eastAsia="en-AU"/>
        </w:rPr>
        <w:t>The extension of indication should be approved.</w:t>
      </w:r>
    </w:p>
    <w:p w14:paraId="6B34EA2F" w14:textId="160F6234" w:rsidR="00D23139" w:rsidRDefault="00A22D57" w:rsidP="00D23139">
      <w:pPr>
        <w:pStyle w:val="Heading4"/>
      </w:pPr>
      <w:r>
        <w:t>Request for AC</w:t>
      </w:r>
      <w:r w:rsidR="00D23139" w:rsidRPr="00D23139">
        <w:t>M advice</w:t>
      </w:r>
      <w:r w:rsidR="00A33E42">
        <w:rPr>
          <w:rStyle w:val="FootnoteReference"/>
        </w:rPr>
        <w:footnoteReference w:id="12"/>
      </w:r>
    </w:p>
    <w:p w14:paraId="6808EA6F" w14:textId="5B3F6B71" w:rsidR="00456765" w:rsidRDefault="00456765" w:rsidP="008E7846">
      <w:pPr>
        <w:rPr>
          <w:bCs/>
        </w:rPr>
      </w:pPr>
      <w:r>
        <w:rPr>
          <w:bCs/>
        </w:rPr>
        <w:t xml:space="preserve">The Delegate did not refer this application to the Advisory Committee </w:t>
      </w:r>
      <w:r w:rsidR="007728FA">
        <w:rPr>
          <w:bCs/>
        </w:rPr>
        <w:t>on Medicines</w:t>
      </w:r>
      <w:r>
        <w:rPr>
          <w:bCs/>
        </w:rPr>
        <w:t xml:space="preserve"> (ACM) for advice.</w:t>
      </w:r>
    </w:p>
    <w:p w14:paraId="39168AC0" w14:textId="77777777" w:rsidR="008E7846" w:rsidRPr="002E238E" w:rsidRDefault="008E7846" w:rsidP="008E7846">
      <w:pPr>
        <w:pStyle w:val="Heading3"/>
      </w:pPr>
      <w:bookmarkStart w:id="48" w:name="_Toc247691532"/>
      <w:bookmarkStart w:id="49" w:name="_Toc314842516"/>
      <w:bookmarkStart w:id="50" w:name="_Toc43287540"/>
      <w:bookmarkEnd w:id="29"/>
      <w:bookmarkEnd w:id="43"/>
      <w:bookmarkEnd w:id="44"/>
      <w:r>
        <w:t>Outcome</w:t>
      </w:r>
      <w:bookmarkEnd w:id="48"/>
      <w:bookmarkEnd w:id="49"/>
      <w:bookmarkEnd w:id="50"/>
    </w:p>
    <w:p w14:paraId="30D5CD34" w14:textId="77777777" w:rsidR="00D23139" w:rsidRPr="00BA3A91" w:rsidRDefault="00D23139" w:rsidP="00D9566E">
      <w:pPr>
        <w:autoSpaceDE w:val="0"/>
        <w:autoSpaceDN w:val="0"/>
        <w:adjustRightInd w:val="0"/>
        <w:spacing w:before="0" w:after="0" w:line="240" w:lineRule="auto"/>
      </w:pPr>
      <w:bookmarkStart w:id="51" w:name="_Toc247691533"/>
      <w:bookmarkStart w:id="52" w:name="_Toc314842517"/>
      <w:r w:rsidRPr="00D23139">
        <w:t>Based on a review of quality, safety and efficacy, TG</w:t>
      </w:r>
      <w:r w:rsidR="007C7845">
        <w:t xml:space="preserve">A approved the </w:t>
      </w:r>
      <w:r w:rsidR="00D9566E">
        <w:t xml:space="preserve">extension of indications for the </w:t>
      </w:r>
      <w:r w:rsidR="007C7845">
        <w:t>registration</w:t>
      </w:r>
      <w:r w:rsidR="00D9566E">
        <w:t>s</w:t>
      </w:r>
      <w:r w:rsidR="007C7845">
        <w:t xml:space="preserve"> of </w:t>
      </w:r>
      <w:proofErr w:type="spellStart"/>
      <w:r w:rsidR="00D9566E">
        <w:rPr>
          <w:rFonts w:eastAsiaTheme="minorHAnsi" w:cs="Cambria"/>
        </w:rPr>
        <w:t>Tecentriq</w:t>
      </w:r>
      <w:proofErr w:type="spellEnd"/>
      <w:r w:rsidR="00D9566E">
        <w:rPr>
          <w:rFonts w:eastAsiaTheme="minorHAnsi" w:cs="Cambria"/>
        </w:rPr>
        <w:t xml:space="preserve"> </w:t>
      </w:r>
      <w:proofErr w:type="spellStart"/>
      <w:r w:rsidR="007C7845">
        <w:rPr>
          <w:rFonts w:eastAsiaTheme="minorHAnsi" w:cs="Cambria"/>
        </w:rPr>
        <w:t>atezolizumab</w:t>
      </w:r>
      <w:proofErr w:type="spellEnd"/>
      <w:r w:rsidR="007C7845">
        <w:rPr>
          <w:rFonts w:eastAsiaTheme="minorHAnsi" w:cs="Cambria"/>
        </w:rPr>
        <w:t xml:space="preserve"> (rch) 1200 mg/20 mL injection concentrated vial and</w:t>
      </w:r>
      <w:r w:rsidR="007C7845">
        <w:rPr>
          <w:rFonts w:ascii="SymbolMT" w:eastAsiaTheme="minorHAnsi" w:hAnsi="SymbolMT" w:cs="SymbolMT"/>
        </w:rPr>
        <w:t xml:space="preserve"> </w:t>
      </w:r>
      <w:proofErr w:type="spellStart"/>
      <w:r w:rsidR="00D9566E">
        <w:rPr>
          <w:rFonts w:eastAsiaTheme="minorHAnsi" w:cs="Cambria"/>
        </w:rPr>
        <w:t>Tecentriq</w:t>
      </w:r>
      <w:proofErr w:type="spellEnd"/>
      <w:r w:rsidR="00D9566E">
        <w:rPr>
          <w:rFonts w:eastAsiaTheme="minorHAnsi" w:cs="Cambria"/>
        </w:rPr>
        <w:t xml:space="preserve"> </w:t>
      </w:r>
      <w:proofErr w:type="spellStart"/>
      <w:r w:rsidR="007C7845">
        <w:rPr>
          <w:rFonts w:eastAsiaTheme="minorHAnsi" w:cs="Cambria"/>
        </w:rPr>
        <w:t>atezolizumab</w:t>
      </w:r>
      <w:proofErr w:type="spellEnd"/>
      <w:r w:rsidR="007C7845">
        <w:rPr>
          <w:rFonts w:eastAsiaTheme="minorHAnsi" w:cs="Cambria"/>
        </w:rPr>
        <w:t xml:space="preserve"> (rch) 840 mg/14 mL injection concentrated</w:t>
      </w:r>
      <w:r w:rsidR="00D9566E">
        <w:rPr>
          <w:rFonts w:eastAsiaTheme="minorHAnsi" w:cs="Cambria"/>
        </w:rPr>
        <w:t xml:space="preserve"> </w:t>
      </w:r>
      <w:r w:rsidR="007C7845">
        <w:rPr>
          <w:rFonts w:eastAsiaTheme="minorHAnsi" w:cs="Cambria"/>
        </w:rPr>
        <w:t>vial</w:t>
      </w:r>
      <w:r w:rsidR="00D9566E">
        <w:t xml:space="preserve"> for </w:t>
      </w:r>
      <w:r w:rsidR="00D9566E" w:rsidRPr="00BA3A91">
        <w:t>intravenous infusion</w:t>
      </w:r>
      <w:r w:rsidRPr="00BA3A91">
        <w:t>, indicated for:</w:t>
      </w:r>
    </w:p>
    <w:p w14:paraId="152E1B7C" w14:textId="77777777" w:rsidR="00D23139" w:rsidRPr="00D9566E" w:rsidRDefault="00D9566E" w:rsidP="00D9566E">
      <w:pPr>
        <w:ind w:left="720"/>
        <w:rPr>
          <w:i/>
        </w:rPr>
      </w:pPr>
      <w:proofErr w:type="spellStart"/>
      <w:r w:rsidRPr="00BA3A91">
        <w:rPr>
          <w:i/>
        </w:rPr>
        <w:t>Tecentriq</w:t>
      </w:r>
      <w:proofErr w:type="spellEnd"/>
      <w:r w:rsidRPr="00BA3A91">
        <w:rPr>
          <w:i/>
        </w:rPr>
        <w:t xml:space="preserve">, in combination with nab-paclitaxel and carboplatin, is indicated for </w:t>
      </w:r>
      <w:r w:rsidR="000556AD" w:rsidRPr="00BA3A91">
        <w:rPr>
          <w:i/>
        </w:rPr>
        <w:t>first line</w:t>
      </w:r>
      <w:r w:rsidRPr="00BA3A91">
        <w:rPr>
          <w:i/>
        </w:rPr>
        <w:t xml:space="preserve"> treatment of patients with metastatic non-squamous NSCLC who do not have tumour EGFR or ALK genomic aberrations.</w:t>
      </w:r>
    </w:p>
    <w:p w14:paraId="24E1247D" w14:textId="77777777" w:rsidR="00D23139" w:rsidRDefault="00D23139" w:rsidP="00D23139">
      <w:pPr>
        <w:pStyle w:val="Heading4"/>
      </w:pPr>
      <w:r w:rsidRPr="00D23139">
        <w:t>Specific conditions of registration applying to these goods</w:t>
      </w:r>
    </w:p>
    <w:p w14:paraId="297D822C" w14:textId="505B6EF7" w:rsidR="00D9566E" w:rsidRPr="00D9566E" w:rsidRDefault="007728FA" w:rsidP="00D9566E">
      <w:pPr>
        <w:pStyle w:val="Numberbullet0"/>
      </w:pPr>
      <w:r>
        <w:t>T</w:t>
      </w:r>
      <w:r w:rsidR="00D9566E">
        <w:t>his approval does not impose any requirement for the submission of Periodic Safety Update reports. You should note that it is a requirement that all existing requirements for the submission of PSURs as a consequence of the initial registration or subsequent changes must be completed.</w:t>
      </w:r>
    </w:p>
    <w:p w14:paraId="4EF79472" w14:textId="77777777" w:rsidR="008E7846" w:rsidRPr="00BA3A91" w:rsidRDefault="00A80B5B" w:rsidP="00D23139">
      <w:pPr>
        <w:pStyle w:val="Heading2"/>
      </w:pPr>
      <w:bookmarkStart w:id="53" w:name="_Toc43287541"/>
      <w:r w:rsidRPr="00BA3A91">
        <w:t xml:space="preserve">Attachment 1. </w:t>
      </w:r>
      <w:r w:rsidR="008E7846" w:rsidRPr="00BA3A91">
        <w:t xml:space="preserve">Product </w:t>
      </w:r>
      <w:r w:rsidR="00AA0ED0" w:rsidRPr="00BA3A91">
        <w:t>I</w:t>
      </w:r>
      <w:r w:rsidR="008E7846" w:rsidRPr="00BA3A91">
        <w:t>nformation</w:t>
      </w:r>
      <w:bookmarkEnd w:id="51"/>
      <w:bookmarkEnd w:id="52"/>
      <w:bookmarkEnd w:id="53"/>
    </w:p>
    <w:p w14:paraId="0B06B7AD" w14:textId="77777777" w:rsidR="00C80137" w:rsidRDefault="006136D7" w:rsidP="00C80137">
      <w:pPr>
        <w:rPr>
          <w:color w:val="000000"/>
          <w:lang w:eastAsia="en-AU"/>
        </w:rPr>
      </w:pPr>
      <w:r w:rsidRPr="00BA3A91">
        <w:t xml:space="preserve">The PI for </w:t>
      </w:r>
      <w:proofErr w:type="spellStart"/>
      <w:r w:rsidR="00D9566E" w:rsidRPr="00BA3A91">
        <w:t>Tecentriq</w:t>
      </w:r>
      <w:proofErr w:type="spellEnd"/>
      <w:r w:rsidRPr="00BA3A91">
        <w:t xml:space="preserve"> approved with the submission which is described in this AusPAR is at Attachment 1. For the most recent PI, please refer to the TGA website at </w:t>
      </w:r>
      <w:r w:rsidR="007C6B9B" w:rsidRPr="00BA3A91">
        <w:t>&lt;</w:t>
      </w:r>
      <w:hyperlink r:id="rId40" w:history="1">
        <w:r w:rsidR="007C6B9B" w:rsidRPr="00BA3A91">
          <w:rPr>
            <w:rStyle w:val="Hyperlink"/>
          </w:rPr>
          <w:t>https://www.tga.gov.au/product-information-pi</w:t>
        </w:r>
      </w:hyperlink>
      <w:r w:rsidR="007C6B9B" w:rsidRPr="00BA3A91">
        <w:t>&gt;.</w:t>
      </w:r>
    </w:p>
    <w:p w14:paraId="1BC12EA8" w14:textId="77777777" w:rsidR="00291957" w:rsidRDefault="00291957" w:rsidP="00291957">
      <w:pPr>
        <w:rPr>
          <w:lang w:eastAsia="ja-JP"/>
        </w:rPr>
      </w:pPr>
    </w:p>
    <w:p w14:paraId="5D27AF75" w14:textId="77777777" w:rsidR="00C80137" w:rsidRPr="001D043B" w:rsidRDefault="00C80137" w:rsidP="003A7F6C">
      <w:pPr>
        <w:pStyle w:val="TableTitle"/>
        <w:sectPr w:rsidR="00C80137" w:rsidRPr="001D043B" w:rsidSect="00B452CE">
          <w:headerReference w:type="even" r:id="rId41"/>
          <w:headerReference w:type="default" r:id="rId42"/>
          <w:headerReference w:type="first" r:id="rId43"/>
          <w:footerReference w:type="first" r:id="rId4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7A9D7088" w14:textId="77777777" w:rsidTr="00A05FA4">
        <w:trPr>
          <w:trHeight w:hRule="exact" w:val="704"/>
        </w:trPr>
        <w:tc>
          <w:tcPr>
            <w:tcW w:w="9175" w:type="dxa"/>
          </w:tcPr>
          <w:p w14:paraId="5682FFD5" w14:textId="77777777" w:rsidR="001C32CD" w:rsidRPr="00487162" w:rsidRDefault="001C32CD" w:rsidP="00A05FA4">
            <w:pPr>
              <w:pStyle w:val="TGASignoff"/>
            </w:pPr>
            <w:r w:rsidRPr="00487162">
              <w:lastRenderedPageBreak/>
              <w:t>Therapeutic Goods Administration</w:t>
            </w:r>
          </w:p>
        </w:tc>
      </w:tr>
      <w:tr w:rsidR="001C32CD" w:rsidRPr="004C239D" w14:paraId="40C8B844" w14:textId="77777777" w:rsidTr="00A05FA4">
        <w:trPr>
          <w:trHeight w:val="1221"/>
        </w:trPr>
        <w:tc>
          <w:tcPr>
            <w:tcW w:w="9175" w:type="dxa"/>
            <w:tcMar>
              <w:top w:w="28" w:type="dxa"/>
            </w:tcMar>
          </w:tcPr>
          <w:p w14:paraId="04F30FAA" w14:textId="77777777" w:rsidR="001C32CD" w:rsidRPr="00487162" w:rsidRDefault="001C32CD" w:rsidP="00A05FA4">
            <w:pPr>
              <w:pStyle w:val="Address"/>
            </w:pPr>
            <w:r w:rsidRPr="00487162">
              <w:t>PO Box 100 Woden ACT 2606 Australia</w:t>
            </w:r>
          </w:p>
          <w:p w14:paraId="7BACA2C7" w14:textId="77777777" w:rsidR="001C32CD" w:rsidRPr="00487162" w:rsidRDefault="001C32CD" w:rsidP="00A05FA4">
            <w:pPr>
              <w:pStyle w:val="Address"/>
            </w:pPr>
            <w:r w:rsidRPr="00487162">
              <w:t xml:space="preserve">Email: </w:t>
            </w:r>
            <w:hyperlink r:id="rId45" w:history="1">
              <w:r w:rsidRPr="004C239D">
                <w:rPr>
                  <w:rStyle w:val="Hyperlink"/>
                </w:rPr>
                <w:t>info@tga.gov.au</w:t>
              </w:r>
            </w:hyperlink>
            <w:r w:rsidRPr="00487162">
              <w:t xml:space="preserve">  Phone: 1800 020 653  Fax: 02 6232 8605</w:t>
            </w:r>
          </w:p>
          <w:p w14:paraId="28EDAB13" w14:textId="77777777" w:rsidR="001C32CD" w:rsidRPr="004C239D" w:rsidRDefault="004D581F" w:rsidP="00A05FA4">
            <w:pPr>
              <w:pStyle w:val="Address"/>
              <w:spacing w:line="260" w:lineRule="atLeast"/>
              <w:rPr>
                <w:b/>
                <w:color w:val="0000FF"/>
                <w:u w:val="single"/>
              </w:rPr>
            </w:pPr>
            <w:hyperlink r:id="rId46" w:history="1">
              <w:r w:rsidR="007C6B9B" w:rsidRPr="007C6B9B">
                <w:rPr>
                  <w:rStyle w:val="Hyperlink"/>
                  <w:b/>
                </w:rPr>
                <w:t>https://www.tga.gov.au</w:t>
              </w:r>
            </w:hyperlink>
          </w:p>
        </w:tc>
      </w:tr>
    </w:tbl>
    <w:p w14:paraId="6F51E3AA" w14:textId="77777777" w:rsidR="00774E1D" w:rsidRPr="008A5E0B" w:rsidRDefault="00774E1D" w:rsidP="004C239D"/>
    <w:sectPr w:rsidR="00774E1D" w:rsidRPr="008A5E0B" w:rsidSect="001C32CD">
      <w:headerReference w:type="even" r:id="rId47"/>
      <w:headerReference w:type="default" r:id="rId48"/>
      <w:footerReference w:type="default" r:id="rId49"/>
      <w:headerReference w:type="first" r:id="rId50"/>
      <w:footerReference w:type="first" r:id="rId5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C4BF5" w14:textId="77777777" w:rsidR="004D581F" w:rsidRDefault="004D581F" w:rsidP="00C40A36">
      <w:pPr>
        <w:spacing w:after="0"/>
      </w:pPr>
      <w:r>
        <w:separator/>
      </w:r>
    </w:p>
  </w:endnote>
  <w:endnote w:type="continuationSeparator" w:id="0">
    <w:p w14:paraId="00248A67" w14:textId="77777777" w:rsidR="004D581F" w:rsidRDefault="004D581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SymbolMT">
    <w:altName w:val="Malgun Gothic Semilight"/>
    <w:panose1 w:val="00000000000000000000"/>
    <w:charset w:val="80"/>
    <w:family w:val="auto"/>
    <w:notTrueType/>
    <w:pitch w:val="default"/>
    <w:sig w:usb0="00000000" w:usb1="080F0000" w:usb2="00000010" w:usb3="00000000" w:csb0="00120001"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4D581F" w:rsidRPr="00487162" w14:paraId="6A410A6F" w14:textId="77777777" w:rsidTr="00DB750B">
      <w:trPr>
        <w:trHeight w:val="269"/>
      </w:trPr>
      <w:tc>
        <w:tcPr>
          <w:tcW w:w="7371" w:type="dxa"/>
          <w:tcMar>
            <w:top w:w="142" w:type="dxa"/>
            <w:bottom w:w="0" w:type="dxa"/>
          </w:tcMar>
        </w:tcPr>
        <w:p w14:paraId="0DC40995" w14:textId="201BCBC4" w:rsidR="004D581F" w:rsidRPr="00487162" w:rsidRDefault="004D581F" w:rsidP="00F7066C">
          <w:pPr>
            <w:pStyle w:val="Footer"/>
          </w:pPr>
          <w:r w:rsidRPr="00F7066C">
            <w:t xml:space="preserve">AusPAR </w:t>
          </w:r>
          <w:proofErr w:type="spellStart"/>
          <w:r w:rsidRPr="00F7066C">
            <w:t>Tecentriq</w:t>
          </w:r>
          <w:proofErr w:type="spellEnd"/>
          <w:r w:rsidRPr="00F7066C">
            <w:t xml:space="preserve"> </w:t>
          </w:r>
          <w:proofErr w:type="spellStart"/>
          <w:r w:rsidRPr="00F7066C">
            <w:t>atezolizumab</w:t>
          </w:r>
          <w:proofErr w:type="spellEnd"/>
          <w:r w:rsidRPr="00F7066C">
            <w:t xml:space="preserve"> Roche Products Pty Ltd PM-2019-00505-1-</w:t>
          </w:r>
          <w:r>
            <w:t>4</w:t>
          </w:r>
          <w:r>
            <w:br/>
            <w:t>Final 4 June 2020</w:t>
          </w:r>
        </w:p>
      </w:tc>
      <w:tc>
        <w:tcPr>
          <w:tcW w:w="1490" w:type="dxa"/>
          <w:tcMar>
            <w:top w:w="142" w:type="dxa"/>
            <w:bottom w:w="0" w:type="dxa"/>
          </w:tcMar>
        </w:tcPr>
        <w:p w14:paraId="34B04B2F" w14:textId="0332CFA6" w:rsidR="004D581F" w:rsidRPr="00487162" w:rsidRDefault="004D581F" w:rsidP="00DB750B">
          <w:pPr>
            <w:pStyle w:val="Footer"/>
            <w:jc w:val="right"/>
          </w:pPr>
          <w:r w:rsidRPr="00487162">
            <w:t xml:space="preserve">Page </w:t>
          </w:r>
          <w:r>
            <w:fldChar w:fldCharType="begin"/>
          </w:r>
          <w:r>
            <w:instrText xml:space="preserve"> PAGE  \* Arabic </w:instrText>
          </w:r>
          <w:r>
            <w:fldChar w:fldCharType="separate"/>
          </w:r>
          <w:r w:rsidR="00674ED0">
            <w:rPr>
              <w:noProof/>
            </w:rPr>
            <w:t>21</w:t>
          </w:r>
          <w:r>
            <w:fldChar w:fldCharType="end"/>
          </w:r>
          <w:r w:rsidRPr="00487162">
            <w:t xml:space="preserve"> of </w:t>
          </w:r>
          <w:fldSimple w:instr=" NUMPAGES  \* Arabic ">
            <w:r w:rsidR="00674ED0">
              <w:rPr>
                <w:noProof/>
              </w:rPr>
              <w:t>27</w:t>
            </w:r>
          </w:fldSimple>
        </w:p>
      </w:tc>
    </w:tr>
  </w:tbl>
  <w:p w14:paraId="5C3A45A6" w14:textId="77777777" w:rsidR="004D581F" w:rsidRDefault="004D581F"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D581F" w:rsidRPr="00487162" w14:paraId="1655CE3F" w14:textId="77777777" w:rsidTr="00E45619">
      <w:trPr>
        <w:trHeight w:val="269"/>
      </w:trPr>
      <w:tc>
        <w:tcPr>
          <w:tcW w:w="4519" w:type="dxa"/>
          <w:tcBorders>
            <w:top w:val="single" w:sz="4" w:space="0" w:color="auto"/>
          </w:tcBorders>
          <w:tcMar>
            <w:top w:w="142" w:type="dxa"/>
            <w:bottom w:w="0" w:type="dxa"/>
          </w:tcMar>
        </w:tcPr>
        <w:p w14:paraId="2E9D808C" w14:textId="77777777" w:rsidR="004D581F" w:rsidRPr="00487162" w:rsidRDefault="004D581F" w:rsidP="00FE1DEE">
          <w:pPr>
            <w:pStyle w:val="Footer"/>
          </w:pPr>
          <w:r w:rsidRPr="00487162">
            <w:t>Document title, Part #, Section # - Section title</w:t>
          </w:r>
        </w:p>
        <w:p w14:paraId="6B593D9E" w14:textId="77777777" w:rsidR="004D581F" w:rsidRPr="00487162" w:rsidRDefault="004D581F" w:rsidP="00FE1DEE">
          <w:pPr>
            <w:pStyle w:val="Footer"/>
          </w:pPr>
          <w:r w:rsidRPr="00487162">
            <w:t>V1.0 October 2010</w:t>
          </w:r>
        </w:p>
      </w:tc>
      <w:tc>
        <w:tcPr>
          <w:tcW w:w="4342" w:type="dxa"/>
          <w:tcBorders>
            <w:top w:val="single" w:sz="4" w:space="0" w:color="auto"/>
          </w:tcBorders>
          <w:tcMar>
            <w:top w:w="142" w:type="dxa"/>
            <w:bottom w:w="0" w:type="dxa"/>
          </w:tcMar>
        </w:tcPr>
        <w:p w14:paraId="599DD088" w14:textId="02C24B43" w:rsidR="004D581F" w:rsidRPr="00487162" w:rsidRDefault="004D581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27</w:t>
            </w:r>
          </w:fldSimple>
        </w:p>
      </w:tc>
    </w:tr>
  </w:tbl>
  <w:p w14:paraId="74D5FC62" w14:textId="77777777" w:rsidR="004D581F" w:rsidRDefault="004D58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62705" w14:textId="77777777" w:rsidR="004D581F" w:rsidRPr="001C32CD" w:rsidRDefault="004D581F"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D581F" w14:paraId="3F649E8D" w14:textId="77777777" w:rsidTr="0010601F">
      <w:trPr>
        <w:trHeight w:val="108"/>
      </w:trPr>
      <w:tc>
        <w:tcPr>
          <w:tcW w:w="8875" w:type="dxa"/>
          <w:gridSpan w:val="2"/>
          <w:tcBorders>
            <w:bottom w:val="single" w:sz="4" w:space="0" w:color="auto"/>
          </w:tcBorders>
          <w:tcMar>
            <w:right w:w="284" w:type="dxa"/>
          </w:tcMar>
        </w:tcPr>
        <w:p w14:paraId="0707BFA7" w14:textId="77777777" w:rsidR="004D581F" w:rsidRDefault="004D581F" w:rsidP="006E08B3">
          <w:pPr>
            <w:pStyle w:val="Heading3"/>
          </w:pPr>
          <w:r>
            <w:t>Copyright</w:t>
          </w:r>
        </w:p>
        <w:p w14:paraId="4F500B4F" w14:textId="77777777" w:rsidR="004D581F" w:rsidRDefault="004D581F" w:rsidP="006E08B3">
          <w:r>
            <w:rPr>
              <w:rFonts w:cs="Arial"/>
            </w:rPr>
            <w:t>©</w:t>
          </w:r>
          <w:r>
            <w:t xml:space="preserve"> Commonwealth of Australia [add year]</w:t>
          </w:r>
        </w:p>
        <w:p w14:paraId="4CCEC4E4" w14:textId="77777777" w:rsidR="004D581F" w:rsidRDefault="004D581F" w:rsidP="006E08B3"/>
        <w:p w14:paraId="33644DF3" w14:textId="77777777" w:rsidR="004D581F" w:rsidRDefault="004D581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A0F2511" w14:textId="77777777" w:rsidR="004D581F" w:rsidRDefault="004D581F" w:rsidP="006E08B3"/>
        <w:p w14:paraId="220DC316" w14:textId="77777777" w:rsidR="004D581F" w:rsidRDefault="004D581F" w:rsidP="006E08B3">
          <w:pPr>
            <w:pStyle w:val="Heading3"/>
          </w:pPr>
          <w:r>
            <w:t>Confidentiality</w:t>
          </w:r>
        </w:p>
        <w:p w14:paraId="0501E888" w14:textId="77777777" w:rsidR="004D581F" w:rsidRDefault="004D581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5424C19" w14:textId="77777777" w:rsidR="004D581F" w:rsidRDefault="004D581F" w:rsidP="006E08B3"/>
        <w:p w14:paraId="4B6E38BE" w14:textId="77777777" w:rsidR="004D581F" w:rsidRDefault="004D581F" w:rsidP="006E08B3">
          <w:r>
            <w:t>For submission made by individuals, all personal details, other than your name, will be removed from your submission before it is published on the TGA’s Internet site.</w:t>
          </w:r>
        </w:p>
        <w:p w14:paraId="5E83ACCF" w14:textId="77777777" w:rsidR="004D581F" w:rsidRDefault="004D581F" w:rsidP="006E08B3"/>
        <w:p w14:paraId="7C896E97" w14:textId="77777777" w:rsidR="004D581F" w:rsidRDefault="004D581F"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4D581F" w14:paraId="45BB1C1F" w14:textId="77777777" w:rsidTr="0010601F">
      <w:trPr>
        <w:trHeight w:val="417"/>
      </w:trPr>
      <w:tc>
        <w:tcPr>
          <w:tcW w:w="4519" w:type="dxa"/>
          <w:tcBorders>
            <w:top w:val="single" w:sz="4" w:space="0" w:color="auto"/>
          </w:tcBorders>
          <w:tcMar>
            <w:top w:w="142" w:type="dxa"/>
            <w:bottom w:w="0" w:type="dxa"/>
          </w:tcMar>
        </w:tcPr>
        <w:p w14:paraId="12235F44" w14:textId="77777777" w:rsidR="004D581F" w:rsidRDefault="004D581F" w:rsidP="006E08B3">
          <w:r>
            <w:t>Document title, Part #, Section # - Section title</w:t>
          </w:r>
        </w:p>
        <w:p w14:paraId="720A7796" w14:textId="77777777" w:rsidR="004D581F" w:rsidRDefault="004D581F" w:rsidP="006E08B3">
          <w:r>
            <w:t>V1.0 October 2010</w:t>
          </w:r>
        </w:p>
      </w:tc>
      <w:tc>
        <w:tcPr>
          <w:tcW w:w="4356" w:type="dxa"/>
          <w:tcBorders>
            <w:top w:val="single" w:sz="4" w:space="0" w:color="auto"/>
          </w:tcBorders>
          <w:tcMar>
            <w:top w:w="142" w:type="dxa"/>
            <w:bottom w:w="0" w:type="dxa"/>
          </w:tcMar>
        </w:tcPr>
        <w:p w14:paraId="169AA510" w14:textId="4DDA4DFD" w:rsidR="004D581F" w:rsidRDefault="004D581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27</w:t>
            </w:r>
          </w:fldSimple>
          <w:r>
            <w:t xml:space="preserve">  </w:t>
          </w:r>
        </w:p>
      </w:tc>
    </w:tr>
  </w:tbl>
  <w:p w14:paraId="3632ABC7" w14:textId="77777777" w:rsidR="004D581F" w:rsidRDefault="004D581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37DBB5" w14:textId="77777777" w:rsidR="004D581F" w:rsidRDefault="004D581F" w:rsidP="00C40A36">
      <w:pPr>
        <w:spacing w:after="0"/>
      </w:pPr>
      <w:r>
        <w:separator/>
      </w:r>
    </w:p>
  </w:footnote>
  <w:footnote w:type="continuationSeparator" w:id="0">
    <w:p w14:paraId="7739E917" w14:textId="77777777" w:rsidR="004D581F" w:rsidRDefault="004D581F" w:rsidP="00C40A36">
      <w:pPr>
        <w:spacing w:after="0"/>
      </w:pPr>
      <w:r>
        <w:continuationSeparator/>
      </w:r>
    </w:p>
  </w:footnote>
  <w:footnote w:id="1">
    <w:p w14:paraId="03C0462F" w14:textId="500A37B7" w:rsidR="004D581F" w:rsidRPr="0083202A" w:rsidRDefault="004D581F">
      <w:pPr>
        <w:pStyle w:val="FootnoteText"/>
        <w:rPr>
          <w:lang w:val="en-US"/>
        </w:rPr>
      </w:pPr>
      <w:r>
        <w:rPr>
          <w:rStyle w:val="FootnoteReference"/>
        </w:rPr>
        <w:footnoteRef/>
      </w:r>
      <w:r>
        <w:t xml:space="preserve"> </w:t>
      </w:r>
      <w:r>
        <w:rPr>
          <w:lang w:val="en-US"/>
        </w:rPr>
        <w:t xml:space="preserve">AUST R 310681 </w:t>
      </w:r>
      <w:r w:rsidRPr="009947A4">
        <w:rPr>
          <w:lang w:val="en-US"/>
        </w:rPr>
        <w:t>is</w:t>
      </w:r>
      <w:r>
        <w:rPr>
          <w:lang w:val="en-US"/>
        </w:rPr>
        <w:t xml:space="preserve"> the Australian registration number for the </w:t>
      </w:r>
      <w:proofErr w:type="spellStart"/>
      <w:r>
        <w:rPr>
          <w:lang w:val="en-US"/>
        </w:rPr>
        <w:t>Tecentriq</w:t>
      </w:r>
      <w:proofErr w:type="spellEnd"/>
      <w:r>
        <w:rPr>
          <w:lang w:val="en-US"/>
        </w:rPr>
        <w:t xml:space="preserve"> 840 mg/14 mL vial variant, as</w:t>
      </w:r>
      <w:r w:rsidRPr="009947A4">
        <w:rPr>
          <w:lang w:val="en-US"/>
        </w:rPr>
        <w:t xml:space="preserve"> listed on the Australian Register o</w:t>
      </w:r>
      <w:r>
        <w:rPr>
          <w:lang w:val="en-US"/>
        </w:rPr>
        <w:t>f Therapeutic Goods (ARTG).</w:t>
      </w:r>
    </w:p>
  </w:footnote>
  <w:footnote w:id="2">
    <w:p w14:paraId="38C84A9B" w14:textId="503AE98A" w:rsidR="004D581F" w:rsidRPr="0083202A" w:rsidRDefault="004D581F">
      <w:pPr>
        <w:pStyle w:val="FootnoteText"/>
        <w:rPr>
          <w:lang w:val="en-US"/>
        </w:rPr>
      </w:pPr>
      <w:r>
        <w:rPr>
          <w:rStyle w:val="FootnoteReference"/>
        </w:rPr>
        <w:footnoteRef/>
      </w:r>
      <w:r>
        <w:t xml:space="preserve"> European Public Assessment Report (EPAR) for </w:t>
      </w:r>
      <w:proofErr w:type="spellStart"/>
      <w:r>
        <w:t>Tecentriq</w:t>
      </w:r>
      <w:proofErr w:type="spellEnd"/>
      <w:r>
        <w:t xml:space="preserve">; European Medicines Agency,. Available at: </w:t>
      </w:r>
      <w:r w:rsidRPr="002E55A3">
        <w:t>https://www.ema.europa.eu/en/medicines/human/EPAR/tecentriq</w:t>
      </w:r>
    </w:p>
  </w:footnote>
  <w:footnote w:id="3">
    <w:p w14:paraId="08DFCA82" w14:textId="7D89941D" w:rsidR="004D581F" w:rsidRPr="0083202A" w:rsidRDefault="004D581F">
      <w:pPr>
        <w:pStyle w:val="FootnoteText"/>
        <w:rPr>
          <w:lang w:val="en-US"/>
        </w:rPr>
      </w:pPr>
      <w:r>
        <w:rPr>
          <w:rStyle w:val="FootnoteReference"/>
        </w:rPr>
        <w:footnoteRef/>
      </w:r>
      <w:r>
        <w:t xml:space="preserve"> </w:t>
      </w:r>
      <w:r w:rsidRPr="00162215">
        <w:rPr>
          <w:lang w:val="en-US"/>
        </w:rPr>
        <w:t xml:space="preserve">PD-L1 expression scored by immunohistochemistry (SP142 assay) in </w:t>
      </w:r>
      <w:proofErr w:type="spellStart"/>
      <w:r w:rsidRPr="00162215">
        <w:rPr>
          <w:lang w:val="en-US"/>
        </w:rPr>
        <w:t>tumo</w:t>
      </w:r>
      <w:r>
        <w:rPr>
          <w:lang w:val="en-US"/>
        </w:rPr>
        <w:t>ur</w:t>
      </w:r>
      <w:proofErr w:type="spellEnd"/>
      <w:r>
        <w:rPr>
          <w:lang w:val="en-US"/>
        </w:rPr>
        <w:t xml:space="preserve"> cells (as percentage of PD</w:t>
      </w:r>
      <w:r>
        <w:rPr>
          <w:lang w:val="en-US"/>
        </w:rPr>
        <w:noBreakHyphen/>
      </w:r>
      <w:r w:rsidRPr="00162215">
        <w:rPr>
          <w:lang w:val="en-US"/>
        </w:rPr>
        <w:t xml:space="preserve">L1-expressing </w:t>
      </w:r>
      <w:proofErr w:type="spellStart"/>
      <w:r w:rsidRPr="00162215">
        <w:rPr>
          <w:lang w:val="en-US"/>
        </w:rPr>
        <w:t>tumo</w:t>
      </w:r>
      <w:r>
        <w:rPr>
          <w:lang w:val="en-US"/>
        </w:rPr>
        <w:t>u</w:t>
      </w:r>
      <w:r w:rsidRPr="00162215">
        <w:rPr>
          <w:lang w:val="en-US"/>
        </w:rPr>
        <w:t>r</w:t>
      </w:r>
      <w:proofErr w:type="spellEnd"/>
      <w:r w:rsidRPr="00162215">
        <w:rPr>
          <w:lang w:val="en-US"/>
        </w:rPr>
        <w:t xml:space="preserve"> cells ≥</w:t>
      </w:r>
      <w:r>
        <w:rPr>
          <w:lang w:val="en-US"/>
        </w:rPr>
        <w:t xml:space="preserve"> </w:t>
      </w:r>
      <w:r w:rsidRPr="00162215">
        <w:rPr>
          <w:lang w:val="en-US"/>
        </w:rPr>
        <w:t>50%, TC3; ≥</w:t>
      </w:r>
      <w:r>
        <w:rPr>
          <w:lang w:val="en-US"/>
        </w:rPr>
        <w:t xml:space="preserve"> </w:t>
      </w:r>
      <w:r w:rsidRPr="00162215">
        <w:rPr>
          <w:lang w:val="en-US"/>
        </w:rPr>
        <w:t>5% and &lt; 50%, TC2; ≥</w:t>
      </w:r>
      <w:r>
        <w:rPr>
          <w:lang w:val="en-US"/>
        </w:rPr>
        <w:t xml:space="preserve"> </w:t>
      </w:r>
      <w:r w:rsidRPr="00162215">
        <w:rPr>
          <w:lang w:val="en-US"/>
        </w:rPr>
        <w:t>1% and &lt; 5%, TC</w:t>
      </w:r>
      <w:r>
        <w:rPr>
          <w:lang w:val="en-US"/>
        </w:rPr>
        <w:t xml:space="preserve">1 and &lt; 1%, TC0) and </w:t>
      </w:r>
      <w:proofErr w:type="spellStart"/>
      <w:r>
        <w:rPr>
          <w:lang w:val="en-US"/>
        </w:rPr>
        <w:t>tumour</w:t>
      </w:r>
      <w:proofErr w:type="spellEnd"/>
      <w:r>
        <w:rPr>
          <w:lang w:val="en-US"/>
        </w:rPr>
        <w:t>-infi</w:t>
      </w:r>
      <w:r w:rsidRPr="00162215">
        <w:rPr>
          <w:lang w:val="en-US"/>
        </w:rPr>
        <w:t xml:space="preserve">ltrating immune cells (as percentage of </w:t>
      </w:r>
      <w:proofErr w:type="spellStart"/>
      <w:r w:rsidRPr="00162215">
        <w:rPr>
          <w:lang w:val="en-US"/>
        </w:rPr>
        <w:t>tumo</w:t>
      </w:r>
      <w:r>
        <w:rPr>
          <w:lang w:val="en-US"/>
        </w:rPr>
        <w:t>u</w:t>
      </w:r>
      <w:r w:rsidRPr="00162215">
        <w:rPr>
          <w:lang w:val="en-US"/>
        </w:rPr>
        <w:t>r</w:t>
      </w:r>
      <w:proofErr w:type="spellEnd"/>
      <w:r w:rsidRPr="00162215">
        <w:rPr>
          <w:lang w:val="en-US"/>
        </w:rPr>
        <w:t xml:space="preserve"> area:≥10%, IC3; ≥5% and &lt; 10%, IC2; ≥1% and &lt; 5%, IC1; and &lt; 1%, IC0).</w:t>
      </w:r>
    </w:p>
  </w:footnote>
  <w:footnote w:id="4">
    <w:p w14:paraId="312FCE3C" w14:textId="08790EC1" w:rsidR="004D581F" w:rsidRPr="002546ED" w:rsidRDefault="004D581F">
      <w:pPr>
        <w:pStyle w:val="FootnoteText"/>
      </w:pPr>
      <w:r>
        <w:rPr>
          <w:rStyle w:val="FootnoteReference"/>
        </w:rPr>
        <w:footnoteRef/>
      </w:r>
      <w:r>
        <w:t xml:space="preserve"> </w:t>
      </w:r>
      <w:r w:rsidRPr="002546ED">
        <w:t>Response evaluation criteria in solid tumo</w:t>
      </w:r>
      <w:r>
        <w:t>u</w:t>
      </w:r>
      <w:r w:rsidRPr="002546ED">
        <w:t>rs (RECIST) is a set of published rules that define when tumo</w:t>
      </w:r>
      <w:r>
        <w:t>u</w:t>
      </w:r>
      <w:r w:rsidRPr="002546ED">
        <w:t>rs in cancer patients improve (‘respond’), stay the same (‘stabili</w:t>
      </w:r>
      <w:r>
        <w:t>s</w:t>
      </w:r>
      <w:r w:rsidRPr="002546ED">
        <w:t>e’), or worsen (‘progress’) during treatment.</w:t>
      </w:r>
    </w:p>
  </w:footnote>
  <w:footnote w:id="5">
    <w:p w14:paraId="12079F2E" w14:textId="20B6C296" w:rsidR="004D581F" w:rsidRDefault="004D581F" w:rsidP="00D2321C">
      <w:pPr>
        <w:pStyle w:val="FootnoteText"/>
      </w:pPr>
      <w:r>
        <w:rPr>
          <w:rStyle w:val="FootnoteReference"/>
        </w:rPr>
        <w:footnoteRef/>
      </w:r>
      <w:r>
        <w:t xml:space="preserve"> </w:t>
      </w:r>
      <w:r>
        <w:rPr>
          <w:shd w:val="clear" w:color="auto" w:fill="FFFFFF"/>
        </w:rPr>
        <w:t>The </w:t>
      </w:r>
      <w:r w:rsidRPr="00D2321C">
        <w:t>ECOG</w:t>
      </w:r>
      <w:r>
        <w:rPr>
          <w:b/>
          <w:bCs/>
          <w:shd w:val="clear" w:color="auto" w:fill="FFFFFF"/>
        </w:rPr>
        <w:t xml:space="preserve"> </w:t>
      </w:r>
      <w:r w:rsidRPr="00D2321C">
        <w:rPr>
          <w:bCs/>
          <w:shd w:val="clear" w:color="auto" w:fill="FFFFFF"/>
        </w:rPr>
        <w:t>Scale</w:t>
      </w:r>
      <w:r>
        <w:rPr>
          <w:shd w:val="clear" w:color="auto" w:fill="FFFFFF"/>
        </w:rPr>
        <w:t xml:space="preserve"> of Performance Status describes a patient's level of functioning in terms of their ability to care for </w:t>
      </w:r>
      <w:proofErr w:type="spellStart"/>
      <w:r>
        <w:rPr>
          <w:shd w:val="clear" w:color="auto" w:fill="FFFFFF"/>
        </w:rPr>
        <w:t>themself</w:t>
      </w:r>
      <w:proofErr w:type="spellEnd"/>
      <w:r>
        <w:rPr>
          <w:shd w:val="clear" w:color="auto" w:fill="FFFFFF"/>
        </w:rPr>
        <w:t>, daily activity, and physical ability (walking, working, and so on).</w:t>
      </w:r>
    </w:p>
  </w:footnote>
  <w:footnote w:id="6">
    <w:p w14:paraId="604C786B" w14:textId="72266468" w:rsidR="004D581F" w:rsidRPr="0083202A" w:rsidRDefault="004D581F">
      <w:pPr>
        <w:pStyle w:val="FootnoteText"/>
      </w:pPr>
      <w:r>
        <w:rPr>
          <w:rStyle w:val="FootnoteReference"/>
        </w:rPr>
        <w:footnoteRef/>
      </w:r>
      <w:r>
        <w:rPr>
          <w:color w:val="FF0000"/>
        </w:rPr>
        <w:t xml:space="preserve"> </w:t>
      </w:r>
      <w:r w:rsidRPr="0083202A">
        <w:t>Sponsor clarification: Descriptive</w:t>
      </w:r>
      <w:r w:rsidRPr="0083202A">
        <w:rPr>
          <w:rStyle w:val="CommentReference"/>
        </w:rPr>
        <w:t/>
      </w:r>
      <w:r w:rsidRPr="0083202A">
        <w:t xml:space="preserve"> because the update analysis is exploratory.</w:t>
      </w:r>
    </w:p>
  </w:footnote>
  <w:footnote w:id="7">
    <w:p w14:paraId="226FE07C" w14:textId="1C7D621A" w:rsidR="004D581F" w:rsidRDefault="004D581F">
      <w:pPr>
        <w:pStyle w:val="FootnoteText"/>
      </w:pPr>
      <w:r>
        <w:rPr>
          <w:rStyle w:val="FootnoteReference"/>
        </w:rPr>
        <w:footnoteRef/>
      </w:r>
      <w:r>
        <w:t xml:space="preserve"> Sponsor comment: This potentially confounded the OS effect estimated.</w:t>
      </w:r>
    </w:p>
  </w:footnote>
  <w:footnote w:id="8">
    <w:p w14:paraId="497250D9" w14:textId="77777777" w:rsidR="004D581F" w:rsidRDefault="004D581F" w:rsidP="00AB2F21">
      <w:pPr>
        <w:pStyle w:val="FootnoteText"/>
      </w:pPr>
      <w:r>
        <w:rPr>
          <w:rStyle w:val="FootnoteReference"/>
        </w:rPr>
        <w:footnoteRef/>
      </w:r>
      <w:r>
        <w:t xml:space="preserve"> West, H. et al. </w:t>
      </w:r>
      <w:proofErr w:type="spellStart"/>
      <w:r>
        <w:t>Atezolizumab</w:t>
      </w:r>
      <w:proofErr w:type="spellEnd"/>
      <w:r>
        <w:t xml:space="preserve"> in combination with carboplatin plus nab-paclitaxel chemotherapy compared with chemotherapy alone as first line treatment for metastatic non-squamous non-small-cell lung cancer (IMpower130): a multicentre, randomised, open-label, phase 3 trial. Lancet Oncology. May 2019.</w:t>
      </w:r>
    </w:p>
  </w:footnote>
  <w:footnote w:id="9">
    <w:p w14:paraId="419463F5" w14:textId="77777777" w:rsidR="004D581F" w:rsidRDefault="004D581F" w:rsidP="00AB2F21">
      <w:pPr>
        <w:pStyle w:val="FootnoteText"/>
      </w:pPr>
      <w:r>
        <w:rPr>
          <w:rStyle w:val="FootnoteReference"/>
        </w:rPr>
        <w:footnoteRef/>
      </w:r>
      <w:r>
        <w:t xml:space="preserve"> </w:t>
      </w:r>
      <w:proofErr w:type="spellStart"/>
      <w:r>
        <w:t>Socinski</w:t>
      </w:r>
      <w:proofErr w:type="spellEnd"/>
      <w:r>
        <w:t xml:space="preserve"> MA et al. </w:t>
      </w:r>
      <w:proofErr w:type="spellStart"/>
      <w:r>
        <w:t>Atezolizumab</w:t>
      </w:r>
      <w:proofErr w:type="spellEnd"/>
      <w:r>
        <w:t xml:space="preserve"> for First line Treatment of Metastatic Non-squamous NSCLC. NEJM 378;24 June 14, 2018.</w:t>
      </w:r>
    </w:p>
  </w:footnote>
  <w:footnote w:id="10">
    <w:p w14:paraId="74CB80A6" w14:textId="77777777" w:rsidR="004D581F" w:rsidRPr="003749BA" w:rsidRDefault="004D581F" w:rsidP="003749BA">
      <w:pPr>
        <w:pStyle w:val="FootnoteText"/>
      </w:pPr>
      <w:r>
        <w:rPr>
          <w:rStyle w:val="FootnoteReference"/>
        </w:rPr>
        <w:footnoteRef/>
      </w:r>
      <w:r>
        <w:t xml:space="preserve"> </w:t>
      </w:r>
      <w:proofErr w:type="spellStart"/>
      <w:r>
        <w:t>Teff</w:t>
      </w:r>
      <w:proofErr w:type="spellEnd"/>
      <w:r>
        <w:t>=</w:t>
      </w:r>
      <w:r>
        <w:rPr>
          <w:shd w:val="clear" w:color="auto" w:fill="FFFFFF"/>
        </w:rPr>
        <w:t>effector T-cell</w:t>
      </w:r>
    </w:p>
  </w:footnote>
  <w:footnote w:id="11">
    <w:p w14:paraId="3E13478E" w14:textId="77777777" w:rsidR="004D581F" w:rsidRDefault="004D581F">
      <w:pPr>
        <w:pStyle w:val="FootnoteText"/>
      </w:pPr>
      <w:r>
        <w:rPr>
          <w:rStyle w:val="FootnoteReference"/>
        </w:rPr>
        <w:footnoteRef/>
      </w:r>
      <w:r>
        <w:t xml:space="preserve"> </w:t>
      </w:r>
      <w:r w:rsidRPr="006D73C7">
        <w:t>EMA/CHMP/295050/2013 G</w:t>
      </w:r>
      <w:r>
        <w:t>uideline on adjustment for baseline covariates in clinical trials</w:t>
      </w:r>
    </w:p>
  </w:footnote>
  <w:footnote w:id="12">
    <w:p w14:paraId="567F9CB4" w14:textId="16D260EE" w:rsidR="004D581F" w:rsidRDefault="004D581F" w:rsidP="00A33E42">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67372E2B" w14:textId="78AB76AF" w:rsidR="004D581F" w:rsidRPr="0083202A" w:rsidRDefault="004D581F" w:rsidP="00A33E42">
      <w:pPr>
        <w:pStyle w:val="FootnoteText"/>
        <w:rPr>
          <w:lang w:val="en-US"/>
        </w:rPr>
      </w:pPr>
      <w:r>
        <w:t>The Committee is established under Regulation 35 of the Therapeutic Goods Regulations 1990. Members are appointed by the Minister. The ACM was established in January 2017 replacing Advisory Committee on Prescription Medicines (ACPM) which was formed in January 2010.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307E4" w14:textId="77777777" w:rsidR="004D581F" w:rsidRDefault="004D581F"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53A3A" w14:textId="77777777" w:rsidR="004D581F" w:rsidRDefault="004D581F">
    <w:pPr>
      <w:rPr>
        <w:noProof/>
        <w:lang w:eastAsia="en-AU"/>
      </w:rPr>
    </w:pPr>
    <w:r w:rsidRPr="00347824">
      <w:rPr>
        <w:noProof/>
        <w:lang w:eastAsia="en-AU"/>
      </w:rPr>
      <w:drawing>
        <wp:anchor distT="0" distB="0" distL="114300" distR="114300" simplePos="0" relativeHeight="251659264" behindDoc="1" locked="0" layoutInCell="1" allowOverlap="1" wp14:anchorId="56F3B4EF" wp14:editId="5E71073E">
          <wp:simplePos x="0" y="0"/>
          <wp:positionH relativeFrom="column">
            <wp:posOffset>-1089660</wp:posOffset>
          </wp:positionH>
          <wp:positionV relativeFrom="paragraph">
            <wp:posOffset>-585470</wp:posOffset>
          </wp:positionV>
          <wp:extent cx="7572375" cy="10706100"/>
          <wp:effectExtent l="19050" t="0" r="0" b="0"/>
          <wp:wrapNone/>
          <wp:docPr id="2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997BD48" w14:textId="77777777" w:rsidR="004D581F" w:rsidRDefault="004D581F"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35574" w14:textId="77777777" w:rsidR="004D581F" w:rsidRDefault="004D58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4E788" w14:textId="77777777" w:rsidR="004D581F" w:rsidRDefault="004D581F">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630A2" w14:textId="77777777" w:rsidR="004D581F" w:rsidRDefault="004D581F">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CF404" w14:textId="77777777" w:rsidR="004D581F" w:rsidRDefault="004D581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E407A" w14:textId="77777777" w:rsidR="004D581F" w:rsidRDefault="004D581F"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E8164" w14:textId="77777777" w:rsidR="004D581F" w:rsidRDefault="004D581F" w:rsidP="006E08B3">
    <w:r>
      <w:t>Therapeutic Goods Administration</w:t>
    </w:r>
  </w:p>
  <w:p w14:paraId="1DD6AA41" w14:textId="77777777" w:rsidR="004D581F" w:rsidRDefault="004D581F"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5D8C1D4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58730AD"/>
    <w:multiLevelType w:val="hybridMultilevel"/>
    <w:tmpl w:val="4D8C7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3F3F63"/>
    <w:multiLevelType w:val="hybridMultilevel"/>
    <w:tmpl w:val="17AC7C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55A62B62"/>
    <w:styleLink w:val="ListBullets"/>
    <w:lvl w:ilvl="0">
      <w:start w:val="1"/>
      <w:numFmt w:val="bullet"/>
      <w:pStyle w:val="ListBullet"/>
      <w:lvlText w:val="•"/>
      <w:lvlJc w:val="left"/>
      <w:pPr>
        <w:ind w:left="360" w:hanging="360"/>
      </w:pPr>
      <w:rPr>
        <w:rFonts w:ascii="Cambria" w:hAnsi="Cambria" w:hint="default"/>
        <w:color w:val="auto"/>
        <w:sz w:val="20"/>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8"/>
  </w:num>
  <w:num w:numId="28">
    <w:abstractNumId w:val="9"/>
  </w:num>
  <w:num w:numId="29">
    <w:abstractNumId w:val="6"/>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BFE"/>
    <w:rsid w:val="00002031"/>
    <w:rsid w:val="00004734"/>
    <w:rsid w:val="00006B22"/>
    <w:rsid w:val="0001276A"/>
    <w:rsid w:val="000246AE"/>
    <w:rsid w:val="00025C67"/>
    <w:rsid w:val="0003226A"/>
    <w:rsid w:val="00040FB4"/>
    <w:rsid w:val="00044772"/>
    <w:rsid w:val="0004541C"/>
    <w:rsid w:val="00051616"/>
    <w:rsid w:val="0005559E"/>
    <w:rsid w:val="000556AD"/>
    <w:rsid w:val="000604D6"/>
    <w:rsid w:val="00062490"/>
    <w:rsid w:val="000734D8"/>
    <w:rsid w:val="00077775"/>
    <w:rsid w:val="00090471"/>
    <w:rsid w:val="00096AA7"/>
    <w:rsid w:val="000A3AED"/>
    <w:rsid w:val="000B3532"/>
    <w:rsid w:val="000B3A75"/>
    <w:rsid w:val="000C00C2"/>
    <w:rsid w:val="000C4442"/>
    <w:rsid w:val="000C57EA"/>
    <w:rsid w:val="000C690F"/>
    <w:rsid w:val="000D1295"/>
    <w:rsid w:val="000D391B"/>
    <w:rsid w:val="000D3D6D"/>
    <w:rsid w:val="000D4FC7"/>
    <w:rsid w:val="000D5298"/>
    <w:rsid w:val="000E6196"/>
    <w:rsid w:val="000F4869"/>
    <w:rsid w:val="000F5B42"/>
    <w:rsid w:val="000F6E6F"/>
    <w:rsid w:val="001055A1"/>
    <w:rsid w:val="0010601F"/>
    <w:rsid w:val="0010788A"/>
    <w:rsid w:val="00107A31"/>
    <w:rsid w:val="00110EA5"/>
    <w:rsid w:val="00112F56"/>
    <w:rsid w:val="00124ACD"/>
    <w:rsid w:val="00125318"/>
    <w:rsid w:val="0012771F"/>
    <w:rsid w:val="001305A2"/>
    <w:rsid w:val="00133238"/>
    <w:rsid w:val="00133A1B"/>
    <w:rsid w:val="00134CD0"/>
    <w:rsid w:val="0014197B"/>
    <w:rsid w:val="001447CD"/>
    <w:rsid w:val="001473B0"/>
    <w:rsid w:val="001478C7"/>
    <w:rsid w:val="001516B1"/>
    <w:rsid w:val="00154EBB"/>
    <w:rsid w:val="00156316"/>
    <w:rsid w:val="00161181"/>
    <w:rsid w:val="00162215"/>
    <w:rsid w:val="00162D14"/>
    <w:rsid w:val="00163780"/>
    <w:rsid w:val="00165389"/>
    <w:rsid w:val="0016688D"/>
    <w:rsid w:val="0017693F"/>
    <w:rsid w:val="0018110E"/>
    <w:rsid w:val="00181684"/>
    <w:rsid w:val="001843C6"/>
    <w:rsid w:val="001850E0"/>
    <w:rsid w:val="001866EF"/>
    <w:rsid w:val="001A03AF"/>
    <w:rsid w:val="001A2158"/>
    <w:rsid w:val="001A525F"/>
    <w:rsid w:val="001A53D3"/>
    <w:rsid w:val="001B09F9"/>
    <w:rsid w:val="001B32A8"/>
    <w:rsid w:val="001B5C90"/>
    <w:rsid w:val="001B6448"/>
    <w:rsid w:val="001B7556"/>
    <w:rsid w:val="001C32CD"/>
    <w:rsid w:val="001D2984"/>
    <w:rsid w:val="001E07CF"/>
    <w:rsid w:val="001E59F1"/>
    <w:rsid w:val="001F1393"/>
    <w:rsid w:val="001F2CEE"/>
    <w:rsid w:val="001F49EB"/>
    <w:rsid w:val="001F6CBA"/>
    <w:rsid w:val="00201D4E"/>
    <w:rsid w:val="002043C5"/>
    <w:rsid w:val="002076C9"/>
    <w:rsid w:val="002148CD"/>
    <w:rsid w:val="00220B8A"/>
    <w:rsid w:val="002257F3"/>
    <w:rsid w:val="00233456"/>
    <w:rsid w:val="002339A5"/>
    <w:rsid w:val="002402BE"/>
    <w:rsid w:val="002505BE"/>
    <w:rsid w:val="002546ED"/>
    <w:rsid w:val="00255325"/>
    <w:rsid w:val="00256627"/>
    <w:rsid w:val="00257848"/>
    <w:rsid w:val="002578E8"/>
    <w:rsid w:val="0027084A"/>
    <w:rsid w:val="00280265"/>
    <w:rsid w:val="00286434"/>
    <w:rsid w:val="00286C59"/>
    <w:rsid w:val="002900AC"/>
    <w:rsid w:val="00291785"/>
    <w:rsid w:val="00291957"/>
    <w:rsid w:val="002942D1"/>
    <w:rsid w:val="0029501A"/>
    <w:rsid w:val="002A121B"/>
    <w:rsid w:val="002A3721"/>
    <w:rsid w:val="002A41EA"/>
    <w:rsid w:val="002B1638"/>
    <w:rsid w:val="002B3624"/>
    <w:rsid w:val="002C02DC"/>
    <w:rsid w:val="002C4CC2"/>
    <w:rsid w:val="002C74F2"/>
    <w:rsid w:val="002D0952"/>
    <w:rsid w:val="002D1204"/>
    <w:rsid w:val="002E40B3"/>
    <w:rsid w:val="002E4C9A"/>
    <w:rsid w:val="002E55A3"/>
    <w:rsid w:val="002F11F8"/>
    <w:rsid w:val="002F3F56"/>
    <w:rsid w:val="002F44B5"/>
    <w:rsid w:val="002F5122"/>
    <w:rsid w:val="00306FE2"/>
    <w:rsid w:val="00311AC0"/>
    <w:rsid w:val="003126A9"/>
    <w:rsid w:val="003176FC"/>
    <w:rsid w:val="0032583B"/>
    <w:rsid w:val="00327883"/>
    <w:rsid w:val="00334944"/>
    <w:rsid w:val="00335504"/>
    <w:rsid w:val="00340C18"/>
    <w:rsid w:val="003413EF"/>
    <w:rsid w:val="003442FD"/>
    <w:rsid w:val="00347824"/>
    <w:rsid w:val="00350567"/>
    <w:rsid w:val="003521E8"/>
    <w:rsid w:val="0036228B"/>
    <w:rsid w:val="00370CE3"/>
    <w:rsid w:val="003728F3"/>
    <w:rsid w:val="003735BC"/>
    <w:rsid w:val="0037496E"/>
    <w:rsid w:val="003749BA"/>
    <w:rsid w:val="00383221"/>
    <w:rsid w:val="00386150"/>
    <w:rsid w:val="003874CE"/>
    <w:rsid w:val="00387F65"/>
    <w:rsid w:val="00390900"/>
    <w:rsid w:val="003A1C86"/>
    <w:rsid w:val="003A3E02"/>
    <w:rsid w:val="003A7D45"/>
    <w:rsid w:val="003A7F6C"/>
    <w:rsid w:val="003B1E70"/>
    <w:rsid w:val="003B4D60"/>
    <w:rsid w:val="003B7E39"/>
    <w:rsid w:val="003C58DC"/>
    <w:rsid w:val="003D1E62"/>
    <w:rsid w:val="003E0B99"/>
    <w:rsid w:val="003E2486"/>
    <w:rsid w:val="003E3208"/>
    <w:rsid w:val="003E4DDA"/>
    <w:rsid w:val="003F0B04"/>
    <w:rsid w:val="0040134E"/>
    <w:rsid w:val="0041450E"/>
    <w:rsid w:val="004334C7"/>
    <w:rsid w:val="00440A2D"/>
    <w:rsid w:val="00441C3F"/>
    <w:rsid w:val="00444D1A"/>
    <w:rsid w:val="0045186A"/>
    <w:rsid w:val="004564A7"/>
    <w:rsid w:val="00456765"/>
    <w:rsid w:val="004617BF"/>
    <w:rsid w:val="00463658"/>
    <w:rsid w:val="004637A0"/>
    <w:rsid w:val="004722CC"/>
    <w:rsid w:val="00490483"/>
    <w:rsid w:val="004936E4"/>
    <w:rsid w:val="00494C4B"/>
    <w:rsid w:val="00494E60"/>
    <w:rsid w:val="004955E8"/>
    <w:rsid w:val="00497487"/>
    <w:rsid w:val="004A2771"/>
    <w:rsid w:val="004A5F44"/>
    <w:rsid w:val="004A6189"/>
    <w:rsid w:val="004A7390"/>
    <w:rsid w:val="004B7B76"/>
    <w:rsid w:val="004C239D"/>
    <w:rsid w:val="004C2DCA"/>
    <w:rsid w:val="004C3F36"/>
    <w:rsid w:val="004C61D2"/>
    <w:rsid w:val="004D581F"/>
    <w:rsid w:val="004D5FCE"/>
    <w:rsid w:val="004E3539"/>
    <w:rsid w:val="004F0C4A"/>
    <w:rsid w:val="004F0F38"/>
    <w:rsid w:val="004F14DE"/>
    <w:rsid w:val="004F47D6"/>
    <w:rsid w:val="00500337"/>
    <w:rsid w:val="00501921"/>
    <w:rsid w:val="00530354"/>
    <w:rsid w:val="0053625B"/>
    <w:rsid w:val="005434C6"/>
    <w:rsid w:val="00543B39"/>
    <w:rsid w:val="00546154"/>
    <w:rsid w:val="00547EF2"/>
    <w:rsid w:val="00550096"/>
    <w:rsid w:val="00555280"/>
    <w:rsid w:val="005553A9"/>
    <w:rsid w:val="00556DDB"/>
    <w:rsid w:val="00557FF9"/>
    <w:rsid w:val="00562327"/>
    <w:rsid w:val="005711D5"/>
    <w:rsid w:val="0057491F"/>
    <w:rsid w:val="00576378"/>
    <w:rsid w:val="00577130"/>
    <w:rsid w:val="00577945"/>
    <w:rsid w:val="00577E38"/>
    <w:rsid w:val="00583C7F"/>
    <w:rsid w:val="00585322"/>
    <w:rsid w:val="005857C6"/>
    <w:rsid w:val="00592F6E"/>
    <w:rsid w:val="00593AD1"/>
    <w:rsid w:val="005A68B6"/>
    <w:rsid w:val="005B7526"/>
    <w:rsid w:val="005C009E"/>
    <w:rsid w:val="005C5570"/>
    <w:rsid w:val="005C79A4"/>
    <w:rsid w:val="005D4E42"/>
    <w:rsid w:val="005D5442"/>
    <w:rsid w:val="005D5C90"/>
    <w:rsid w:val="0060162E"/>
    <w:rsid w:val="006021EE"/>
    <w:rsid w:val="00603F32"/>
    <w:rsid w:val="00605AD4"/>
    <w:rsid w:val="006136D7"/>
    <w:rsid w:val="00623931"/>
    <w:rsid w:val="00625A6E"/>
    <w:rsid w:val="00632398"/>
    <w:rsid w:val="00640FC3"/>
    <w:rsid w:val="00642020"/>
    <w:rsid w:val="006430EE"/>
    <w:rsid w:val="006471FC"/>
    <w:rsid w:val="0065337B"/>
    <w:rsid w:val="0065419D"/>
    <w:rsid w:val="006603BC"/>
    <w:rsid w:val="006604D8"/>
    <w:rsid w:val="00664A5B"/>
    <w:rsid w:val="00666B29"/>
    <w:rsid w:val="0066735C"/>
    <w:rsid w:val="006708EF"/>
    <w:rsid w:val="00674ED0"/>
    <w:rsid w:val="006763D2"/>
    <w:rsid w:val="00680C08"/>
    <w:rsid w:val="006916A0"/>
    <w:rsid w:val="006931B1"/>
    <w:rsid w:val="006A15C0"/>
    <w:rsid w:val="006A58A8"/>
    <w:rsid w:val="006B582C"/>
    <w:rsid w:val="006C3E2A"/>
    <w:rsid w:val="006C3EE2"/>
    <w:rsid w:val="006C642F"/>
    <w:rsid w:val="006D03E5"/>
    <w:rsid w:val="006D5D3E"/>
    <w:rsid w:val="006D73C7"/>
    <w:rsid w:val="006E08B3"/>
    <w:rsid w:val="006F17AC"/>
    <w:rsid w:val="006F1CD4"/>
    <w:rsid w:val="006F25B8"/>
    <w:rsid w:val="006F572E"/>
    <w:rsid w:val="007046D6"/>
    <w:rsid w:val="00705DB0"/>
    <w:rsid w:val="00714B20"/>
    <w:rsid w:val="00722B57"/>
    <w:rsid w:val="00730F8A"/>
    <w:rsid w:val="00735A8C"/>
    <w:rsid w:val="0074253D"/>
    <w:rsid w:val="0074429B"/>
    <w:rsid w:val="007478CA"/>
    <w:rsid w:val="007577AC"/>
    <w:rsid w:val="007615BC"/>
    <w:rsid w:val="00762BFE"/>
    <w:rsid w:val="00762F05"/>
    <w:rsid w:val="00763799"/>
    <w:rsid w:val="007652FF"/>
    <w:rsid w:val="00770C12"/>
    <w:rsid w:val="00770CAC"/>
    <w:rsid w:val="00770EF1"/>
    <w:rsid w:val="007728FA"/>
    <w:rsid w:val="00773EF7"/>
    <w:rsid w:val="00774B69"/>
    <w:rsid w:val="00774E1D"/>
    <w:rsid w:val="007765D8"/>
    <w:rsid w:val="0077675A"/>
    <w:rsid w:val="00780355"/>
    <w:rsid w:val="007819FD"/>
    <w:rsid w:val="00785717"/>
    <w:rsid w:val="00785721"/>
    <w:rsid w:val="00787930"/>
    <w:rsid w:val="007912BD"/>
    <w:rsid w:val="00793A59"/>
    <w:rsid w:val="007A46F5"/>
    <w:rsid w:val="007A6505"/>
    <w:rsid w:val="007B6132"/>
    <w:rsid w:val="007B6E9F"/>
    <w:rsid w:val="007C0777"/>
    <w:rsid w:val="007C1216"/>
    <w:rsid w:val="007C1AF7"/>
    <w:rsid w:val="007C6B9B"/>
    <w:rsid w:val="007C7845"/>
    <w:rsid w:val="007E0BC2"/>
    <w:rsid w:val="007F7F41"/>
    <w:rsid w:val="00805D27"/>
    <w:rsid w:val="00806DCB"/>
    <w:rsid w:val="00821776"/>
    <w:rsid w:val="0083202A"/>
    <w:rsid w:val="008321F5"/>
    <w:rsid w:val="00832369"/>
    <w:rsid w:val="00834660"/>
    <w:rsid w:val="00836BC2"/>
    <w:rsid w:val="00841265"/>
    <w:rsid w:val="0085156D"/>
    <w:rsid w:val="00852B28"/>
    <w:rsid w:val="0085641B"/>
    <w:rsid w:val="00857136"/>
    <w:rsid w:val="00875A6B"/>
    <w:rsid w:val="00885B11"/>
    <w:rsid w:val="0088635B"/>
    <w:rsid w:val="00886D15"/>
    <w:rsid w:val="00887DD8"/>
    <w:rsid w:val="00891BA9"/>
    <w:rsid w:val="00892FAF"/>
    <w:rsid w:val="00896018"/>
    <w:rsid w:val="008960DD"/>
    <w:rsid w:val="0089635C"/>
    <w:rsid w:val="008A2B9D"/>
    <w:rsid w:val="008A3D9F"/>
    <w:rsid w:val="008A5E0B"/>
    <w:rsid w:val="008A6D59"/>
    <w:rsid w:val="008B150C"/>
    <w:rsid w:val="008B4B03"/>
    <w:rsid w:val="008B57EC"/>
    <w:rsid w:val="008B596F"/>
    <w:rsid w:val="008C159F"/>
    <w:rsid w:val="008C1623"/>
    <w:rsid w:val="008C1850"/>
    <w:rsid w:val="008C51A9"/>
    <w:rsid w:val="008E0508"/>
    <w:rsid w:val="008E7846"/>
    <w:rsid w:val="008F02E5"/>
    <w:rsid w:val="008F1CCC"/>
    <w:rsid w:val="008F2967"/>
    <w:rsid w:val="008F3D0E"/>
    <w:rsid w:val="008F6943"/>
    <w:rsid w:val="00902A21"/>
    <w:rsid w:val="00911053"/>
    <w:rsid w:val="0091523F"/>
    <w:rsid w:val="00920330"/>
    <w:rsid w:val="009219D7"/>
    <w:rsid w:val="00922D53"/>
    <w:rsid w:val="00923B70"/>
    <w:rsid w:val="00924482"/>
    <w:rsid w:val="00930237"/>
    <w:rsid w:val="00935E59"/>
    <w:rsid w:val="00937C17"/>
    <w:rsid w:val="00940A89"/>
    <w:rsid w:val="00941F77"/>
    <w:rsid w:val="00946EA5"/>
    <w:rsid w:val="00960520"/>
    <w:rsid w:val="00963C08"/>
    <w:rsid w:val="009752A5"/>
    <w:rsid w:val="00980278"/>
    <w:rsid w:val="0098585A"/>
    <w:rsid w:val="00986238"/>
    <w:rsid w:val="009947A4"/>
    <w:rsid w:val="009A4CED"/>
    <w:rsid w:val="009A690D"/>
    <w:rsid w:val="009B1D12"/>
    <w:rsid w:val="009B416B"/>
    <w:rsid w:val="009C1D3C"/>
    <w:rsid w:val="009C4BD5"/>
    <w:rsid w:val="009C5024"/>
    <w:rsid w:val="009C77F9"/>
    <w:rsid w:val="009D7B77"/>
    <w:rsid w:val="009E0BB0"/>
    <w:rsid w:val="009E3FBB"/>
    <w:rsid w:val="009F7353"/>
    <w:rsid w:val="00A04F85"/>
    <w:rsid w:val="00A05FA4"/>
    <w:rsid w:val="00A06DEA"/>
    <w:rsid w:val="00A102E4"/>
    <w:rsid w:val="00A1219C"/>
    <w:rsid w:val="00A12C42"/>
    <w:rsid w:val="00A14DF7"/>
    <w:rsid w:val="00A22D57"/>
    <w:rsid w:val="00A3246D"/>
    <w:rsid w:val="00A33E42"/>
    <w:rsid w:val="00A35C9C"/>
    <w:rsid w:val="00A36FA7"/>
    <w:rsid w:val="00A44DDB"/>
    <w:rsid w:val="00A47551"/>
    <w:rsid w:val="00A475B7"/>
    <w:rsid w:val="00A47AF7"/>
    <w:rsid w:val="00A47C3E"/>
    <w:rsid w:val="00A50226"/>
    <w:rsid w:val="00A60BAD"/>
    <w:rsid w:val="00A60E46"/>
    <w:rsid w:val="00A63ACC"/>
    <w:rsid w:val="00A64C22"/>
    <w:rsid w:val="00A77F87"/>
    <w:rsid w:val="00A80B5B"/>
    <w:rsid w:val="00A8499C"/>
    <w:rsid w:val="00A84E36"/>
    <w:rsid w:val="00A91169"/>
    <w:rsid w:val="00A964D1"/>
    <w:rsid w:val="00AA0ED0"/>
    <w:rsid w:val="00AA5736"/>
    <w:rsid w:val="00AB2F21"/>
    <w:rsid w:val="00AC2B40"/>
    <w:rsid w:val="00AC2BB2"/>
    <w:rsid w:val="00AC2C3C"/>
    <w:rsid w:val="00AC512D"/>
    <w:rsid w:val="00AD0083"/>
    <w:rsid w:val="00AD3935"/>
    <w:rsid w:val="00AD7E8F"/>
    <w:rsid w:val="00AE65EB"/>
    <w:rsid w:val="00AE67A7"/>
    <w:rsid w:val="00AF1D94"/>
    <w:rsid w:val="00AF60C5"/>
    <w:rsid w:val="00AF6CB9"/>
    <w:rsid w:val="00B003BC"/>
    <w:rsid w:val="00B009C6"/>
    <w:rsid w:val="00B01548"/>
    <w:rsid w:val="00B02798"/>
    <w:rsid w:val="00B130C5"/>
    <w:rsid w:val="00B13573"/>
    <w:rsid w:val="00B13EBD"/>
    <w:rsid w:val="00B21D29"/>
    <w:rsid w:val="00B25034"/>
    <w:rsid w:val="00B305B8"/>
    <w:rsid w:val="00B33588"/>
    <w:rsid w:val="00B33863"/>
    <w:rsid w:val="00B37D17"/>
    <w:rsid w:val="00B4175E"/>
    <w:rsid w:val="00B41C85"/>
    <w:rsid w:val="00B452CE"/>
    <w:rsid w:val="00B45C35"/>
    <w:rsid w:val="00B54C25"/>
    <w:rsid w:val="00B64511"/>
    <w:rsid w:val="00B649C3"/>
    <w:rsid w:val="00B76B91"/>
    <w:rsid w:val="00B77EB1"/>
    <w:rsid w:val="00B811C6"/>
    <w:rsid w:val="00B855B0"/>
    <w:rsid w:val="00B92E08"/>
    <w:rsid w:val="00BA1587"/>
    <w:rsid w:val="00BA3A91"/>
    <w:rsid w:val="00BC05F7"/>
    <w:rsid w:val="00BC1FC9"/>
    <w:rsid w:val="00BC622A"/>
    <w:rsid w:val="00BD4CBA"/>
    <w:rsid w:val="00BE0A78"/>
    <w:rsid w:val="00BE0DBA"/>
    <w:rsid w:val="00BE3BB0"/>
    <w:rsid w:val="00BE5C9A"/>
    <w:rsid w:val="00BE79F0"/>
    <w:rsid w:val="00BF046D"/>
    <w:rsid w:val="00BF1190"/>
    <w:rsid w:val="00BF3774"/>
    <w:rsid w:val="00BF5D04"/>
    <w:rsid w:val="00C009AA"/>
    <w:rsid w:val="00C05994"/>
    <w:rsid w:val="00C1164D"/>
    <w:rsid w:val="00C11662"/>
    <w:rsid w:val="00C12781"/>
    <w:rsid w:val="00C16861"/>
    <w:rsid w:val="00C2122C"/>
    <w:rsid w:val="00C346AB"/>
    <w:rsid w:val="00C404A6"/>
    <w:rsid w:val="00C40A11"/>
    <w:rsid w:val="00C40A36"/>
    <w:rsid w:val="00C44419"/>
    <w:rsid w:val="00C45E7B"/>
    <w:rsid w:val="00C471B1"/>
    <w:rsid w:val="00C5049B"/>
    <w:rsid w:val="00C527A8"/>
    <w:rsid w:val="00C52E24"/>
    <w:rsid w:val="00C54DE1"/>
    <w:rsid w:val="00C614A7"/>
    <w:rsid w:val="00C6316B"/>
    <w:rsid w:val="00C634A9"/>
    <w:rsid w:val="00C64586"/>
    <w:rsid w:val="00C70D53"/>
    <w:rsid w:val="00C73D0B"/>
    <w:rsid w:val="00C74F5C"/>
    <w:rsid w:val="00C772FF"/>
    <w:rsid w:val="00C80137"/>
    <w:rsid w:val="00C801AF"/>
    <w:rsid w:val="00C80256"/>
    <w:rsid w:val="00C81B7B"/>
    <w:rsid w:val="00C93CBC"/>
    <w:rsid w:val="00C94CD4"/>
    <w:rsid w:val="00C9747E"/>
    <w:rsid w:val="00CB6BC0"/>
    <w:rsid w:val="00CC1B7C"/>
    <w:rsid w:val="00CC6446"/>
    <w:rsid w:val="00CC727F"/>
    <w:rsid w:val="00CE7CBC"/>
    <w:rsid w:val="00CF15C3"/>
    <w:rsid w:val="00CF2B6F"/>
    <w:rsid w:val="00CF2F3E"/>
    <w:rsid w:val="00CF58B6"/>
    <w:rsid w:val="00D005B3"/>
    <w:rsid w:val="00D0062D"/>
    <w:rsid w:val="00D017ED"/>
    <w:rsid w:val="00D01E6C"/>
    <w:rsid w:val="00D040D3"/>
    <w:rsid w:val="00D04C65"/>
    <w:rsid w:val="00D06AA4"/>
    <w:rsid w:val="00D153D8"/>
    <w:rsid w:val="00D201D2"/>
    <w:rsid w:val="00D224FE"/>
    <w:rsid w:val="00D23139"/>
    <w:rsid w:val="00D2321C"/>
    <w:rsid w:val="00D27CC8"/>
    <w:rsid w:val="00D425BB"/>
    <w:rsid w:val="00D453FA"/>
    <w:rsid w:val="00D6493E"/>
    <w:rsid w:val="00D7195D"/>
    <w:rsid w:val="00D71D9F"/>
    <w:rsid w:val="00D7301E"/>
    <w:rsid w:val="00D83AE1"/>
    <w:rsid w:val="00D84679"/>
    <w:rsid w:val="00D855D4"/>
    <w:rsid w:val="00D902C9"/>
    <w:rsid w:val="00D93466"/>
    <w:rsid w:val="00D9566E"/>
    <w:rsid w:val="00D97113"/>
    <w:rsid w:val="00DA1124"/>
    <w:rsid w:val="00DA1FE4"/>
    <w:rsid w:val="00DA2574"/>
    <w:rsid w:val="00DA4BDF"/>
    <w:rsid w:val="00DA64CB"/>
    <w:rsid w:val="00DA7395"/>
    <w:rsid w:val="00DB06B8"/>
    <w:rsid w:val="00DB1BEF"/>
    <w:rsid w:val="00DB6124"/>
    <w:rsid w:val="00DB750B"/>
    <w:rsid w:val="00DB75B7"/>
    <w:rsid w:val="00DB7FB9"/>
    <w:rsid w:val="00DC0A2F"/>
    <w:rsid w:val="00DC1948"/>
    <w:rsid w:val="00DC68B0"/>
    <w:rsid w:val="00DC6E02"/>
    <w:rsid w:val="00DD28CD"/>
    <w:rsid w:val="00DE02AE"/>
    <w:rsid w:val="00DE39D1"/>
    <w:rsid w:val="00DF1D7F"/>
    <w:rsid w:val="00DF4BE4"/>
    <w:rsid w:val="00E02382"/>
    <w:rsid w:val="00E02FB4"/>
    <w:rsid w:val="00E13FC7"/>
    <w:rsid w:val="00E16BFD"/>
    <w:rsid w:val="00E20571"/>
    <w:rsid w:val="00E235F7"/>
    <w:rsid w:val="00E23659"/>
    <w:rsid w:val="00E239D4"/>
    <w:rsid w:val="00E26130"/>
    <w:rsid w:val="00E35043"/>
    <w:rsid w:val="00E40B22"/>
    <w:rsid w:val="00E44ED1"/>
    <w:rsid w:val="00E45619"/>
    <w:rsid w:val="00E4588F"/>
    <w:rsid w:val="00E46DA3"/>
    <w:rsid w:val="00E51BB1"/>
    <w:rsid w:val="00E5393D"/>
    <w:rsid w:val="00E55CB0"/>
    <w:rsid w:val="00E624A5"/>
    <w:rsid w:val="00E625F3"/>
    <w:rsid w:val="00E6329C"/>
    <w:rsid w:val="00E64BA4"/>
    <w:rsid w:val="00E706E5"/>
    <w:rsid w:val="00E7344E"/>
    <w:rsid w:val="00E74822"/>
    <w:rsid w:val="00E76A08"/>
    <w:rsid w:val="00E77A15"/>
    <w:rsid w:val="00E82665"/>
    <w:rsid w:val="00EA3DA8"/>
    <w:rsid w:val="00EB0798"/>
    <w:rsid w:val="00EB40AD"/>
    <w:rsid w:val="00EB586E"/>
    <w:rsid w:val="00EB5FC8"/>
    <w:rsid w:val="00EC463D"/>
    <w:rsid w:val="00EC7A85"/>
    <w:rsid w:val="00ED2922"/>
    <w:rsid w:val="00ED2B82"/>
    <w:rsid w:val="00ED3CAD"/>
    <w:rsid w:val="00ED5A41"/>
    <w:rsid w:val="00EE1DE8"/>
    <w:rsid w:val="00EE27C2"/>
    <w:rsid w:val="00EE655A"/>
    <w:rsid w:val="00EE781E"/>
    <w:rsid w:val="00EF4777"/>
    <w:rsid w:val="00EF4BAD"/>
    <w:rsid w:val="00EF59C1"/>
    <w:rsid w:val="00EF59DC"/>
    <w:rsid w:val="00F018AA"/>
    <w:rsid w:val="00F033EC"/>
    <w:rsid w:val="00F04F68"/>
    <w:rsid w:val="00F12670"/>
    <w:rsid w:val="00F14B27"/>
    <w:rsid w:val="00F16CE9"/>
    <w:rsid w:val="00F21FAA"/>
    <w:rsid w:val="00F27494"/>
    <w:rsid w:val="00F3148D"/>
    <w:rsid w:val="00F325C5"/>
    <w:rsid w:val="00F32FE0"/>
    <w:rsid w:val="00F35298"/>
    <w:rsid w:val="00F36C63"/>
    <w:rsid w:val="00F47333"/>
    <w:rsid w:val="00F47E37"/>
    <w:rsid w:val="00F53C07"/>
    <w:rsid w:val="00F54B65"/>
    <w:rsid w:val="00F54BEE"/>
    <w:rsid w:val="00F640B6"/>
    <w:rsid w:val="00F66DF2"/>
    <w:rsid w:val="00F7066C"/>
    <w:rsid w:val="00F72298"/>
    <w:rsid w:val="00F73F27"/>
    <w:rsid w:val="00F80E40"/>
    <w:rsid w:val="00F848D9"/>
    <w:rsid w:val="00FA5069"/>
    <w:rsid w:val="00FA5B82"/>
    <w:rsid w:val="00FA639E"/>
    <w:rsid w:val="00FB1263"/>
    <w:rsid w:val="00FB5BFB"/>
    <w:rsid w:val="00FC1FCA"/>
    <w:rsid w:val="00FC25E4"/>
    <w:rsid w:val="00FC4EF7"/>
    <w:rsid w:val="00FD0824"/>
    <w:rsid w:val="00FD10E1"/>
    <w:rsid w:val="00FD119B"/>
    <w:rsid w:val="00FD1213"/>
    <w:rsid w:val="00FD1EDC"/>
    <w:rsid w:val="00FE01CC"/>
    <w:rsid w:val="00FE1DEE"/>
    <w:rsid w:val="00FE28E4"/>
    <w:rsid w:val="00FE6BC7"/>
    <w:rsid w:val="00FF2126"/>
    <w:rsid w:val="00FF5755"/>
    <w:rsid w:val="00FF69BE"/>
    <w:rsid w:val="00FF7216"/>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5C58AAF"/>
  <w15:docId w15:val="{D9D03CE8-56E0-4021-BB97-A45CDDC9B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D581F"/>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odyCopy">
    <w:name w:val="Body Copy"/>
    <w:basedOn w:val="Normal"/>
    <w:qFormat/>
    <w:rsid w:val="007C7845"/>
    <w:pPr>
      <w:adjustRightInd w:val="0"/>
      <w:snapToGrid w:val="0"/>
      <w:spacing w:before="180" w:after="180"/>
    </w:pPr>
    <w:rPr>
      <w:rFonts w:eastAsia="MS Mincho"/>
      <w:szCs w:val="20"/>
      <w:lang w:eastAsia="ja-JP"/>
    </w:rPr>
  </w:style>
  <w:style w:type="paragraph" w:styleId="ListParagraph">
    <w:name w:val="List Paragraph"/>
    <w:basedOn w:val="Normal"/>
    <w:uiPriority w:val="34"/>
    <w:rsid w:val="007C7845"/>
    <w:pPr>
      <w:adjustRightInd w:val="0"/>
      <w:snapToGrid w:val="0"/>
      <w:spacing w:before="180" w:after="180"/>
      <w:ind w:left="720"/>
      <w:contextualSpacing/>
    </w:pPr>
    <w:rPr>
      <w:rFonts w:eastAsia="MS Mincho"/>
      <w:szCs w:val="20"/>
      <w:lang w:eastAsia="ja-JP"/>
    </w:rPr>
  </w:style>
  <w:style w:type="character" w:styleId="Emphasis">
    <w:name w:val="Emphasis"/>
    <w:basedOn w:val="DefaultParagraphFont"/>
    <w:uiPriority w:val="20"/>
    <w:qFormat/>
    <w:rsid w:val="003749BA"/>
    <w:rPr>
      <w:i/>
      <w:iCs/>
    </w:rPr>
  </w:style>
  <w:style w:type="paragraph" w:customStyle="1" w:styleId="Default">
    <w:name w:val="Default"/>
    <w:rsid w:val="002505BE"/>
    <w:pPr>
      <w:autoSpaceDE w:val="0"/>
      <w:autoSpaceDN w:val="0"/>
      <w:adjustRightInd w:val="0"/>
      <w:spacing w:after="0" w:line="240" w:lineRule="auto"/>
    </w:pPr>
    <w:rPr>
      <w:rFonts w:ascii="Cambria" w:hAnsi="Cambria" w:cs="Cambria"/>
      <w:color w:val="000000"/>
      <w:sz w:val="24"/>
      <w:szCs w:val="24"/>
    </w:rPr>
  </w:style>
  <w:style w:type="character" w:customStyle="1" w:styleId="gd">
    <w:name w:val="gd"/>
    <w:basedOn w:val="DefaultParagraphFont"/>
    <w:rsid w:val="009C1D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807147">
      <w:bodyDiv w:val="1"/>
      <w:marLeft w:val="0"/>
      <w:marRight w:val="0"/>
      <w:marTop w:val="0"/>
      <w:marBottom w:val="0"/>
      <w:divBdr>
        <w:top w:val="none" w:sz="0" w:space="0" w:color="auto"/>
        <w:left w:val="none" w:sz="0" w:space="0" w:color="auto"/>
        <w:bottom w:val="none" w:sz="0" w:space="0" w:color="auto"/>
        <w:right w:val="none" w:sz="0" w:space="0" w:color="auto"/>
      </w:divBdr>
    </w:div>
    <w:div w:id="404913640">
      <w:bodyDiv w:val="1"/>
      <w:marLeft w:val="0"/>
      <w:marRight w:val="0"/>
      <w:marTop w:val="0"/>
      <w:marBottom w:val="0"/>
      <w:divBdr>
        <w:top w:val="none" w:sz="0" w:space="0" w:color="auto"/>
        <w:left w:val="none" w:sz="0" w:space="0" w:color="auto"/>
        <w:bottom w:val="none" w:sz="0" w:space="0" w:color="auto"/>
        <w:right w:val="none" w:sz="0" w:space="0" w:color="auto"/>
      </w:divBdr>
    </w:div>
    <w:div w:id="1202598612">
      <w:bodyDiv w:val="1"/>
      <w:marLeft w:val="0"/>
      <w:marRight w:val="0"/>
      <w:marTop w:val="0"/>
      <w:marBottom w:val="0"/>
      <w:divBdr>
        <w:top w:val="none" w:sz="0" w:space="0" w:color="auto"/>
        <w:left w:val="none" w:sz="0" w:space="0" w:color="auto"/>
        <w:bottom w:val="none" w:sz="0" w:space="0" w:color="auto"/>
        <w:right w:val="none" w:sz="0" w:space="0" w:color="auto"/>
      </w:divBdr>
    </w:div>
    <w:div w:id="1638683209">
      <w:bodyDiv w:val="1"/>
      <w:marLeft w:val="0"/>
      <w:marRight w:val="0"/>
      <w:marTop w:val="0"/>
      <w:marBottom w:val="0"/>
      <w:divBdr>
        <w:top w:val="none" w:sz="0" w:space="0" w:color="auto"/>
        <w:left w:val="none" w:sz="0" w:space="0" w:color="auto"/>
        <w:bottom w:val="none" w:sz="0" w:space="0" w:color="auto"/>
        <w:right w:val="none" w:sz="0" w:space="0" w:color="auto"/>
      </w:divBdr>
    </w:div>
    <w:div w:id="187453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hdphoto" Target="media/hdphoto1.wdp"/><Relationship Id="rId26" Type="http://schemas.openxmlformats.org/officeDocument/2006/relationships/image" Target="media/image7.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header" Target="header4.xml"/><Relationship Id="rId47" Type="http://schemas.openxmlformats.org/officeDocument/2006/relationships/header" Target="header6.xml"/><Relationship Id="rId50"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hyperlink" Target="https://www.tga.gov.au" TargetMode="External"/><Relationship Id="rId2" Type="http://schemas.openxmlformats.org/officeDocument/2006/relationships/customXml" Target="../customXml/item2.xml"/><Relationship Id="rId16" Type="http://schemas.openxmlformats.org/officeDocument/2006/relationships/hyperlink" Target="https://www.tga.gov.au/product-information-pi" TargetMode="External"/><Relationship Id="rId20" Type="http://schemas.microsoft.com/office/2007/relationships/hdphoto" Target="media/hdphoto2.wdp"/><Relationship Id="rId29" Type="http://schemas.microsoft.com/office/2007/relationships/hdphoto" Target="media/hdphoto6.wdp"/><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microsoft.com/office/2007/relationships/hdphoto" Target="media/hdphoto4.wdp"/><Relationship Id="rId32" Type="http://schemas.openxmlformats.org/officeDocument/2006/relationships/image" Target="media/image11.png"/><Relationship Id="rId37" Type="http://schemas.microsoft.com/office/2007/relationships/hdphoto" Target="media/hdphoto7.wdp"/><Relationship Id="rId40" Type="http://schemas.openxmlformats.org/officeDocument/2006/relationships/hyperlink" Target="https://www.tga.gov.au/product-information-pi" TargetMode="External"/><Relationship Id="rId45" Type="http://schemas.openxmlformats.org/officeDocument/2006/relationships/hyperlink" Target="mailto:info@tga.gov.au"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footer" Target="footer2.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5.xml"/><Relationship Id="rId4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73516\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0CF9E6D0456C459793D15121C52C8A" ma:contentTypeVersion="9" ma:contentTypeDescription="Create a new document." ma:contentTypeScope="" ma:versionID="9299f2fb6e6f4db1383bb2e26b8690b1">
  <xsd:schema xmlns:xsd="http://www.w3.org/2001/XMLSchema" xmlns:xs="http://www.w3.org/2001/XMLSchema" xmlns:p="http://schemas.microsoft.com/office/2006/metadata/properties" xmlns:ns1="http://schemas.microsoft.com/sharepoint/v3" xmlns:ns2="ef2048ec-0c11-4bcd-a917-e0219cadac42" xmlns:ns3="f191ad30-9ade-4f0c-b78e-cf30469879ae" xmlns:ns4="http://schemas.microsoft.com/sharepoint/v4" targetNamespace="http://schemas.microsoft.com/office/2006/metadata/properties" ma:root="true" ma:fieldsID="42e48f13d84b6da045765041499c7450" ns1:_="" ns2:_="" ns3:_="" ns4:_="">
    <xsd:import namespace="http://schemas.microsoft.com/sharepoint/v3"/>
    <xsd:import namespace="ef2048ec-0c11-4bcd-a917-e0219cadac42"/>
    <xsd:import namespace="f191ad30-9ade-4f0c-b78e-cf30469879ae"/>
    <xsd:import namespace="http://schemas.microsoft.com/sharepoint/v4"/>
    <xsd:element name="properties">
      <xsd:complexType>
        <xsd:sequence>
          <xsd:element name="documentManagement">
            <xsd:complexType>
              <xsd:all>
                <xsd:element ref="ns2:TaxKeywordTaxHTField" minOccurs="0"/>
                <xsd:element ref="ns3:TaxCatchAll" minOccurs="0"/>
                <xsd:element ref="ns1:_dlc_ExpireDateSaved" minOccurs="0"/>
                <xsd:element ref="ns1:_dlc_ExpireDate" minOccurs="0"/>
                <xsd:element ref="ns1:_dlc_Exempt" minOccurs="0"/>
                <xsd:element ref="ns1:_vti_ItemDeclaredRecord" minOccurs="0"/>
                <xsd:element ref="ns1:_vti_ItemHoldRecordStatu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1" nillable="true" ma:displayName="Original Expiration Date" ma:description="" ma:hidden="true" ma:internalName="_dlc_ExpireDateSaved" ma:readOnly="true">
      <xsd:simpleType>
        <xsd:restriction base="dms:DateTime"/>
      </xsd:simpleType>
    </xsd:element>
    <xsd:element name="_dlc_ExpireDate" ma:index="12" nillable="true" ma:displayName="Expiration Date" ma:description="" ma:hidden="true" ma:indexed="true" ma:internalName="_dlc_ExpireDate" ma:readOnly="true">
      <xsd:simpleType>
        <xsd:restriction base="dms:DateTime"/>
      </xsd:simpleType>
    </xsd:element>
    <xsd:element name="_dlc_Exempt" ma:index="13" nillable="true" ma:displayName="Exempt from Policy" ma:hidden="true" ma:internalName="_dlc_Exempt" ma:readOnly="true">
      <xsd:simpleType>
        <xsd:restriction base="dms:Unknown"/>
      </xsd:simpleType>
    </xsd:element>
    <xsd:element name="_vti_ItemDeclaredRecord" ma:index="14" nillable="true" ma:displayName="Declared Record" ma:hidden="true" ma:internalName="_vti_ItemDeclaredRecord" ma:readOnly="true">
      <xsd:simpleType>
        <xsd:restriction base="dms:DateTime"/>
      </xsd:simpleType>
    </xsd:element>
    <xsd:element name="_vti_ItemHoldRecordStatus" ma:index="15"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2048ec-0c11-4bcd-a917-e0219cadac4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cb3b16da-6438-44a9-840c-73f1ed966cc5"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91ad30-9ade-4f0c-b78e-cf30469879a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76d4eaa-a228-48ef-a894-e584d3c301fb}" ma:internalName="TaxCatchAll" ma:showField="CatchAllData" ma:web="ef2048ec-0c11-4bcd-a917-e0219cadac4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191ad30-9ade-4f0c-b78e-cf30469879ae"/>
    <IconOverlay xmlns="http://schemas.microsoft.com/sharepoint/v4" xsi:nil="true"/>
    <TaxKeywordTaxHTField xmlns="ef2048ec-0c11-4bcd-a917-e0219cadac42">
      <Terms xmlns="http://schemas.microsoft.com/office/infopath/2007/PartnerControls"/>
    </TaxKeywordTaxHTField>
    <_dlc_ExpireDateSaved xmlns="http://schemas.microsoft.com/sharepoint/v3" xsi:nil="true"/>
    <_dlc_ExpireDate xmlns="http://schemas.microsoft.com/sharepoint/v3">2030-12-01T05:00:00+00:00</_dlc_ExpireD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8FD6B-80F2-4587-8AAA-B3231B0A6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2048ec-0c11-4bcd-a917-e0219cadac42"/>
    <ds:schemaRef ds:uri="f191ad30-9ade-4f0c-b78e-cf30469879a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FE5B00-53DB-4818-A842-2ABBBC5CD9B8}">
  <ds:schemaRefs>
    <ds:schemaRef ds:uri="http://schemas.microsoft.com/sharepoint/v3/contenttype/forms"/>
  </ds:schemaRefs>
</ds:datastoreItem>
</file>

<file path=customXml/itemProps3.xml><?xml version="1.0" encoding="utf-8"?>
<ds:datastoreItem xmlns:ds="http://schemas.openxmlformats.org/officeDocument/2006/customXml" ds:itemID="{EB887434-2684-45D5-A45F-B7427E769C52}">
  <ds:schemaRefs>
    <ds:schemaRef ds:uri="http://www.w3.org/XML/1998/namespace"/>
    <ds:schemaRef ds:uri="http://schemas.openxmlformats.org/package/2006/metadata/core-properties"/>
    <ds:schemaRef ds:uri="http://purl.org/dc/terms/"/>
    <ds:schemaRef ds:uri="f191ad30-9ade-4f0c-b78e-cf30469879ae"/>
    <ds:schemaRef ds:uri="http://schemas.microsoft.com/office/2006/documentManagement/types"/>
    <ds:schemaRef ds:uri="ef2048ec-0c11-4bcd-a917-e0219cadac42"/>
    <ds:schemaRef ds:uri="http://schemas.microsoft.com/office/2006/metadata/properties"/>
    <ds:schemaRef ds:uri="http://purl.org/dc/elements/1.1/"/>
    <ds:schemaRef ds:uri="http://schemas.microsoft.com/sharepoint/v3"/>
    <ds:schemaRef ds:uri="http://schemas.microsoft.com/office/infopath/2007/PartnerControls"/>
    <ds:schemaRef ds:uri="http://schemas.microsoft.com/sharepoint/v4"/>
    <ds:schemaRef ds:uri="http://purl.org/dc/dcmitype/"/>
  </ds:schemaRefs>
</ds:datastoreItem>
</file>

<file path=customXml/itemProps4.xml><?xml version="1.0" encoding="utf-8"?>
<ds:datastoreItem xmlns:ds="http://schemas.openxmlformats.org/officeDocument/2006/customXml" ds:itemID="{20B53E71-C9CD-4CCB-BF31-1A48956D3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Template>
  <TotalTime>23</TotalTime>
  <Pages>27</Pages>
  <Words>5520</Words>
  <Characters>31465</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36912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forAtezolizumab</dc:title>
  <dc:subject>prescription medicines</dc:subject>
  <dc:creator>Therapeutic Goods Administration</dc:creator>
  <cp:keywords/>
  <cp:lastPrinted>2019-08-14T04:30:00Z</cp:lastPrinted>
  <dcterms:created xsi:type="dcterms:W3CDTF">2020-06-17T00:13:00Z</dcterms:created>
  <dcterms:modified xsi:type="dcterms:W3CDTF">2020-06-17T01:59:00Z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0x010100F60CF9E6D0456C459793D15121C52C8A</vt:lpwstr>
  </property>
  <property fmtid="{D5CDD505-2E9C-101B-9397-08002B2CF9AE}" pid="3" name="ItemRetentionFormula">
    <vt:lpwstr>&lt;formula id="Roche.Common.Coremap.ExpirationFormula" /&gt;</vt:lpwstr>
  </property>
  <property fmtid="{D5CDD505-2E9C-101B-9397-08002B2CF9AE}" pid="4" name="_dlc_policyId">
    <vt:lpwstr>/team/20122a00/Health Authority Mtgs</vt:lpwstr>
  </property>
  <property fmtid="{D5CDD505-2E9C-101B-9397-08002B2CF9AE}" pid="5" name="TaxKeyword">
    <vt:lpwstr/>
  </property>
</Properties>
</file>