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C7378" w14:textId="6E23F794" w:rsidR="002C5796" w:rsidRDefault="002C5796" w:rsidP="002C5796">
      <w:pPr>
        <w:pStyle w:val="Header"/>
        <w:jc w:val="left"/>
        <w:rPr>
          <w:sz w:val="23"/>
          <w:szCs w:val="23"/>
        </w:rPr>
      </w:pPr>
      <w:r>
        <w:rPr>
          <w:noProof/>
          <w:lang w:eastAsia="en-AU"/>
        </w:rPr>
        <mc:AlternateContent>
          <mc:Choice Requires="wps">
            <w:drawing>
              <wp:inline distT="0" distB="0" distL="0" distR="0" wp14:anchorId="74DDE418" wp14:editId="7F846C51">
                <wp:extent cx="252095" cy="252095"/>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A071E" w14:textId="77777777" w:rsidR="00194A6F" w:rsidRPr="00BE2A26" w:rsidRDefault="00194A6F" w:rsidP="002C5796">
                            <w:pPr>
                              <w:rPr>
                                <w:rFonts w:ascii="Wingdings 3" w:hAnsi="Wingdings 3"/>
                              </w:rPr>
                            </w:pPr>
                            <w:r w:rsidRPr="00BE2A26">
                              <w:rPr>
                                <w:rFonts w:ascii="SimSun" w:eastAsia="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74DDE418" id="_x0000_t202" coordsize="21600,21600" o:spt="202" path="m,l,21600r21600,l21600,xe">
                <v:stroke joinstyle="miter"/>
                <v:path gradientshapeok="t" o:connecttype="rect"/>
              </v:shapetype>
              <v:shape id="Text Box 2"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3idAIAAP4EAAAOAAAAZHJzL2Uyb0RvYy54bWysVG1v2yAQ/j5p/wHxPfWLnDa26lRtskyT&#10;uhep3Q8ggGM0DAxI7G7qf9+B47TrNmma5g/4gOPh7p7nuLwaOokO3DqhVY2zsxQjrqhmQu1q/Pl+&#10;M1tg5DxRjEiteI0fuMNXy9evLntT8Vy3WjJuEYAoV/Wmxq33pkoSR1veEXemDVew2WjbEQ9Tu0uY&#10;JT2gdzLJ0/Q86bVlxmrKnYPV9biJlxG/aTj1H5vGcY9kjSE2H0cbx20Yk+UlqXaWmFbQYxjkH6Lo&#10;iFBw6QlqTTxBeyt+geoEtdrpxp9R3SW6aQTlMQfIJktfZHPXEsNjLlAcZ05lcv8Pln44fLJIsBrn&#10;GCnSAUX3fPDoRg8oD9XpjavA6c6Amx9gGViOmTpzq+kXh5RetUTt+LW1um85YRBdFk4mz46OOC6A&#10;bPv3msE1ZO91BBoa24XSQTEQoANLDydmQigUFvN5npZzjChsHe1wA6mmw8Y6/5brDgWjxhaIj+Dk&#10;cOv86Dq5hLucloJthJRxYnfblbToQEAkm/jF+F+4SRWclQ7HRsRxBWKEO8JeiDaS/r3M8iK9ycvZ&#10;5nxxMSs2xXxWXqSLWZqVN+V5WpTFevMYAsyKqhWMcXUrFJ8EmBV/R/CxFUbpRAmivsblPJ+PDP0x&#10;yTR+v0uyEx76UYquxouTE6kCr28Ug7RJ5YmQo538HH4kBGow/WNVogoC8aME/LAdACVIY6vZA+jB&#10;auALSIdHBIxW228Y9dCQNXZf98RyjOQ7BZoK3TsZdjK2k0EUhaM19hiN5sqPXb43VuxaQB5Vq/Q1&#10;6K4RURNPURzVCk0Wgz8+CKGLn8+j19OztfwBAAD//wMAUEsDBBQABgAIAAAAIQBj9U4M2QAAAAMB&#10;AAAPAAAAZHJzL2Rvd25yZXYueG1sTI9BT8JAEIXvJvyHzZB4MbAVE5TaLUHQmxxAwnnojm1Dd7bZ&#10;3dLy7131oJd5mbzJe99ky8E04kLO15YV3E8TEMSF1TWXCg4fb5MnED4ga2wsk4IreVjmo5sMU217&#10;3tFlH0oRQ9inqKAKoU2l9EVFBv3UtsTR+7TOYIirK6V22Mdw08hZksylwZpjQ4UtrSsqzvvOKJhv&#10;XNfveH23Oby+47YtZ8eX61Gp2/GwegYRaAh/x/CNH9Ehj0wn27H2olEQHwk/M3oPi0cQp1+VeSb/&#10;s+dfAAAA//8DAFBLAQItABQABgAIAAAAIQC2gziS/gAAAOEBAAATAAAAAAAAAAAAAAAAAAAAAABb&#10;Q29udGVudF9UeXBlc10ueG1sUEsBAi0AFAAGAAgAAAAhADj9If/WAAAAlAEAAAsAAAAAAAAAAAAA&#10;AAAALwEAAF9yZWxzLy5yZWxzUEsBAi0AFAAGAAgAAAAhACSp3eJ0AgAA/gQAAA4AAAAAAAAAAAAA&#10;AAAALgIAAGRycy9lMm9Eb2MueG1sUEsBAi0AFAAGAAgAAAAhAGP1TgzZAAAAAwEAAA8AAAAAAAAA&#10;AAAAAAAAzgQAAGRycy9kb3ducmV2LnhtbFBLBQYAAAAABAAEAPMAAADUBQAAAAA=&#10;" stroked="f">
                <v:textbox inset="0,0,0,0">
                  <w:txbxContent>
                    <w:p w14:paraId="504A071E" w14:textId="77777777" w:rsidR="00194A6F" w:rsidRPr="00BE2A26" w:rsidRDefault="00194A6F" w:rsidP="002C5796">
                      <w:pPr>
                        <w:rPr>
                          <w:rFonts w:ascii="Wingdings 3" w:hAnsi="Wingdings 3"/>
                        </w:rPr>
                      </w:pPr>
                      <w:r w:rsidRPr="00BE2A26">
                        <w:rPr>
                          <w:rFonts w:ascii="SimSun" w:eastAsia="SimSun" w:hAnsi="SimSun" w:cs="Arial" w:hint="eastAsia"/>
                          <w:sz w:val="40"/>
                        </w:rPr>
                        <w:t>▼</w:t>
                      </w:r>
                    </w:p>
                  </w:txbxContent>
                </v:textbox>
                <w10:anchorlock/>
              </v:shape>
            </w:pict>
          </mc:Fallback>
        </mc:AlternateContent>
      </w:r>
      <w:r>
        <w:rPr>
          <w:sz w:val="23"/>
          <w:szCs w:val="23"/>
        </w:rPr>
        <w:t xml:space="preserve">This medicinal product is subject to additional monitoring </w:t>
      </w:r>
      <w:r w:rsidRPr="002C5796">
        <w:rPr>
          <w:b/>
          <w:sz w:val="23"/>
          <w:szCs w:val="23"/>
        </w:rPr>
        <w:t>in Australia</w:t>
      </w:r>
      <w:r>
        <w:rPr>
          <w:sz w:val="23"/>
          <w:szCs w:val="23"/>
        </w:rPr>
        <w:t xml:space="preserve"> due to provisional approval of an extension of indications. This will allow quick identification of new safety information. Healthcare professionals are asked to report any suspected adverse events at </w:t>
      </w:r>
    </w:p>
    <w:p w14:paraId="1B382A2A" w14:textId="07F69927" w:rsidR="002C5796" w:rsidRDefault="00194A6F" w:rsidP="002C5796">
      <w:pPr>
        <w:pStyle w:val="Header"/>
        <w:jc w:val="left"/>
        <w:rPr>
          <w:sz w:val="23"/>
          <w:szCs w:val="23"/>
        </w:rPr>
      </w:pPr>
      <w:hyperlink r:id="rId12" w:history="1">
        <w:r w:rsidR="002C5796" w:rsidRPr="00DC0105">
          <w:rPr>
            <w:rStyle w:val="Hyperlink"/>
            <w:sz w:val="23"/>
            <w:szCs w:val="23"/>
          </w:rPr>
          <w:t>www.tga.gov.au/reporting-problems</w:t>
        </w:r>
      </w:hyperlink>
      <w:r w:rsidR="002C5796">
        <w:rPr>
          <w:sz w:val="23"/>
          <w:szCs w:val="23"/>
        </w:rPr>
        <w:t>.</w:t>
      </w:r>
    </w:p>
    <w:p w14:paraId="7A9A1A53" w14:textId="613CD4EE" w:rsidR="00455E28" w:rsidRPr="005E7160" w:rsidRDefault="00455E28" w:rsidP="00455E28">
      <w:pPr>
        <w:pStyle w:val="Header"/>
        <w:rPr>
          <w:b/>
          <w:szCs w:val="24"/>
        </w:rPr>
      </w:pPr>
    </w:p>
    <w:p w14:paraId="75C1A572" w14:textId="77777777" w:rsidR="00B01931" w:rsidRPr="005E7160" w:rsidRDefault="00B01931" w:rsidP="00455E28">
      <w:pPr>
        <w:pStyle w:val="Header"/>
        <w:rPr>
          <w:b/>
          <w:szCs w:val="24"/>
        </w:rPr>
      </w:pPr>
    </w:p>
    <w:p w14:paraId="4A83F21F" w14:textId="4E57E225" w:rsidR="00455E28" w:rsidRPr="00B01931" w:rsidRDefault="00455E28" w:rsidP="00455E28">
      <w:pPr>
        <w:pStyle w:val="Header"/>
        <w:jc w:val="center"/>
        <w:rPr>
          <w:b/>
          <w:sz w:val="28"/>
          <w:szCs w:val="28"/>
          <w:lang w:val="fr-FR"/>
        </w:rPr>
      </w:pPr>
      <w:r w:rsidRPr="00B01931">
        <w:rPr>
          <w:b/>
          <w:sz w:val="28"/>
          <w:szCs w:val="28"/>
          <w:lang w:val="fr-FR"/>
        </w:rPr>
        <w:t xml:space="preserve">AUSTRALIAN PRODUCT INFORMATION – </w:t>
      </w:r>
      <w:proofErr w:type="spellStart"/>
      <w:r w:rsidRPr="00B01931">
        <w:rPr>
          <w:b/>
          <w:sz w:val="28"/>
          <w:szCs w:val="28"/>
          <w:lang w:val="fr-FR"/>
        </w:rPr>
        <w:t>Tecentriq</w:t>
      </w:r>
      <w:proofErr w:type="spellEnd"/>
      <w:r w:rsidRPr="00B01931">
        <w:rPr>
          <w:b/>
          <w:sz w:val="28"/>
          <w:szCs w:val="28"/>
          <w:vertAlign w:val="superscript"/>
          <w:lang w:val="fr-FR"/>
        </w:rPr>
        <w:t>®</w:t>
      </w:r>
      <w:r w:rsidRPr="00B01931">
        <w:rPr>
          <w:b/>
          <w:sz w:val="28"/>
          <w:szCs w:val="28"/>
          <w:lang w:val="fr-FR"/>
        </w:rPr>
        <w:t xml:space="preserve"> (</w:t>
      </w:r>
      <w:proofErr w:type="spellStart"/>
      <w:r w:rsidRPr="00B01931">
        <w:rPr>
          <w:b/>
          <w:sz w:val="28"/>
          <w:szCs w:val="28"/>
          <w:lang w:val="fr-FR"/>
        </w:rPr>
        <w:t>atezolizumab</w:t>
      </w:r>
      <w:proofErr w:type="spellEnd"/>
      <w:r w:rsidRPr="00B01931">
        <w:rPr>
          <w:b/>
          <w:sz w:val="28"/>
          <w:szCs w:val="28"/>
          <w:lang w:val="fr-FR"/>
        </w:rPr>
        <w:t>)</w:t>
      </w:r>
    </w:p>
    <w:p w14:paraId="7A661B42" w14:textId="77777777" w:rsidR="002C5796" w:rsidRPr="00455E28" w:rsidRDefault="002C5796" w:rsidP="00A235AE">
      <w:pPr>
        <w:pStyle w:val="Header"/>
        <w:jc w:val="center"/>
        <w:rPr>
          <w:b/>
          <w:szCs w:val="24"/>
          <w:lang w:val="fr-FR"/>
        </w:rPr>
      </w:pPr>
    </w:p>
    <w:p w14:paraId="35150932" w14:textId="7C190B1D" w:rsidR="008F6CF6" w:rsidRPr="0046175F" w:rsidRDefault="008F6CF6" w:rsidP="00CD75CF">
      <w:pPr>
        <w:pStyle w:val="Heading1"/>
      </w:pPr>
      <w:r w:rsidRPr="0046175F">
        <w:t>1</w:t>
      </w:r>
      <w:r w:rsidRPr="0046175F">
        <w:tab/>
        <w:t>NAME OF THE MEDICINE</w:t>
      </w:r>
    </w:p>
    <w:p w14:paraId="2B0C00C7" w14:textId="4256140C" w:rsidR="00A359FD" w:rsidRPr="0046175F" w:rsidRDefault="00A5387F" w:rsidP="00CD75CF">
      <w:pPr>
        <w:rPr>
          <w:lang w:val="en-GB"/>
        </w:rPr>
      </w:pPr>
      <w:proofErr w:type="spellStart"/>
      <w:r w:rsidRPr="0046175F">
        <w:rPr>
          <w:lang w:val="en-GB"/>
        </w:rPr>
        <w:t>Atezolizumab</w:t>
      </w:r>
      <w:proofErr w:type="spellEnd"/>
    </w:p>
    <w:p w14:paraId="030E9657" w14:textId="77777777" w:rsidR="008F6CF6" w:rsidRPr="0046175F" w:rsidRDefault="008F6CF6" w:rsidP="00CD75CF">
      <w:pPr>
        <w:pStyle w:val="Heading1"/>
      </w:pPr>
      <w:r w:rsidRPr="0046175F">
        <w:t>2</w:t>
      </w:r>
      <w:r w:rsidRPr="0046175F">
        <w:tab/>
        <w:t>QUALITATIVE AND QUANTITATIVE COMPOSITION</w:t>
      </w:r>
    </w:p>
    <w:p w14:paraId="6988FD65" w14:textId="77777777" w:rsidR="00B304AC" w:rsidRPr="005D24D3" w:rsidRDefault="00B304AC" w:rsidP="00B304AC">
      <w:pPr>
        <w:rPr>
          <w:u w:val="single"/>
        </w:rPr>
      </w:pPr>
      <w:proofErr w:type="spellStart"/>
      <w:r w:rsidRPr="005D24D3">
        <w:rPr>
          <w:u w:val="single"/>
        </w:rPr>
        <w:t>Tecentriq</w:t>
      </w:r>
      <w:proofErr w:type="spellEnd"/>
      <w:r w:rsidRPr="005D24D3">
        <w:rPr>
          <w:u w:val="single"/>
        </w:rPr>
        <w:t xml:space="preserve"> 840 mg/14 mL </w:t>
      </w:r>
      <w:r w:rsidRPr="00443F1D">
        <w:rPr>
          <w:u w:val="single"/>
        </w:rPr>
        <w:t>concentrated</w:t>
      </w:r>
      <w:r>
        <w:rPr>
          <w:u w:val="single"/>
        </w:rPr>
        <w:t xml:space="preserve"> </w:t>
      </w:r>
      <w:r w:rsidRPr="00443F1D">
        <w:rPr>
          <w:u w:val="single"/>
        </w:rPr>
        <w:t>injection</w:t>
      </w:r>
    </w:p>
    <w:p w14:paraId="476DF929" w14:textId="77777777" w:rsidR="00B304AC" w:rsidRDefault="00B304AC" w:rsidP="00B304AC">
      <w:r>
        <w:t xml:space="preserve">Each vial of 14 mL contains 840 mg of </w:t>
      </w:r>
      <w:proofErr w:type="spellStart"/>
      <w:r>
        <w:t>atezolizumab</w:t>
      </w:r>
      <w:proofErr w:type="spellEnd"/>
      <w:r>
        <w:t xml:space="preserve"> at a concentration of 60 mg/</w:t>
      </w:r>
      <w:proofErr w:type="spellStart"/>
      <w:r>
        <w:t>mL.</w:t>
      </w:r>
      <w:proofErr w:type="spellEnd"/>
    </w:p>
    <w:p w14:paraId="60FC8231" w14:textId="77777777" w:rsidR="00B304AC" w:rsidRDefault="00B304AC" w:rsidP="00B304AC"/>
    <w:p w14:paraId="521B8C02" w14:textId="77777777" w:rsidR="00B304AC" w:rsidRPr="005D24D3" w:rsidRDefault="00B304AC" w:rsidP="00B304AC">
      <w:pPr>
        <w:rPr>
          <w:u w:val="single"/>
        </w:rPr>
      </w:pPr>
      <w:proofErr w:type="spellStart"/>
      <w:r w:rsidRPr="005D24D3">
        <w:rPr>
          <w:u w:val="single"/>
        </w:rPr>
        <w:t>Tecentriq</w:t>
      </w:r>
      <w:proofErr w:type="spellEnd"/>
      <w:r w:rsidRPr="005D24D3">
        <w:rPr>
          <w:u w:val="single"/>
        </w:rPr>
        <w:t xml:space="preserve"> 1200 mg/20 mL </w:t>
      </w:r>
      <w:r w:rsidRPr="00443F1D">
        <w:rPr>
          <w:u w:val="single"/>
        </w:rPr>
        <w:t>concentrated</w:t>
      </w:r>
      <w:r>
        <w:rPr>
          <w:u w:val="single"/>
        </w:rPr>
        <w:t xml:space="preserve"> </w:t>
      </w:r>
      <w:r w:rsidRPr="00443F1D">
        <w:rPr>
          <w:u w:val="single"/>
        </w:rPr>
        <w:t>injection</w:t>
      </w:r>
    </w:p>
    <w:p w14:paraId="1EA702DD" w14:textId="0ACF4803" w:rsidR="00F90BF8" w:rsidRPr="0046175F" w:rsidRDefault="00B304AC" w:rsidP="00B304AC">
      <w:r>
        <w:t xml:space="preserve">Each vial of 20 mL contains 1200 mg of </w:t>
      </w:r>
      <w:proofErr w:type="spellStart"/>
      <w:r>
        <w:t>atezolizumab</w:t>
      </w:r>
      <w:proofErr w:type="spellEnd"/>
      <w:r>
        <w:t xml:space="preserve"> at a concentration of 60 mg/</w:t>
      </w:r>
      <w:proofErr w:type="spellStart"/>
      <w:r>
        <w:t>mL.</w:t>
      </w:r>
      <w:proofErr w:type="spellEnd"/>
    </w:p>
    <w:p w14:paraId="338A6745" w14:textId="5323A136" w:rsidR="00822EEB" w:rsidRPr="0046175F" w:rsidRDefault="00FB1B7C" w:rsidP="00A94F3F">
      <w:pPr>
        <w:tabs>
          <w:tab w:val="left" w:pos="2100"/>
        </w:tabs>
      </w:pPr>
      <w:r w:rsidRPr="0046175F">
        <w:tab/>
      </w:r>
    </w:p>
    <w:p w14:paraId="07CED672" w14:textId="7E569517" w:rsidR="008B0DB6" w:rsidRPr="0046175F" w:rsidRDefault="008B0DB6" w:rsidP="008B0DB6">
      <w:r w:rsidRPr="0046175F">
        <w:rPr>
          <w:szCs w:val="24"/>
        </w:rPr>
        <w:t xml:space="preserve">For the full list of excipients, see section </w:t>
      </w:r>
      <w:r w:rsidRPr="0046175F">
        <w:rPr>
          <w:i/>
          <w:szCs w:val="24"/>
        </w:rPr>
        <w:t>6.1</w:t>
      </w:r>
      <w:r w:rsidR="00B53105" w:rsidRPr="0046175F">
        <w:rPr>
          <w:i/>
          <w:szCs w:val="24"/>
        </w:rPr>
        <w:t xml:space="preserve"> List of excipients</w:t>
      </w:r>
      <w:r w:rsidRPr="0046175F">
        <w:rPr>
          <w:szCs w:val="24"/>
        </w:rPr>
        <w:t>.</w:t>
      </w:r>
    </w:p>
    <w:p w14:paraId="62D80866" w14:textId="77777777" w:rsidR="00F90BF8" w:rsidRPr="0046175F" w:rsidRDefault="008F6CF6" w:rsidP="00CD75CF">
      <w:pPr>
        <w:pStyle w:val="Heading1"/>
      </w:pPr>
      <w:r w:rsidRPr="0046175F">
        <w:t>3</w:t>
      </w:r>
      <w:r w:rsidRPr="0046175F">
        <w:tab/>
        <w:t>PHARMACEUTICAL FORM</w:t>
      </w:r>
      <w:r w:rsidR="00F90BF8" w:rsidRPr="0046175F">
        <w:t xml:space="preserve"> </w:t>
      </w:r>
    </w:p>
    <w:p w14:paraId="61AA2C8B" w14:textId="20A87483" w:rsidR="008F6CF6" w:rsidRPr="0046175F" w:rsidRDefault="00B304AC" w:rsidP="00CD75CF">
      <w:r w:rsidRPr="00592511">
        <w:rPr>
          <w:lang w:val="en-GB"/>
        </w:rPr>
        <w:t>Concentrated injection for intravenous infusion</w:t>
      </w:r>
      <w:r w:rsidR="00A5387F" w:rsidRPr="0046175F">
        <w:rPr>
          <w:lang w:val="en-GB"/>
        </w:rPr>
        <w:t>.</w:t>
      </w:r>
      <w:r w:rsidR="00A5387F" w:rsidRPr="0046175F">
        <w:t xml:space="preserve"> </w:t>
      </w:r>
      <w:proofErr w:type="spellStart"/>
      <w:r w:rsidR="00F90BF8" w:rsidRPr="0046175F">
        <w:t>Tecentriq</w:t>
      </w:r>
      <w:proofErr w:type="spellEnd"/>
      <w:r w:rsidR="00F90BF8" w:rsidRPr="0046175F">
        <w:t xml:space="preserve"> is supplied as a single-use vial containing </w:t>
      </w:r>
      <w:r>
        <w:t xml:space="preserve">either 14 mL or </w:t>
      </w:r>
      <w:r w:rsidR="00F90BF8" w:rsidRPr="0046175F">
        <w:t>20 mL preservative-free, colourless to slightly yellow solution, at a concentration of 60 mg/</w:t>
      </w:r>
      <w:proofErr w:type="spellStart"/>
      <w:r w:rsidR="00F90BF8" w:rsidRPr="0046175F">
        <w:t>mL.</w:t>
      </w:r>
      <w:proofErr w:type="spellEnd"/>
    </w:p>
    <w:p w14:paraId="587BBF64" w14:textId="77777777" w:rsidR="008F6CF6" w:rsidRPr="0046175F" w:rsidRDefault="008F6CF6" w:rsidP="00CD75CF">
      <w:pPr>
        <w:pStyle w:val="Heading1"/>
      </w:pPr>
      <w:r w:rsidRPr="0046175F">
        <w:t>4</w:t>
      </w:r>
      <w:r w:rsidRPr="0046175F">
        <w:tab/>
        <w:t>CLINICAL PARTICULARS</w:t>
      </w:r>
    </w:p>
    <w:p w14:paraId="1E6A4994" w14:textId="1859A6B6" w:rsidR="008F6CF6" w:rsidRPr="0046175F" w:rsidRDefault="008F6CF6" w:rsidP="00CD75CF">
      <w:pPr>
        <w:pStyle w:val="Heading2"/>
        <w:rPr>
          <w:lang w:val="en-GB"/>
        </w:rPr>
      </w:pPr>
      <w:r w:rsidRPr="0046175F">
        <w:rPr>
          <w:lang w:val="en-GB"/>
        </w:rPr>
        <w:t>4.1</w:t>
      </w:r>
      <w:r w:rsidR="008B0DB6" w:rsidRPr="0046175F">
        <w:rPr>
          <w:lang w:val="en-GB"/>
        </w:rPr>
        <w:tab/>
        <w:t xml:space="preserve">Therapeutic indications </w:t>
      </w:r>
    </w:p>
    <w:p w14:paraId="31B2FABF" w14:textId="1A3AEEB7" w:rsidR="00BA4182" w:rsidRPr="0046175F" w:rsidRDefault="00BA4182" w:rsidP="00A94F3F">
      <w:pPr>
        <w:pStyle w:val="Heading3"/>
      </w:pPr>
      <w:r w:rsidRPr="0046175F">
        <w:t>Non-small cell lung cancer</w:t>
      </w:r>
    </w:p>
    <w:p w14:paraId="0EC392A3" w14:textId="2ECBB3ED" w:rsidR="00490C59" w:rsidRDefault="00490C59" w:rsidP="00CD75CF">
      <w:proofErr w:type="spellStart"/>
      <w:r w:rsidRPr="00490C59">
        <w:t>Tecentriq</w:t>
      </w:r>
      <w:proofErr w:type="spellEnd"/>
      <w:r w:rsidRPr="00490C59">
        <w:t xml:space="preserve">, in combination with bevacizumab, paclitaxel and carboplatin, is indicated for the first-line treatment of adult patients with metastatic non-squamous non-small cell lung cancer (NSCLC). In patients with EGFR mutant or ALK-positive NSCLC, </w:t>
      </w:r>
      <w:proofErr w:type="spellStart"/>
      <w:r w:rsidRPr="00490C59">
        <w:t>Tecentriq</w:t>
      </w:r>
      <w:proofErr w:type="spellEnd"/>
      <w:r w:rsidRPr="00490C59">
        <w:t>, in combination with bevacizumab, paclitaxel and carboplatin, is indicated only after failure of appropriate targeted therapies.</w:t>
      </w:r>
    </w:p>
    <w:p w14:paraId="57C25ABF" w14:textId="7C6D92E0" w:rsidR="006452D8" w:rsidRDefault="006452D8" w:rsidP="00CD75CF"/>
    <w:p w14:paraId="5272DE87" w14:textId="77777777" w:rsidR="006452D8" w:rsidRPr="006452D8" w:rsidRDefault="006452D8" w:rsidP="006452D8">
      <w:proofErr w:type="spellStart"/>
      <w:r w:rsidRPr="006452D8">
        <w:t>Tecentriq</w:t>
      </w:r>
      <w:proofErr w:type="spellEnd"/>
      <w:r w:rsidRPr="006452D8">
        <w:t>, in combination with nab-paclitaxel and carboplatin, is indicated for first-line treatment of patients with metastatic non-squamous NSCLC who do not have tumour EGFR or ALK genomic aberrations.</w:t>
      </w:r>
    </w:p>
    <w:p w14:paraId="3E358513" w14:textId="77777777" w:rsidR="00490C59" w:rsidRDefault="00490C59" w:rsidP="00CD75CF"/>
    <w:p w14:paraId="0B6C1F56" w14:textId="70004979" w:rsidR="00DD013A" w:rsidRDefault="00F90BF8" w:rsidP="00CD75CF">
      <w:proofErr w:type="spellStart"/>
      <w:r w:rsidRPr="0046175F">
        <w:t>Tecentriq</w:t>
      </w:r>
      <w:proofErr w:type="spellEnd"/>
      <w:r w:rsidRPr="0046175F">
        <w:t xml:space="preserve"> </w:t>
      </w:r>
      <w:r w:rsidR="006E30A9">
        <w:t>as</w:t>
      </w:r>
      <w:r w:rsidR="00490C59">
        <w:t xml:space="preserve"> monotherapy </w:t>
      </w:r>
      <w:r w:rsidRPr="0046175F">
        <w:t>is indicated for the treatment of</w:t>
      </w:r>
      <w:r w:rsidR="00490C59">
        <w:t xml:space="preserve"> adult</w:t>
      </w:r>
      <w:r w:rsidRPr="0046175F">
        <w:t xml:space="preserve"> patients with locally advanced or metastatic NSCLC after prior chemotherapy. </w:t>
      </w:r>
      <w:r w:rsidR="00813E69">
        <w:t>P</w:t>
      </w:r>
      <w:r w:rsidRPr="0046175F">
        <w:t xml:space="preserve">atients with EGFR </w:t>
      </w:r>
      <w:r w:rsidR="002E5A63">
        <w:t>mutant</w:t>
      </w:r>
      <w:r w:rsidR="00031EC1" w:rsidRPr="00031EC1">
        <w:t xml:space="preserve"> </w:t>
      </w:r>
      <w:r w:rsidRPr="0046175F">
        <w:t xml:space="preserve">or </w:t>
      </w:r>
      <w:r w:rsidR="002E5A63" w:rsidRPr="0046175F">
        <w:t>ALK</w:t>
      </w:r>
      <w:r w:rsidR="002E5A63">
        <w:t>-</w:t>
      </w:r>
      <w:r w:rsidR="00813E69">
        <w:t>positive NSCLC</w:t>
      </w:r>
      <w:r w:rsidR="006E30A9">
        <w:t xml:space="preserve"> </w:t>
      </w:r>
      <w:r w:rsidRPr="0046175F">
        <w:t xml:space="preserve">should </w:t>
      </w:r>
      <w:r w:rsidR="00813E69">
        <w:t>also have received</w:t>
      </w:r>
      <w:r w:rsidR="00813E69" w:rsidRPr="0046175F">
        <w:t xml:space="preserve"> </w:t>
      </w:r>
      <w:r w:rsidRPr="0046175F">
        <w:t xml:space="preserve">targeted </w:t>
      </w:r>
      <w:r w:rsidR="002E5A63" w:rsidRPr="0046175F">
        <w:t>therap</w:t>
      </w:r>
      <w:r w:rsidR="002E5A63">
        <w:t xml:space="preserve">ies </w:t>
      </w:r>
      <w:r w:rsidR="00813E69">
        <w:t xml:space="preserve">before receiving </w:t>
      </w:r>
      <w:proofErr w:type="spellStart"/>
      <w:r w:rsidR="00813E69">
        <w:t>Tecentriq</w:t>
      </w:r>
      <w:proofErr w:type="spellEnd"/>
      <w:r w:rsidRPr="0046175F">
        <w:t>.</w:t>
      </w:r>
    </w:p>
    <w:p w14:paraId="2254D3B0" w14:textId="77777777" w:rsidR="00DD013A" w:rsidRDefault="00DD013A" w:rsidP="00E569AD">
      <w:pPr>
        <w:pStyle w:val="Heading3"/>
      </w:pPr>
      <w:r>
        <w:t>Small cell lung cancer</w:t>
      </w:r>
    </w:p>
    <w:p w14:paraId="17994A42" w14:textId="2B49C714" w:rsidR="00DD013A" w:rsidRPr="0046175F" w:rsidRDefault="00DD013A" w:rsidP="00DD013A">
      <w:proofErr w:type="spellStart"/>
      <w:r>
        <w:t>Tecentriq</w:t>
      </w:r>
      <w:proofErr w:type="spellEnd"/>
      <w:r>
        <w:t>, in combination with carboplatin and etoposide, is indicated for the first-line treatment of patients with extensive-stage small cell lung cancer (ES-SCLC).</w:t>
      </w:r>
    </w:p>
    <w:p w14:paraId="10AAA61B" w14:textId="7DAB33BA" w:rsidR="00BA4182" w:rsidRPr="0046175F" w:rsidRDefault="00BA4182" w:rsidP="00A94F3F">
      <w:pPr>
        <w:pStyle w:val="Heading3"/>
        <w:rPr>
          <w:lang w:val="en-GB"/>
        </w:rPr>
      </w:pPr>
      <w:r w:rsidRPr="0046175F">
        <w:rPr>
          <w:lang w:val="en-GB"/>
        </w:rPr>
        <w:lastRenderedPageBreak/>
        <w:t>Urothelial carcinoma</w:t>
      </w:r>
    </w:p>
    <w:p w14:paraId="77597D55" w14:textId="77777777" w:rsidR="00BA4182" w:rsidRPr="0046175F" w:rsidRDefault="0030342F" w:rsidP="0030342F">
      <w:pPr>
        <w:rPr>
          <w:lang w:val="en-GB"/>
        </w:rPr>
      </w:pPr>
      <w:proofErr w:type="spellStart"/>
      <w:r w:rsidRPr="0046175F">
        <w:rPr>
          <w:lang w:val="en-GB"/>
        </w:rPr>
        <w:t>Tecentriq</w:t>
      </w:r>
      <w:proofErr w:type="spellEnd"/>
      <w:r w:rsidRPr="0046175F">
        <w:rPr>
          <w:lang w:val="en-GB"/>
        </w:rPr>
        <w:t xml:space="preserve"> is indicated for the treatment of patients with locally advanced or metastatic urothelial carcinoma who </w:t>
      </w:r>
    </w:p>
    <w:p w14:paraId="27F8EE11" w14:textId="6D264DC3" w:rsidR="00BA4182" w:rsidRPr="0046175F" w:rsidRDefault="0030342F" w:rsidP="00574FB1">
      <w:pPr>
        <w:pStyle w:val="ListParagraph"/>
        <w:numPr>
          <w:ilvl w:val="0"/>
          <w:numId w:val="36"/>
        </w:numPr>
        <w:rPr>
          <w:lang w:val="en-GB"/>
        </w:rPr>
      </w:pPr>
      <w:r w:rsidRPr="0046175F">
        <w:rPr>
          <w:lang w:val="en-GB"/>
        </w:rPr>
        <w:t>are considered cisplatin ine</w:t>
      </w:r>
      <w:r w:rsidR="00977DB4" w:rsidRPr="0046175F">
        <w:rPr>
          <w:lang w:val="en-GB"/>
        </w:rPr>
        <w:t xml:space="preserve">ligible and whose tumours </w:t>
      </w:r>
      <w:r w:rsidR="00574FB1" w:rsidRPr="0046175F">
        <w:rPr>
          <w:lang w:val="en-GB"/>
        </w:rPr>
        <w:t>express PD-L1 (PD-L1 stained tumour-infiltrating immune cells [IC] covering ≥ 5% of the tumour area), as determined by a validated test</w:t>
      </w:r>
      <w:r w:rsidRPr="0046175F">
        <w:rPr>
          <w:lang w:val="en-GB"/>
        </w:rPr>
        <w:t xml:space="preserve">, or </w:t>
      </w:r>
    </w:p>
    <w:p w14:paraId="091E5100" w14:textId="57D63E4F" w:rsidR="00BA4182" w:rsidRPr="0046175F" w:rsidRDefault="0030342F" w:rsidP="00A94F3F">
      <w:pPr>
        <w:pStyle w:val="ListParagraph"/>
        <w:numPr>
          <w:ilvl w:val="0"/>
          <w:numId w:val="36"/>
        </w:numPr>
        <w:rPr>
          <w:lang w:val="en-GB"/>
        </w:rPr>
      </w:pPr>
      <w:r w:rsidRPr="0046175F">
        <w:rPr>
          <w:lang w:val="en-GB"/>
        </w:rPr>
        <w:t xml:space="preserve">are considered ineligible for any other platinum-containing chemotherapy regardless of </w:t>
      </w:r>
      <w:r w:rsidR="00977DB4" w:rsidRPr="0046175F">
        <w:rPr>
          <w:lang w:val="en-GB"/>
        </w:rPr>
        <w:t xml:space="preserve">the </w:t>
      </w:r>
      <w:r w:rsidRPr="0046175F">
        <w:rPr>
          <w:lang w:val="en-GB"/>
        </w:rPr>
        <w:t xml:space="preserve">level of tumour PD-L1 expression. </w:t>
      </w:r>
    </w:p>
    <w:p w14:paraId="19EF2CB3" w14:textId="48A6188F" w:rsidR="0030342F" w:rsidRDefault="0030342F" w:rsidP="00574FB1">
      <w:pPr>
        <w:rPr>
          <w:lang w:val="en-GB"/>
        </w:rPr>
      </w:pPr>
      <w:r w:rsidRPr="0046175F">
        <w:rPr>
          <w:lang w:val="en-GB"/>
        </w:rPr>
        <w:t>This indication is approved based on overall response rate and duration of response in a single-arm study.</w:t>
      </w:r>
      <w:r w:rsidR="00574FB1" w:rsidRPr="0046175F">
        <w:rPr>
          <w:lang w:val="en-GB"/>
        </w:rPr>
        <w:t xml:space="preserve"> Improvements in overall survival, progression-free survival, or health-related quality of life have not been established.</w:t>
      </w:r>
    </w:p>
    <w:p w14:paraId="4A9A17E6" w14:textId="77777777" w:rsidR="009A52F6" w:rsidRPr="009A52F6" w:rsidRDefault="009A52F6" w:rsidP="007C6E1C">
      <w:pPr>
        <w:pStyle w:val="Heading3"/>
        <w:rPr>
          <w:lang w:val="en-GB"/>
        </w:rPr>
      </w:pPr>
      <w:r w:rsidRPr="009A52F6">
        <w:rPr>
          <w:lang w:val="en-GB"/>
        </w:rPr>
        <w:t>Triple-negative breast cancer</w:t>
      </w:r>
    </w:p>
    <w:p w14:paraId="127B3E9A" w14:textId="79C3C49D" w:rsidR="009A52F6" w:rsidRPr="00A87C76" w:rsidRDefault="009A52F6" w:rsidP="009A52F6">
      <w:pPr>
        <w:rPr>
          <w:lang w:val="en-US"/>
        </w:rPr>
      </w:pPr>
      <w:proofErr w:type="spellStart"/>
      <w:r w:rsidRPr="00A87C76">
        <w:rPr>
          <w:lang w:val="en-US"/>
        </w:rPr>
        <w:t>Tecentriq</w:t>
      </w:r>
      <w:proofErr w:type="spellEnd"/>
      <w:r w:rsidRPr="00A87C76">
        <w:rPr>
          <w:lang w:val="en-US"/>
        </w:rPr>
        <w:t xml:space="preserve">, in combination with paclitaxel protein-bound, is indicated for the treatment of adult patients with </w:t>
      </w:r>
      <w:proofErr w:type="spellStart"/>
      <w:r w:rsidRPr="00A87C76">
        <w:rPr>
          <w:lang w:val="en-US"/>
        </w:rPr>
        <w:t>unresectable</w:t>
      </w:r>
      <w:proofErr w:type="spellEnd"/>
      <w:r w:rsidRPr="00A87C76">
        <w:rPr>
          <w:lang w:val="en-US"/>
        </w:rPr>
        <w:t xml:space="preserve"> locally advanced or metastatic triple-negative breast cancer (TNBC) whose </w:t>
      </w:r>
      <w:proofErr w:type="spellStart"/>
      <w:r w:rsidRPr="00A87C76">
        <w:rPr>
          <w:lang w:val="en-US"/>
        </w:rPr>
        <w:t>tumours</w:t>
      </w:r>
      <w:proofErr w:type="spellEnd"/>
      <w:r w:rsidRPr="00A87C76">
        <w:rPr>
          <w:lang w:val="en-US"/>
        </w:rPr>
        <w:t xml:space="preserve"> express PD-L1 (PD-L1 stained tumor-infiltrating immune cells [IC] of any intensity covering ≥ 1% </w:t>
      </w:r>
      <w:r w:rsidR="00520378">
        <w:rPr>
          <w:lang w:val="en-US"/>
        </w:rPr>
        <w:t xml:space="preserve">of </w:t>
      </w:r>
      <w:r w:rsidRPr="00A87C76">
        <w:rPr>
          <w:lang w:val="en-US"/>
        </w:rPr>
        <w:t xml:space="preserve">the </w:t>
      </w:r>
      <w:proofErr w:type="spellStart"/>
      <w:r w:rsidRPr="00A87C76">
        <w:rPr>
          <w:lang w:val="en-US"/>
        </w:rPr>
        <w:t>tumour</w:t>
      </w:r>
      <w:proofErr w:type="spellEnd"/>
      <w:r w:rsidRPr="00A87C76">
        <w:rPr>
          <w:lang w:val="en-US"/>
        </w:rPr>
        <w:t>), as determined by a validated test and who have not received prior chemotherapy for metastatic disease.</w:t>
      </w:r>
    </w:p>
    <w:p w14:paraId="2708EF28" w14:textId="4CF7995D" w:rsidR="009A52F6" w:rsidRPr="0046175F" w:rsidRDefault="007C6F6E" w:rsidP="009A52F6">
      <w:pPr>
        <w:spacing w:before="55"/>
        <w:rPr>
          <w:lang w:val="en-GB"/>
        </w:rPr>
      </w:pPr>
      <w:r w:rsidRPr="00A87C76">
        <w:rPr>
          <w:lang w:val="en-US"/>
        </w:rPr>
        <w:t>This indication is approved under provisional approval based on progression free survival. Continued approval for this indication depends on verification and description of clinical benefit in a confirmatory trial(s).</w:t>
      </w:r>
    </w:p>
    <w:p w14:paraId="6E957BF8" w14:textId="10E17F9A" w:rsidR="008F6CF6" w:rsidRPr="0046175F" w:rsidRDefault="008F6CF6" w:rsidP="00CD75CF">
      <w:pPr>
        <w:pStyle w:val="Heading2"/>
      </w:pPr>
      <w:r w:rsidRPr="0046175F">
        <w:t>4.2</w:t>
      </w:r>
      <w:r w:rsidRPr="0046175F">
        <w:tab/>
      </w:r>
      <w:r w:rsidR="008B0DB6" w:rsidRPr="0046175F">
        <w:t xml:space="preserve">Dose and method of administration </w:t>
      </w:r>
    </w:p>
    <w:p w14:paraId="274B7281" w14:textId="77777777" w:rsidR="00FE7BB5" w:rsidRPr="0046175F" w:rsidRDefault="00FE7BB5" w:rsidP="00CD75CF">
      <w:pPr>
        <w:pStyle w:val="Heading3"/>
      </w:pPr>
      <w:r w:rsidRPr="0046175F">
        <w:t xml:space="preserve">General </w:t>
      </w:r>
    </w:p>
    <w:p w14:paraId="540C6CE8" w14:textId="77777777" w:rsidR="00F9510D" w:rsidRPr="0046175F" w:rsidRDefault="000E6320" w:rsidP="00CD75CF">
      <w:proofErr w:type="spellStart"/>
      <w:r w:rsidRPr="0046175F">
        <w:t>Tecentriq</w:t>
      </w:r>
      <w:proofErr w:type="spellEnd"/>
      <w:r w:rsidRPr="0046175F">
        <w:t xml:space="preserve"> must be initiated and supervised by physicians experienced in the treatment of cancer. </w:t>
      </w:r>
    </w:p>
    <w:p w14:paraId="0A563851" w14:textId="77777777" w:rsidR="00F9510D" w:rsidRPr="0046175F" w:rsidRDefault="00F9510D" w:rsidP="00CD75CF"/>
    <w:p w14:paraId="147482FA" w14:textId="36877679" w:rsidR="00FE7BB5" w:rsidRPr="0046175F" w:rsidRDefault="00FE7BB5" w:rsidP="00CD75CF">
      <w:proofErr w:type="spellStart"/>
      <w:r w:rsidRPr="0046175F">
        <w:t>Tecentriq</w:t>
      </w:r>
      <w:proofErr w:type="spellEnd"/>
      <w:r w:rsidRPr="0046175F">
        <w:t xml:space="preserve"> must be administered as an </w:t>
      </w:r>
      <w:r w:rsidR="006452D8">
        <w:t>intravenous (</w:t>
      </w:r>
      <w:r w:rsidRPr="0046175F">
        <w:t>IV</w:t>
      </w:r>
      <w:r w:rsidR="006452D8">
        <w:t>)</w:t>
      </w:r>
      <w:r w:rsidRPr="0046175F">
        <w:t xml:space="preserve"> infusion. Do not administer as an IV push or bolus.</w:t>
      </w:r>
    </w:p>
    <w:p w14:paraId="2340B22A" w14:textId="77777777" w:rsidR="00813E69" w:rsidRDefault="00813E69" w:rsidP="00813E69"/>
    <w:p w14:paraId="54D16891" w14:textId="0E310789" w:rsidR="00FE7BB5" w:rsidRDefault="00813E69" w:rsidP="00813E69">
      <w:r w:rsidRPr="0046175F">
        <w:t xml:space="preserve">The initial dose of </w:t>
      </w:r>
      <w:proofErr w:type="spellStart"/>
      <w:r w:rsidRPr="0046175F">
        <w:t>Tecentriq</w:t>
      </w:r>
      <w:proofErr w:type="spellEnd"/>
      <w:r w:rsidRPr="0046175F">
        <w:t xml:space="preserve"> must be administered over 60 minutes. If the first infusion is tolerated all subsequent infusions may be administered over 30 minutes.</w:t>
      </w:r>
    </w:p>
    <w:p w14:paraId="09FAC5F3" w14:textId="3C77CB3B" w:rsidR="009A52F6" w:rsidRDefault="009A52F6" w:rsidP="00813E69"/>
    <w:p w14:paraId="4309C54F" w14:textId="77777777" w:rsidR="009A52F6" w:rsidRDefault="009A52F6" w:rsidP="009A52F6">
      <w:r w:rsidRPr="000C5F28">
        <w:t>Do not co-administer other medicinal products through the same infusion line.</w:t>
      </w:r>
    </w:p>
    <w:p w14:paraId="61E18FE1" w14:textId="77777777" w:rsidR="00813E69" w:rsidRPr="0046175F" w:rsidRDefault="00813E69" w:rsidP="00813E69"/>
    <w:p w14:paraId="0B416CA6" w14:textId="70133ED6" w:rsidR="00FE7BB5" w:rsidRPr="0046175F" w:rsidRDefault="00FE7BB5" w:rsidP="00436B3A">
      <w:r w:rsidRPr="0046175F">
        <w:t xml:space="preserve">In order to improve the traceability of biological medicinal products, the trade name and the batch number of the administered product should be clearly recorded in the patient medical record. </w:t>
      </w:r>
    </w:p>
    <w:p w14:paraId="48A7F98B" w14:textId="009E5232" w:rsidR="0030342F" w:rsidRPr="0046175F" w:rsidRDefault="00813E69" w:rsidP="00A94F3F">
      <w:pPr>
        <w:pStyle w:val="Heading4"/>
      </w:pPr>
      <w:r w:rsidRPr="00813E69">
        <w:t xml:space="preserve">Patient selection for </w:t>
      </w:r>
      <w:r w:rsidR="0030342F" w:rsidRPr="0046175F">
        <w:t xml:space="preserve">urothelial carcinoma </w:t>
      </w:r>
    </w:p>
    <w:p w14:paraId="044EDFD7" w14:textId="0A3C9899" w:rsidR="0030342F" w:rsidRDefault="00813E69" w:rsidP="0030342F">
      <w:r>
        <w:t>S</w:t>
      </w:r>
      <w:r w:rsidR="0030342F" w:rsidRPr="0046175F">
        <w:t>elect</w:t>
      </w:r>
      <w:r>
        <w:t xml:space="preserve"> </w:t>
      </w:r>
      <w:r w:rsidR="0030342F" w:rsidRPr="0046175F">
        <w:t xml:space="preserve"> </w:t>
      </w:r>
      <w:r w:rsidRPr="00813E69">
        <w:t xml:space="preserve">cisplatin-ineligible patients with previously untreated locally advanced or metastatic urothelial carcinoma </w:t>
      </w:r>
      <w:r w:rsidR="0030342F" w:rsidRPr="0046175F">
        <w:t xml:space="preserve">for treatment </w:t>
      </w:r>
      <w:r>
        <w:t xml:space="preserve">with </w:t>
      </w:r>
      <w:proofErr w:type="spellStart"/>
      <w:r>
        <w:t>Tecentriq</w:t>
      </w:r>
      <w:proofErr w:type="spellEnd"/>
      <w:r>
        <w:t xml:space="preserve"> </w:t>
      </w:r>
      <w:r w:rsidR="0030342F" w:rsidRPr="0046175F">
        <w:t xml:space="preserve">based on the PD-L1 </w:t>
      </w:r>
      <w:r w:rsidRPr="00813E69">
        <w:t>expression on tumo</w:t>
      </w:r>
      <w:r>
        <w:t>u</w:t>
      </w:r>
      <w:r w:rsidRPr="00813E69">
        <w:t xml:space="preserve">r infiltrating immune cells </w:t>
      </w:r>
      <w:r w:rsidR="0030342F" w:rsidRPr="0046175F">
        <w:t xml:space="preserve">confirmed by a validated test (see section </w:t>
      </w:r>
      <w:r w:rsidR="0030342F" w:rsidRPr="0046175F">
        <w:rPr>
          <w:i/>
        </w:rPr>
        <w:t>5.1 Pharmacodynamic properties</w:t>
      </w:r>
      <w:r>
        <w:rPr>
          <w:i/>
        </w:rPr>
        <w:t>,</w:t>
      </w:r>
      <w:r w:rsidRPr="00813E69">
        <w:t xml:space="preserve"> </w:t>
      </w:r>
      <w:r w:rsidRPr="00813E69">
        <w:rPr>
          <w:i/>
        </w:rPr>
        <w:t>Clinical Trials</w:t>
      </w:r>
      <w:r w:rsidR="0030342F" w:rsidRPr="0046175F">
        <w:t>).</w:t>
      </w:r>
    </w:p>
    <w:p w14:paraId="6B2BF2FE" w14:textId="77777777" w:rsidR="00BF46B6" w:rsidRPr="0046175F" w:rsidRDefault="00BF46B6" w:rsidP="00194A6F">
      <w:pPr>
        <w:pStyle w:val="Heading3"/>
        <w:pageBreakBefore/>
      </w:pPr>
      <w:r w:rsidRPr="0046175F">
        <w:lastRenderedPageBreak/>
        <w:t>Dose</w:t>
      </w:r>
    </w:p>
    <w:p w14:paraId="236ECE31" w14:textId="77777777" w:rsidR="00BF46B6" w:rsidRDefault="00BF46B6" w:rsidP="00364F3A">
      <w:pPr>
        <w:pStyle w:val="Heading4"/>
      </w:pPr>
      <w:proofErr w:type="spellStart"/>
      <w:r w:rsidRPr="00BF46B6">
        <w:t>Tecentriq</w:t>
      </w:r>
      <w:proofErr w:type="spellEnd"/>
      <w:r w:rsidRPr="00BF46B6">
        <w:t xml:space="preserve"> monotherapy</w:t>
      </w:r>
    </w:p>
    <w:p w14:paraId="483E20E4" w14:textId="37F74069" w:rsidR="00BF46B6" w:rsidRPr="00BF46B6" w:rsidRDefault="00BF46B6">
      <w:pPr>
        <w:pStyle w:val="Heading5"/>
      </w:pPr>
      <w:r w:rsidRPr="00BF46B6">
        <w:t>2L NSCLC and urothelial carcinoma</w:t>
      </w:r>
    </w:p>
    <w:p w14:paraId="00ABD774" w14:textId="49126A88" w:rsidR="000E1242" w:rsidRDefault="00BF46B6" w:rsidP="00722ABA">
      <w:pPr>
        <w:pStyle w:val="Paragraph"/>
      </w:pPr>
      <w:r w:rsidRPr="0046175F">
        <w:t xml:space="preserve">The recommended </w:t>
      </w:r>
      <w:r w:rsidR="00011650" w:rsidRPr="0046175F">
        <w:t>dos</w:t>
      </w:r>
      <w:r w:rsidR="00011650">
        <w:t>age</w:t>
      </w:r>
      <w:r w:rsidR="00011650" w:rsidRPr="0046175F">
        <w:t xml:space="preserve"> </w:t>
      </w:r>
      <w:r w:rsidRPr="0046175F">
        <w:t xml:space="preserve">is </w:t>
      </w:r>
      <w:r w:rsidR="000E1242">
        <w:t>either;</w:t>
      </w:r>
    </w:p>
    <w:p w14:paraId="76B64F0E" w14:textId="4A187561" w:rsidR="000E1242" w:rsidRDefault="000E1242" w:rsidP="0066420C">
      <w:pPr>
        <w:pStyle w:val="ListParagraph"/>
        <w:numPr>
          <w:ilvl w:val="0"/>
          <w:numId w:val="45"/>
        </w:numPr>
      </w:pPr>
      <w:r w:rsidRPr="000E1242">
        <w:t xml:space="preserve">840 mg administered by IV infusion every </w:t>
      </w:r>
      <w:r w:rsidR="00321E63">
        <w:t>2</w:t>
      </w:r>
      <w:r w:rsidR="00321E63" w:rsidRPr="000E1242">
        <w:t xml:space="preserve"> </w:t>
      </w:r>
      <w:r w:rsidRPr="000E1242">
        <w:t>weeks</w:t>
      </w:r>
      <w:r w:rsidR="00B6302B">
        <w:t>,</w:t>
      </w:r>
    </w:p>
    <w:p w14:paraId="3D161AF6" w14:textId="275BF8FC" w:rsidR="000E1242" w:rsidRDefault="00BF46B6" w:rsidP="0066420C">
      <w:pPr>
        <w:pStyle w:val="ListParagraph"/>
        <w:numPr>
          <w:ilvl w:val="0"/>
          <w:numId w:val="44"/>
        </w:numPr>
      </w:pPr>
      <w:r w:rsidRPr="0046175F">
        <w:t xml:space="preserve">1200 mg administered by IV infusion every </w:t>
      </w:r>
      <w:r w:rsidR="00321E63">
        <w:t>3</w:t>
      </w:r>
      <w:r w:rsidR="00321E63" w:rsidRPr="0046175F">
        <w:t xml:space="preserve"> </w:t>
      </w:r>
      <w:r w:rsidRPr="0046175F">
        <w:t>weeks</w:t>
      </w:r>
      <w:r w:rsidR="000E1242">
        <w:t xml:space="preserve"> or</w:t>
      </w:r>
    </w:p>
    <w:p w14:paraId="35ED9F54" w14:textId="0E6BA0DC" w:rsidR="00BF46B6" w:rsidRDefault="000E1242" w:rsidP="0066420C">
      <w:pPr>
        <w:pStyle w:val="ListParagraph"/>
        <w:numPr>
          <w:ilvl w:val="0"/>
          <w:numId w:val="44"/>
        </w:numPr>
      </w:pPr>
      <w:r>
        <w:t xml:space="preserve">1680 mg </w:t>
      </w:r>
      <w:r w:rsidRPr="000E1242">
        <w:t xml:space="preserve">administered by IV infusion every </w:t>
      </w:r>
      <w:r w:rsidR="00321E63">
        <w:t>4</w:t>
      </w:r>
      <w:r w:rsidR="00321E63" w:rsidRPr="000E1242">
        <w:t xml:space="preserve"> </w:t>
      </w:r>
      <w:r w:rsidRPr="000E1242">
        <w:t>weeks</w:t>
      </w:r>
      <w:r w:rsidR="00BF46B6" w:rsidRPr="0046175F">
        <w:t xml:space="preserve">. </w:t>
      </w:r>
    </w:p>
    <w:p w14:paraId="0DBA21B6" w14:textId="3D5BBCFA" w:rsidR="008A6503" w:rsidRDefault="008A6503" w:rsidP="00364F3A">
      <w:pPr>
        <w:pStyle w:val="Heading4"/>
      </w:pPr>
      <w:proofErr w:type="spellStart"/>
      <w:r>
        <w:t>Tecentriq</w:t>
      </w:r>
      <w:proofErr w:type="spellEnd"/>
      <w:r>
        <w:t xml:space="preserve"> </w:t>
      </w:r>
      <w:r w:rsidR="008C5786">
        <w:t xml:space="preserve">in </w:t>
      </w:r>
      <w:r>
        <w:t>combination therapy</w:t>
      </w:r>
    </w:p>
    <w:p w14:paraId="38ABF2D9" w14:textId="77777777" w:rsidR="008A6503" w:rsidRDefault="008A6503" w:rsidP="008A6503">
      <w:r>
        <w:t>Please also refer to the Product Information for the combination products.</w:t>
      </w:r>
    </w:p>
    <w:p w14:paraId="61A75769" w14:textId="77777777" w:rsidR="004668F1" w:rsidRDefault="008A6503" w:rsidP="00364F3A">
      <w:pPr>
        <w:pStyle w:val="Heading5"/>
      </w:pPr>
      <w:r>
        <w:t>1L non-squamous NSCLC</w:t>
      </w:r>
    </w:p>
    <w:p w14:paraId="338EB3AF" w14:textId="46A5CC9C" w:rsidR="008A6503" w:rsidRDefault="008C5786" w:rsidP="00011650">
      <w:pPr>
        <w:pStyle w:val="Heading6"/>
      </w:pPr>
      <w:proofErr w:type="spellStart"/>
      <w:r w:rsidRPr="008C5786">
        <w:t>Tecentriq</w:t>
      </w:r>
      <w:proofErr w:type="spellEnd"/>
      <w:r w:rsidRPr="008C5786">
        <w:t xml:space="preserve"> in combination with bevacizumab, paclitaxel, and carboplatin</w:t>
      </w:r>
    </w:p>
    <w:p w14:paraId="0490226F" w14:textId="5206CC12" w:rsidR="008A6503" w:rsidRDefault="008A6503" w:rsidP="008A6503">
      <w:r>
        <w:t xml:space="preserve">During the induction phase, the recommended dose of </w:t>
      </w:r>
      <w:proofErr w:type="spellStart"/>
      <w:r>
        <w:t>Tecentriq</w:t>
      </w:r>
      <w:proofErr w:type="spellEnd"/>
      <w:r>
        <w:t xml:space="preserve"> is 1200 mg administered by IV infusion, followed by bevacizumab, then paclitaxel and carboplatin every </w:t>
      </w:r>
      <w:r w:rsidR="00321E63">
        <w:t xml:space="preserve">3 </w:t>
      </w:r>
      <w:r>
        <w:t>weeks for four or six cycles.</w:t>
      </w:r>
    </w:p>
    <w:p w14:paraId="4C406972" w14:textId="77777777" w:rsidR="00350C21" w:rsidRDefault="00350C21" w:rsidP="00350C21"/>
    <w:p w14:paraId="276D5A29" w14:textId="69CFB88F" w:rsidR="008A6503" w:rsidRDefault="008A6503" w:rsidP="00350C21">
      <w:pPr>
        <w:pStyle w:val="ListParagraph"/>
        <w:ind w:left="0"/>
      </w:pPr>
      <w:r>
        <w:t xml:space="preserve">The induction phase is followed by a maintenance phase without chemotherapy in which </w:t>
      </w:r>
      <w:r w:rsidR="000E1242">
        <w:t>the recommended dose is</w:t>
      </w:r>
      <w:r w:rsidR="00DA4617">
        <w:t xml:space="preserve"> </w:t>
      </w:r>
      <w:r>
        <w:t xml:space="preserve">1200 mg </w:t>
      </w:r>
      <w:proofErr w:type="spellStart"/>
      <w:r>
        <w:t>Tecentriq</w:t>
      </w:r>
      <w:proofErr w:type="spellEnd"/>
      <w:r>
        <w:t xml:space="preserve">, followed by bevacizumab,  administered by IV infusion every </w:t>
      </w:r>
      <w:r w:rsidR="00321E63">
        <w:t xml:space="preserve">3 </w:t>
      </w:r>
      <w:r>
        <w:t>weeks.</w:t>
      </w:r>
    </w:p>
    <w:p w14:paraId="30C6AC1B" w14:textId="7B3AEEA5" w:rsidR="00DA4617" w:rsidRDefault="00DA4617" w:rsidP="00350C21">
      <w:pPr>
        <w:pStyle w:val="ListParagraph"/>
        <w:ind w:left="0"/>
      </w:pPr>
    </w:p>
    <w:p w14:paraId="46BFF0D1" w14:textId="2669B143" w:rsidR="00DA4617" w:rsidRDefault="00B6302B" w:rsidP="00DA4617">
      <w:pPr>
        <w:pStyle w:val="Paragraph"/>
        <w:spacing w:line="240" w:lineRule="auto"/>
        <w:rPr>
          <w:lang w:eastAsia="zh-CN"/>
        </w:rPr>
      </w:pPr>
      <w:r>
        <w:t>During the maintenance</w:t>
      </w:r>
      <w:r w:rsidR="00DA4617">
        <w:t xml:space="preserve"> phase and if bevacizumab is discontinued, the recommended dosage of </w:t>
      </w:r>
      <w:proofErr w:type="spellStart"/>
      <w:r w:rsidR="00F85D92">
        <w:rPr>
          <w:lang w:eastAsia="zh-CN"/>
        </w:rPr>
        <w:t>Tecentriq</w:t>
      </w:r>
      <w:proofErr w:type="spellEnd"/>
      <w:r w:rsidR="00F85D92">
        <w:rPr>
          <w:lang w:eastAsia="zh-CN"/>
        </w:rPr>
        <w:t xml:space="preserve"> </w:t>
      </w:r>
      <w:r w:rsidR="00DA4617">
        <w:rPr>
          <w:lang w:eastAsia="zh-CN"/>
        </w:rPr>
        <w:t>is</w:t>
      </w:r>
      <w:r w:rsidR="00F85D92">
        <w:rPr>
          <w:lang w:eastAsia="zh-CN"/>
        </w:rPr>
        <w:t xml:space="preserve"> either;</w:t>
      </w:r>
    </w:p>
    <w:p w14:paraId="4C864FB3" w14:textId="620BB42F" w:rsidR="00DA4617" w:rsidRDefault="00DA4617" w:rsidP="00DA4617">
      <w:pPr>
        <w:pStyle w:val="ListParagraph"/>
        <w:numPr>
          <w:ilvl w:val="0"/>
          <w:numId w:val="48"/>
        </w:numPr>
        <w:spacing w:after="120"/>
        <w:jc w:val="left"/>
        <w:rPr>
          <w:color w:val="000000" w:themeColor="text1"/>
        </w:rPr>
      </w:pPr>
      <w:r>
        <w:rPr>
          <w:color w:val="000000" w:themeColor="text1"/>
        </w:rPr>
        <w:t xml:space="preserve">840 mg </w:t>
      </w:r>
      <w:r w:rsidR="00DD013A" w:rsidRPr="000E1242">
        <w:t xml:space="preserve">administered </w:t>
      </w:r>
      <w:r w:rsidR="00F85D92" w:rsidRPr="000E1242">
        <w:t xml:space="preserve">by IV infusion </w:t>
      </w:r>
      <w:r>
        <w:rPr>
          <w:color w:val="000000" w:themeColor="text1"/>
        </w:rPr>
        <w:t>every 2 weeks</w:t>
      </w:r>
      <w:r w:rsidR="00B6302B">
        <w:rPr>
          <w:color w:val="000000" w:themeColor="text1"/>
        </w:rPr>
        <w:t>,</w:t>
      </w:r>
    </w:p>
    <w:p w14:paraId="57AC74B2" w14:textId="0679C2D8" w:rsidR="00DA4617" w:rsidRDefault="00DA4617" w:rsidP="00DA4617">
      <w:pPr>
        <w:pStyle w:val="ListParagraph"/>
        <w:numPr>
          <w:ilvl w:val="0"/>
          <w:numId w:val="48"/>
        </w:numPr>
        <w:spacing w:after="120"/>
        <w:jc w:val="left"/>
        <w:rPr>
          <w:color w:val="000000" w:themeColor="text1"/>
        </w:rPr>
      </w:pPr>
      <w:r>
        <w:rPr>
          <w:color w:val="000000" w:themeColor="text1"/>
        </w:rPr>
        <w:t xml:space="preserve">1200 mg </w:t>
      </w:r>
      <w:r w:rsidR="00DD013A" w:rsidRPr="000E1242">
        <w:t xml:space="preserve">administered </w:t>
      </w:r>
      <w:r w:rsidR="00F85D92" w:rsidRPr="000E1242">
        <w:t xml:space="preserve">by IV infusion </w:t>
      </w:r>
      <w:r>
        <w:rPr>
          <w:color w:val="000000" w:themeColor="text1"/>
        </w:rPr>
        <w:t>every 3 weeks or</w:t>
      </w:r>
    </w:p>
    <w:p w14:paraId="0E05B55F" w14:textId="25F10D29" w:rsidR="00DA4617" w:rsidRDefault="00DA4617" w:rsidP="00DA4617">
      <w:pPr>
        <w:pStyle w:val="ListParagraph"/>
        <w:numPr>
          <w:ilvl w:val="0"/>
          <w:numId w:val="48"/>
        </w:numPr>
        <w:spacing w:after="120"/>
        <w:jc w:val="left"/>
        <w:rPr>
          <w:color w:val="000000" w:themeColor="text1"/>
        </w:rPr>
      </w:pPr>
      <w:r>
        <w:rPr>
          <w:color w:val="000000" w:themeColor="text1"/>
        </w:rPr>
        <w:t xml:space="preserve">1680 mg </w:t>
      </w:r>
      <w:r w:rsidR="00DD013A" w:rsidRPr="000E1242">
        <w:t xml:space="preserve">administered </w:t>
      </w:r>
      <w:r w:rsidR="00F85D92" w:rsidRPr="000E1242">
        <w:t xml:space="preserve">by IV infusion </w:t>
      </w:r>
      <w:r>
        <w:rPr>
          <w:color w:val="000000" w:themeColor="text1"/>
        </w:rPr>
        <w:t>every 4 weeks</w:t>
      </w:r>
      <w:r w:rsidR="00B6302B">
        <w:rPr>
          <w:color w:val="000000" w:themeColor="text1"/>
        </w:rPr>
        <w:t>.</w:t>
      </w:r>
    </w:p>
    <w:p w14:paraId="2B92939F" w14:textId="01070839" w:rsidR="006452D8" w:rsidRDefault="006452D8" w:rsidP="001750CE">
      <w:pPr>
        <w:spacing w:after="120"/>
        <w:jc w:val="left"/>
        <w:rPr>
          <w:color w:val="000000" w:themeColor="text1"/>
        </w:rPr>
      </w:pPr>
    </w:p>
    <w:p w14:paraId="419D441E" w14:textId="77777777" w:rsidR="006452D8" w:rsidRPr="006452D8" w:rsidRDefault="006452D8" w:rsidP="006452D8">
      <w:pPr>
        <w:spacing w:after="120"/>
        <w:jc w:val="left"/>
        <w:rPr>
          <w:i/>
          <w:color w:val="000000" w:themeColor="text1"/>
        </w:rPr>
      </w:pPr>
      <w:proofErr w:type="spellStart"/>
      <w:r w:rsidRPr="006452D8">
        <w:rPr>
          <w:i/>
          <w:color w:val="000000" w:themeColor="text1"/>
        </w:rPr>
        <w:t>Tecentriq</w:t>
      </w:r>
      <w:proofErr w:type="spellEnd"/>
      <w:r w:rsidRPr="006452D8">
        <w:rPr>
          <w:i/>
          <w:color w:val="000000" w:themeColor="text1"/>
        </w:rPr>
        <w:t xml:space="preserve"> in combination with nab-paclitaxel and carboplatin</w:t>
      </w:r>
    </w:p>
    <w:p w14:paraId="5D5A35AB" w14:textId="4723D7F3" w:rsidR="006452D8" w:rsidRPr="006452D8" w:rsidRDefault="006452D8" w:rsidP="006452D8">
      <w:pPr>
        <w:spacing w:after="120"/>
        <w:jc w:val="left"/>
        <w:rPr>
          <w:color w:val="000000" w:themeColor="text1"/>
        </w:rPr>
      </w:pPr>
      <w:r w:rsidRPr="006452D8">
        <w:rPr>
          <w:color w:val="000000" w:themeColor="text1"/>
        </w:rPr>
        <w:t xml:space="preserve">During the induction phase, the recommended dose of </w:t>
      </w:r>
      <w:proofErr w:type="spellStart"/>
      <w:r w:rsidRPr="006452D8">
        <w:rPr>
          <w:color w:val="000000" w:themeColor="text1"/>
        </w:rPr>
        <w:t>Tecentriq</w:t>
      </w:r>
      <w:proofErr w:type="spellEnd"/>
      <w:r w:rsidRPr="006452D8">
        <w:rPr>
          <w:color w:val="000000" w:themeColor="text1"/>
        </w:rPr>
        <w:t xml:space="preserve"> is 1200 mg administered by IV infusion, followed by nab-paclitaxel and carboplatin every 3 weeks for four or six cycles. For each 21-day cycle, </w:t>
      </w:r>
      <w:proofErr w:type="spellStart"/>
      <w:r w:rsidRPr="006452D8">
        <w:rPr>
          <w:color w:val="000000" w:themeColor="text1"/>
        </w:rPr>
        <w:t>Tecentriq</w:t>
      </w:r>
      <w:proofErr w:type="spellEnd"/>
      <w:r w:rsidRPr="006452D8">
        <w:rPr>
          <w:color w:val="000000" w:themeColor="text1"/>
        </w:rPr>
        <w:t xml:space="preserve">, nab-paclitaxel and carboplatin is administered on day 1. In addition, nab-paclitaxel is administered on days 8 and 15. </w:t>
      </w:r>
    </w:p>
    <w:p w14:paraId="68C9D64F" w14:textId="77777777" w:rsidR="006452D8" w:rsidRPr="006452D8" w:rsidRDefault="006452D8" w:rsidP="006452D8">
      <w:pPr>
        <w:spacing w:after="120"/>
        <w:jc w:val="left"/>
        <w:rPr>
          <w:color w:val="000000" w:themeColor="text1"/>
          <w:lang w:val="en-US"/>
        </w:rPr>
      </w:pPr>
      <w:r w:rsidRPr="006452D8">
        <w:rPr>
          <w:color w:val="000000" w:themeColor="text1"/>
        </w:rPr>
        <w:t>The induction phase is followed by a maintenance phase without chemotherapy in which</w:t>
      </w:r>
      <w:r w:rsidRPr="006452D8">
        <w:rPr>
          <w:color w:val="000000" w:themeColor="text1"/>
          <w:lang w:val="en-US"/>
        </w:rPr>
        <w:t xml:space="preserve"> the recommended dosage of </w:t>
      </w:r>
      <w:proofErr w:type="spellStart"/>
      <w:r w:rsidRPr="006452D8">
        <w:rPr>
          <w:color w:val="000000" w:themeColor="text1"/>
          <w:lang w:val="en-US"/>
        </w:rPr>
        <w:t>Tecentriq</w:t>
      </w:r>
      <w:proofErr w:type="spellEnd"/>
      <w:r w:rsidRPr="006452D8">
        <w:rPr>
          <w:color w:val="000000" w:themeColor="text1"/>
          <w:lang w:val="en-US"/>
        </w:rPr>
        <w:t xml:space="preserve"> is either;</w:t>
      </w:r>
    </w:p>
    <w:p w14:paraId="222F71D6" w14:textId="77777777" w:rsidR="006452D8" w:rsidRPr="006452D8" w:rsidRDefault="006452D8" w:rsidP="001750CE">
      <w:pPr>
        <w:numPr>
          <w:ilvl w:val="0"/>
          <w:numId w:val="48"/>
        </w:numPr>
        <w:ind w:left="714" w:hanging="357"/>
        <w:jc w:val="left"/>
        <w:rPr>
          <w:color w:val="000000" w:themeColor="text1"/>
        </w:rPr>
      </w:pPr>
      <w:r w:rsidRPr="006452D8">
        <w:rPr>
          <w:color w:val="000000" w:themeColor="text1"/>
        </w:rPr>
        <w:t>840 mg administered by IV infusion every 2 weeks,</w:t>
      </w:r>
    </w:p>
    <w:p w14:paraId="112EF01E" w14:textId="77777777" w:rsidR="006452D8" w:rsidRPr="006452D8" w:rsidRDefault="006452D8" w:rsidP="001750CE">
      <w:pPr>
        <w:numPr>
          <w:ilvl w:val="0"/>
          <w:numId w:val="48"/>
        </w:numPr>
        <w:ind w:left="714" w:hanging="357"/>
        <w:jc w:val="left"/>
        <w:rPr>
          <w:color w:val="000000" w:themeColor="text1"/>
        </w:rPr>
      </w:pPr>
      <w:r w:rsidRPr="006452D8">
        <w:rPr>
          <w:color w:val="000000" w:themeColor="text1"/>
        </w:rPr>
        <w:t>1200 mg administered by IV infusion every 3 weeks or</w:t>
      </w:r>
    </w:p>
    <w:p w14:paraId="50BE6C6A" w14:textId="77777777" w:rsidR="006452D8" w:rsidRPr="006452D8" w:rsidRDefault="006452D8" w:rsidP="001750CE">
      <w:pPr>
        <w:numPr>
          <w:ilvl w:val="0"/>
          <w:numId w:val="48"/>
        </w:numPr>
        <w:ind w:left="714" w:hanging="357"/>
        <w:jc w:val="left"/>
        <w:rPr>
          <w:color w:val="000000" w:themeColor="text1"/>
        </w:rPr>
      </w:pPr>
      <w:r w:rsidRPr="006452D8">
        <w:rPr>
          <w:color w:val="000000" w:themeColor="text1"/>
        </w:rPr>
        <w:t>1680 mg administered by IV infusion every 4 weeks.</w:t>
      </w:r>
    </w:p>
    <w:p w14:paraId="05D319F9" w14:textId="77777777" w:rsidR="006452D8" w:rsidRPr="001750CE" w:rsidRDefault="006452D8" w:rsidP="001750CE">
      <w:pPr>
        <w:spacing w:after="120"/>
        <w:jc w:val="left"/>
        <w:rPr>
          <w:color w:val="000000" w:themeColor="text1"/>
        </w:rPr>
      </w:pPr>
    </w:p>
    <w:p w14:paraId="56029D33" w14:textId="6F1290CE" w:rsidR="00DD013A" w:rsidRPr="00DD013A" w:rsidRDefault="00DD013A" w:rsidP="00E569AD">
      <w:pPr>
        <w:pStyle w:val="Heading5"/>
      </w:pPr>
      <w:r>
        <w:t xml:space="preserve">1L </w:t>
      </w:r>
      <w:r w:rsidRPr="00DD013A">
        <w:t>extensive-stage small cell lung cancer</w:t>
      </w:r>
    </w:p>
    <w:p w14:paraId="3D559D8C" w14:textId="1224E644" w:rsidR="00DD013A" w:rsidRDefault="00DD013A" w:rsidP="00AB5E12">
      <w:r>
        <w:t xml:space="preserve">During the induction phase, the recommended dose of </w:t>
      </w:r>
      <w:proofErr w:type="spellStart"/>
      <w:r>
        <w:t>Tecentriq</w:t>
      </w:r>
      <w:proofErr w:type="spellEnd"/>
      <w:r>
        <w:t xml:space="preserve"> is 1200 mg administered by IV infusion followed by carboplatin, and then etoposide administered by IV infusion on day 1. Etoposide is administered by IV infusion on days 2 and 3. This regimen is administered every 3 weeks for </w:t>
      </w:r>
      <w:r w:rsidR="000E153D">
        <w:t>4</w:t>
      </w:r>
      <w:r>
        <w:t xml:space="preserve"> cycles.</w:t>
      </w:r>
    </w:p>
    <w:p w14:paraId="1889CC8B" w14:textId="77777777" w:rsidR="00DD013A" w:rsidRDefault="00DD013A" w:rsidP="00AB5E12"/>
    <w:p w14:paraId="1798BD23" w14:textId="77777777" w:rsidR="00DD013A" w:rsidRDefault="00DD013A" w:rsidP="00E569AD">
      <w:r>
        <w:lastRenderedPageBreak/>
        <w:t xml:space="preserve">The induction phase is followed by a maintenance phase without chemotherapy in which </w:t>
      </w:r>
      <w:r w:rsidRPr="00DD013A">
        <w:t xml:space="preserve">the recommended dosage of </w:t>
      </w:r>
      <w:proofErr w:type="spellStart"/>
      <w:r w:rsidRPr="00DD013A">
        <w:t>Tecentriq</w:t>
      </w:r>
      <w:proofErr w:type="spellEnd"/>
      <w:r w:rsidRPr="00DD013A">
        <w:t xml:space="preserve"> is either;</w:t>
      </w:r>
    </w:p>
    <w:p w14:paraId="2D840F65" w14:textId="7E9CB4BF" w:rsidR="00DD013A" w:rsidRDefault="00DD013A" w:rsidP="00E569AD">
      <w:pPr>
        <w:pStyle w:val="ListParagraph"/>
        <w:numPr>
          <w:ilvl w:val="0"/>
          <w:numId w:val="50"/>
        </w:numPr>
      </w:pPr>
      <w:r>
        <w:t>840 mg administered by IV infusion every 2 weeks,</w:t>
      </w:r>
    </w:p>
    <w:p w14:paraId="3E4F6557" w14:textId="36643D46" w:rsidR="00DD013A" w:rsidRDefault="00DD013A" w:rsidP="00E569AD">
      <w:pPr>
        <w:pStyle w:val="ListParagraph"/>
        <w:numPr>
          <w:ilvl w:val="0"/>
          <w:numId w:val="50"/>
        </w:numPr>
      </w:pPr>
      <w:r>
        <w:t>1200 mg administered by IV infusion every 3 weeks or</w:t>
      </w:r>
    </w:p>
    <w:p w14:paraId="752BBE0E" w14:textId="4D58BA12" w:rsidR="00DD013A" w:rsidRDefault="00DD013A" w:rsidP="00E569AD">
      <w:pPr>
        <w:pStyle w:val="ListParagraph"/>
        <w:numPr>
          <w:ilvl w:val="0"/>
          <w:numId w:val="50"/>
        </w:numPr>
      </w:pPr>
      <w:r>
        <w:t>1680 mg administered by IV infusion every 4 weeks.</w:t>
      </w:r>
    </w:p>
    <w:p w14:paraId="45F00610" w14:textId="77777777" w:rsidR="009A52F6" w:rsidRDefault="009A52F6" w:rsidP="009A52F6">
      <w:pPr>
        <w:pStyle w:val="Heading5"/>
      </w:pPr>
    </w:p>
    <w:p w14:paraId="617CFE02" w14:textId="0DF2BDEE" w:rsidR="00EE7579" w:rsidRDefault="0017004B" w:rsidP="00EE7579">
      <w:pPr>
        <w:spacing w:before="180"/>
        <w:rPr>
          <w:i/>
        </w:rPr>
      </w:pPr>
      <w:proofErr w:type="spellStart"/>
      <w:r w:rsidRPr="004A3BF9">
        <w:rPr>
          <w:u w:val="single"/>
          <w:lang w:val="en-GB"/>
        </w:rPr>
        <w:t>Tecentriq</w:t>
      </w:r>
      <w:proofErr w:type="spellEnd"/>
      <w:r w:rsidRPr="004A3BF9">
        <w:rPr>
          <w:u w:val="single"/>
          <w:lang w:val="en-GB"/>
        </w:rPr>
        <w:t xml:space="preserve"> in combination with nab-paclitaxel in 1L </w:t>
      </w:r>
      <w:proofErr w:type="spellStart"/>
      <w:r w:rsidRPr="004A3BF9">
        <w:rPr>
          <w:u w:val="single"/>
          <w:lang w:val="en-GB"/>
        </w:rPr>
        <w:t>mTNBC</w:t>
      </w:r>
      <w:proofErr w:type="spellEnd"/>
    </w:p>
    <w:p w14:paraId="142B9922" w14:textId="77777777" w:rsidR="009A52F6" w:rsidRPr="00004E07" w:rsidRDefault="009A52F6" w:rsidP="009A52F6">
      <w:pPr>
        <w:rPr>
          <w:lang w:val="en-US"/>
        </w:rPr>
      </w:pPr>
      <w:r w:rsidRPr="00B53F0C">
        <w:rPr>
          <w:lang w:val="en-US"/>
        </w:rPr>
        <w:t xml:space="preserve">The recommended dose of </w:t>
      </w:r>
      <w:proofErr w:type="spellStart"/>
      <w:r w:rsidRPr="00B53F0C">
        <w:rPr>
          <w:lang w:val="en-US"/>
        </w:rPr>
        <w:t>Tecentriq</w:t>
      </w:r>
      <w:proofErr w:type="spellEnd"/>
      <w:r w:rsidRPr="00B53F0C">
        <w:rPr>
          <w:lang w:val="en-US"/>
        </w:rPr>
        <w:t xml:space="preserve"> is 840 mg administered by IV infusion, followed by 100 mg/m</w:t>
      </w:r>
      <w:r w:rsidRPr="00B53F0C">
        <w:rPr>
          <w:vertAlign w:val="superscript"/>
          <w:lang w:val="en-US"/>
        </w:rPr>
        <w:t>2</w:t>
      </w:r>
      <w:r w:rsidRPr="00B53F0C">
        <w:rPr>
          <w:lang w:val="en-US"/>
        </w:rPr>
        <w:t xml:space="preserve"> nab-paclitaxel</w:t>
      </w:r>
      <w:r>
        <w:rPr>
          <w:lang w:val="en-US"/>
        </w:rPr>
        <w:t xml:space="preserve"> (nanoparticle albumin-bound paclitaxel)</w:t>
      </w:r>
      <w:r w:rsidRPr="00B53F0C">
        <w:rPr>
          <w:lang w:val="en-US"/>
        </w:rPr>
        <w:t xml:space="preserve">. For each 28-day cycle </w:t>
      </w:r>
      <w:proofErr w:type="spellStart"/>
      <w:r w:rsidRPr="00B53F0C">
        <w:rPr>
          <w:lang w:val="en-US"/>
        </w:rPr>
        <w:t>Tecentriq</w:t>
      </w:r>
      <w:proofErr w:type="spellEnd"/>
      <w:r w:rsidRPr="00B53F0C">
        <w:rPr>
          <w:lang w:val="en-US"/>
        </w:rPr>
        <w:t xml:space="preserve"> is administered on days 1 and 15, and nab-paclitaxel is administered on days 1, 8 and 15.</w:t>
      </w:r>
    </w:p>
    <w:p w14:paraId="679E7A87" w14:textId="77777777" w:rsidR="009A52F6" w:rsidRPr="00B53F0C" w:rsidRDefault="009A52F6" w:rsidP="009A52F6">
      <w:pPr>
        <w:rPr>
          <w:lang w:val="en-US"/>
        </w:rPr>
      </w:pPr>
    </w:p>
    <w:p w14:paraId="5FE724D2" w14:textId="45CF6A54" w:rsidR="009A52F6" w:rsidRPr="00DD013A" w:rsidRDefault="009A52F6" w:rsidP="009A52F6">
      <w:r w:rsidRPr="00B53F0C">
        <w:rPr>
          <w:lang w:val="en-US"/>
        </w:rPr>
        <w:t xml:space="preserve">Patients </w:t>
      </w:r>
      <w:r>
        <w:rPr>
          <w:lang w:val="en-US"/>
        </w:rPr>
        <w:t xml:space="preserve">treated for 1L TNBC </w:t>
      </w:r>
      <w:r w:rsidRPr="00B53F0C">
        <w:rPr>
          <w:lang w:val="en-US"/>
        </w:rPr>
        <w:t xml:space="preserve">should be selected for treatment based on the </w:t>
      </w:r>
      <w:proofErr w:type="spellStart"/>
      <w:r w:rsidRPr="00B53F0C">
        <w:rPr>
          <w:lang w:val="en-US"/>
        </w:rPr>
        <w:t>tumo</w:t>
      </w:r>
      <w:r>
        <w:rPr>
          <w:lang w:val="en-US"/>
        </w:rPr>
        <w:t>u</w:t>
      </w:r>
      <w:r w:rsidRPr="00B53F0C">
        <w:rPr>
          <w:lang w:val="en-US"/>
        </w:rPr>
        <w:t>r</w:t>
      </w:r>
      <w:proofErr w:type="spellEnd"/>
      <w:r w:rsidRPr="00B53F0C">
        <w:rPr>
          <w:lang w:val="en-US"/>
        </w:rPr>
        <w:t xml:space="preserve"> expression of PD-L1 confirmed by a validated test</w:t>
      </w:r>
      <w:r w:rsidRPr="00004E07">
        <w:rPr>
          <w:lang w:val="en-US"/>
        </w:rPr>
        <w:t xml:space="preserve"> (see </w:t>
      </w:r>
      <w:r w:rsidRPr="00D71381">
        <w:t xml:space="preserve">section </w:t>
      </w:r>
      <w:r w:rsidRPr="00D71381">
        <w:rPr>
          <w:i/>
        </w:rPr>
        <w:t>5.1 Pharmacodynamic properties</w:t>
      </w:r>
      <w:r w:rsidRPr="00D71381">
        <w:rPr>
          <w:lang w:val="en-US"/>
        </w:rPr>
        <w:t>).</w:t>
      </w:r>
    </w:p>
    <w:p w14:paraId="10F3A5BF" w14:textId="0153D264" w:rsidR="00FE7BB5" w:rsidRPr="0046175F" w:rsidRDefault="00FE7BB5" w:rsidP="00CD75CF">
      <w:pPr>
        <w:pStyle w:val="Heading3"/>
      </w:pPr>
      <w:r w:rsidRPr="0046175F">
        <w:t xml:space="preserve">Duration of </w:t>
      </w:r>
      <w:r w:rsidR="008C5786">
        <w:t>t</w:t>
      </w:r>
      <w:r w:rsidRPr="0046175F">
        <w:t>reatment</w:t>
      </w:r>
    </w:p>
    <w:p w14:paraId="535176CF" w14:textId="79838575" w:rsidR="0030342F" w:rsidRDefault="008C5786" w:rsidP="00A94F3F">
      <w:r w:rsidRPr="008C5786">
        <w:t>It is recommended that</w:t>
      </w:r>
      <w:r>
        <w:t xml:space="preserve"> p</w:t>
      </w:r>
      <w:r w:rsidR="00FE7BB5" w:rsidRPr="0046175F">
        <w:t xml:space="preserve">atients are treated with </w:t>
      </w:r>
      <w:proofErr w:type="spellStart"/>
      <w:r w:rsidR="00FE7BB5" w:rsidRPr="0046175F">
        <w:t>Tecentriq</w:t>
      </w:r>
      <w:proofErr w:type="spellEnd"/>
      <w:r w:rsidR="00FE7BB5" w:rsidRPr="0046175F">
        <w:t xml:space="preserve"> until loss of clinical benefit (see</w:t>
      </w:r>
      <w:r w:rsidR="0050482B" w:rsidRPr="0046175F">
        <w:t xml:space="preserve"> section </w:t>
      </w:r>
      <w:r w:rsidR="0050482B" w:rsidRPr="0046175F">
        <w:rPr>
          <w:i/>
        </w:rPr>
        <w:t>5.1</w:t>
      </w:r>
      <w:r w:rsidR="00B53105" w:rsidRPr="0046175F">
        <w:rPr>
          <w:i/>
        </w:rPr>
        <w:t xml:space="preserve"> Pharmacodynamic properties</w:t>
      </w:r>
      <w:r w:rsidR="00FE7BB5" w:rsidRPr="0046175F">
        <w:t>) or unmanageable toxicity.</w:t>
      </w:r>
    </w:p>
    <w:p w14:paraId="45A3D942" w14:textId="346D0D3B" w:rsidR="0017004B" w:rsidRPr="0046175F" w:rsidRDefault="0017004B" w:rsidP="00A94F3F">
      <w:r>
        <w:t xml:space="preserve">For TNBC, it is recommended that patients are treated with </w:t>
      </w:r>
      <w:proofErr w:type="spellStart"/>
      <w:r>
        <w:t>Tecentriq</w:t>
      </w:r>
      <w:proofErr w:type="spellEnd"/>
      <w:r>
        <w:t xml:space="preserve"> until disease progression or unacceptable toxicity (see section </w:t>
      </w:r>
      <w:r>
        <w:rPr>
          <w:i/>
        </w:rPr>
        <w:t>5.1 Pharmacodynamic properties</w:t>
      </w:r>
      <w:r>
        <w:t>).</w:t>
      </w:r>
    </w:p>
    <w:p w14:paraId="6796DA27" w14:textId="66311099" w:rsidR="00FE7BB5" w:rsidRPr="0046175F" w:rsidRDefault="00FE7BB5" w:rsidP="00CD75CF">
      <w:pPr>
        <w:pStyle w:val="Heading3"/>
      </w:pPr>
      <w:r w:rsidRPr="0046175F">
        <w:t xml:space="preserve">Delayed or </w:t>
      </w:r>
      <w:r w:rsidR="008C5786">
        <w:t>m</w:t>
      </w:r>
      <w:r w:rsidRPr="0046175F">
        <w:t xml:space="preserve">issed </w:t>
      </w:r>
      <w:r w:rsidR="008C5786">
        <w:t>d</w:t>
      </w:r>
      <w:r w:rsidRPr="0046175F">
        <w:t>oses</w:t>
      </w:r>
    </w:p>
    <w:p w14:paraId="66C516AA" w14:textId="56B9A03F" w:rsidR="00CD75CF" w:rsidRPr="0046175F" w:rsidRDefault="00FE7BB5" w:rsidP="00CD75CF">
      <w:r w:rsidRPr="0046175F">
        <w:t xml:space="preserve">If a planned dose of </w:t>
      </w:r>
      <w:proofErr w:type="spellStart"/>
      <w:r w:rsidRPr="0046175F">
        <w:t>Tecentriq</w:t>
      </w:r>
      <w:proofErr w:type="spellEnd"/>
      <w:r w:rsidRPr="0046175F">
        <w:t xml:space="preserve"> is missed, it should be administered as soon as possible. The schedule of administration </w:t>
      </w:r>
      <w:r w:rsidR="0055212E">
        <w:t>must</w:t>
      </w:r>
      <w:r w:rsidR="0055212E" w:rsidRPr="0046175F">
        <w:t xml:space="preserve"> </w:t>
      </w:r>
      <w:r w:rsidRPr="0046175F">
        <w:t xml:space="preserve">be adjusted to maintain a </w:t>
      </w:r>
      <w:r w:rsidR="002A4E9C">
        <w:t xml:space="preserve">the appropriate interval </w:t>
      </w:r>
      <w:r w:rsidRPr="0046175F">
        <w:t>between doses.</w:t>
      </w:r>
    </w:p>
    <w:p w14:paraId="13B21ADD" w14:textId="620D3CE6" w:rsidR="00FE7BB5" w:rsidRPr="0046175F" w:rsidRDefault="00FE7BB5" w:rsidP="00CD75CF">
      <w:pPr>
        <w:pStyle w:val="Heading3"/>
      </w:pPr>
      <w:r w:rsidRPr="0046175F">
        <w:t xml:space="preserve">Dose </w:t>
      </w:r>
      <w:r w:rsidR="008C5786">
        <w:t>m</w:t>
      </w:r>
      <w:r w:rsidRPr="0046175F">
        <w:t xml:space="preserve">odifications </w:t>
      </w:r>
    </w:p>
    <w:p w14:paraId="32BD548C" w14:textId="30E62437" w:rsidR="00FE7BB5" w:rsidRDefault="0055212E" w:rsidP="00CD75CF">
      <w:r>
        <w:t>D</w:t>
      </w:r>
      <w:r w:rsidR="00FE7BB5" w:rsidRPr="0046175F">
        <w:t xml:space="preserve">ose reductions of </w:t>
      </w:r>
      <w:proofErr w:type="spellStart"/>
      <w:r w:rsidR="00FE7BB5" w:rsidRPr="0046175F">
        <w:t>Tecentriq</w:t>
      </w:r>
      <w:proofErr w:type="spellEnd"/>
      <w:r w:rsidR="00FE7BB5" w:rsidRPr="0046175F">
        <w:t xml:space="preserve"> are </w:t>
      </w:r>
      <w:r>
        <w:t xml:space="preserve">not </w:t>
      </w:r>
      <w:r w:rsidR="00FE7BB5" w:rsidRPr="0046175F">
        <w:t xml:space="preserve">recommended. </w:t>
      </w:r>
    </w:p>
    <w:p w14:paraId="7EDC5B8A" w14:textId="5CE08700" w:rsidR="008C5786" w:rsidRPr="0046175F" w:rsidRDefault="008C5786" w:rsidP="00364F3A">
      <w:pPr>
        <w:pStyle w:val="Heading3"/>
      </w:pPr>
      <w:r w:rsidRPr="008C5786">
        <w:t xml:space="preserve">Dose delay or discontinuation </w:t>
      </w:r>
    </w:p>
    <w:p w14:paraId="3F88CEE8" w14:textId="30726110" w:rsidR="008C5786" w:rsidRDefault="008C5786" w:rsidP="00CD75CF">
      <w:r>
        <w:t>S</w:t>
      </w:r>
      <w:r w:rsidRPr="008C5786">
        <w:t xml:space="preserve">ee also sections </w:t>
      </w:r>
      <w:r w:rsidRPr="00364F3A">
        <w:rPr>
          <w:i/>
        </w:rPr>
        <w:t>4.4 Special warnings and precautions for use</w:t>
      </w:r>
      <w:r>
        <w:t xml:space="preserve"> </w:t>
      </w:r>
      <w:r w:rsidRPr="008C5786">
        <w:t xml:space="preserve">and </w:t>
      </w:r>
      <w:r w:rsidRPr="00364F3A">
        <w:rPr>
          <w:i/>
        </w:rPr>
        <w:t>4.8 Adverse effects (Undesirable effects)</w:t>
      </w:r>
      <w:r>
        <w:t>.</w:t>
      </w:r>
    </w:p>
    <w:p w14:paraId="2F0267E6" w14:textId="77777777" w:rsidR="008C5786" w:rsidRDefault="008C5786" w:rsidP="00CD75CF"/>
    <w:p w14:paraId="428F5F7D" w14:textId="08081199" w:rsidR="00FE7BB5" w:rsidRPr="0046175F" w:rsidRDefault="00FE7BB5" w:rsidP="00CD75CF">
      <w:pPr>
        <w:rPr>
          <w:b/>
        </w:rPr>
      </w:pPr>
      <w:r w:rsidRPr="0046175F">
        <w:rPr>
          <w:b/>
        </w:rPr>
        <w:t xml:space="preserve">Table </w:t>
      </w:r>
      <w:r w:rsidR="00F063B8" w:rsidRPr="0046175F">
        <w:rPr>
          <w:b/>
        </w:rPr>
        <w:t>1</w:t>
      </w:r>
      <w:r w:rsidRPr="0046175F">
        <w:rPr>
          <w:b/>
        </w:rPr>
        <w:t xml:space="preserve">. </w:t>
      </w:r>
      <w:r w:rsidR="008C5786" w:rsidRPr="008C5786">
        <w:rPr>
          <w:b/>
        </w:rPr>
        <w:t xml:space="preserve">Dose modification advice for </w:t>
      </w:r>
      <w:proofErr w:type="spellStart"/>
      <w:r w:rsidR="008C5786" w:rsidRPr="008C5786">
        <w:rPr>
          <w:b/>
        </w:rPr>
        <w:t>Tecentriq</w:t>
      </w:r>
      <w:proofErr w:type="spellEnd"/>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410"/>
        <w:gridCol w:w="3685"/>
      </w:tblGrid>
      <w:tr w:rsidR="00FE7BB5" w:rsidRPr="00364F3A" w14:paraId="31D438E3" w14:textId="77777777" w:rsidTr="00364F3A">
        <w:trPr>
          <w:tblHeader/>
        </w:trPr>
        <w:tc>
          <w:tcPr>
            <w:tcW w:w="2977" w:type="dxa"/>
            <w:tcBorders>
              <w:bottom w:val="single" w:sz="4" w:space="0" w:color="auto"/>
            </w:tcBorders>
            <w:shd w:val="clear" w:color="auto" w:fill="auto"/>
          </w:tcPr>
          <w:p w14:paraId="114F13D5" w14:textId="79D999EB" w:rsidR="00FE7BB5" w:rsidRPr="00364F3A" w:rsidRDefault="005616CC" w:rsidP="005616CC">
            <w:pPr>
              <w:jc w:val="left"/>
              <w:rPr>
                <w:rFonts w:eastAsia="Times New Roman"/>
                <w:b/>
                <w:sz w:val="22"/>
              </w:rPr>
            </w:pPr>
            <w:r w:rsidRPr="00364F3A">
              <w:rPr>
                <w:rFonts w:eastAsia="Times New Roman"/>
                <w:b/>
                <w:sz w:val="22"/>
              </w:rPr>
              <w:t>A</w:t>
            </w:r>
            <w:r w:rsidR="00DF0EFB" w:rsidRPr="00364F3A">
              <w:rPr>
                <w:rFonts w:eastAsia="Times New Roman"/>
                <w:b/>
                <w:sz w:val="22"/>
              </w:rPr>
              <w:t xml:space="preserve">dverse </w:t>
            </w:r>
            <w:r w:rsidR="00FE7BB5" w:rsidRPr="00364F3A">
              <w:rPr>
                <w:rFonts w:eastAsia="Times New Roman"/>
                <w:b/>
                <w:sz w:val="22"/>
              </w:rPr>
              <w:t>reaction</w:t>
            </w:r>
          </w:p>
        </w:tc>
        <w:tc>
          <w:tcPr>
            <w:tcW w:w="2410" w:type="dxa"/>
            <w:tcBorders>
              <w:bottom w:val="single" w:sz="4" w:space="0" w:color="auto"/>
            </w:tcBorders>
            <w:shd w:val="clear" w:color="auto" w:fill="auto"/>
          </w:tcPr>
          <w:p w14:paraId="21B8888E" w14:textId="77777777" w:rsidR="00FE7BB5" w:rsidRPr="00364F3A" w:rsidRDefault="00FE7BB5" w:rsidP="00366B5F">
            <w:pPr>
              <w:jc w:val="left"/>
              <w:rPr>
                <w:rFonts w:eastAsia="Times New Roman"/>
                <w:b/>
                <w:sz w:val="22"/>
              </w:rPr>
            </w:pPr>
            <w:r w:rsidRPr="00364F3A">
              <w:rPr>
                <w:rFonts w:eastAsia="Times New Roman"/>
                <w:b/>
                <w:sz w:val="22"/>
              </w:rPr>
              <w:t>Severity</w:t>
            </w:r>
          </w:p>
        </w:tc>
        <w:tc>
          <w:tcPr>
            <w:tcW w:w="3685" w:type="dxa"/>
            <w:tcBorders>
              <w:bottom w:val="single" w:sz="4" w:space="0" w:color="auto"/>
            </w:tcBorders>
            <w:shd w:val="clear" w:color="auto" w:fill="auto"/>
          </w:tcPr>
          <w:p w14:paraId="3F5B6F93" w14:textId="77777777" w:rsidR="00FE7BB5" w:rsidRPr="00364F3A" w:rsidRDefault="00FE7BB5" w:rsidP="00366B5F">
            <w:pPr>
              <w:jc w:val="left"/>
              <w:rPr>
                <w:rFonts w:eastAsia="Times New Roman"/>
                <w:b/>
                <w:sz w:val="22"/>
              </w:rPr>
            </w:pPr>
            <w:r w:rsidRPr="00364F3A">
              <w:rPr>
                <w:rFonts w:eastAsia="Times New Roman"/>
                <w:b/>
                <w:sz w:val="22"/>
              </w:rPr>
              <w:t>Treatment modification</w:t>
            </w:r>
          </w:p>
        </w:tc>
      </w:tr>
      <w:tr w:rsidR="00FE7BB5" w:rsidRPr="00364F3A" w14:paraId="2504C619" w14:textId="77777777" w:rsidTr="00364F3A">
        <w:tc>
          <w:tcPr>
            <w:tcW w:w="2977" w:type="dxa"/>
            <w:vMerge w:val="restart"/>
            <w:tcBorders>
              <w:top w:val="single" w:sz="4" w:space="0" w:color="auto"/>
            </w:tcBorders>
            <w:shd w:val="clear" w:color="auto" w:fill="auto"/>
          </w:tcPr>
          <w:p w14:paraId="5073B2C8" w14:textId="2BF2B832" w:rsidR="00FE7BB5" w:rsidRPr="00364F3A" w:rsidRDefault="005616CC" w:rsidP="00366B5F">
            <w:pPr>
              <w:jc w:val="left"/>
              <w:rPr>
                <w:b/>
                <w:sz w:val="22"/>
                <w:lang w:val="en-GB"/>
              </w:rPr>
            </w:pPr>
            <w:r w:rsidRPr="00364F3A">
              <w:rPr>
                <w:b/>
                <w:sz w:val="22"/>
                <w:lang w:val="en-GB"/>
              </w:rPr>
              <w:t>Immune-related p</w:t>
            </w:r>
            <w:r w:rsidR="00FE7BB5" w:rsidRPr="00364F3A">
              <w:rPr>
                <w:b/>
                <w:sz w:val="22"/>
                <w:lang w:val="en-GB"/>
              </w:rPr>
              <w:t>neumonitis</w:t>
            </w:r>
          </w:p>
          <w:p w14:paraId="019E77DB" w14:textId="6C074529" w:rsidR="00FE7BB5" w:rsidRPr="00364F3A" w:rsidRDefault="00FE7BB5" w:rsidP="00366B5F">
            <w:pPr>
              <w:jc w:val="left"/>
              <w:rPr>
                <w:sz w:val="22"/>
                <w:lang w:val="en-GB"/>
              </w:rPr>
            </w:pPr>
          </w:p>
          <w:p w14:paraId="3768ADD4" w14:textId="77777777" w:rsidR="00FE7BB5" w:rsidRPr="00364F3A" w:rsidRDefault="00FE7BB5" w:rsidP="00366B5F">
            <w:pPr>
              <w:jc w:val="left"/>
              <w:rPr>
                <w:rFonts w:eastAsia="Times New Roman"/>
                <w:i/>
                <w:sz w:val="22"/>
              </w:rPr>
            </w:pPr>
          </w:p>
        </w:tc>
        <w:tc>
          <w:tcPr>
            <w:tcW w:w="2410" w:type="dxa"/>
          </w:tcPr>
          <w:p w14:paraId="45E16A5E" w14:textId="77777777" w:rsidR="00FE7BB5" w:rsidRPr="00364F3A" w:rsidRDefault="00FE7BB5" w:rsidP="00366B5F">
            <w:pPr>
              <w:jc w:val="left"/>
              <w:rPr>
                <w:sz w:val="22"/>
              </w:rPr>
            </w:pPr>
            <w:r w:rsidRPr="00364F3A">
              <w:rPr>
                <w:sz w:val="22"/>
                <w:lang w:val="en-GB"/>
              </w:rPr>
              <w:t>Grade 2</w:t>
            </w:r>
          </w:p>
        </w:tc>
        <w:tc>
          <w:tcPr>
            <w:tcW w:w="3685" w:type="dxa"/>
          </w:tcPr>
          <w:p w14:paraId="576BBDCC" w14:textId="77777777" w:rsidR="002B6485" w:rsidRPr="00364F3A" w:rsidRDefault="00FE7BB5" w:rsidP="00366B5F">
            <w:pPr>
              <w:jc w:val="left"/>
              <w:rPr>
                <w:sz w:val="22"/>
                <w:vertAlign w:val="superscript"/>
                <w:lang w:val="en-GB"/>
              </w:rPr>
            </w:pPr>
            <w:r w:rsidRPr="00364F3A">
              <w:rPr>
                <w:sz w:val="22"/>
                <w:lang w:val="en-GB"/>
              </w:rPr>
              <w:t xml:space="preserve">Withhold </w:t>
            </w:r>
            <w:proofErr w:type="spellStart"/>
            <w:r w:rsidRPr="00364F3A">
              <w:rPr>
                <w:sz w:val="22"/>
                <w:lang w:val="en-GB"/>
              </w:rPr>
              <w:t>Tecentriq</w:t>
            </w:r>
            <w:proofErr w:type="spellEnd"/>
          </w:p>
          <w:p w14:paraId="4D28ED75" w14:textId="77777777" w:rsidR="002B6485" w:rsidRPr="00364F3A" w:rsidRDefault="002B6485" w:rsidP="00366B5F">
            <w:pPr>
              <w:jc w:val="left"/>
              <w:rPr>
                <w:sz w:val="22"/>
                <w:vertAlign w:val="superscript"/>
                <w:lang w:val="en-GB"/>
              </w:rPr>
            </w:pPr>
          </w:p>
          <w:p w14:paraId="7D258FA6" w14:textId="6DF539B1" w:rsidR="00FE7BB5" w:rsidRPr="00364F3A" w:rsidRDefault="002B6485" w:rsidP="00366B5F">
            <w:pPr>
              <w:jc w:val="left"/>
              <w:rPr>
                <w:sz w:val="22"/>
              </w:rPr>
            </w:pPr>
            <w:r w:rsidRPr="00364F3A">
              <w:rPr>
                <w:sz w:val="22"/>
                <w:lang w:val="en-GB"/>
              </w:rPr>
              <w:t>Treatment may be resumed when the event improves to Grade 0 or Grade 1 within 12 weeks, and corticosteroids have been reduced to ≤ 10 mg prednisone or equivalent per day</w:t>
            </w:r>
            <w:r w:rsidRPr="00364F3A" w:rsidDel="002B6485">
              <w:rPr>
                <w:sz w:val="22"/>
                <w:lang w:val="en-GB"/>
              </w:rPr>
              <w:t xml:space="preserve"> </w:t>
            </w:r>
          </w:p>
        </w:tc>
      </w:tr>
      <w:tr w:rsidR="00FE7BB5" w:rsidRPr="00364F3A" w14:paraId="0927B2C9" w14:textId="77777777" w:rsidTr="00364F3A">
        <w:tc>
          <w:tcPr>
            <w:tcW w:w="2977" w:type="dxa"/>
            <w:vMerge/>
            <w:tcBorders>
              <w:bottom w:val="single" w:sz="4" w:space="0" w:color="auto"/>
            </w:tcBorders>
            <w:shd w:val="clear" w:color="auto" w:fill="auto"/>
          </w:tcPr>
          <w:p w14:paraId="43306B0C" w14:textId="77777777" w:rsidR="00FE7BB5" w:rsidRPr="00364F3A" w:rsidRDefault="00FE7BB5" w:rsidP="00366B5F">
            <w:pPr>
              <w:jc w:val="left"/>
              <w:rPr>
                <w:b/>
                <w:i/>
                <w:sz w:val="22"/>
                <w:lang w:val="en-GB"/>
              </w:rPr>
            </w:pPr>
          </w:p>
        </w:tc>
        <w:tc>
          <w:tcPr>
            <w:tcW w:w="2410" w:type="dxa"/>
          </w:tcPr>
          <w:p w14:paraId="33878D84" w14:textId="77777777" w:rsidR="00FE7BB5" w:rsidRPr="00364F3A" w:rsidRDefault="00FE7BB5" w:rsidP="00366B5F">
            <w:pPr>
              <w:jc w:val="left"/>
              <w:rPr>
                <w:sz w:val="22"/>
                <w:lang w:val="en-GB"/>
              </w:rPr>
            </w:pPr>
            <w:r w:rsidRPr="00364F3A">
              <w:rPr>
                <w:sz w:val="22"/>
                <w:lang w:val="en-GB"/>
              </w:rPr>
              <w:t>Grade 3 or 4</w:t>
            </w:r>
          </w:p>
        </w:tc>
        <w:tc>
          <w:tcPr>
            <w:tcW w:w="3685" w:type="dxa"/>
          </w:tcPr>
          <w:p w14:paraId="724CD8D7" w14:textId="19BFF563" w:rsidR="00FE7BB5" w:rsidRPr="00364F3A" w:rsidRDefault="00FE7BB5" w:rsidP="00366B5F">
            <w:pPr>
              <w:jc w:val="left"/>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FE7BB5" w:rsidRPr="00364F3A" w14:paraId="52C5F73D" w14:textId="77777777" w:rsidTr="00364F3A">
        <w:tc>
          <w:tcPr>
            <w:tcW w:w="2977" w:type="dxa"/>
            <w:vMerge w:val="restart"/>
            <w:tcBorders>
              <w:top w:val="single" w:sz="4" w:space="0" w:color="auto"/>
            </w:tcBorders>
            <w:shd w:val="clear" w:color="auto" w:fill="auto"/>
          </w:tcPr>
          <w:p w14:paraId="4DF0BF49" w14:textId="43614B2E" w:rsidR="00F21B1F" w:rsidRDefault="005616CC" w:rsidP="00E569AD">
            <w:pPr>
              <w:rPr>
                <w:sz w:val="22"/>
                <w:lang w:val="en-GB"/>
              </w:rPr>
            </w:pPr>
            <w:r w:rsidRPr="00364F3A">
              <w:rPr>
                <w:b/>
                <w:sz w:val="22"/>
                <w:lang w:val="en-GB"/>
              </w:rPr>
              <w:t>Immune-related h</w:t>
            </w:r>
            <w:r w:rsidR="00FE7BB5" w:rsidRPr="00364F3A">
              <w:rPr>
                <w:b/>
                <w:sz w:val="22"/>
                <w:lang w:val="en-GB"/>
              </w:rPr>
              <w:t>epatitis</w:t>
            </w:r>
            <w:r w:rsidR="00FE7BB5" w:rsidRPr="00364F3A" w:rsidDel="00FF7414">
              <w:rPr>
                <w:b/>
                <w:sz w:val="22"/>
                <w:lang w:val="en-GB"/>
              </w:rPr>
              <w:t xml:space="preserve"> </w:t>
            </w:r>
          </w:p>
          <w:p w14:paraId="2E42363B" w14:textId="77777777" w:rsidR="00875E7E" w:rsidRPr="00F21B1F" w:rsidRDefault="00875E7E" w:rsidP="00E569AD">
            <w:pPr>
              <w:rPr>
                <w:sz w:val="22"/>
                <w:lang w:val="en-GB"/>
              </w:rPr>
            </w:pPr>
          </w:p>
          <w:p w14:paraId="69D55ED3" w14:textId="77777777" w:rsidR="00F21B1F" w:rsidRPr="00F21B1F" w:rsidRDefault="00F21B1F" w:rsidP="00E569AD">
            <w:pPr>
              <w:rPr>
                <w:sz w:val="22"/>
                <w:lang w:val="en-GB"/>
              </w:rPr>
            </w:pPr>
          </w:p>
          <w:p w14:paraId="5A36FD91" w14:textId="77777777" w:rsidR="00F21B1F" w:rsidRPr="00F21B1F" w:rsidRDefault="00F21B1F" w:rsidP="00E569AD">
            <w:pPr>
              <w:rPr>
                <w:sz w:val="22"/>
                <w:lang w:val="en-GB"/>
              </w:rPr>
            </w:pPr>
          </w:p>
          <w:p w14:paraId="4B10D1F1" w14:textId="77777777" w:rsidR="00F21B1F" w:rsidRPr="00F21B1F" w:rsidRDefault="00F21B1F" w:rsidP="00E569AD">
            <w:pPr>
              <w:rPr>
                <w:sz w:val="22"/>
                <w:lang w:val="en-GB"/>
              </w:rPr>
            </w:pPr>
          </w:p>
          <w:p w14:paraId="0AD13957" w14:textId="77777777" w:rsidR="00F21B1F" w:rsidRPr="00F21B1F" w:rsidRDefault="00F21B1F" w:rsidP="00E569AD">
            <w:pPr>
              <w:rPr>
                <w:sz w:val="22"/>
                <w:lang w:val="en-GB"/>
              </w:rPr>
            </w:pPr>
          </w:p>
          <w:p w14:paraId="409ECF24" w14:textId="77777777" w:rsidR="00F21B1F" w:rsidRPr="00F21B1F" w:rsidRDefault="00F21B1F" w:rsidP="00E569AD">
            <w:pPr>
              <w:rPr>
                <w:sz w:val="22"/>
                <w:lang w:val="en-GB"/>
              </w:rPr>
            </w:pPr>
          </w:p>
          <w:p w14:paraId="0F8E5851" w14:textId="77777777" w:rsidR="00F21B1F" w:rsidRPr="00F21B1F" w:rsidRDefault="00F21B1F" w:rsidP="00E569AD">
            <w:pPr>
              <w:rPr>
                <w:sz w:val="22"/>
                <w:lang w:val="en-GB"/>
              </w:rPr>
            </w:pPr>
          </w:p>
          <w:p w14:paraId="1B520776" w14:textId="77777777" w:rsidR="00F21B1F" w:rsidRPr="00F21B1F" w:rsidRDefault="00F21B1F" w:rsidP="00E569AD">
            <w:pPr>
              <w:rPr>
                <w:sz w:val="22"/>
                <w:lang w:val="en-GB"/>
              </w:rPr>
            </w:pPr>
          </w:p>
          <w:p w14:paraId="6E742947" w14:textId="7396D0DD" w:rsidR="00F21B1F" w:rsidRDefault="00F21B1F" w:rsidP="00F21B1F">
            <w:pPr>
              <w:rPr>
                <w:sz w:val="22"/>
                <w:lang w:val="en-GB"/>
              </w:rPr>
            </w:pPr>
          </w:p>
          <w:p w14:paraId="7BD7B24E" w14:textId="77777777" w:rsidR="00FE7BB5" w:rsidRPr="00F21B1F" w:rsidRDefault="00FE7BB5" w:rsidP="00E569AD">
            <w:pPr>
              <w:jc w:val="center"/>
              <w:rPr>
                <w:sz w:val="22"/>
                <w:lang w:val="en-GB"/>
              </w:rPr>
            </w:pPr>
          </w:p>
        </w:tc>
        <w:tc>
          <w:tcPr>
            <w:tcW w:w="2410" w:type="dxa"/>
          </w:tcPr>
          <w:p w14:paraId="377384D9" w14:textId="5955F286" w:rsidR="002B6485" w:rsidRPr="00364F3A" w:rsidRDefault="00FE7BB5" w:rsidP="00366B5F">
            <w:pPr>
              <w:jc w:val="left"/>
              <w:rPr>
                <w:sz w:val="22"/>
                <w:lang w:val="en-GB"/>
              </w:rPr>
            </w:pPr>
            <w:r w:rsidRPr="00364F3A">
              <w:rPr>
                <w:sz w:val="22"/>
                <w:lang w:val="en-GB"/>
              </w:rPr>
              <w:lastRenderedPageBreak/>
              <w:t>Grade 2</w:t>
            </w:r>
            <w:r w:rsidR="002B6485" w:rsidRPr="00364F3A">
              <w:rPr>
                <w:sz w:val="22"/>
                <w:lang w:val="en-GB"/>
              </w:rPr>
              <w:t>:</w:t>
            </w:r>
            <w:r w:rsidR="00F70F7C" w:rsidRPr="00364F3A">
              <w:rPr>
                <w:sz w:val="22"/>
                <w:lang w:val="en-GB"/>
              </w:rPr>
              <w:t xml:space="preserve"> </w:t>
            </w:r>
            <w:r w:rsidRPr="00364F3A">
              <w:rPr>
                <w:sz w:val="22"/>
                <w:lang w:val="en-GB"/>
              </w:rPr>
              <w:t xml:space="preserve">(ALT or AST &gt; 3 </w:t>
            </w:r>
            <w:r w:rsidR="00DF0EFB" w:rsidRPr="00364F3A">
              <w:rPr>
                <w:sz w:val="22"/>
                <w:lang w:val="en-GB"/>
              </w:rPr>
              <w:t xml:space="preserve">to 5 </w:t>
            </w:r>
            <w:r w:rsidRPr="00364F3A">
              <w:rPr>
                <w:sz w:val="22"/>
                <w:lang w:val="en-GB"/>
              </w:rPr>
              <w:t>x ULN</w:t>
            </w:r>
            <w:r w:rsidR="00F70F7C" w:rsidRPr="00364F3A">
              <w:rPr>
                <w:sz w:val="22"/>
                <w:lang w:val="en-GB"/>
              </w:rPr>
              <w:t xml:space="preserve"> </w:t>
            </w:r>
          </w:p>
          <w:p w14:paraId="3AAB350F" w14:textId="59554637" w:rsidR="00FE7BB5" w:rsidRPr="00364F3A" w:rsidRDefault="00FE7BB5" w:rsidP="00366B5F">
            <w:pPr>
              <w:jc w:val="left"/>
              <w:rPr>
                <w:i/>
                <w:sz w:val="22"/>
                <w:lang w:val="en-GB"/>
              </w:rPr>
            </w:pPr>
            <w:r w:rsidRPr="00364F3A">
              <w:rPr>
                <w:i/>
                <w:sz w:val="22"/>
                <w:lang w:val="en-GB"/>
              </w:rPr>
              <w:t>or</w:t>
            </w:r>
          </w:p>
          <w:p w14:paraId="551F4F59" w14:textId="6677831E" w:rsidR="00FE7BB5" w:rsidRPr="00364F3A" w:rsidRDefault="00FE7BB5" w:rsidP="004668F1">
            <w:pPr>
              <w:jc w:val="left"/>
              <w:rPr>
                <w:sz w:val="22"/>
                <w:lang w:val="en-GB"/>
              </w:rPr>
            </w:pPr>
            <w:r w:rsidRPr="00364F3A">
              <w:rPr>
                <w:sz w:val="22"/>
                <w:lang w:val="en-GB"/>
              </w:rPr>
              <w:t xml:space="preserve">blood bilirubin &gt; 1.5 </w:t>
            </w:r>
            <w:r w:rsidR="00DF0EFB" w:rsidRPr="00364F3A">
              <w:rPr>
                <w:sz w:val="22"/>
                <w:lang w:val="en-GB"/>
              </w:rPr>
              <w:t xml:space="preserve">to 3 </w:t>
            </w:r>
            <w:r w:rsidRPr="00364F3A">
              <w:rPr>
                <w:sz w:val="22"/>
                <w:lang w:val="en-GB"/>
              </w:rPr>
              <w:t>x ULN)</w:t>
            </w:r>
          </w:p>
        </w:tc>
        <w:tc>
          <w:tcPr>
            <w:tcW w:w="3685" w:type="dxa"/>
          </w:tcPr>
          <w:p w14:paraId="13D63BE7" w14:textId="77777777" w:rsidR="002B6485" w:rsidRPr="00364F3A" w:rsidRDefault="00F70F7C" w:rsidP="00DF0EFB">
            <w:pPr>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5DE9718E" w14:textId="77777777" w:rsidR="002B6485" w:rsidRPr="00364F3A" w:rsidRDefault="002B6485" w:rsidP="00DF0EFB">
            <w:pPr>
              <w:jc w:val="left"/>
              <w:rPr>
                <w:sz w:val="22"/>
                <w:lang w:val="en-GB"/>
              </w:rPr>
            </w:pPr>
          </w:p>
          <w:p w14:paraId="7FCC1170" w14:textId="11EE1295" w:rsidR="00FE7BB5" w:rsidRPr="00364F3A" w:rsidRDefault="002B6485" w:rsidP="00DF0EFB">
            <w:pPr>
              <w:jc w:val="left"/>
              <w:rPr>
                <w:sz w:val="22"/>
                <w:lang w:val="en-GB"/>
              </w:rPr>
            </w:pPr>
            <w:r w:rsidRPr="00364F3A">
              <w:rPr>
                <w:sz w:val="22"/>
                <w:lang w:val="en-GB"/>
              </w:rPr>
              <w:t>Treatment may be resumed when the event improves to Grade 0 or Grade 1 within 12 weeks and corticosteroids have been reduced to ≤ 10 mg prednisone or equivalent per day</w:t>
            </w:r>
            <w:r w:rsidRPr="00364F3A" w:rsidDel="002B6485">
              <w:rPr>
                <w:sz w:val="22"/>
                <w:lang w:val="en-GB"/>
              </w:rPr>
              <w:t xml:space="preserve"> </w:t>
            </w:r>
          </w:p>
        </w:tc>
      </w:tr>
      <w:tr w:rsidR="00FE7BB5" w:rsidRPr="00364F3A" w14:paraId="733D9DE1" w14:textId="77777777" w:rsidTr="00364F3A">
        <w:tc>
          <w:tcPr>
            <w:tcW w:w="2977" w:type="dxa"/>
            <w:vMerge/>
            <w:tcBorders>
              <w:bottom w:val="single" w:sz="4" w:space="0" w:color="auto"/>
            </w:tcBorders>
            <w:shd w:val="clear" w:color="auto" w:fill="auto"/>
          </w:tcPr>
          <w:p w14:paraId="0FAABB40" w14:textId="77777777" w:rsidR="00FE7BB5" w:rsidRPr="00364F3A" w:rsidRDefault="00FE7BB5" w:rsidP="00366B5F">
            <w:pPr>
              <w:jc w:val="left"/>
              <w:rPr>
                <w:b/>
                <w:i/>
                <w:sz w:val="22"/>
                <w:lang w:val="en-GB"/>
              </w:rPr>
            </w:pPr>
          </w:p>
        </w:tc>
        <w:tc>
          <w:tcPr>
            <w:tcW w:w="2410" w:type="dxa"/>
          </w:tcPr>
          <w:p w14:paraId="20B53699" w14:textId="2B3F2319" w:rsidR="00FE7BB5" w:rsidRPr="00364F3A" w:rsidRDefault="00FE7BB5" w:rsidP="00366B5F">
            <w:pPr>
              <w:jc w:val="left"/>
              <w:rPr>
                <w:sz w:val="22"/>
                <w:lang w:val="en-GB"/>
              </w:rPr>
            </w:pPr>
            <w:r w:rsidRPr="00364F3A">
              <w:rPr>
                <w:sz w:val="22"/>
                <w:lang w:val="en-GB"/>
              </w:rPr>
              <w:t>Grade 3 or 4</w:t>
            </w:r>
            <w:r w:rsidR="00013B67" w:rsidRPr="00364F3A">
              <w:rPr>
                <w:sz w:val="22"/>
                <w:lang w:val="en-GB"/>
              </w:rPr>
              <w:t>:</w:t>
            </w:r>
            <w:r w:rsidR="00F70F7C" w:rsidRPr="00364F3A">
              <w:rPr>
                <w:sz w:val="22"/>
                <w:lang w:val="en-GB"/>
              </w:rPr>
              <w:t xml:space="preserve"> </w:t>
            </w:r>
            <w:r w:rsidRPr="00364F3A">
              <w:rPr>
                <w:sz w:val="22"/>
                <w:lang w:val="en-GB"/>
              </w:rPr>
              <w:t>(ALT or AST &gt; 5  x ULN</w:t>
            </w:r>
          </w:p>
          <w:p w14:paraId="62F9D0DE" w14:textId="77777777" w:rsidR="002B6485" w:rsidRPr="00364F3A" w:rsidRDefault="00FE7BB5" w:rsidP="00E925D2">
            <w:pPr>
              <w:jc w:val="left"/>
              <w:rPr>
                <w:i/>
                <w:sz w:val="22"/>
                <w:lang w:val="en-GB"/>
              </w:rPr>
            </w:pPr>
            <w:r w:rsidRPr="00364F3A">
              <w:rPr>
                <w:i/>
                <w:sz w:val="22"/>
                <w:lang w:val="en-GB"/>
              </w:rPr>
              <w:lastRenderedPageBreak/>
              <w:t>or</w:t>
            </w:r>
            <w:r w:rsidR="00F70F7C" w:rsidRPr="00364F3A">
              <w:rPr>
                <w:i/>
                <w:sz w:val="22"/>
                <w:lang w:val="en-GB"/>
              </w:rPr>
              <w:t xml:space="preserve"> </w:t>
            </w:r>
          </w:p>
          <w:p w14:paraId="01FD94C6" w14:textId="2847BBBC" w:rsidR="00FE7BB5" w:rsidRPr="00364F3A" w:rsidRDefault="00FE7BB5" w:rsidP="00E925D2">
            <w:pPr>
              <w:jc w:val="left"/>
              <w:rPr>
                <w:sz w:val="22"/>
                <w:lang w:val="en-GB"/>
              </w:rPr>
            </w:pPr>
            <w:r w:rsidRPr="00364F3A">
              <w:rPr>
                <w:sz w:val="22"/>
                <w:lang w:val="en-GB"/>
              </w:rPr>
              <w:t>blood bilirubin &gt; 3 x ULN)</w:t>
            </w:r>
          </w:p>
        </w:tc>
        <w:tc>
          <w:tcPr>
            <w:tcW w:w="3685" w:type="dxa"/>
          </w:tcPr>
          <w:p w14:paraId="78411132" w14:textId="77777777" w:rsidR="00FE7BB5" w:rsidRPr="00364F3A" w:rsidRDefault="00FE7BB5" w:rsidP="00366B5F">
            <w:pPr>
              <w:jc w:val="left"/>
              <w:rPr>
                <w:sz w:val="22"/>
                <w:lang w:val="en-GB"/>
              </w:rPr>
            </w:pPr>
            <w:r w:rsidRPr="00364F3A">
              <w:rPr>
                <w:sz w:val="22"/>
                <w:lang w:val="en-GB"/>
              </w:rPr>
              <w:lastRenderedPageBreak/>
              <w:t xml:space="preserve">Permanently discontinue </w:t>
            </w:r>
            <w:proofErr w:type="spellStart"/>
            <w:r w:rsidRPr="00364F3A">
              <w:rPr>
                <w:sz w:val="22"/>
                <w:lang w:val="en-GB"/>
              </w:rPr>
              <w:t>Tecentriq</w:t>
            </w:r>
            <w:proofErr w:type="spellEnd"/>
            <w:r w:rsidRPr="00364F3A">
              <w:rPr>
                <w:sz w:val="22"/>
                <w:lang w:val="en-GB"/>
              </w:rPr>
              <w:t>.</w:t>
            </w:r>
          </w:p>
        </w:tc>
      </w:tr>
      <w:tr w:rsidR="002B6485" w:rsidRPr="00364F3A" w14:paraId="25415509" w14:textId="77777777" w:rsidTr="00364F3A">
        <w:trPr>
          <w:trHeight w:val="1546"/>
        </w:trPr>
        <w:tc>
          <w:tcPr>
            <w:tcW w:w="2977" w:type="dxa"/>
            <w:vMerge w:val="restart"/>
            <w:tcBorders>
              <w:top w:val="single" w:sz="4" w:space="0" w:color="auto"/>
            </w:tcBorders>
            <w:shd w:val="clear" w:color="auto" w:fill="auto"/>
          </w:tcPr>
          <w:p w14:paraId="57887C3E" w14:textId="0076EE21" w:rsidR="002B6485" w:rsidRPr="00364F3A" w:rsidRDefault="002B6485" w:rsidP="00364F3A">
            <w:pPr>
              <w:keepNext/>
              <w:keepLines/>
              <w:jc w:val="left"/>
              <w:rPr>
                <w:sz w:val="22"/>
                <w:lang w:val="en-GB"/>
              </w:rPr>
            </w:pPr>
            <w:r w:rsidRPr="00364F3A">
              <w:rPr>
                <w:b/>
                <w:sz w:val="22"/>
                <w:lang w:val="en-GB"/>
              </w:rPr>
              <w:t>Immune-related colitis</w:t>
            </w:r>
          </w:p>
        </w:tc>
        <w:tc>
          <w:tcPr>
            <w:tcW w:w="2410" w:type="dxa"/>
          </w:tcPr>
          <w:p w14:paraId="4A1AE2E7" w14:textId="1AB79B32" w:rsidR="002B6485" w:rsidRPr="00364F3A" w:rsidRDefault="002B6485" w:rsidP="002B6485">
            <w:pPr>
              <w:keepNext/>
              <w:keepLines/>
              <w:jc w:val="left"/>
              <w:rPr>
                <w:sz w:val="22"/>
                <w:lang w:val="en-GB"/>
              </w:rPr>
            </w:pPr>
            <w:r w:rsidRPr="00364F3A">
              <w:rPr>
                <w:sz w:val="22"/>
                <w:lang w:val="en-GB"/>
              </w:rPr>
              <w:t>Grade 2 or 3 diarrhoea (increase of ≥ 4 stools/day over baseline)</w:t>
            </w:r>
          </w:p>
          <w:p w14:paraId="047F8A58" w14:textId="77777777" w:rsidR="002B6485" w:rsidRPr="00364F3A" w:rsidRDefault="002B6485" w:rsidP="002B6485">
            <w:pPr>
              <w:keepNext/>
              <w:keepLines/>
              <w:jc w:val="left"/>
              <w:rPr>
                <w:sz w:val="22"/>
                <w:lang w:val="en-GB"/>
              </w:rPr>
            </w:pPr>
          </w:p>
          <w:p w14:paraId="2BEAFDF4" w14:textId="77777777" w:rsidR="002B6485" w:rsidRPr="00364F3A" w:rsidRDefault="002B6485" w:rsidP="002B6485">
            <w:pPr>
              <w:keepNext/>
              <w:keepLines/>
              <w:jc w:val="left"/>
              <w:rPr>
                <w:i/>
                <w:sz w:val="22"/>
                <w:lang w:val="en-GB"/>
              </w:rPr>
            </w:pPr>
            <w:r w:rsidRPr="00364F3A">
              <w:rPr>
                <w:i/>
                <w:sz w:val="22"/>
                <w:lang w:val="en-GB"/>
              </w:rPr>
              <w:t>or</w:t>
            </w:r>
          </w:p>
          <w:p w14:paraId="711D4504" w14:textId="77777777" w:rsidR="002B6485" w:rsidRPr="00364F3A" w:rsidRDefault="002B6485" w:rsidP="002B6485">
            <w:pPr>
              <w:keepNext/>
              <w:keepLines/>
              <w:jc w:val="left"/>
              <w:rPr>
                <w:sz w:val="22"/>
                <w:lang w:val="en-GB"/>
              </w:rPr>
            </w:pPr>
          </w:p>
          <w:p w14:paraId="46971C45" w14:textId="2A45754B" w:rsidR="002B6485" w:rsidRPr="00364F3A" w:rsidRDefault="002A4E9C" w:rsidP="009535ED">
            <w:pPr>
              <w:keepNext/>
              <w:keepLines/>
              <w:jc w:val="left"/>
              <w:rPr>
                <w:sz w:val="22"/>
                <w:lang w:val="en-GB"/>
              </w:rPr>
            </w:pPr>
            <w:r>
              <w:rPr>
                <w:sz w:val="22"/>
                <w:lang w:val="en-GB"/>
              </w:rPr>
              <w:t>s</w:t>
            </w:r>
            <w:r w:rsidR="002B6485" w:rsidRPr="00364F3A">
              <w:rPr>
                <w:sz w:val="22"/>
                <w:lang w:val="en-GB"/>
              </w:rPr>
              <w:t>ymptomatic colitis</w:t>
            </w:r>
          </w:p>
        </w:tc>
        <w:tc>
          <w:tcPr>
            <w:tcW w:w="3685" w:type="dxa"/>
          </w:tcPr>
          <w:p w14:paraId="70547BAB" w14:textId="77777777" w:rsidR="002B6485" w:rsidRPr="00364F3A" w:rsidRDefault="002B6485" w:rsidP="00E925D2">
            <w:pPr>
              <w:keepNext/>
              <w:keepLines/>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12CF16C0" w14:textId="480C7453" w:rsidR="002B6485" w:rsidRPr="00364F3A" w:rsidRDefault="002B6485" w:rsidP="00E925D2">
            <w:pPr>
              <w:keepNext/>
              <w:keepLines/>
              <w:jc w:val="left"/>
              <w:rPr>
                <w:sz w:val="22"/>
                <w:lang w:val="en-GB"/>
              </w:rPr>
            </w:pPr>
          </w:p>
          <w:p w14:paraId="2E704CDC" w14:textId="2DF97AAC" w:rsidR="002B6485" w:rsidRPr="00364F3A" w:rsidRDefault="002B6485" w:rsidP="00F70F7C">
            <w:pPr>
              <w:keepNext/>
              <w:keepLines/>
              <w:jc w:val="left"/>
              <w:rPr>
                <w:sz w:val="22"/>
                <w:lang w:val="en-GB"/>
              </w:rPr>
            </w:pPr>
            <w:r w:rsidRPr="00364F3A">
              <w:rPr>
                <w:sz w:val="22"/>
                <w:lang w:val="en-GB"/>
              </w:rPr>
              <w:t>Treatment may be resumed when the event improves to Grade 0 or Grade 1 within 12 weeks and corticosteroids have been reduced to ≤ 10 mg prednisone or equivalent per day</w:t>
            </w:r>
            <w:r w:rsidRPr="00364F3A" w:rsidDel="002B6485">
              <w:rPr>
                <w:sz w:val="22"/>
                <w:lang w:val="en-GB"/>
              </w:rPr>
              <w:t xml:space="preserve"> </w:t>
            </w:r>
          </w:p>
        </w:tc>
      </w:tr>
      <w:tr w:rsidR="00FE7BB5" w:rsidRPr="00364F3A" w14:paraId="3472C021" w14:textId="77777777" w:rsidTr="00364F3A">
        <w:tc>
          <w:tcPr>
            <w:tcW w:w="2977" w:type="dxa"/>
            <w:vMerge/>
            <w:tcBorders>
              <w:bottom w:val="single" w:sz="4" w:space="0" w:color="auto"/>
            </w:tcBorders>
            <w:shd w:val="clear" w:color="auto" w:fill="auto"/>
          </w:tcPr>
          <w:p w14:paraId="56680E30" w14:textId="77777777" w:rsidR="00FE7BB5" w:rsidRPr="00364F3A" w:rsidRDefault="00FE7BB5" w:rsidP="00366B5F">
            <w:pPr>
              <w:keepNext/>
              <w:keepLines/>
              <w:jc w:val="left"/>
              <w:rPr>
                <w:b/>
                <w:i/>
                <w:sz w:val="22"/>
                <w:lang w:val="en-GB"/>
              </w:rPr>
            </w:pPr>
          </w:p>
        </w:tc>
        <w:tc>
          <w:tcPr>
            <w:tcW w:w="2410" w:type="dxa"/>
          </w:tcPr>
          <w:p w14:paraId="70F5320F" w14:textId="51084AE8" w:rsidR="00FE7BB5" w:rsidRPr="00364F3A" w:rsidRDefault="00FE7BB5" w:rsidP="00E925D2">
            <w:pPr>
              <w:keepNext/>
              <w:keepLines/>
              <w:jc w:val="left"/>
              <w:rPr>
                <w:sz w:val="22"/>
                <w:lang w:val="en-GB"/>
              </w:rPr>
            </w:pPr>
            <w:r w:rsidRPr="00364F3A">
              <w:rPr>
                <w:sz w:val="22"/>
                <w:lang w:val="en-GB"/>
              </w:rPr>
              <w:t xml:space="preserve">Grade 4 diarrhoea or colitis </w:t>
            </w:r>
            <w:r w:rsidR="002B6485" w:rsidRPr="00364F3A">
              <w:rPr>
                <w:sz w:val="22"/>
                <w:lang w:val="en-GB"/>
              </w:rPr>
              <w:t>(life threatening; urgent intervention indicated)</w:t>
            </w:r>
          </w:p>
        </w:tc>
        <w:tc>
          <w:tcPr>
            <w:tcW w:w="3685" w:type="dxa"/>
          </w:tcPr>
          <w:p w14:paraId="098E5580" w14:textId="1C2A5082" w:rsidR="00FE7BB5" w:rsidRPr="00364F3A" w:rsidRDefault="00FE7BB5" w:rsidP="00366B5F">
            <w:pPr>
              <w:keepNext/>
              <w:keepLines/>
              <w:jc w:val="left"/>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FE7BB5" w:rsidRPr="00364F3A" w14:paraId="3B79B742" w14:textId="77777777" w:rsidTr="00364F3A">
        <w:tc>
          <w:tcPr>
            <w:tcW w:w="2977" w:type="dxa"/>
            <w:tcBorders>
              <w:top w:val="single" w:sz="4" w:space="0" w:color="auto"/>
              <w:bottom w:val="single" w:sz="4" w:space="0" w:color="auto"/>
            </w:tcBorders>
            <w:shd w:val="clear" w:color="auto" w:fill="auto"/>
          </w:tcPr>
          <w:p w14:paraId="737872C6" w14:textId="3D32A3D0" w:rsidR="00FE7BB5" w:rsidRPr="00364F3A" w:rsidRDefault="005616CC" w:rsidP="004668F1">
            <w:pPr>
              <w:jc w:val="left"/>
              <w:rPr>
                <w:sz w:val="22"/>
                <w:lang w:val="en-GB"/>
              </w:rPr>
            </w:pPr>
            <w:r w:rsidRPr="00364F3A">
              <w:rPr>
                <w:b/>
                <w:sz w:val="22"/>
                <w:lang w:val="en-GB"/>
              </w:rPr>
              <w:t>Immune-related h</w:t>
            </w:r>
            <w:r w:rsidR="00FE7BB5" w:rsidRPr="00364F3A">
              <w:rPr>
                <w:b/>
                <w:sz w:val="22"/>
                <w:lang w:val="en-GB"/>
              </w:rPr>
              <w:t xml:space="preserve">ypothyroidism </w:t>
            </w:r>
            <w:r w:rsidR="002B6485" w:rsidRPr="00364F3A">
              <w:rPr>
                <w:b/>
                <w:sz w:val="22"/>
                <w:lang w:val="en-GB"/>
              </w:rPr>
              <w:t>or hyperthyroidism</w:t>
            </w:r>
          </w:p>
        </w:tc>
        <w:tc>
          <w:tcPr>
            <w:tcW w:w="2410" w:type="dxa"/>
          </w:tcPr>
          <w:p w14:paraId="6ED81AC6" w14:textId="77777777" w:rsidR="00FE7BB5" w:rsidRPr="00364F3A" w:rsidRDefault="00FE7BB5" w:rsidP="00366B5F">
            <w:pPr>
              <w:keepNext/>
              <w:keepLines/>
              <w:jc w:val="left"/>
              <w:rPr>
                <w:sz w:val="22"/>
                <w:lang w:val="en-GB"/>
              </w:rPr>
            </w:pPr>
            <w:r w:rsidRPr="00364F3A">
              <w:rPr>
                <w:sz w:val="22"/>
                <w:lang w:val="en-GB"/>
              </w:rPr>
              <w:t>Symptomatic</w:t>
            </w:r>
          </w:p>
        </w:tc>
        <w:tc>
          <w:tcPr>
            <w:tcW w:w="3685" w:type="dxa"/>
          </w:tcPr>
          <w:p w14:paraId="73882014" w14:textId="5AC340F9" w:rsidR="00FE7BB5" w:rsidRPr="00364F3A" w:rsidRDefault="00FE7BB5" w:rsidP="009924DB">
            <w:pPr>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48438CBC" w14:textId="095F8B68" w:rsidR="00FE7BB5" w:rsidRPr="00364F3A" w:rsidRDefault="00FE7BB5" w:rsidP="009924DB">
            <w:pPr>
              <w:jc w:val="left"/>
              <w:rPr>
                <w:sz w:val="22"/>
                <w:lang w:val="en-GB"/>
              </w:rPr>
            </w:pPr>
          </w:p>
          <w:p w14:paraId="1A3E543C" w14:textId="77777777" w:rsidR="002B6485" w:rsidRPr="00364F3A" w:rsidRDefault="002B6485" w:rsidP="002B6485">
            <w:pPr>
              <w:jc w:val="left"/>
              <w:rPr>
                <w:sz w:val="22"/>
                <w:u w:val="single"/>
                <w:lang w:val="en-GB"/>
              </w:rPr>
            </w:pPr>
            <w:r w:rsidRPr="00364F3A">
              <w:rPr>
                <w:sz w:val="22"/>
                <w:u w:val="single"/>
                <w:lang w:val="en-GB"/>
              </w:rPr>
              <w:t>Hypothyroidism:</w:t>
            </w:r>
          </w:p>
          <w:p w14:paraId="64324348" w14:textId="77777777" w:rsidR="002B6485" w:rsidRPr="00364F3A" w:rsidRDefault="002B6485" w:rsidP="002B6485">
            <w:pPr>
              <w:jc w:val="left"/>
              <w:rPr>
                <w:sz w:val="22"/>
                <w:lang w:val="en-GB"/>
              </w:rPr>
            </w:pPr>
            <w:r w:rsidRPr="00364F3A">
              <w:rPr>
                <w:sz w:val="22"/>
                <w:lang w:val="en-GB"/>
              </w:rPr>
              <w:t>Treatment may be resumed when symptoms are controlled by thyroid replacement therapy and TSH levels are decreasing</w:t>
            </w:r>
          </w:p>
          <w:p w14:paraId="774C17EA" w14:textId="77777777" w:rsidR="002B6485" w:rsidRPr="00364F3A" w:rsidRDefault="002B6485" w:rsidP="002B6485">
            <w:pPr>
              <w:jc w:val="left"/>
              <w:rPr>
                <w:sz w:val="22"/>
                <w:lang w:val="en-GB"/>
              </w:rPr>
            </w:pPr>
          </w:p>
          <w:p w14:paraId="3D3E6864" w14:textId="77777777" w:rsidR="002B6485" w:rsidRPr="00364F3A" w:rsidRDefault="002B6485" w:rsidP="002B6485">
            <w:pPr>
              <w:jc w:val="left"/>
              <w:rPr>
                <w:sz w:val="22"/>
                <w:u w:val="single"/>
                <w:lang w:val="en-GB"/>
              </w:rPr>
            </w:pPr>
            <w:r w:rsidRPr="00364F3A">
              <w:rPr>
                <w:sz w:val="22"/>
                <w:u w:val="single"/>
                <w:lang w:val="en-GB"/>
              </w:rPr>
              <w:t>Hyperthyroidism:</w:t>
            </w:r>
          </w:p>
          <w:p w14:paraId="1B6637DC" w14:textId="0FA06534" w:rsidR="00FE7BB5" w:rsidRPr="00364F3A" w:rsidRDefault="002B6485" w:rsidP="002B6485">
            <w:pPr>
              <w:jc w:val="left"/>
              <w:rPr>
                <w:sz w:val="22"/>
                <w:lang w:val="en-GB"/>
              </w:rPr>
            </w:pPr>
            <w:r w:rsidRPr="00364F3A">
              <w:rPr>
                <w:sz w:val="22"/>
                <w:lang w:val="en-GB"/>
              </w:rPr>
              <w:t>Treatment may be resumed when symptoms are controlled by anti-thyroid medicinal product and thyroid function is improving</w:t>
            </w:r>
          </w:p>
        </w:tc>
      </w:tr>
      <w:tr w:rsidR="00FE7BB5" w:rsidRPr="00364F3A" w14:paraId="2061DB73" w14:textId="77777777" w:rsidTr="00364F3A">
        <w:tc>
          <w:tcPr>
            <w:tcW w:w="2977" w:type="dxa"/>
            <w:tcBorders>
              <w:top w:val="single" w:sz="4" w:space="0" w:color="auto"/>
              <w:bottom w:val="single" w:sz="4" w:space="0" w:color="auto"/>
            </w:tcBorders>
            <w:shd w:val="clear" w:color="auto" w:fill="auto"/>
          </w:tcPr>
          <w:p w14:paraId="5DB1A937" w14:textId="736C67B9" w:rsidR="00FE7BB5" w:rsidRPr="00364F3A" w:rsidRDefault="005616CC" w:rsidP="004668F1">
            <w:pPr>
              <w:jc w:val="left"/>
              <w:rPr>
                <w:sz w:val="22"/>
                <w:lang w:val="en-GB"/>
              </w:rPr>
            </w:pPr>
            <w:r w:rsidRPr="00364F3A">
              <w:rPr>
                <w:b/>
                <w:sz w:val="22"/>
                <w:lang w:val="en-GB"/>
              </w:rPr>
              <w:t>Immune-related a</w:t>
            </w:r>
            <w:r w:rsidR="00FE7BB5" w:rsidRPr="00364F3A">
              <w:rPr>
                <w:b/>
                <w:sz w:val="22"/>
                <w:lang w:val="en-GB"/>
              </w:rPr>
              <w:t>drenal insufficiency</w:t>
            </w:r>
          </w:p>
        </w:tc>
        <w:tc>
          <w:tcPr>
            <w:tcW w:w="2410" w:type="dxa"/>
          </w:tcPr>
          <w:p w14:paraId="03B57C00" w14:textId="77777777" w:rsidR="00FE7BB5" w:rsidRPr="00364F3A" w:rsidRDefault="00FE7BB5" w:rsidP="00366B5F">
            <w:pPr>
              <w:jc w:val="left"/>
              <w:rPr>
                <w:sz w:val="22"/>
                <w:lang w:val="en-GB"/>
              </w:rPr>
            </w:pPr>
            <w:r w:rsidRPr="00364F3A">
              <w:rPr>
                <w:sz w:val="22"/>
                <w:lang w:val="en-GB"/>
              </w:rPr>
              <w:t>Symptomatic</w:t>
            </w:r>
          </w:p>
          <w:p w14:paraId="6462B762" w14:textId="77777777" w:rsidR="00FE7BB5" w:rsidRPr="00364F3A" w:rsidRDefault="00FE7BB5" w:rsidP="00366B5F">
            <w:pPr>
              <w:keepNext/>
              <w:keepLines/>
              <w:jc w:val="left"/>
              <w:rPr>
                <w:sz w:val="22"/>
                <w:lang w:val="en-GB"/>
              </w:rPr>
            </w:pPr>
          </w:p>
        </w:tc>
        <w:tc>
          <w:tcPr>
            <w:tcW w:w="3685" w:type="dxa"/>
          </w:tcPr>
          <w:p w14:paraId="537D0595" w14:textId="77777777" w:rsidR="002B6485" w:rsidRPr="00364F3A" w:rsidRDefault="00FE7BB5" w:rsidP="00366B5F">
            <w:pPr>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3A220AF6" w14:textId="20D41F2B" w:rsidR="00FE7BB5" w:rsidRPr="00364F3A" w:rsidRDefault="00FE7BB5" w:rsidP="00366B5F">
            <w:pPr>
              <w:jc w:val="left"/>
              <w:rPr>
                <w:sz w:val="22"/>
                <w:lang w:val="en-GB"/>
              </w:rPr>
            </w:pPr>
          </w:p>
          <w:p w14:paraId="170E7316" w14:textId="5A7A4472" w:rsidR="00FE7BB5" w:rsidRPr="00364F3A" w:rsidRDefault="002B6485" w:rsidP="00DF0EFB">
            <w:pPr>
              <w:jc w:val="left"/>
              <w:rPr>
                <w:sz w:val="22"/>
                <w:lang w:val="en-GB"/>
              </w:rPr>
            </w:pPr>
            <w:r w:rsidRPr="00364F3A">
              <w:rPr>
                <w:sz w:val="22"/>
                <w:lang w:val="en-GB"/>
              </w:rPr>
              <w:t xml:space="preserve">Treatment may be resumed when the symptoms improve to Grade 0 or Grade 1 within 12 weeks and corticosteroids have been reduced to ≤ 10 mg prednisone or equivalent per day and </w:t>
            </w:r>
            <w:r w:rsidR="0017004B">
              <w:rPr>
                <w:sz w:val="22"/>
                <w:lang w:val="en-GB"/>
              </w:rPr>
              <w:t xml:space="preserve">the </w:t>
            </w:r>
            <w:r w:rsidRPr="00364F3A">
              <w:rPr>
                <w:sz w:val="22"/>
                <w:lang w:val="en-GB"/>
              </w:rPr>
              <w:t>patient is stable on replacement therapy</w:t>
            </w:r>
          </w:p>
        </w:tc>
      </w:tr>
      <w:tr w:rsidR="00B169AF" w:rsidRPr="00364F3A" w14:paraId="3B599FB8" w14:textId="77777777" w:rsidTr="00364F3A">
        <w:trPr>
          <w:trHeight w:val="594"/>
        </w:trPr>
        <w:tc>
          <w:tcPr>
            <w:tcW w:w="2977" w:type="dxa"/>
            <w:vMerge w:val="restart"/>
            <w:tcBorders>
              <w:top w:val="single" w:sz="4" w:space="0" w:color="auto"/>
            </w:tcBorders>
            <w:shd w:val="clear" w:color="auto" w:fill="auto"/>
          </w:tcPr>
          <w:p w14:paraId="44202EE1" w14:textId="04BC6AF3" w:rsidR="00C30988" w:rsidRPr="00364F3A" w:rsidRDefault="005616CC" w:rsidP="00366B5F">
            <w:pPr>
              <w:jc w:val="left"/>
              <w:rPr>
                <w:b/>
                <w:sz w:val="22"/>
                <w:lang w:val="en-GB"/>
              </w:rPr>
            </w:pPr>
            <w:r w:rsidRPr="00364F3A">
              <w:rPr>
                <w:b/>
                <w:sz w:val="22"/>
                <w:lang w:val="en-GB"/>
              </w:rPr>
              <w:t xml:space="preserve">Immune-related </w:t>
            </w:r>
            <w:proofErr w:type="spellStart"/>
            <w:r w:rsidRPr="00364F3A">
              <w:rPr>
                <w:b/>
                <w:sz w:val="22"/>
                <w:lang w:val="en-GB"/>
              </w:rPr>
              <w:t>h</w:t>
            </w:r>
            <w:r w:rsidR="00B169AF" w:rsidRPr="00364F3A">
              <w:rPr>
                <w:b/>
                <w:sz w:val="22"/>
                <w:lang w:val="en-GB"/>
              </w:rPr>
              <w:t>ypophysitis</w:t>
            </w:r>
            <w:proofErr w:type="spellEnd"/>
          </w:p>
          <w:p w14:paraId="7AABCA7A" w14:textId="77777777" w:rsidR="00B169AF" w:rsidRPr="00364F3A" w:rsidRDefault="00B169AF" w:rsidP="004668F1">
            <w:pPr>
              <w:jc w:val="left"/>
              <w:rPr>
                <w:b/>
                <w:i/>
                <w:sz w:val="22"/>
                <w:lang w:val="en-GB"/>
              </w:rPr>
            </w:pPr>
          </w:p>
        </w:tc>
        <w:tc>
          <w:tcPr>
            <w:tcW w:w="2410" w:type="dxa"/>
          </w:tcPr>
          <w:p w14:paraId="2B8394B8" w14:textId="77777777" w:rsidR="00B169AF" w:rsidRPr="00364F3A" w:rsidRDefault="00B169AF" w:rsidP="00366B5F">
            <w:pPr>
              <w:jc w:val="left"/>
              <w:rPr>
                <w:sz w:val="22"/>
                <w:lang w:val="en-GB"/>
              </w:rPr>
            </w:pPr>
            <w:r w:rsidRPr="00364F3A">
              <w:rPr>
                <w:sz w:val="22"/>
                <w:lang w:val="en-GB"/>
              </w:rPr>
              <w:t>Grade 2 or 3</w:t>
            </w:r>
          </w:p>
        </w:tc>
        <w:tc>
          <w:tcPr>
            <w:tcW w:w="3685" w:type="dxa"/>
          </w:tcPr>
          <w:p w14:paraId="1ED4CB7F" w14:textId="3321D6F8" w:rsidR="002B6485" w:rsidRPr="00364F3A" w:rsidRDefault="00B169AF" w:rsidP="00E925D2">
            <w:pPr>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3440AD1B" w14:textId="77777777" w:rsidR="002B6485" w:rsidRPr="00364F3A" w:rsidRDefault="002B6485" w:rsidP="00E925D2">
            <w:pPr>
              <w:jc w:val="left"/>
              <w:rPr>
                <w:sz w:val="22"/>
                <w:lang w:val="en-GB"/>
              </w:rPr>
            </w:pPr>
          </w:p>
          <w:p w14:paraId="21AB1537" w14:textId="04A39367" w:rsidR="00B169AF" w:rsidRPr="00364F3A" w:rsidRDefault="002B6485" w:rsidP="00E925D2">
            <w:pPr>
              <w:jc w:val="left"/>
              <w:rPr>
                <w:sz w:val="22"/>
                <w:lang w:val="en-GB"/>
              </w:rPr>
            </w:pPr>
            <w:r w:rsidRPr="00364F3A">
              <w:rPr>
                <w:sz w:val="22"/>
                <w:lang w:val="en-GB"/>
              </w:rPr>
              <w:t xml:space="preserve">Treatment may be resumed when the symptoms improve to Grade 0 or Grade 1 within 12 weeks and corticosteroids have been reduced to ≤ 10 mg prednisone or equivalent per day and </w:t>
            </w:r>
            <w:r w:rsidR="00C86F8F">
              <w:rPr>
                <w:sz w:val="22"/>
                <w:lang w:val="en-GB"/>
              </w:rPr>
              <w:t xml:space="preserve">the </w:t>
            </w:r>
            <w:r w:rsidRPr="00364F3A">
              <w:rPr>
                <w:sz w:val="22"/>
                <w:lang w:val="en-GB"/>
              </w:rPr>
              <w:t>patient is stable on replacement therapy</w:t>
            </w:r>
          </w:p>
        </w:tc>
      </w:tr>
      <w:tr w:rsidR="00B169AF" w:rsidRPr="00364F3A" w14:paraId="34B6DB88" w14:textId="77777777" w:rsidTr="00364F3A">
        <w:tc>
          <w:tcPr>
            <w:tcW w:w="2977" w:type="dxa"/>
            <w:vMerge/>
            <w:tcBorders>
              <w:bottom w:val="single" w:sz="4" w:space="0" w:color="auto"/>
            </w:tcBorders>
            <w:shd w:val="clear" w:color="auto" w:fill="auto"/>
          </w:tcPr>
          <w:p w14:paraId="78512D48" w14:textId="77777777" w:rsidR="00B169AF" w:rsidRPr="00364F3A" w:rsidRDefault="00B169AF" w:rsidP="00366B5F">
            <w:pPr>
              <w:jc w:val="left"/>
              <w:rPr>
                <w:b/>
                <w:i/>
                <w:sz w:val="22"/>
                <w:lang w:val="en-GB"/>
              </w:rPr>
            </w:pPr>
          </w:p>
        </w:tc>
        <w:tc>
          <w:tcPr>
            <w:tcW w:w="2410" w:type="dxa"/>
          </w:tcPr>
          <w:p w14:paraId="5D432262" w14:textId="77777777" w:rsidR="00B169AF" w:rsidRPr="00364F3A" w:rsidRDefault="00B169AF" w:rsidP="00366B5F">
            <w:pPr>
              <w:jc w:val="left"/>
              <w:rPr>
                <w:sz w:val="22"/>
                <w:lang w:val="en-GB"/>
              </w:rPr>
            </w:pPr>
            <w:r w:rsidRPr="00364F3A">
              <w:rPr>
                <w:sz w:val="22"/>
                <w:lang w:val="en-GB"/>
              </w:rPr>
              <w:t>Grade 4</w:t>
            </w:r>
          </w:p>
        </w:tc>
        <w:tc>
          <w:tcPr>
            <w:tcW w:w="3685" w:type="dxa"/>
          </w:tcPr>
          <w:p w14:paraId="738AF3C6" w14:textId="77777777" w:rsidR="00B169AF" w:rsidRPr="00364F3A" w:rsidRDefault="00B169AF" w:rsidP="00366B5F">
            <w:pPr>
              <w:jc w:val="left"/>
              <w:rPr>
                <w:sz w:val="22"/>
                <w:lang w:val="en-GB"/>
              </w:rPr>
            </w:pPr>
            <w:r w:rsidRPr="00364F3A">
              <w:rPr>
                <w:sz w:val="22"/>
                <w:lang w:val="en-GB"/>
              </w:rPr>
              <w:t xml:space="preserve">Permanently discontinue </w:t>
            </w:r>
            <w:proofErr w:type="spellStart"/>
            <w:r w:rsidRPr="00364F3A">
              <w:rPr>
                <w:sz w:val="22"/>
                <w:lang w:val="en-GB"/>
              </w:rPr>
              <w:t>Tecentriq</w:t>
            </w:r>
            <w:proofErr w:type="spellEnd"/>
            <w:r w:rsidRPr="00364F3A">
              <w:rPr>
                <w:sz w:val="22"/>
                <w:lang w:val="en-GB"/>
              </w:rPr>
              <w:t>.</w:t>
            </w:r>
          </w:p>
        </w:tc>
      </w:tr>
      <w:tr w:rsidR="00FE7BB5" w:rsidRPr="00364F3A" w14:paraId="1CC19A92" w14:textId="77777777" w:rsidTr="00364F3A">
        <w:tc>
          <w:tcPr>
            <w:tcW w:w="2977" w:type="dxa"/>
            <w:tcBorders>
              <w:top w:val="single" w:sz="4" w:space="0" w:color="auto"/>
              <w:bottom w:val="single" w:sz="4" w:space="0" w:color="auto"/>
            </w:tcBorders>
            <w:shd w:val="clear" w:color="auto" w:fill="auto"/>
          </w:tcPr>
          <w:p w14:paraId="2AB34103" w14:textId="39A8A4B6" w:rsidR="00FE7BB5" w:rsidRPr="00364F3A" w:rsidRDefault="005616CC" w:rsidP="004668F1">
            <w:pPr>
              <w:jc w:val="left"/>
              <w:rPr>
                <w:sz w:val="22"/>
                <w:lang w:val="fr-FR"/>
              </w:rPr>
            </w:pPr>
            <w:r w:rsidRPr="00364F3A">
              <w:rPr>
                <w:b/>
                <w:sz w:val="22"/>
                <w:lang w:val="fr-FR"/>
              </w:rPr>
              <w:t>Immune-</w:t>
            </w:r>
            <w:proofErr w:type="spellStart"/>
            <w:r w:rsidRPr="00364F3A">
              <w:rPr>
                <w:b/>
                <w:sz w:val="22"/>
                <w:lang w:val="fr-FR"/>
              </w:rPr>
              <w:t>related</w:t>
            </w:r>
            <w:proofErr w:type="spellEnd"/>
            <w:r w:rsidRPr="00364F3A">
              <w:rPr>
                <w:b/>
                <w:sz w:val="22"/>
                <w:lang w:val="fr-FR"/>
              </w:rPr>
              <w:t xml:space="preserve"> </w:t>
            </w:r>
            <w:r w:rsidR="00FE7BB5" w:rsidRPr="00364F3A">
              <w:rPr>
                <w:b/>
                <w:sz w:val="22"/>
                <w:lang w:val="fr-FR"/>
              </w:rPr>
              <w:t xml:space="preserve">Type 1 </w:t>
            </w:r>
            <w:proofErr w:type="spellStart"/>
            <w:r w:rsidR="00FE7BB5" w:rsidRPr="00364F3A">
              <w:rPr>
                <w:b/>
                <w:sz w:val="22"/>
                <w:lang w:val="fr-FR"/>
              </w:rPr>
              <w:t>diabetes</w:t>
            </w:r>
            <w:proofErr w:type="spellEnd"/>
            <w:r w:rsidR="00FE7BB5" w:rsidRPr="00364F3A">
              <w:rPr>
                <w:b/>
                <w:sz w:val="22"/>
                <w:lang w:val="fr-FR"/>
              </w:rPr>
              <w:t xml:space="preserve"> </w:t>
            </w:r>
            <w:proofErr w:type="spellStart"/>
            <w:r w:rsidR="00FE7BB5" w:rsidRPr="00364F3A">
              <w:rPr>
                <w:b/>
                <w:sz w:val="22"/>
                <w:lang w:val="fr-FR"/>
              </w:rPr>
              <w:t>mellitus</w:t>
            </w:r>
            <w:proofErr w:type="spellEnd"/>
          </w:p>
        </w:tc>
        <w:tc>
          <w:tcPr>
            <w:tcW w:w="2410" w:type="dxa"/>
          </w:tcPr>
          <w:p w14:paraId="39D1DB65" w14:textId="373C6829" w:rsidR="00FE7BB5" w:rsidRPr="00364F3A" w:rsidRDefault="00FE7BB5" w:rsidP="009924DB">
            <w:pPr>
              <w:jc w:val="left"/>
              <w:rPr>
                <w:sz w:val="22"/>
                <w:lang w:val="en-GB"/>
              </w:rPr>
            </w:pPr>
            <w:r w:rsidRPr="00364F3A">
              <w:rPr>
                <w:sz w:val="22"/>
                <w:lang w:val="en-GB"/>
              </w:rPr>
              <w:t xml:space="preserve">Grade 3 or 4 hyperglycaemia (fasting glucose greater than 13.9  </w:t>
            </w:r>
            <w:proofErr w:type="spellStart"/>
            <w:r w:rsidRPr="00364F3A">
              <w:rPr>
                <w:sz w:val="22"/>
                <w:lang w:val="en-GB"/>
              </w:rPr>
              <w:t>mmol</w:t>
            </w:r>
            <w:proofErr w:type="spellEnd"/>
            <w:r w:rsidRPr="00364F3A">
              <w:rPr>
                <w:sz w:val="22"/>
                <w:lang w:val="en-GB"/>
              </w:rPr>
              <w:t>/L)</w:t>
            </w:r>
          </w:p>
        </w:tc>
        <w:tc>
          <w:tcPr>
            <w:tcW w:w="3685" w:type="dxa"/>
          </w:tcPr>
          <w:p w14:paraId="42DA7A39" w14:textId="15C3A86C" w:rsidR="00FE7BB5" w:rsidRPr="00364F3A" w:rsidRDefault="00FE7BB5" w:rsidP="00366B5F">
            <w:pPr>
              <w:jc w:val="left"/>
              <w:rPr>
                <w:sz w:val="22"/>
                <w:lang w:val="en-GB"/>
              </w:rPr>
            </w:pPr>
            <w:r w:rsidRPr="00364F3A">
              <w:rPr>
                <w:sz w:val="22"/>
                <w:lang w:val="en-GB"/>
              </w:rPr>
              <w:t xml:space="preserve">Withhold </w:t>
            </w:r>
            <w:proofErr w:type="spellStart"/>
            <w:r w:rsidRPr="00364F3A">
              <w:rPr>
                <w:sz w:val="22"/>
                <w:lang w:val="en-GB"/>
              </w:rPr>
              <w:t>Tecentriq</w:t>
            </w:r>
            <w:proofErr w:type="spellEnd"/>
          </w:p>
          <w:p w14:paraId="528FAFF4" w14:textId="1A9044A0" w:rsidR="00FE7BB5" w:rsidRPr="00364F3A" w:rsidRDefault="00FE7BB5" w:rsidP="00366B5F">
            <w:pPr>
              <w:jc w:val="left"/>
              <w:rPr>
                <w:sz w:val="22"/>
                <w:lang w:val="en-GB"/>
              </w:rPr>
            </w:pPr>
          </w:p>
          <w:p w14:paraId="48AFD66B" w14:textId="1EC80614" w:rsidR="00FE7BB5" w:rsidRPr="00364F3A" w:rsidRDefault="002B6485" w:rsidP="002F7235">
            <w:pPr>
              <w:jc w:val="left"/>
              <w:rPr>
                <w:sz w:val="22"/>
                <w:lang w:val="en-GB"/>
              </w:rPr>
            </w:pPr>
            <w:r w:rsidRPr="00364F3A">
              <w:rPr>
                <w:sz w:val="22"/>
              </w:rPr>
              <w:t>Treatment may be resumed when metabolic control is achieved on insulin replacement therapy</w:t>
            </w:r>
          </w:p>
        </w:tc>
      </w:tr>
      <w:tr w:rsidR="00FE7BB5" w:rsidRPr="00364F3A" w14:paraId="6F9602AB" w14:textId="77777777" w:rsidTr="00364F3A">
        <w:tc>
          <w:tcPr>
            <w:tcW w:w="2977" w:type="dxa"/>
            <w:tcBorders>
              <w:top w:val="single" w:sz="4" w:space="0" w:color="auto"/>
              <w:bottom w:val="single" w:sz="4" w:space="0" w:color="auto"/>
            </w:tcBorders>
            <w:shd w:val="clear" w:color="auto" w:fill="auto"/>
          </w:tcPr>
          <w:p w14:paraId="00BE2EBE" w14:textId="05DEEF3D" w:rsidR="00FE7BB5" w:rsidRPr="00364F3A" w:rsidRDefault="005616CC" w:rsidP="004668F1">
            <w:pPr>
              <w:jc w:val="left"/>
              <w:rPr>
                <w:sz w:val="22"/>
                <w:lang w:val="en-GB"/>
              </w:rPr>
            </w:pPr>
            <w:r w:rsidRPr="00364F3A">
              <w:rPr>
                <w:b/>
                <w:sz w:val="22"/>
                <w:lang w:val="en-GB"/>
              </w:rPr>
              <w:t xml:space="preserve">Immune-related </w:t>
            </w:r>
            <w:proofErr w:type="spellStart"/>
            <w:r w:rsidRPr="00364F3A">
              <w:rPr>
                <w:b/>
                <w:sz w:val="22"/>
                <w:lang w:val="en-GB"/>
              </w:rPr>
              <w:t>m</w:t>
            </w:r>
            <w:r w:rsidR="00FE7BB5" w:rsidRPr="00364F3A">
              <w:rPr>
                <w:b/>
                <w:sz w:val="22"/>
                <w:lang w:val="en-GB"/>
              </w:rPr>
              <w:t>yasthenic</w:t>
            </w:r>
            <w:proofErr w:type="spellEnd"/>
            <w:r w:rsidR="00FE7BB5" w:rsidRPr="00364F3A">
              <w:rPr>
                <w:b/>
                <w:sz w:val="22"/>
                <w:lang w:val="en-GB"/>
              </w:rPr>
              <w:t xml:space="preserve"> </w:t>
            </w:r>
            <w:r w:rsidR="004D34EF" w:rsidRPr="00364F3A">
              <w:rPr>
                <w:b/>
                <w:sz w:val="22"/>
                <w:lang w:val="en-GB"/>
              </w:rPr>
              <w:t>s</w:t>
            </w:r>
            <w:r w:rsidR="00FE7BB5" w:rsidRPr="00364F3A">
              <w:rPr>
                <w:b/>
                <w:sz w:val="22"/>
                <w:lang w:val="en-GB"/>
              </w:rPr>
              <w:t xml:space="preserve">yndrome/myasthenia gravis, </w:t>
            </w:r>
            <w:proofErr w:type="spellStart"/>
            <w:r w:rsidR="00FE7BB5" w:rsidRPr="00364F3A">
              <w:rPr>
                <w:b/>
                <w:sz w:val="22"/>
                <w:lang w:val="en-GB"/>
              </w:rPr>
              <w:lastRenderedPageBreak/>
              <w:t>Guillain-Barré</w:t>
            </w:r>
            <w:proofErr w:type="spellEnd"/>
            <w:r w:rsidR="00FE7BB5" w:rsidRPr="00364F3A">
              <w:rPr>
                <w:b/>
                <w:sz w:val="22"/>
                <w:lang w:val="en-GB"/>
              </w:rPr>
              <w:t xml:space="preserve"> syndrome and </w:t>
            </w:r>
            <w:r w:rsidR="004D34EF" w:rsidRPr="00364F3A">
              <w:rPr>
                <w:b/>
                <w:sz w:val="22"/>
                <w:lang w:val="en-GB"/>
              </w:rPr>
              <w:t>m</w:t>
            </w:r>
            <w:r w:rsidR="00FE7BB5" w:rsidRPr="00364F3A">
              <w:rPr>
                <w:b/>
                <w:sz w:val="22"/>
                <w:lang w:val="en-GB"/>
              </w:rPr>
              <w:t>eningoencephalitis</w:t>
            </w:r>
          </w:p>
        </w:tc>
        <w:tc>
          <w:tcPr>
            <w:tcW w:w="2410" w:type="dxa"/>
          </w:tcPr>
          <w:p w14:paraId="1B13DE88" w14:textId="0396ED25" w:rsidR="00FE7BB5" w:rsidRPr="00364F3A" w:rsidRDefault="004D34EF" w:rsidP="00366B5F">
            <w:pPr>
              <w:jc w:val="left"/>
              <w:rPr>
                <w:sz w:val="22"/>
                <w:lang w:val="en-GB"/>
              </w:rPr>
            </w:pPr>
            <w:r w:rsidRPr="00364F3A">
              <w:rPr>
                <w:sz w:val="22"/>
                <w:lang w:val="en-GB"/>
              </w:rPr>
              <w:lastRenderedPageBreak/>
              <w:t xml:space="preserve">All </w:t>
            </w:r>
            <w:r w:rsidR="00FE7BB5" w:rsidRPr="00364F3A">
              <w:rPr>
                <w:sz w:val="22"/>
                <w:lang w:val="en-GB"/>
              </w:rPr>
              <w:t>grade</w:t>
            </w:r>
            <w:r w:rsidRPr="00364F3A">
              <w:rPr>
                <w:sz w:val="22"/>
                <w:lang w:val="en-GB"/>
              </w:rPr>
              <w:t>s</w:t>
            </w:r>
          </w:p>
        </w:tc>
        <w:tc>
          <w:tcPr>
            <w:tcW w:w="3685" w:type="dxa"/>
          </w:tcPr>
          <w:p w14:paraId="644CC107" w14:textId="731247F1" w:rsidR="00FE7BB5" w:rsidRPr="00364F3A" w:rsidRDefault="00FE7BB5" w:rsidP="00366B5F">
            <w:pPr>
              <w:jc w:val="left"/>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FE7BB5" w:rsidRPr="00364F3A" w14:paraId="1A6BD48D" w14:textId="77777777" w:rsidTr="00364F3A">
        <w:trPr>
          <w:trHeight w:val="496"/>
        </w:trPr>
        <w:tc>
          <w:tcPr>
            <w:tcW w:w="2977" w:type="dxa"/>
            <w:vMerge w:val="restart"/>
            <w:tcBorders>
              <w:top w:val="single" w:sz="4" w:space="0" w:color="auto"/>
            </w:tcBorders>
            <w:shd w:val="clear" w:color="auto" w:fill="auto"/>
          </w:tcPr>
          <w:p w14:paraId="0B9F10DF" w14:textId="7F0078CE" w:rsidR="00FE7BB5" w:rsidRPr="00364F3A" w:rsidRDefault="005616CC" w:rsidP="004668F1">
            <w:pPr>
              <w:jc w:val="left"/>
              <w:rPr>
                <w:sz w:val="22"/>
                <w:lang w:val="en-GB"/>
              </w:rPr>
            </w:pPr>
            <w:r w:rsidRPr="00364F3A">
              <w:rPr>
                <w:rFonts w:eastAsia="SimSun"/>
                <w:b/>
                <w:sz w:val="22"/>
                <w:lang w:val="en-GB" w:eastAsia="zh-CN"/>
              </w:rPr>
              <w:t>Immune-related m</w:t>
            </w:r>
            <w:r w:rsidR="00FE7BB5" w:rsidRPr="00364F3A">
              <w:rPr>
                <w:rFonts w:eastAsia="SimSun"/>
                <w:b/>
                <w:sz w:val="22"/>
                <w:lang w:val="en-GB" w:eastAsia="zh-CN"/>
              </w:rPr>
              <w:t>yocarditis</w:t>
            </w:r>
          </w:p>
        </w:tc>
        <w:tc>
          <w:tcPr>
            <w:tcW w:w="2410" w:type="dxa"/>
          </w:tcPr>
          <w:p w14:paraId="7056F767" w14:textId="77777777" w:rsidR="00FE7BB5" w:rsidRPr="00364F3A" w:rsidRDefault="00FE7BB5" w:rsidP="00366B5F">
            <w:pPr>
              <w:keepNext/>
              <w:keepLines/>
              <w:jc w:val="left"/>
              <w:rPr>
                <w:sz w:val="22"/>
                <w:lang w:val="en-GB"/>
              </w:rPr>
            </w:pPr>
            <w:r w:rsidRPr="00364F3A">
              <w:rPr>
                <w:rFonts w:eastAsia="SimSun"/>
                <w:sz w:val="22"/>
                <w:lang w:val="en-GB" w:eastAsia="zh-CN"/>
              </w:rPr>
              <w:t>Grade 2</w:t>
            </w:r>
          </w:p>
        </w:tc>
        <w:tc>
          <w:tcPr>
            <w:tcW w:w="3685" w:type="dxa"/>
          </w:tcPr>
          <w:p w14:paraId="1601C4CF" w14:textId="77777777" w:rsidR="00FE7BB5" w:rsidRPr="00364F3A" w:rsidRDefault="00FE7BB5" w:rsidP="002F7235">
            <w:pPr>
              <w:rPr>
                <w:sz w:val="22"/>
                <w:lang w:val="en-GB"/>
              </w:rPr>
            </w:pPr>
            <w:r w:rsidRPr="00364F3A">
              <w:rPr>
                <w:sz w:val="22"/>
                <w:lang w:val="en-GB"/>
              </w:rPr>
              <w:t xml:space="preserve">Withhold </w:t>
            </w:r>
            <w:proofErr w:type="spellStart"/>
            <w:r w:rsidRPr="00364F3A">
              <w:rPr>
                <w:sz w:val="22"/>
                <w:lang w:val="en-GB"/>
              </w:rPr>
              <w:t>Tecentriq</w:t>
            </w:r>
            <w:proofErr w:type="spellEnd"/>
          </w:p>
          <w:p w14:paraId="00C2CAE1" w14:textId="77777777" w:rsidR="002B6485" w:rsidRPr="00364F3A" w:rsidRDefault="002B6485" w:rsidP="002F7235">
            <w:pPr>
              <w:rPr>
                <w:sz w:val="22"/>
                <w:lang w:val="en-GB"/>
              </w:rPr>
            </w:pPr>
          </w:p>
          <w:p w14:paraId="67B4B40A" w14:textId="625BC654" w:rsidR="002B6485" w:rsidRPr="00364F3A" w:rsidRDefault="002B6485" w:rsidP="002F7235">
            <w:pPr>
              <w:rPr>
                <w:sz w:val="22"/>
                <w:lang w:val="en-GB"/>
              </w:rPr>
            </w:pPr>
            <w:r w:rsidRPr="00364F3A">
              <w:rPr>
                <w:sz w:val="22"/>
                <w:lang w:val="en-GB"/>
              </w:rPr>
              <w:t>Treatment may be resumed when the symptoms improve to Grade 0 or Grade 1 within 12 weeks and corticosteroids have been reduced to ≤ 10 mg prednisone or equivalent per day</w:t>
            </w:r>
          </w:p>
        </w:tc>
      </w:tr>
      <w:tr w:rsidR="00FE7BB5" w:rsidRPr="00364F3A" w14:paraId="48A8CB22" w14:textId="77777777" w:rsidTr="00364F3A">
        <w:tc>
          <w:tcPr>
            <w:tcW w:w="2977" w:type="dxa"/>
            <w:vMerge/>
            <w:shd w:val="clear" w:color="auto" w:fill="auto"/>
          </w:tcPr>
          <w:p w14:paraId="35C5F4CC" w14:textId="77777777" w:rsidR="00FE7BB5" w:rsidRPr="00364F3A" w:rsidRDefault="00FE7BB5" w:rsidP="00366B5F">
            <w:pPr>
              <w:jc w:val="left"/>
              <w:rPr>
                <w:rFonts w:eastAsia="SimSun"/>
                <w:b/>
                <w:sz w:val="22"/>
                <w:lang w:val="en-GB" w:eastAsia="zh-CN"/>
              </w:rPr>
            </w:pPr>
          </w:p>
        </w:tc>
        <w:tc>
          <w:tcPr>
            <w:tcW w:w="2410" w:type="dxa"/>
          </w:tcPr>
          <w:p w14:paraId="064D0C35" w14:textId="77777777" w:rsidR="00FE7BB5" w:rsidRPr="00364F3A" w:rsidRDefault="00FE7BB5" w:rsidP="00366B5F">
            <w:pPr>
              <w:keepNext/>
              <w:keepLines/>
              <w:jc w:val="left"/>
              <w:rPr>
                <w:rFonts w:eastAsia="SimSun"/>
                <w:sz w:val="22"/>
                <w:lang w:val="en-GB" w:eastAsia="zh-CN"/>
              </w:rPr>
            </w:pPr>
            <w:r w:rsidRPr="00364F3A">
              <w:rPr>
                <w:rFonts w:eastAsia="SimSun"/>
                <w:sz w:val="22"/>
                <w:lang w:val="en-GB" w:eastAsia="zh-CN"/>
              </w:rPr>
              <w:t>Grade 3 or 4</w:t>
            </w:r>
          </w:p>
        </w:tc>
        <w:tc>
          <w:tcPr>
            <w:tcW w:w="3685" w:type="dxa"/>
          </w:tcPr>
          <w:p w14:paraId="54D9F56A" w14:textId="6B173272" w:rsidR="00FE7BB5" w:rsidRPr="00364F3A" w:rsidRDefault="00FE7BB5" w:rsidP="00366B5F">
            <w:pPr>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8C5B69" w:rsidRPr="00364F3A" w14:paraId="75F3F5EC" w14:textId="77777777" w:rsidTr="00364F3A">
        <w:trPr>
          <w:trHeight w:val="503"/>
        </w:trPr>
        <w:tc>
          <w:tcPr>
            <w:tcW w:w="2977" w:type="dxa"/>
            <w:vMerge w:val="restart"/>
            <w:shd w:val="clear" w:color="auto" w:fill="auto"/>
          </w:tcPr>
          <w:p w14:paraId="0D3ED050" w14:textId="4A76F2AC" w:rsidR="008C5B69" w:rsidRPr="00364F3A" w:rsidRDefault="005616CC" w:rsidP="004668F1">
            <w:pPr>
              <w:jc w:val="left"/>
              <w:rPr>
                <w:rFonts w:eastAsia="SimSun"/>
                <w:b/>
                <w:sz w:val="22"/>
                <w:lang w:val="en-GB" w:eastAsia="zh-CN"/>
              </w:rPr>
            </w:pPr>
            <w:r w:rsidRPr="00364F3A">
              <w:rPr>
                <w:rFonts w:eastAsia="SimSun"/>
                <w:b/>
                <w:sz w:val="22"/>
                <w:lang w:val="en-GB" w:eastAsia="zh-CN"/>
              </w:rPr>
              <w:t>Immune-related m</w:t>
            </w:r>
            <w:r w:rsidR="008C5B69" w:rsidRPr="00364F3A">
              <w:rPr>
                <w:rFonts w:eastAsia="SimSun"/>
                <w:b/>
                <w:sz w:val="22"/>
                <w:lang w:val="en-GB" w:eastAsia="zh-CN"/>
              </w:rPr>
              <w:t xml:space="preserve">yositis </w:t>
            </w:r>
          </w:p>
        </w:tc>
        <w:tc>
          <w:tcPr>
            <w:tcW w:w="2410" w:type="dxa"/>
          </w:tcPr>
          <w:p w14:paraId="3DCA549F" w14:textId="37E0F05D" w:rsidR="008C5B69" w:rsidRPr="00364F3A" w:rsidRDefault="008C5B69" w:rsidP="00CC3BFC">
            <w:pPr>
              <w:keepNext/>
              <w:keepLines/>
              <w:jc w:val="left"/>
              <w:rPr>
                <w:rFonts w:eastAsia="SimSun"/>
                <w:sz w:val="22"/>
                <w:lang w:val="en-GB" w:eastAsia="zh-CN"/>
              </w:rPr>
            </w:pPr>
            <w:r w:rsidRPr="00364F3A">
              <w:rPr>
                <w:rFonts w:eastAsia="SimSun"/>
                <w:sz w:val="22"/>
                <w:lang w:val="en-GB" w:eastAsia="zh-CN"/>
              </w:rPr>
              <w:t>Grade 2 or 3</w:t>
            </w:r>
          </w:p>
        </w:tc>
        <w:tc>
          <w:tcPr>
            <w:tcW w:w="3685" w:type="dxa"/>
          </w:tcPr>
          <w:p w14:paraId="322B80E1" w14:textId="504884EE" w:rsidR="008C5B69" w:rsidRPr="00364F3A" w:rsidRDefault="008C5B69" w:rsidP="00E925D2">
            <w:pPr>
              <w:rPr>
                <w:sz w:val="22"/>
                <w:vertAlign w:val="superscript"/>
                <w:lang w:val="en-GB"/>
              </w:rPr>
            </w:pPr>
            <w:r w:rsidRPr="00364F3A">
              <w:rPr>
                <w:sz w:val="22"/>
                <w:lang w:val="en-GB"/>
              </w:rPr>
              <w:t xml:space="preserve">Withhold </w:t>
            </w:r>
            <w:proofErr w:type="spellStart"/>
            <w:r w:rsidRPr="00364F3A">
              <w:rPr>
                <w:sz w:val="22"/>
                <w:lang w:val="en-GB"/>
              </w:rPr>
              <w:t>Tecentriq</w:t>
            </w:r>
            <w:proofErr w:type="spellEnd"/>
          </w:p>
          <w:p w14:paraId="31E07CF2" w14:textId="77777777" w:rsidR="005F42A7" w:rsidRPr="00364F3A" w:rsidRDefault="005F42A7" w:rsidP="00E925D2">
            <w:pPr>
              <w:rPr>
                <w:sz w:val="22"/>
                <w:vertAlign w:val="superscript"/>
                <w:lang w:val="en-GB"/>
              </w:rPr>
            </w:pPr>
          </w:p>
          <w:p w14:paraId="161D1D26" w14:textId="2AD2EE36" w:rsidR="005F42A7" w:rsidRPr="00364F3A" w:rsidRDefault="005F42A7" w:rsidP="00E925D2">
            <w:pPr>
              <w:rPr>
                <w:sz w:val="22"/>
                <w:lang w:val="en-GB"/>
              </w:rPr>
            </w:pPr>
            <w:r w:rsidRPr="00364F3A">
              <w:rPr>
                <w:sz w:val="22"/>
                <w:lang w:val="en-GB"/>
              </w:rPr>
              <w:t>Treatment may be resumed when the symptoms improve to Grade 0 or Grade 1 within 12 weeks and corticosteroids have been reduced to ≤ 10 mg prednisone or equivalent per day</w:t>
            </w:r>
          </w:p>
        </w:tc>
      </w:tr>
      <w:tr w:rsidR="008C5B69" w:rsidRPr="00364F3A" w14:paraId="4FF576D1" w14:textId="77777777" w:rsidTr="00364F3A">
        <w:trPr>
          <w:trHeight w:val="503"/>
        </w:trPr>
        <w:tc>
          <w:tcPr>
            <w:tcW w:w="2977" w:type="dxa"/>
            <w:vMerge/>
            <w:shd w:val="clear" w:color="auto" w:fill="auto"/>
          </w:tcPr>
          <w:p w14:paraId="1B4667C0" w14:textId="77777777" w:rsidR="008C5B69" w:rsidRPr="00364F3A" w:rsidRDefault="008C5B69" w:rsidP="00CC3BFC">
            <w:pPr>
              <w:jc w:val="left"/>
              <w:rPr>
                <w:rFonts w:eastAsia="SimSun"/>
                <w:b/>
                <w:sz w:val="22"/>
                <w:lang w:val="en-GB" w:eastAsia="zh-CN"/>
              </w:rPr>
            </w:pPr>
          </w:p>
        </w:tc>
        <w:tc>
          <w:tcPr>
            <w:tcW w:w="2410" w:type="dxa"/>
          </w:tcPr>
          <w:p w14:paraId="7706E293" w14:textId="54CDFCDB" w:rsidR="008C5B69" w:rsidRPr="00364F3A" w:rsidRDefault="008C5B69" w:rsidP="00CC3BFC">
            <w:pPr>
              <w:keepNext/>
              <w:keepLines/>
              <w:jc w:val="left"/>
              <w:rPr>
                <w:rFonts w:eastAsia="SimSun"/>
                <w:sz w:val="22"/>
                <w:lang w:val="en-GB" w:eastAsia="zh-CN"/>
              </w:rPr>
            </w:pPr>
            <w:r w:rsidRPr="00364F3A">
              <w:rPr>
                <w:rFonts w:eastAsia="SimSun"/>
                <w:sz w:val="22"/>
                <w:lang w:val="en-GB" w:eastAsia="zh-CN"/>
              </w:rPr>
              <w:t>Grade 4 or grade 3 recurrent myositis</w:t>
            </w:r>
          </w:p>
        </w:tc>
        <w:tc>
          <w:tcPr>
            <w:tcW w:w="3685" w:type="dxa"/>
          </w:tcPr>
          <w:p w14:paraId="5E2F1996" w14:textId="610EA557" w:rsidR="008C5B69" w:rsidRPr="00364F3A" w:rsidRDefault="008C5B69" w:rsidP="00CC3BFC">
            <w:pPr>
              <w:rPr>
                <w:sz w:val="22"/>
                <w:lang w:val="en-GB"/>
              </w:rPr>
            </w:pPr>
            <w:r w:rsidRPr="00364F3A">
              <w:rPr>
                <w:sz w:val="22"/>
                <w:lang w:val="en-GB"/>
              </w:rPr>
              <w:t>Pe</w:t>
            </w:r>
            <w:r w:rsidR="0046175F" w:rsidRPr="00364F3A">
              <w:rPr>
                <w:sz w:val="22"/>
                <w:lang w:val="en-GB"/>
              </w:rPr>
              <w:t xml:space="preserve">rmanently discontinue </w:t>
            </w:r>
            <w:proofErr w:type="spellStart"/>
            <w:r w:rsidR="0046175F" w:rsidRPr="00364F3A">
              <w:rPr>
                <w:sz w:val="22"/>
                <w:lang w:val="en-GB"/>
              </w:rPr>
              <w:t>Tecentriq</w:t>
            </w:r>
            <w:proofErr w:type="spellEnd"/>
          </w:p>
        </w:tc>
      </w:tr>
      <w:tr w:rsidR="00B36EC3" w:rsidRPr="00364F3A" w14:paraId="5D6F9316" w14:textId="77777777" w:rsidTr="00364F3A">
        <w:trPr>
          <w:trHeight w:val="503"/>
        </w:trPr>
        <w:tc>
          <w:tcPr>
            <w:tcW w:w="2977" w:type="dxa"/>
            <w:vMerge w:val="restart"/>
            <w:shd w:val="clear" w:color="auto" w:fill="auto"/>
          </w:tcPr>
          <w:p w14:paraId="7081C960" w14:textId="30C02695" w:rsidR="00B36EC3" w:rsidRPr="00364F3A" w:rsidRDefault="005616CC" w:rsidP="004668F1">
            <w:pPr>
              <w:jc w:val="left"/>
              <w:rPr>
                <w:rFonts w:eastAsia="SimSun"/>
                <w:b/>
                <w:sz w:val="22"/>
                <w:lang w:val="en-GB" w:eastAsia="zh-CN"/>
              </w:rPr>
            </w:pPr>
            <w:r w:rsidRPr="00364F3A">
              <w:rPr>
                <w:rFonts w:eastAsia="SimSun"/>
                <w:b/>
                <w:sz w:val="22"/>
                <w:lang w:val="en-GB" w:eastAsia="zh-CN"/>
              </w:rPr>
              <w:t>Immune-related n</w:t>
            </w:r>
            <w:r w:rsidR="00B36EC3" w:rsidRPr="00364F3A">
              <w:rPr>
                <w:rFonts w:eastAsia="SimSun"/>
                <w:b/>
                <w:sz w:val="22"/>
                <w:lang w:val="en-GB" w:eastAsia="zh-CN"/>
              </w:rPr>
              <w:t xml:space="preserve">ephritis </w:t>
            </w:r>
          </w:p>
        </w:tc>
        <w:tc>
          <w:tcPr>
            <w:tcW w:w="2410" w:type="dxa"/>
          </w:tcPr>
          <w:p w14:paraId="3E175CC3" w14:textId="5694EF3B" w:rsidR="00B36EC3" w:rsidRPr="00364F3A" w:rsidRDefault="00B36EC3" w:rsidP="004668F1">
            <w:pPr>
              <w:keepNext/>
              <w:keepLines/>
              <w:jc w:val="left"/>
              <w:rPr>
                <w:rFonts w:eastAsia="SimSun"/>
                <w:sz w:val="22"/>
                <w:lang w:val="en-GB" w:eastAsia="zh-CN"/>
              </w:rPr>
            </w:pPr>
            <w:r w:rsidRPr="00364F3A">
              <w:rPr>
                <w:rFonts w:eastAsia="SimSun"/>
                <w:sz w:val="22"/>
                <w:lang w:val="en-GB" w:eastAsia="zh-CN"/>
              </w:rPr>
              <w:t>Grade 2</w:t>
            </w:r>
            <w:r w:rsidR="002B6485" w:rsidRPr="00364F3A">
              <w:rPr>
                <w:rFonts w:eastAsia="SimSun"/>
                <w:sz w:val="22"/>
                <w:lang w:val="en-GB" w:eastAsia="zh-CN"/>
              </w:rPr>
              <w:t>:</w:t>
            </w:r>
            <w:r w:rsidR="003F2FC2" w:rsidRPr="00364F3A">
              <w:rPr>
                <w:rFonts w:eastAsia="SimSun"/>
                <w:sz w:val="22"/>
                <w:lang w:val="en-GB" w:eastAsia="zh-CN"/>
              </w:rPr>
              <w:t xml:space="preserve"> </w:t>
            </w:r>
            <w:r w:rsidR="003F2FC2" w:rsidRPr="00364F3A">
              <w:rPr>
                <w:rFonts w:eastAsia="SimSun"/>
                <w:sz w:val="22"/>
                <w:lang w:val="en-US" w:eastAsia="zh-CN"/>
              </w:rPr>
              <w:t xml:space="preserve">(creatinine level </w:t>
            </w:r>
            <w:r w:rsidR="003F2FC2" w:rsidRPr="00364F3A">
              <w:rPr>
                <w:rFonts w:eastAsia="SimSun"/>
                <w:sz w:val="22"/>
                <w:lang w:val="nn-NO" w:eastAsia="zh-CN"/>
              </w:rPr>
              <w:t>&gt;</w:t>
            </w:r>
            <w:r w:rsidR="008C5B69" w:rsidRPr="00364F3A">
              <w:rPr>
                <w:rFonts w:eastAsia="SimSun"/>
                <w:sz w:val="22"/>
                <w:lang w:val="nn-NO" w:eastAsia="zh-CN"/>
              </w:rPr>
              <w:t xml:space="preserve"> </w:t>
            </w:r>
            <w:r w:rsidR="003F2FC2" w:rsidRPr="00364F3A">
              <w:rPr>
                <w:rFonts w:eastAsia="SimSun"/>
                <w:sz w:val="22"/>
                <w:lang w:val="nn-NO" w:eastAsia="zh-CN"/>
              </w:rPr>
              <w:t xml:space="preserve">1.5 </w:t>
            </w:r>
            <w:r w:rsidR="002B6485" w:rsidRPr="00364F3A">
              <w:rPr>
                <w:rFonts w:eastAsia="SimSun"/>
                <w:sz w:val="22"/>
                <w:lang w:val="nn-NO" w:eastAsia="zh-CN"/>
              </w:rPr>
              <w:t xml:space="preserve">to </w:t>
            </w:r>
            <w:r w:rsidR="003F2FC2" w:rsidRPr="00364F3A">
              <w:rPr>
                <w:rFonts w:eastAsia="SimSun"/>
                <w:sz w:val="22"/>
                <w:lang w:val="nn-NO" w:eastAsia="zh-CN"/>
              </w:rPr>
              <w:t>3.0</w:t>
            </w:r>
            <w:r w:rsidR="004D34EF" w:rsidRPr="00364F3A">
              <w:rPr>
                <w:rFonts w:eastAsia="SimSun"/>
                <w:sz w:val="22"/>
                <w:lang w:val="nn-NO" w:eastAsia="zh-CN"/>
              </w:rPr>
              <w:t xml:space="preserve"> </w:t>
            </w:r>
            <w:r w:rsidR="003F2FC2" w:rsidRPr="00364F3A">
              <w:rPr>
                <w:rFonts w:eastAsia="SimSun"/>
                <w:sz w:val="22"/>
                <w:lang w:val="nn-NO" w:eastAsia="zh-CN"/>
              </w:rPr>
              <w:t>x baseline or &gt;</w:t>
            </w:r>
            <w:r w:rsidR="008C5B69" w:rsidRPr="00364F3A">
              <w:rPr>
                <w:rFonts w:eastAsia="SimSun"/>
                <w:sz w:val="22"/>
                <w:lang w:val="nn-NO" w:eastAsia="zh-CN"/>
              </w:rPr>
              <w:t xml:space="preserve"> </w:t>
            </w:r>
            <w:r w:rsidR="003F2FC2" w:rsidRPr="00364F3A">
              <w:rPr>
                <w:rFonts w:eastAsia="SimSun"/>
                <w:sz w:val="22"/>
                <w:lang w:val="nn-NO" w:eastAsia="zh-CN"/>
              </w:rPr>
              <w:t>1.5 - 3.0</w:t>
            </w:r>
            <w:r w:rsidR="004D34EF" w:rsidRPr="00364F3A">
              <w:rPr>
                <w:rFonts w:eastAsia="SimSun"/>
                <w:sz w:val="22"/>
                <w:lang w:val="nn-NO" w:eastAsia="zh-CN"/>
              </w:rPr>
              <w:t xml:space="preserve"> </w:t>
            </w:r>
            <w:r w:rsidR="003F2FC2" w:rsidRPr="00364F3A">
              <w:rPr>
                <w:rFonts w:eastAsia="SimSun"/>
                <w:sz w:val="22"/>
                <w:lang w:val="nn-NO" w:eastAsia="zh-CN"/>
              </w:rPr>
              <w:t>x ULN)</w:t>
            </w:r>
          </w:p>
        </w:tc>
        <w:tc>
          <w:tcPr>
            <w:tcW w:w="3685" w:type="dxa"/>
          </w:tcPr>
          <w:p w14:paraId="536F47FB" w14:textId="5035D0A7" w:rsidR="002B6485" w:rsidRPr="00364F3A" w:rsidRDefault="00B36EC3" w:rsidP="004D34EF">
            <w:pPr>
              <w:rPr>
                <w:sz w:val="22"/>
                <w:lang w:val="en-GB"/>
              </w:rPr>
            </w:pPr>
            <w:r w:rsidRPr="00364F3A">
              <w:rPr>
                <w:sz w:val="22"/>
                <w:lang w:val="en-GB"/>
              </w:rPr>
              <w:t xml:space="preserve">Withhold </w:t>
            </w:r>
            <w:proofErr w:type="spellStart"/>
            <w:r w:rsidRPr="00364F3A">
              <w:rPr>
                <w:sz w:val="22"/>
                <w:lang w:val="en-GB"/>
              </w:rPr>
              <w:t>Tecentriq</w:t>
            </w:r>
            <w:proofErr w:type="spellEnd"/>
          </w:p>
          <w:p w14:paraId="3B92771A" w14:textId="77777777" w:rsidR="002B6485" w:rsidRPr="00364F3A" w:rsidRDefault="002B6485" w:rsidP="004D34EF">
            <w:pPr>
              <w:rPr>
                <w:sz w:val="22"/>
                <w:lang w:val="en-GB"/>
              </w:rPr>
            </w:pPr>
          </w:p>
          <w:p w14:paraId="214E8C78" w14:textId="2AAA80C1" w:rsidR="004D34EF" w:rsidRPr="00364F3A" w:rsidRDefault="002B6485" w:rsidP="004D34EF">
            <w:pPr>
              <w:rPr>
                <w:sz w:val="22"/>
                <w:lang w:val="en-GB"/>
              </w:rPr>
            </w:pPr>
            <w:r w:rsidRPr="00364F3A">
              <w:rPr>
                <w:sz w:val="22"/>
                <w:lang w:val="en-GB"/>
              </w:rPr>
              <w:t>Treatment may be resumed when the event improves to Grade 0 or Grade 1 within 12 weeks and corticosteroids have been reduced to ≤ 10 mg prednisone or equivalent per day</w:t>
            </w:r>
            <w:r w:rsidRPr="00364F3A" w:rsidDel="002B6485">
              <w:rPr>
                <w:sz w:val="22"/>
                <w:lang w:val="en-GB"/>
              </w:rPr>
              <w:t xml:space="preserve"> </w:t>
            </w:r>
          </w:p>
        </w:tc>
      </w:tr>
      <w:tr w:rsidR="00B36EC3" w:rsidRPr="00364F3A" w14:paraId="5DC9C641" w14:textId="77777777" w:rsidTr="00364F3A">
        <w:trPr>
          <w:trHeight w:val="309"/>
        </w:trPr>
        <w:tc>
          <w:tcPr>
            <w:tcW w:w="2977" w:type="dxa"/>
            <w:vMerge/>
            <w:shd w:val="clear" w:color="auto" w:fill="auto"/>
          </w:tcPr>
          <w:p w14:paraId="6DB8E0DE" w14:textId="77777777" w:rsidR="00B36EC3" w:rsidRPr="00364F3A" w:rsidRDefault="00B36EC3" w:rsidP="00B36EC3">
            <w:pPr>
              <w:jc w:val="left"/>
              <w:rPr>
                <w:rFonts w:eastAsia="SimSun"/>
                <w:b/>
                <w:i/>
                <w:sz w:val="22"/>
                <w:lang w:val="en-GB" w:eastAsia="zh-CN"/>
              </w:rPr>
            </w:pPr>
          </w:p>
        </w:tc>
        <w:tc>
          <w:tcPr>
            <w:tcW w:w="2410" w:type="dxa"/>
          </w:tcPr>
          <w:p w14:paraId="68979830" w14:textId="48EB5A86" w:rsidR="008C5B69" w:rsidRPr="00364F3A" w:rsidRDefault="004D34EF" w:rsidP="004D34EF">
            <w:pPr>
              <w:keepNext/>
              <w:keepLines/>
              <w:jc w:val="left"/>
              <w:rPr>
                <w:rFonts w:eastAsia="SimSun"/>
                <w:sz w:val="22"/>
                <w:lang w:val="en-GB" w:eastAsia="zh-CN"/>
              </w:rPr>
            </w:pPr>
            <w:r w:rsidRPr="00364F3A">
              <w:rPr>
                <w:rFonts w:eastAsia="SimSun"/>
                <w:sz w:val="22"/>
                <w:lang w:val="en-GB" w:eastAsia="zh-CN"/>
              </w:rPr>
              <w:t>Grade 3 or 4:</w:t>
            </w:r>
            <w:r w:rsidR="002B6485" w:rsidRPr="00364F3A">
              <w:rPr>
                <w:rFonts w:eastAsia="SimSun"/>
                <w:sz w:val="22"/>
                <w:lang w:val="en-GB" w:eastAsia="zh-CN"/>
              </w:rPr>
              <w:t xml:space="preserve"> </w:t>
            </w:r>
            <w:r w:rsidRPr="00364F3A">
              <w:rPr>
                <w:rFonts w:eastAsia="SimSun"/>
                <w:sz w:val="22"/>
                <w:lang w:val="en-GB" w:eastAsia="zh-CN"/>
              </w:rPr>
              <w:t>(creatinine level &gt; 3.0 x baseline or &gt; 3.0 x ULN)</w:t>
            </w:r>
          </w:p>
        </w:tc>
        <w:tc>
          <w:tcPr>
            <w:tcW w:w="3685" w:type="dxa"/>
          </w:tcPr>
          <w:p w14:paraId="1AB646E0" w14:textId="4B70C46A" w:rsidR="00B36EC3" w:rsidRPr="00364F3A" w:rsidRDefault="00B36EC3" w:rsidP="00366B5F">
            <w:pPr>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FE7BB5" w:rsidRPr="00364F3A" w14:paraId="1DA31C33" w14:textId="77777777" w:rsidTr="00364F3A">
        <w:tc>
          <w:tcPr>
            <w:tcW w:w="2977" w:type="dxa"/>
            <w:vMerge w:val="restart"/>
            <w:tcBorders>
              <w:top w:val="single" w:sz="4" w:space="0" w:color="auto"/>
            </w:tcBorders>
            <w:shd w:val="clear" w:color="auto" w:fill="auto"/>
          </w:tcPr>
          <w:p w14:paraId="3B1F08A3" w14:textId="79298934" w:rsidR="00FE7BB5" w:rsidRPr="00364F3A" w:rsidRDefault="005616CC" w:rsidP="004668F1">
            <w:pPr>
              <w:jc w:val="left"/>
              <w:rPr>
                <w:b/>
                <w:i/>
                <w:sz w:val="22"/>
                <w:lang w:val="en-GB"/>
              </w:rPr>
            </w:pPr>
            <w:r w:rsidRPr="00364F3A">
              <w:rPr>
                <w:b/>
                <w:sz w:val="22"/>
                <w:lang w:val="en-GB"/>
              </w:rPr>
              <w:t>Immune-related p</w:t>
            </w:r>
            <w:r w:rsidR="00FE7BB5" w:rsidRPr="00364F3A">
              <w:rPr>
                <w:b/>
                <w:sz w:val="22"/>
                <w:lang w:val="en-GB"/>
              </w:rPr>
              <w:t>ancreatitis</w:t>
            </w:r>
          </w:p>
        </w:tc>
        <w:tc>
          <w:tcPr>
            <w:tcW w:w="2410" w:type="dxa"/>
          </w:tcPr>
          <w:p w14:paraId="309B1BA6" w14:textId="4E7F7173" w:rsidR="00FE7BB5" w:rsidRPr="00364F3A" w:rsidRDefault="00FE7BB5" w:rsidP="00366B5F">
            <w:pPr>
              <w:keepNext/>
              <w:keepLines/>
              <w:jc w:val="left"/>
              <w:rPr>
                <w:sz w:val="22"/>
                <w:lang w:val="en-GB"/>
              </w:rPr>
            </w:pPr>
            <w:r w:rsidRPr="00364F3A">
              <w:rPr>
                <w:sz w:val="22"/>
                <w:lang w:val="en-GB"/>
              </w:rPr>
              <w:t>Grade 3 or 4 serum amylase or lipase levels increased (&gt; 2.0 x ULN)</w:t>
            </w:r>
          </w:p>
          <w:p w14:paraId="49807F41" w14:textId="0571F5B4" w:rsidR="00FE7BB5" w:rsidRPr="00364F3A" w:rsidRDefault="00FE7BB5" w:rsidP="00366B5F">
            <w:pPr>
              <w:keepNext/>
              <w:keepLines/>
              <w:jc w:val="left"/>
              <w:rPr>
                <w:sz w:val="22"/>
                <w:lang w:val="en-GB"/>
              </w:rPr>
            </w:pPr>
            <w:r w:rsidRPr="00364F3A">
              <w:rPr>
                <w:sz w:val="22"/>
                <w:lang w:val="en-GB"/>
              </w:rPr>
              <w:t>or Grade 2 or 3 pancreatitis</w:t>
            </w:r>
          </w:p>
        </w:tc>
        <w:tc>
          <w:tcPr>
            <w:tcW w:w="3685" w:type="dxa"/>
          </w:tcPr>
          <w:p w14:paraId="102B44CA" w14:textId="77777777" w:rsidR="002B6485" w:rsidRPr="00364F3A" w:rsidRDefault="00FE7BB5" w:rsidP="009535ED">
            <w:pPr>
              <w:keepNext/>
              <w:keepLines/>
              <w:jc w:val="left"/>
              <w:rPr>
                <w:sz w:val="22"/>
                <w:vertAlign w:val="superscript"/>
                <w:lang w:val="en-GB"/>
              </w:rPr>
            </w:pPr>
            <w:r w:rsidRPr="00364F3A">
              <w:rPr>
                <w:sz w:val="22"/>
                <w:lang w:val="en-GB"/>
              </w:rPr>
              <w:t xml:space="preserve">Withhold </w:t>
            </w:r>
            <w:proofErr w:type="spellStart"/>
            <w:r w:rsidRPr="00364F3A">
              <w:rPr>
                <w:sz w:val="22"/>
                <w:lang w:val="en-GB"/>
              </w:rPr>
              <w:t>Tecentriq</w:t>
            </w:r>
            <w:proofErr w:type="spellEnd"/>
          </w:p>
          <w:p w14:paraId="36874FF0" w14:textId="77777777" w:rsidR="002B6485" w:rsidRPr="00364F3A" w:rsidRDefault="002B6485" w:rsidP="009535ED">
            <w:pPr>
              <w:keepNext/>
              <w:keepLines/>
              <w:jc w:val="left"/>
              <w:rPr>
                <w:sz w:val="22"/>
                <w:vertAlign w:val="superscript"/>
                <w:lang w:val="en-GB"/>
              </w:rPr>
            </w:pPr>
          </w:p>
          <w:p w14:paraId="42FA768F" w14:textId="49818BD2" w:rsidR="00FE7BB5" w:rsidRPr="00364F3A" w:rsidRDefault="002B6485" w:rsidP="009535ED">
            <w:pPr>
              <w:keepNext/>
              <w:keepLines/>
              <w:jc w:val="left"/>
              <w:rPr>
                <w:sz w:val="22"/>
                <w:lang w:val="en-GB"/>
              </w:rPr>
            </w:pPr>
            <w:r w:rsidRPr="00364F3A">
              <w:rPr>
                <w:sz w:val="22"/>
                <w:lang w:val="en-GB"/>
              </w:rPr>
              <w:t>Treatment may be resumed when serum amylase and lipase levels improve to Grade 0 or Grade 1 within 12 weeks, or symptoms of pancreatitis have resolved, and corticosteroids have been reduced to ≤ 10 mg prednisone or equivalent per day</w:t>
            </w:r>
          </w:p>
        </w:tc>
      </w:tr>
      <w:tr w:rsidR="00FE7BB5" w:rsidRPr="00364F3A" w14:paraId="348EBF62" w14:textId="77777777" w:rsidTr="00364F3A">
        <w:tc>
          <w:tcPr>
            <w:tcW w:w="2977" w:type="dxa"/>
            <w:vMerge/>
            <w:tcBorders>
              <w:bottom w:val="single" w:sz="4" w:space="0" w:color="auto"/>
            </w:tcBorders>
            <w:shd w:val="clear" w:color="auto" w:fill="auto"/>
          </w:tcPr>
          <w:p w14:paraId="157D989C" w14:textId="77777777" w:rsidR="00FE7BB5" w:rsidRPr="00364F3A" w:rsidRDefault="00FE7BB5" w:rsidP="00366B5F">
            <w:pPr>
              <w:jc w:val="left"/>
              <w:rPr>
                <w:b/>
                <w:sz w:val="22"/>
                <w:lang w:val="en-GB"/>
              </w:rPr>
            </w:pPr>
          </w:p>
        </w:tc>
        <w:tc>
          <w:tcPr>
            <w:tcW w:w="2410" w:type="dxa"/>
          </w:tcPr>
          <w:p w14:paraId="0E546879" w14:textId="77777777" w:rsidR="00FE7BB5" w:rsidRPr="00364F3A" w:rsidRDefault="00FE7BB5" w:rsidP="00366B5F">
            <w:pPr>
              <w:keepNext/>
              <w:keepLines/>
              <w:jc w:val="left"/>
              <w:rPr>
                <w:sz w:val="22"/>
                <w:lang w:val="en-GB"/>
              </w:rPr>
            </w:pPr>
            <w:r w:rsidRPr="00364F3A">
              <w:rPr>
                <w:sz w:val="22"/>
                <w:lang w:val="en-GB"/>
              </w:rPr>
              <w:t>Grade 4 or any grade of recurrent pancreatitis</w:t>
            </w:r>
          </w:p>
        </w:tc>
        <w:tc>
          <w:tcPr>
            <w:tcW w:w="3685" w:type="dxa"/>
          </w:tcPr>
          <w:p w14:paraId="5738AE97" w14:textId="66A85DFB" w:rsidR="00FE7BB5" w:rsidRPr="00364F3A" w:rsidRDefault="00FE7BB5" w:rsidP="00366B5F">
            <w:pPr>
              <w:keepNext/>
              <w:keepLines/>
              <w:jc w:val="left"/>
              <w:rPr>
                <w:sz w:val="22"/>
                <w:lang w:val="en-GB"/>
              </w:rPr>
            </w:pPr>
            <w:r w:rsidRPr="00364F3A">
              <w:rPr>
                <w:sz w:val="22"/>
                <w:lang w:val="en-GB"/>
              </w:rPr>
              <w:t xml:space="preserve">Permanently discontinue </w:t>
            </w:r>
            <w:proofErr w:type="spellStart"/>
            <w:r w:rsidRPr="00364F3A">
              <w:rPr>
                <w:sz w:val="22"/>
                <w:lang w:val="en-GB"/>
              </w:rPr>
              <w:t>Tecentriq</w:t>
            </w:r>
            <w:proofErr w:type="spellEnd"/>
          </w:p>
        </w:tc>
      </w:tr>
      <w:tr w:rsidR="00DF0EFB" w:rsidRPr="00364F3A" w14:paraId="748A1DA1" w14:textId="77777777" w:rsidTr="00364F3A">
        <w:tc>
          <w:tcPr>
            <w:tcW w:w="2977" w:type="dxa"/>
            <w:vMerge w:val="restart"/>
            <w:shd w:val="clear" w:color="auto" w:fill="auto"/>
          </w:tcPr>
          <w:p w14:paraId="7002D72D" w14:textId="1FDD46AB" w:rsidR="00DF0EFB" w:rsidRPr="00364F3A" w:rsidRDefault="00DF0EFB" w:rsidP="004668F1">
            <w:pPr>
              <w:jc w:val="left"/>
              <w:rPr>
                <w:b/>
                <w:sz w:val="22"/>
                <w:lang w:val="en-GB"/>
              </w:rPr>
            </w:pPr>
            <w:r w:rsidRPr="00364F3A">
              <w:rPr>
                <w:rFonts w:eastAsia="Times New Roman"/>
                <w:b/>
                <w:sz w:val="22"/>
              </w:rPr>
              <w:t>Infusion-related reactions</w:t>
            </w:r>
          </w:p>
        </w:tc>
        <w:tc>
          <w:tcPr>
            <w:tcW w:w="2410" w:type="dxa"/>
          </w:tcPr>
          <w:p w14:paraId="3805CE76" w14:textId="3C32C022" w:rsidR="00DF0EFB" w:rsidRPr="00364F3A" w:rsidRDefault="00DF0EFB" w:rsidP="00DF0EFB">
            <w:pPr>
              <w:keepNext/>
              <w:keepLines/>
              <w:jc w:val="left"/>
              <w:rPr>
                <w:sz w:val="22"/>
                <w:lang w:val="en-GB"/>
              </w:rPr>
            </w:pPr>
            <w:r w:rsidRPr="00364F3A">
              <w:rPr>
                <w:rFonts w:eastAsia="Times New Roman"/>
                <w:sz w:val="22"/>
              </w:rPr>
              <w:t>Grade 1 or 2</w:t>
            </w:r>
          </w:p>
        </w:tc>
        <w:tc>
          <w:tcPr>
            <w:tcW w:w="3685" w:type="dxa"/>
          </w:tcPr>
          <w:p w14:paraId="51CE5B1C" w14:textId="0201A981" w:rsidR="00DF0EFB" w:rsidRPr="00364F3A" w:rsidRDefault="00DF0EFB" w:rsidP="00DF0EFB">
            <w:pPr>
              <w:keepNext/>
              <w:keepLines/>
              <w:jc w:val="left"/>
              <w:rPr>
                <w:sz w:val="22"/>
                <w:lang w:val="en-GB"/>
              </w:rPr>
            </w:pPr>
            <w:r w:rsidRPr="00364F3A">
              <w:rPr>
                <w:rFonts w:eastAsia="Times New Roman"/>
                <w:sz w:val="22"/>
              </w:rPr>
              <w:t>Reduce infusion rate or interrupt. Treatment may be resumed when the event is resolved.</w:t>
            </w:r>
          </w:p>
        </w:tc>
      </w:tr>
      <w:tr w:rsidR="00DF0EFB" w:rsidRPr="00364F3A" w14:paraId="54613645" w14:textId="77777777" w:rsidTr="00364F3A">
        <w:tc>
          <w:tcPr>
            <w:tcW w:w="2977" w:type="dxa"/>
            <w:vMerge/>
            <w:shd w:val="clear" w:color="auto" w:fill="auto"/>
          </w:tcPr>
          <w:p w14:paraId="2C301CB8" w14:textId="77777777" w:rsidR="00DF0EFB" w:rsidRPr="00364F3A" w:rsidRDefault="00DF0EFB" w:rsidP="00DF0EFB">
            <w:pPr>
              <w:jc w:val="left"/>
              <w:rPr>
                <w:b/>
                <w:sz w:val="22"/>
                <w:lang w:val="en-GB"/>
              </w:rPr>
            </w:pPr>
          </w:p>
        </w:tc>
        <w:tc>
          <w:tcPr>
            <w:tcW w:w="2410" w:type="dxa"/>
          </w:tcPr>
          <w:p w14:paraId="4CCA8A4C" w14:textId="14D0627A" w:rsidR="00DF0EFB" w:rsidRPr="00364F3A" w:rsidRDefault="00DF0EFB" w:rsidP="00DF0EFB">
            <w:pPr>
              <w:keepNext/>
              <w:keepLines/>
              <w:jc w:val="left"/>
              <w:rPr>
                <w:sz w:val="22"/>
                <w:lang w:val="en-GB"/>
              </w:rPr>
            </w:pPr>
            <w:r w:rsidRPr="00364F3A">
              <w:rPr>
                <w:rFonts w:eastAsia="Times New Roman"/>
                <w:sz w:val="22"/>
              </w:rPr>
              <w:t>Grade 3 or 4</w:t>
            </w:r>
          </w:p>
        </w:tc>
        <w:tc>
          <w:tcPr>
            <w:tcW w:w="3685" w:type="dxa"/>
          </w:tcPr>
          <w:p w14:paraId="11285C14" w14:textId="195EA709" w:rsidR="00DF0EFB" w:rsidRPr="00364F3A" w:rsidRDefault="00DF0EFB" w:rsidP="00DF0EFB">
            <w:pPr>
              <w:keepNext/>
              <w:keepLines/>
              <w:jc w:val="left"/>
              <w:rPr>
                <w:sz w:val="22"/>
                <w:lang w:val="en-GB"/>
              </w:rPr>
            </w:pPr>
            <w:r w:rsidRPr="00364F3A">
              <w:rPr>
                <w:rFonts w:eastAsia="Times New Roman"/>
                <w:sz w:val="22"/>
              </w:rPr>
              <w:t xml:space="preserve">Permanently discontinue </w:t>
            </w:r>
            <w:proofErr w:type="spellStart"/>
            <w:r w:rsidRPr="00364F3A">
              <w:rPr>
                <w:rFonts w:eastAsia="Times New Roman"/>
                <w:sz w:val="22"/>
              </w:rPr>
              <w:t>Tecentriq</w:t>
            </w:r>
            <w:proofErr w:type="spellEnd"/>
            <w:r w:rsidRPr="00364F3A">
              <w:rPr>
                <w:rFonts w:eastAsia="Times New Roman"/>
                <w:sz w:val="22"/>
              </w:rPr>
              <w:t>.</w:t>
            </w:r>
          </w:p>
        </w:tc>
      </w:tr>
      <w:tr w:rsidR="00DF0EFB" w:rsidRPr="00364F3A" w14:paraId="65B2F708" w14:textId="77777777" w:rsidTr="00364F3A">
        <w:tc>
          <w:tcPr>
            <w:tcW w:w="2977" w:type="dxa"/>
            <w:vMerge w:val="restart"/>
            <w:shd w:val="clear" w:color="auto" w:fill="auto"/>
          </w:tcPr>
          <w:p w14:paraId="11BCE90B" w14:textId="6253CF52" w:rsidR="00DF0EFB" w:rsidRPr="00364F3A" w:rsidRDefault="00DF0EFB" w:rsidP="004668F1">
            <w:pPr>
              <w:jc w:val="left"/>
              <w:rPr>
                <w:b/>
                <w:sz w:val="22"/>
                <w:lang w:val="en-GB"/>
              </w:rPr>
            </w:pPr>
            <w:r w:rsidRPr="00364F3A">
              <w:rPr>
                <w:rFonts w:eastAsia="Times New Roman"/>
                <w:b/>
                <w:sz w:val="22"/>
              </w:rPr>
              <w:t>Rash</w:t>
            </w:r>
          </w:p>
        </w:tc>
        <w:tc>
          <w:tcPr>
            <w:tcW w:w="2410" w:type="dxa"/>
          </w:tcPr>
          <w:p w14:paraId="1744FBA1" w14:textId="763293A7" w:rsidR="00DF0EFB" w:rsidRPr="00364F3A" w:rsidRDefault="00DF0EFB" w:rsidP="00DF0EFB">
            <w:pPr>
              <w:keepNext/>
              <w:keepLines/>
              <w:jc w:val="left"/>
              <w:rPr>
                <w:sz w:val="22"/>
                <w:lang w:val="en-GB"/>
              </w:rPr>
            </w:pPr>
            <w:r w:rsidRPr="00364F3A">
              <w:rPr>
                <w:rFonts w:eastAsia="Times New Roman"/>
                <w:sz w:val="22"/>
              </w:rPr>
              <w:t>Grade 3</w:t>
            </w:r>
          </w:p>
        </w:tc>
        <w:tc>
          <w:tcPr>
            <w:tcW w:w="3685" w:type="dxa"/>
          </w:tcPr>
          <w:p w14:paraId="313A8B0B" w14:textId="77777777" w:rsidR="00DF0EFB" w:rsidRPr="00364F3A" w:rsidRDefault="00B169AF" w:rsidP="00E925D2">
            <w:pPr>
              <w:jc w:val="left"/>
              <w:rPr>
                <w:rFonts w:eastAsia="Times New Roman"/>
                <w:sz w:val="22"/>
              </w:rPr>
            </w:pPr>
            <w:r w:rsidRPr="00364F3A">
              <w:rPr>
                <w:rFonts w:eastAsia="Times New Roman"/>
                <w:sz w:val="22"/>
              </w:rPr>
              <w:t xml:space="preserve">Withhold </w:t>
            </w:r>
            <w:proofErr w:type="spellStart"/>
            <w:r w:rsidRPr="00364F3A">
              <w:rPr>
                <w:rFonts w:eastAsia="Times New Roman"/>
                <w:sz w:val="22"/>
              </w:rPr>
              <w:t>Tecentriq</w:t>
            </w:r>
            <w:proofErr w:type="spellEnd"/>
          </w:p>
          <w:p w14:paraId="655F639C" w14:textId="77777777" w:rsidR="002B6485" w:rsidRPr="00364F3A" w:rsidRDefault="002B6485" w:rsidP="00E925D2">
            <w:pPr>
              <w:jc w:val="left"/>
              <w:rPr>
                <w:rFonts w:eastAsia="Times New Roman"/>
                <w:sz w:val="22"/>
              </w:rPr>
            </w:pPr>
          </w:p>
          <w:p w14:paraId="4C75FE8B" w14:textId="596E1CFD" w:rsidR="002B6485" w:rsidRPr="00364F3A" w:rsidRDefault="002B6485" w:rsidP="00E925D2">
            <w:pPr>
              <w:jc w:val="left"/>
              <w:rPr>
                <w:sz w:val="22"/>
                <w:lang w:val="en-GB"/>
              </w:rPr>
            </w:pPr>
            <w:r w:rsidRPr="00364F3A">
              <w:rPr>
                <w:sz w:val="22"/>
                <w:lang w:val="en-GB"/>
              </w:rPr>
              <w:t>Treatment may be resumed when rash is resolved and corticosteroids have been reduced to ≤ 10 mg prednisone or equivalent per day</w:t>
            </w:r>
          </w:p>
        </w:tc>
      </w:tr>
      <w:tr w:rsidR="00DF0EFB" w:rsidRPr="00364F3A" w14:paraId="42E3F95B" w14:textId="77777777" w:rsidTr="00364F3A">
        <w:tc>
          <w:tcPr>
            <w:tcW w:w="2977" w:type="dxa"/>
            <w:vMerge/>
            <w:shd w:val="clear" w:color="auto" w:fill="auto"/>
          </w:tcPr>
          <w:p w14:paraId="295FF805" w14:textId="77777777" w:rsidR="00DF0EFB" w:rsidRPr="00364F3A" w:rsidRDefault="00DF0EFB" w:rsidP="00DF0EFB">
            <w:pPr>
              <w:jc w:val="left"/>
              <w:rPr>
                <w:b/>
                <w:sz w:val="22"/>
                <w:lang w:val="en-GB"/>
              </w:rPr>
            </w:pPr>
          </w:p>
        </w:tc>
        <w:tc>
          <w:tcPr>
            <w:tcW w:w="2410" w:type="dxa"/>
          </w:tcPr>
          <w:p w14:paraId="61BAADD5" w14:textId="2C76F0F8" w:rsidR="00DF0EFB" w:rsidRPr="00364F3A" w:rsidRDefault="00DF0EFB" w:rsidP="00DF0EFB">
            <w:pPr>
              <w:keepNext/>
              <w:keepLines/>
              <w:jc w:val="left"/>
              <w:rPr>
                <w:sz w:val="22"/>
                <w:lang w:val="en-GB"/>
              </w:rPr>
            </w:pPr>
            <w:r w:rsidRPr="00364F3A">
              <w:rPr>
                <w:rFonts w:eastAsia="Times New Roman"/>
                <w:sz w:val="22"/>
              </w:rPr>
              <w:t>Grade 4</w:t>
            </w:r>
          </w:p>
        </w:tc>
        <w:tc>
          <w:tcPr>
            <w:tcW w:w="3685" w:type="dxa"/>
          </w:tcPr>
          <w:p w14:paraId="51ABB24C" w14:textId="64627380" w:rsidR="00DF0EFB" w:rsidRPr="00364F3A" w:rsidRDefault="00DF0EFB" w:rsidP="00DF0EFB">
            <w:pPr>
              <w:keepNext/>
              <w:keepLines/>
              <w:jc w:val="left"/>
              <w:rPr>
                <w:sz w:val="22"/>
                <w:lang w:val="en-GB"/>
              </w:rPr>
            </w:pPr>
            <w:r w:rsidRPr="00364F3A">
              <w:rPr>
                <w:rFonts w:eastAsia="Times New Roman"/>
                <w:sz w:val="22"/>
              </w:rPr>
              <w:t xml:space="preserve">Permanently discontinue </w:t>
            </w:r>
            <w:proofErr w:type="spellStart"/>
            <w:r w:rsidRPr="00364F3A">
              <w:rPr>
                <w:rFonts w:eastAsia="Times New Roman"/>
                <w:sz w:val="22"/>
              </w:rPr>
              <w:t>Tecentriq</w:t>
            </w:r>
            <w:proofErr w:type="spellEnd"/>
          </w:p>
        </w:tc>
      </w:tr>
      <w:tr w:rsidR="004D34EF" w:rsidRPr="00364F3A" w14:paraId="0E896F09" w14:textId="77777777" w:rsidTr="00364F3A">
        <w:tc>
          <w:tcPr>
            <w:tcW w:w="2977" w:type="dxa"/>
            <w:vMerge w:val="restart"/>
            <w:shd w:val="clear" w:color="auto" w:fill="auto"/>
          </w:tcPr>
          <w:p w14:paraId="03A7CFEA" w14:textId="52574DC3" w:rsidR="00262CF4" w:rsidRPr="00364F3A" w:rsidRDefault="004D34EF" w:rsidP="004668F1">
            <w:pPr>
              <w:jc w:val="left"/>
              <w:rPr>
                <w:b/>
                <w:sz w:val="22"/>
                <w:lang w:val="en-GB"/>
              </w:rPr>
            </w:pPr>
            <w:r w:rsidRPr="00364F3A">
              <w:rPr>
                <w:b/>
                <w:sz w:val="22"/>
                <w:lang w:val="en-GB"/>
              </w:rPr>
              <w:lastRenderedPageBreak/>
              <w:t>Other immune-related adverse reactions</w:t>
            </w:r>
          </w:p>
        </w:tc>
        <w:tc>
          <w:tcPr>
            <w:tcW w:w="2410" w:type="dxa"/>
          </w:tcPr>
          <w:p w14:paraId="57DFFD1A" w14:textId="43FC03E8" w:rsidR="004D34EF" w:rsidRPr="00364F3A" w:rsidRDefault="004D34EF" w:rsidP="004D34EF">
            <w:pPr>
              <w:keepNext/>
              <w:keepLines/>
              <w:jc w:val="left"/>
              <w:rPr>
                <w:rFonts w:eastAsia="Times New Roman"/>
                <w:sz w:val="22"/>
              </w:rPr>
            </w:pPr>
            <w:r w:rsidRPr="00364F3A">
              <w:rPr>
                <w:sz w:val="22"/>
              </w:rPr>
              <w:t>Grade 2 or Grade 3</w:t>
            </w:r>
          </w:p>
        </w:tc>
        <w:tc>
          <w:tcPr>
            <w:tcW w:w="3685" w:type="dxa"/>
          </w:tcPr>
          <w:p w14:paraId="46FDB805" w14:textId="452F6781" w:rsidR="004D34EF" w:rsidRPr="00364F3A" w:rsidRDefault="002B6485">
            <w:pPr>
              <w:keepNext/>
              <w:keepLines/>
              <w:jc w:val="left"/>
              <w:rPr>
                <w:rFonts w:eastAsia="Times New Roman"/>
                <w:sz w:val="22"/>
              </w:rPr>
            </w:pPr>
            <w:r w:rsidRPr="00364F3A">
              <w:rPr>
                <w:sz w:val="22"/>
                <w:lang w:val="en-GB"/>
              </w:rPr>
              <w:t xml:space="preserve">Withhold </w:t>
            </w:r>
            <w:proofErr w:type="spellStart"/>
            <w:r w:rsidRPr="00364F3A">
              <w:rPr>
                <w:sz w:val="22"/>
                <w:lang w:val="en-GB"/>
              </w:rPr>
              <w:t>Tecentriq</w:t>
            </w:r>
            <w:proofErr w:type="spellEnd"/>
            <w:r w:rsidRPr="00364F3A">
              <w:rPr>
                <w:sz w:val="22"/>
                <w:lang w:val="en-GB"/>
              </w:rPr>
              <w:t xml:space="preserve"> until adverse reactions recovers to Grade 0-1 within 12 weeks, and corticosteroids have been reduced to ≤ 10 mg prednisone or equivalent per day.</w:t>
            </w:r>
          </w:p>
        </w:tc>
      </w:tr>
      <w:tr w:rsidR="004D34EF" w:rsidRPr="00364F3A" w14:paraId="74B66037" w14:textId="77777777" w:rsidTr="00364F3A">
        <w:tc>
          <w:tcPr>
            <w:tcW w:w="2977" w:type="dxa"/>
            <w:vMerge/>
            <w:shd w:val="clear" w:color="auto" w:fill="auto"/>
          </w:tcPr>
          <w:p w14:paraId="4CEF1FAD" w14:textId="77777777" w:rsidR="004D34EF" w:rsidRPr="00364F3A" w:rsidRDefault="004D34EF" w:rsidP="004D34EF">
            <w:pPr>
              <w:jc w:val="left"/>
              <w:rPr>
                <w:b/>
                <w:sz w:val="22"/>
                <w:lang w:val="en-GB"/>
              </w:rPr>
            </w:pPr>
          </w:p>
        </w:tc>
        <w:tc>
          <w:tcPr>
            <w:tcW w:w="2410" w:type="dxa"/>
          </w:tcPr>
          <w:p w14:paraId="0C9F06D8" w14:textId="3B73BA94" w:rsidR="004D34EF" w:rsidRPr="00364F3A" w:rsidRDefault="004D34EF" w:rsidP="004D34EF">
            <w:pPr>
              <w:keepNext/>
              <w:keepLines/>
              <w:jc w:val="left"/>
              <w:rPr>
                <w:rFonts w:eastAsia="Times New Roman"/>
                <w:sz w:val="22"/>
              </w:rPr>
            </w:pPr>
            <w:r w:rsidRPr="00364F3A">
              <w:rPr>
                <w:sz w:val="22"/>
              </w:rPr>
              <w:t>Grade 4 or recurrent Grade 3</w:t>
            </w:r>
          </w:p>
        </w:tc>
        <w:tc>
          <w:tcPr>
            <w:tcW w:w="3685" w:type="dxa"/>
          </w:tcPr>
          <w:p w14:paraId="4BD63B86" w14:textId="61C98A64" w:rsidR="004D34EF" w:rsidRPr="00364F3A" w:rsidRDefault="004D34EF" w:rsidP="004D34EF">
            <w:pPr>
              <w:keepNext/>
              <w:keepLines/>
              <w:jc w:val="left"/>
              <w:rPr>
                <w:rFonts w:eastAsia="Times New Roman"/>
                <w:sz w:val="22"/>
              </w:rPr>
            </w:pPr>
            <w:r w:rsidRPr="00364F3A">
              <w:rPr>
                <w:sz w:val="22"/>
                <w:lang w:val="en-GB"/>
              </w:rPr>
              <w:t xml:space="preserve">Permanently discontinue </w:t>
            </w:r>
            <w:proofErr w:type="spellStart"/>
            <w:r w:rsidRPr="00364F3A">
              <w:rPr>
                <w:sz w:val="22"/>
                <w:lang w:val="en-GB"/>
              </w:rPr>
              <w:t>Tecentriq</w:t>
            </w:r>
            <w:proofErr w:type="spellEnd"/>
            <w:r w:rsidRPr="00364F3A">
              <w:rPr>
                <w:sz w:val="22"/>
                <w:lang w:val="en-GB"/>
              </w:rPr>
              <w:t xml:space="preserve"> (except </w:t>
            </w:r>
            <w:proofErr w:type="spellStart"/>
            <w:r w:rsidRPr="00364F3A">
              <w:rPr>
                <w:sz w:val="22"/>
                <w:lang w:val="en-GB"/>
              </w:rPr>
              <w:t>endocrinopathies</w:t>
            </w:r>
            <w:proofErr w:type="spellEnd"/>
            <w:r w:rsidRPr="00364F3A">
              <w:rPr>
                <w:sz w:val="22"/>
                <w:lang w:val="en-GB"/>
              </w:rPr>
              <w:t xml:space="preserve"> controlled with replacement hormones)</w:t>
            </w:r>
          </w:p>
        </w:tc>
      </w:tr>
    </w:tbl>
    <w:p w14:paraId="1B93326F" w14:textId="77777777" w:rsidR="004668F1" w:rsidRDefault="002B6485" w:rsidP="00100867">
      <w:pPr>
        <w:rPr>
          <w:sz w:val="22"/>
        </w:rPr>
      </w:pPr>
      <w:r w:rsidRPr="00364F3A">
        <w:rPr>
          <w:sz w:val="22"/>
        </w:rPr>
        <w:t>Note: Toxicity grades are in accordance with National Cancer Institute Common Terminology Criteria for Adverse Event Version 4.0 (NCI-CTCAE v.4.).</w:t>
      </w:r>
    </w:p>
    <w:p w14:paraId="20DFC991" w14:textId="77777777" w:rsidR="004668F1" w:rsidRPr="00100867" w:rsidRDefault="004668F1" w:rsidP="00100867">
      <w:pPr>
        <w:rPr>
          <w:sz w:val="22"/>
        </w:rPr>
      </w:pPr>
    </w:p>
    <w:p w14:paraId="6A718586" w14:textId="701C24E1" w:rsidR="008C5B69" w:rsidRPr="0046175F" w:rsidRDefault="004668F1" w:rsidP="004668F1">
      <w:r w:rsidRPr="004668F1">
        <w:t xml:space="preserve">Patients treated with </w:t>
      </w:r>
      <w:proofErr w:type="spellStart"/>
      <w:r w:rsidRPr="004668F1">
        <w:t>Tecentriq</w:t>
      </w:r>
      <w:proofErr w:type="spellEnd"/>
      <w:r w:rsidRPr="004668F1">
        <w:t xml:space="preserve"> must be given the Patient Alert Card and be informed about the risks of </w:t>
      </w:r>
      <w:proofErr w:type="spellStart"/>
      <w:r w:rsidRPr="004668F1">
        <w:t>Tecentriq</w:t>
      </w:r>
      <w:proofErr w:type="spellEnd"/>
      <w:r>
        <w:t>.</w:t>
      </w:r>
    </w:p>
    <w:p w14:paraId="6350D4FC" w14:textId="419B0B11" w:rsidR="00FE7BB5" w:rsidRPr="0046175F" w:rsidRDefault="00FE7BB5" w:rsidP="00CD75CF">
      <w:pPr>
        <w:pStyle w:val="Heading3"/>
      </w:pPr>
      <w:r w:rsidRPr="0046175F">
        <w:t xml:space="preserve">Special Dosage Instructions </w:t>
      </w:r>
    </w:p>
    <w:p w14:paraId="34615F00" w14:textId="77777777" w:rsidR="00F011D6" w:rsidRPr="0046175F" w:rsidRDefault="00F011D6" w:rsidP="00F011D6">
      <w:pPr>
        <w:pStyle w:val="Heading4"/>
      </w:pPr>
      <w:r w:rsidRPr="0046175F">
        <w:t>Paediatric use</w:t>
      </w:r>
    </w:p>
    <w:p w14:paraId="582526D1" w14:textId="0F97AEA2" w:rsidR="00FE7BB5" w:rsidRPr="00364F3A" w:rsidRDefault="00FE7BB5" w:rsidP="00CD75CF">
      <w:pPr>
        <w:rPr>
          <w:szCs w:val="24"/>
        </w:rPr>
      </w:pPr>
      <w:r w:rsidRPr="00364F3A">
        <w:rPr>
          <w:szCs w:val="24"/>
        </w:rPr>
        <w:t xml:space="preserve">The safety and efficacy of </w:t>
      </w:r>
      <w:proofErr w:type="spellStart"/>
      <w:r w:rsidRPr="00364F3A">
        <w:rPr>
          <w:szCs w:val="24"/>
        </w:rPr>
        <w:t>Tecentriq</w:t>
      </w:r>
      <w:proofErr w:type="spellEnd"/>
      <w:r w:rsidRPr="00364F3A">
        <w:rPr>
          <w:szCs w:val="24"/>
        </w:rPr>
        <w:t xml:space="preserve"> in children and adolescents below 18 years of age have not been established. </w:t>
      </w:r>
      <w:r w:rsidR="004668F1" w:rsidRPr="00364F3A">
        <w:rPr>
          <w:szCs w:val="24"/>
        </w:rPr>
        <w:t>No data are available.</w:t>
      </w:r>
    </w:p>
    <w:p w14:paraId="384BDC51" w14:textId="53EC3235" w:rsidR="00F011D6" w:rsidRPr="0046175F" w:rsidRDefault="00F011D6" w:rsidP="00F011D6">
      <w:pPr>
        <w:pStyle w:val="Heading4"/>
      </w:pPr>
      <w:r w:rsidRPr="0046175F">
        <w:t xml:space="preserve">Use in the elderly </w:t>
      </w:r>
    </w:p>
    <w:p w14:paraId="087F7B76" w14:textId="56CD21D8" w:rsidR="00FE7BB5" w:rsidRDefault="00FE7BB5" w:rsidP="00CD75CF">
      <w:r w:rsidRPr="0046175F">
        <w:t xml:space="preserve">Based on a </w:t>
      </w:r>
      <w:r w:rsidRPr="00364F3A">
        <w:rPr>
          <w:szCs w:val="24"/>
        </w:rPr>
        <w:t xml:space="preserve">population pharmacokinetic analysis, no dose adjustment of </w:t>
      </w:r>
      <w:proofErr w:type="spellStart"/>
      <w:r w:rsidRPr="00364F3A">
        <w:rPr>
          <w:szCs w:val="24"/>
        </w:rPr>
        <w:t>Tecentriq</w:t>
      </w:r>
      <w:proofErr w:type="spellEnd"/>
      <w:r w:rsidRPr="00364F3A">
        <w:rPr>
          <w:szCs w:val="24"/>
        </w:rPr>
        <w:t xml:space="preserve"> is required in patients ≥ 65 years of age (see </w:t>
      </w:r>
      <w:r w:rsidR="0050482B" w:rsidRPr="00364F3A">
        <w:rPr>
          <w:szCs w:val="24"/>
        </w:rPr>
        <w:t xml:space="preserve">sections </w:t>
      </w:r>
      <w:r w:rsidR="0050482B" w:rsidRPr="00364F3A">
        <w:rPr>
          <w:i/>
          <w:szCs w:val="24"/>
        </w:rPr>
        <w:t>4.4</w:t>
      </w:r>
      <w:r w:rsidRPr="00364F3A">
        <w:rPr>
          <w:i/>
          <w:szCs w:val="24"/>
        </w:rPr>
        <w:t xml:space="preserve"> </w:t>
      </w:r>
      <w:r w:rsidR="00B53105" w:rsidRPr="00364F3A">
        <w:rPr>
          <w:rFonts w:eastAsia="Times New Roman"/>
          <w:i/>
          <w:szCs w:val="24"/>
        </w:rPr>
        <w:t>Special warnings and precautions for use</w:t>
      </w:r>
      <w:r w:rsidR="00B53105" w:rsidRPr="00364F3A">
        <w:rPr>
          <w:szCs w:val="24"/>
        </w:rPr>
        <w:t xml:space="preserve"> </w:t>
      </w:r>
      <w:r w:rsidRPr="00364F3A">
        <w:rPr>
          <w:szCs w:val="24"/>
        </w:rPr>
        <w:t xml:space="preserve">and </w:t>
      </w:r>
      <w:r w:rsidR="0050482B" w:rsidRPr="00364F3A">
        <w:rPr>
          <w:i/>
          <w:szCs w:val="24"/>
        </w:rPr>
        <w:t>5.2</w:t>
      </w:r>
      <w:r w:rsidR="00B53105" w:rsidRPr="00364F3A">
        <w:rPr>
          <w:i/>
          <w:szCs w:val="24"/>
        </w:rPr>
        <w:t xml:space="preserve"> Pharmacokinetic properties</w:t>
      </w:r>
      <w:r w:rsidRPr="00364F3A">
        <w:rPr>
          <w:szCs w:val="24"/>
        </w:rPr>
        <w:t>).</w:t>
      </w:r>
      <w:r w:rsidRPr="0046175F">
        <w:t xml:space="preserve"> </w:t>
      </w:r>
    </w:p>
    <w:p w14:paraId="39E3EB2A" w14:textId="77777777" w:rsidR="008A6503" w:rsidRDefault="008A6503" w:rsidP="00364F3A">
      <w:pPr>
        <w:pStyle w:val="Heading4"/>
      </w:pPr>
      <w:r>
        <w:t xml:space="preserve">Use in Asian patients </w:t>
      </w:r>
    </w:p>
    <w:p w14:paraId="169834C9" w14:textId="77C17BED" w:rsidR="008A6503" w:rsidRPr="0046175F" w:rsidRDefault="008A6503" w:rsidP="008A6503">
      <w:r>
        <w:t xml:space="preserve">Due to increased </w:t>
      </w:r>
      <w:proofErr w:type="spellStart"/>
      <w:r>
        <w:t>haematologic</w:t>
      </w:r>
      <w:proofErr w:type="spellEnd"/>
      <w:r>
        <w:t xml:space="preserve"> toxicities observed in Asian patients in study GO29436 (IMpower150), it is recommended that the starting dose of paclitaxel should be 175 mg/m</w:t>
      </w:r>
      <w:r w:rsidRPr="00364F3A">
        <w:rPr>
          <w:vertAlign w:val="superscript"/>
        </w:rPr>
        <w:t>2</w:t>
      </w:r>
      <w:r>
        <w:t xml:space="preserve"> every three weeks.</w:t>
      </w:r>
    </w:p>
    <w:p w14:paraId="1DB007E8" w14:textId="32CDDB2A" w:rsidR="00FE7BB5" w:rsidRPr="0046175F" w:rsidRDefault="00FE7BB5" w:rsidP="00CD75CF">
      <w:pPr>
        <w:pStyle w:val="Heading4"/>
      </w:pPr>
      <w:r w:rsidRPr="0046175F">
        <w:t xml:space="preserve">Renal Impairment </w:t>
      </w:r>
    </w:p>
    <w:p w14:paraId="052BFEF1" w14:textId="6CCB5D59" w:rsidR="00FE7BB5" w:rsidRPr="0046175F" w:rsidRDefault="00FE7BB5" w:rsidP="00CD75CF">
      <w:r w:rsidRPr="0046175F">
        <w:t xml:space="preserve">Based on a population pharmacokinetic analysis, no dose adjustment is required in patients with </w:t>
      </w:r>
      <w:r w:rsidR="000E6320" w:rsidRPr="0046175F">
        <w:t xml:space="preserve">mild or moderate </w:t>
      </w:r>
      <w:r w:rsidRPr="0046175F">
        <w:t xml:space="preserve">renal impairment </w:t>
      </w:r>
      <w:r w:rsidR="0050482B" w:rsidRPr="0046175F">
        <w:t xml:space="preserve">(see sections </w:t>
      </w:r>
      <w:r w:rsidR="0050482B" w:rsidRPr="0046175F">
        <w:rPr>
          <w:i/>
        </w:rPr>
        <w:t xml:space="preserve">4.4 </w:t>
      </w:r>
      <w:r w:rsidR="00B53105" w:rsidRPr="0046175F">
        <w:rPr>
          <w:rFonts w:eastAsia="Times New Roman"/>
          <w:i/>
          <w:sz w:val="22"/>
        </w:rPr>
        <w:t>Special warnings and precautions for use</w:t>
      </w:r>
      <w:r w:rsidR="00B53105" w:rsidRPr="0046175F">
        <w:t xml:space="preserve"> </w:t>
      </w:r>
      <w:r w:rsidR="0050482B" w:rsidRPr="0046175F">
        <w:t xml:space="preserve">and </w:t>
      </w:r>
      <w:r w:rsidR="0050482B" w:rsidRPr="0046175F">
        <w:rPr>
          <w:i/>
        </w:rPr>
        <w:t>5.2</w:t>
      </w:r>
      <w:r w:rsidR="00B53105" w:rsidRPr="0046175F">
        <w:rPr>
          <w:i/>
        </w:rPr>
        <w:t xml:space="preserve"> Pharmacokinetic properties</w:t>
      </w:r>
      <w:r w:rsidR="0050482B" w:rsidRPr="0046175F">
        <w:t>)</w:t>
      </w:r>
      <w:r w:rsidRPr="0046175F">
        <w:t>.</w:t>
      </w:r>
      <w:r w:rsidR="000E6320" w:rsidRPr="0046175F">
        <w:t xml:space="preserve"> Data from patients with severe renal impairment are too limited to draw conclusions on this population.</w:t>
      </w:r>
    </w:p>
    <w:p w14:paraId="03E004BF" w14:textId="77777777" w:rsidR="00FE7BB5" w:rsidRPr="0046175F" w:rsidRDefault="00FE7BB5" w:rsidP="00CD75CF">
      <w:pPr>
        <w:pStyle w:val="Heading4"/>
      </w:pPr>
      <w:r w:rsidRPr="0046175F">
        <w:t xml:space="preserve">Hepatic impairment </w:t>
      </w:r>
    </w:p>
    <w:p w14:paraId="156BC2E7" w14:textId="571C70A5" w:rsidR="00FE7BB5" w:rsidRPr="00364F3A" w:rsidRDefault="00FE7BB5" w:rsidP="00CD75CF">
      <w:pPr>
        <w:rPr>
          <w:szCs w:val="24"/>
        </w:rPr>
      </w:pPr>
      <w:r w:rsidRPr="0046175F">
        <w:t xml:space="preserve">Based on a </w:t>
      </w:r>
      <w:r w:rsidRPr="00364F3A">
        <w:rPr>
          <w:szCs w:val="24"/>
        </w:rPr>
        <w:t xml:space="preserve">population pharmacokinetic analysis, no dose adjustment is required for patients with mild hepatic impairment. </w:t>
      </w:r>
      <w:proofErr w:type="spellStart"/>
      <w:r w:rsidR="004668F1" w:rsidRPr="00364F3A">
        <w:rPr>
          <w:szCs w:val="24"/>
        </w:rPr>
        <w:t>Tecentriq</w:t>
      </w:r>
      <w:proofErr w:type="spellEnd"/>
      <w:r w:rsidR="004668F1" w:rsidRPr="00364F3A">
        <w:rPr>
          <w:szCs w:val="24"/>
        </w:rPr>
        <w:t xml:space="preserve"> has not been studied </w:t>
      </w:r>
      <w:r w:rsidRPr="00364F3A">
        <w:rPr>
          <w:szCs w:val="24"/>
        </w:rPr>
        <w:t xml:space="preserve">in patients with moderate or severe hepatic impairment  </w:t>
      </w:r>
      <w:r w:rsidR="0050482B" w:rsidRPr="00364F3A">
        <w:rPr>
          <w:szCs w:val="24"/>
        </w:rPr>
        <w:t xml:space="preserve">(see sections 4.4 </w:t>
      </w:r>
      <w:r w:rsidR="00B53105" w:rsidRPr="00364F3A">
        <w:rPr>
          <w:rFonts w:eastAsia="Times New Roman"/>
          <w:i/>
          <w:szCs w:val="24"/>
        </w:rPr>
        <w:t>Special warnings and precautions for use</w:t>
      </w:r>
      <w:r w:rsidR="00B53105" w:rsidRPr="00364F3A">
        <w:rPr>
          <w:szCs w:val="24"/>
        </w:rPr>
        <w:t xml:space="preserve"> </w:t>
      </w:r>
      <w:r w:rsidR="0050482B" w:rsidRPr="00364F3A">
        <w:rPr>
          <w:szCs w:val="24"/>
        </w:rPr>
        <w:t>and 5.2</w:t>
      </w:r>
      <w:r w:rsidR="00B53105" w:rsidRPr="00364F3A">
        <w:rPr>
          <w:i/>
          <w:szCs w:val="24"/>
        </w:rPr>
        <w:t xml:space="preserve"> Pharmacokinetic properties</w:t>
      </w:r>
      <w:r w:rsidR="0050482B" w:rsidRPr="00364F3A">
        <w:rPr>
          <w:szCs w:val="24"/>
        </w:rPr>
        <w:t>)</w:t>
      </w:r>
      <w:r w:rsidRPr="00364F3A">
        <w:rPr>
          <w:szCs w:val="24"/>
        </w:rPr>
        <w:t xml:space="preserve">. </w:t>
      </w:r>
    </w:p>
    <w:p w14:paraId="6F61BF49" w14:textId="77777777" w:rsidR="004668F1" w:rsidRDefault="004668F1" w:rsidP="00364F3A">
      <w:pPr>
        <w:pStyle w:val="Heading4"/>
      </w:pPr>
      <w:r>
        <w:t>Eastern Cooperative Oncology Group (ECOG) performance status ≥ 2</w:t>
      </w:r>
    </w:p>
    <w:p w14:paraId="2E891A31" w14:textId="06F9B2B0" w:rsidR="004668F1" w:rsidRPr="00364F3A" w:rsidRDefault="004668F1" w:rsidP="004668F1">
      <w:pPr>
        <w:rPr>
          <w:szCs w:val="24"/>
        </w:rPr>
      </w:pPr>
      <w:r w:rsidRPr="00364F3A">
        <w:rPr>
          <w:szCs w:val="24"/>
        </w:rPr>
        <w:t xml:space="preserve">Patients with ECOG performance status ≥ 2 were excluded from the clinical trials in NSCLC </w:t>
      </w:r>
      <w:r w:rsidR="001F16C8">
        <w:rPr>
          <w:szCs w:val="24"/>
        </w:rPr>
        <w:t>and ES-SCLC</w:t>
      </w:r>
      <w:r w:rsidR="00221709">
        <w:rPr>
          <w:szCs w:val="24"/>
        </w:rPr>
        <w:t>, and TNBC.</w:t>
      </w:r>
      <w:r w:rsidR="001F16C8">
        <w:rPr>
          <w:szCs w:val="24"/>
        </w:rPr>
        <w:t xml:space="preserve"> </w:t>
      </w:r>
      <w:r w:rsidRPr="00364F3A">
        <w:rPr>
          <w:szCs w:val="24"/>
        </w:rPr>
        <w:t xml:space="preserve">(see sections </w:t>
      </w:r>
      <w:r w:rsidRPr="00364F3A">
        <w:rPr>
          <w:i/>
          <w:szCs w:val="24"/>
        </w:rPr>
        <w:t xml:space="preserve">4.4 </w:t>
      </w:r>
      <w:r w:rsidRPr="00364F3A">
        <w:rPr>
          <w:rFonts w:eastAsia="Times New Roman"/>
          <w:i/>
          <w:szCs w:val="24"/>
        </w:rPr>
        <w:t>Special warnings and precautions for use</w:t>
      </w:r>
      <w:r w:rsidRPr="00364F3A">
        <w:rPr>
          <w:szCs w:val="24"/>
        </w:rPr>
        <w:t xml:space="preserve"> and </w:t>
      </w:r>
      <w:r w:rsidR="006C7DDC" w:rsidRPr="00364F3A">
        <w:rPr>
          <w:i/>
          <w:szCs w:val="24"/>
        </w:rPr>
        <w:t>5.1 Pharmacodynamic properties</w:t>
      </w:r>
      <w:r w:rsidRPr="00364F3A">
        <w:rPr>
          <w:szCs w:val="24"/>
        </w:rPr>
        <w:t>).</w:t>
      </w:r>
    </w:p>
    <w:p w14:paraId="72C97B4A" w14:textId="77777777" w:rsidR="00C86DAD" w:rsidRPr="0046175F" w:rsidRDefault="00C86DAD" w:rsidP="00C86DAD">
      <w:pPr>
        <w:pStyle w:val="Heading2"/>
      </w:pPr>
      <w:r w:rsidRPr="0046175F">
        <w:t xml:space="preserve">Instructions for dilution </w:t>
      </w:r>
    </w:p>
    <w:p w14:paraId="7B39D0DA" w14:textId="77777777" w:rsidR="00A5387F" w:rsidRPr="0046175F" w:rsidRDefault="00A5387F" w:rsidP="00A5387F">
      <w:proofErr w:type="spellStart"/>
      <w:r w:rsidRPr="0046175F">
        <w:t>Tecentriq</w:t>
      </w:r>
      <w:proofErr w:type="spellEnd"/>
      <w:r w:rsidRPr="0046175F">
        <w:t xml:space="preserve"> does not contain any antimicrobial preservative and should be prepared by a healthcare professional using aseptic technique.</w:t>
      </w:r>
    </w:p>
    <w:p w14:paraId="740E35A0" w14:textId="77777777" w:rsidR="00A5387F" w:rsidRPr="0046175F" w:rsidRDefault="00A5387F" w:rsidP="00A5387F"/>
    <w:p w14:paraId="602C33AF" w14:textId="56A16BFF" w:rsidR="00A5387F" w:rsidRDefault="00A5387F" w:rsidP="00A5387F">
      <w:r w:rsidRPr="0046175F">
        <w:lastRenderedPageBreak/>
        <w:t xml:space="preserve">Withdraw </w:t>
      </w:r>
      <w:r w:rsidR="002A4E9C">
        <w:t xml:space="preserve">the required volume </w:t>
      </w:r>
      <w:r w:rsidRPr="0046175F">
        <w:t xml:space="preserve">of </w:t>
      </w:r>
      <w:proofErr w:type="spellStart"/>
      <w:r w:rsidRPr="0046175F">
        <w:t>Tecentriq</w:t>
      </w:r>
      <w:proofErr w:type="spellEnd"/>
      <w:r w:rsidRPr="0046175F">
        <w:t xml:space="preserve"> concentrate from the vial and dilute into a 250 mL PVC, polyethylene (PE) or polyolefin infusion bag containing sodium chloride 9 mg/mL (0.9%) solution for injection. After dilution, </w:t>
      </w:r>
      <w:r w:rsidR="00B6302B" w:rsidRPr="00B6302B">
        <w:t xml:space="preserve">the solution should contain </w:t>
      </w:r>
      <w:proofErr w:type="spellStart"/>
      <w:r w:rsidR="00B6302B" w:rsidRPr="00B6302B">
        <w:t>atezolizumab</w:t>
      </w:r>
      <w:proofErr w:type="spellEnd"/>
      <w:r w:rsidR="00B6302B">
        <w:t xml:space="preserve"> </w:t>
      </w:r>
      <w:r w:rsidR="00B6302B" w:rsidRPr="00500175">
        <w:t>at a concentration of</w:t>
      </w:r>
      <w:r w:rsidR="00B6302B" w:rsidRPr="0046175F" w:rsidDel="00B6302B">
        <w:t xml:space="preserve"> </w:t>
      </w:r>
      <w:r w:rsidRPr="0046175F">
        <w:t xml:space="preserve">approximately </w:t>
      </w:r>
      <w:r w:rsidR="00B6302B">
        <w:t>3</w:t>
      </w:r>
      <w:r w:rsidR="002A4E9C" w:rsidRPr="00B6302B">
        <w:t>.2</w:t>
      </w:r>
      <w:r w:rsidR="0039387B">
        <w:t xml:space="preserve"> </w:t>
      </w:r>
      <w:r w:rsidR="002A4E9C" w:rsidRPr="00B6302B">
        <w:t>mg/mL</w:t>
      </w:r>
      <w:r w:rsidR="002A4E9C" w:rsidRPr="002A4E9C">
        <w:t xml:space="preserve"> (840 mg/264 mL)</w:t>
      </w:r>
      <w:r w:rsidR="002A4E9C">
        <w:t xml:space="preserve">, </w:t>
      </w:r>
      <w:r w:rsidRPr="0046175F">
        <w:t>4.4 mg</w:t>
      </w:r>
      <w:r w:rsidR="00EF0CA0">
        <w:t>/mL</w:t>
      </w:r>
      <w:r w:rsidRPr="0046175F">
        <w:t xml:space="preserve"> (1200 mg/270 mL)</w:t>
      </w:r>
      <w:r w:rsidR="002A4E9C">
        <w:t xml:space="preserve"> </w:t>
      </w:r>
      <w:r w:rsidR="002A4E9C" w:rsidRPr="002A4E9C">
        <w:t>or 6.0 mg/mL (1680 mg/278 mL)</w:t>
      </w:r>
      <w:r w:rsidRPr="0046175F">
        <w:t>. The bag should be gently inverted to mix the solution in order to avoid foaming</w:t>
      </w:r>
      <w:r w:rsidR="00EE7579">
        <w:t>.</w:t>
      </w:r>
    </w:p>
    <w:p w14:paraId="3F1D1524" w14:textId="0E14DE04" w:rsidR="0017004B" w:rsidRDefault="0017004B" w:rsidP="00A5387F"/>
    <w:p w14:paraId="36B736DA" w14:textId="77777777" w:rsidR="0017004B" w:rsidRPr="0017004B" w:rsidRDefault="0017004B" w:rsidP="0017004B">
      <w:proofErr w:type="spellStart"/>
      <w:r w:rsidRPr="0017004B">
        <w:t>Tecentriq</w:t>
      </w:r>
      <w:proofErr w:type="spellEnd"/>
      <w:r w:rsidRPr="0017004B">
        <w:t xml:space="preserve"> must not be mixed with other medicinal products.</w:t>
      </w:r>
    </w:p>
    <w:p w14:paraId="51960A15" w14:textId="77777777" w:rsidR="0017004B" w:rsidRDefault="0017004B" w:rsidP="00A5387F"/>
    <w:p w14:paraId="1AC7A475" w14:textId="77777777" w:rsidR="00A5387F" w:rsidRPr="0046175F" w:rsidRDefault="00A5387F" w:rsidP="007420C8">
      <w:pPr>
        <w:pStyle w:val="Heading3"/>
      </w:pPr>
      <w:r w:rsidRPr="0046175F">
        <w:t>Instructions for administration</w:t>
      </w:r>
    </w:p>
    <w:p w14:paraId="77FCD4D9" w14:textId="77777777" w:rsidR="00A5387F" w:rsidRPr="0046175F" w:rsidRDefault="00A5387F" w:rsidP="00A5387F">
      <w:r w:rsidRPr="0046175F">
        <w:t>Parenteral medicinal products should be inspected visually for particulates and discolouration prior to administration. If particulates or discoloration are observed, the solution should not be used.</w:t>
      </w:r>
    </w:p>
    <w:p w14:paraId="397E7973" w14:textId="77777777" w:rsidR="00A5387F" w:rsidRPr="0046175F" w:rsidRDefault="00A5387F" w:rsidP="00A5387F"/>
    <w:p w14:paraId="0C524F30" w14:textId="7383C549" w:rsidR="00A5387F" w:rsidRDefault="00A5387F" w:rsidP="00C86DAD">
      <w:r w:rsidRPr="0046175F">
        <w:t>The product is for single use in one patient only. Discard any residue.</w:t>
      </w:r>
    </w:p>
    <w:p w14:paraId="21348206" w14:textId="313D308C" w:rsidR="00932D9F" w:rsidRDefault="00932D9F" w:rsidP="00C86DAD"/>
    <w:p w14:paraId="13112B44" w14:textId="77777777" w:rsidR="00932D9F" w:rsidRDefault="00932D9F" w:rsidP="00932D9F">
      <w:proofErr w:type="spellStart"/>
      <w:r w:rsidRPr="00B6302B">
        <w:t>Tecentriq</w:t>
      </w:r>
      <w:proofErr w:type="spellEnd"/>
      <w:r w:rsidRPr="00B6302B">
        <w:t xml:space="preserve"> must not be mixed with other medicinal products.</w:t>
      </w:r>
    </w:p>
    <w:p w14:paraId="14B58488" w14:textId="77777777" w:rsidR="00932D9F" w:rsidRDefault="00932D9F" w:rsidP="00932D9F"/>
    <w:p w14:paraId="12AA0B0F" w14:textId="77777777" w:rsidR="00932D9F" w:rsidRPr="0046175F" w:rsidRDefault="00932D9F" w:rsidP="00932D9F">
      <w:r w:rsidRPr="00B6302B">
        <w:t>Do not co-administer other medicinal products through the same infusion line.</w:t>
      </w:r>
    </w:p>
    <w:p w14:paraId="77C1C4B0" w14:textId="424B105B" w:rsidR="008F6CF6" w:rsidRPr="0046175F" w:rsidRDefault="008F6CF6" w:rsidP="00CD75CF">
      <w:pPr>
        <w:pStyle w:val="Heading2"/>
        <w:rPr>
          <w:lang w:val="en-GB"/>
        </w:rPr>
      </w:pPr>
      <w:r w:rsidRPr="0046175F">
        <w:rPr>
          <w:lang w:val="en-GB"/>
        </w:rPr>
        <w:t>4.3</w:t>
      </w:r>
      <w:r w:rsidRPr="0046175F">
        <w:rPr>
          <w:lang w:val="en-GB"/>
        </w:rPr>
        <w:tab/>
      </w:r>
      <w:r w:rsidR="008B0DB6" w:rsidRPr="0046175F">
        <w:rPr>
          <w:lang w:val="en-GB"/>
        </w:rPr>
        <w:t>Contraindications</w:t>
      </w:r>
    </w:p>
    <w:p w14:paraId="5F09B38D" w14:textId="77777777" w:rsidR="00FE7BB5" w:rsidRPr="0046175F" w:rsidRDefault="00FE7BB5" w:rsidP="00CD75CF">
      <w:proofErr w:type="spellStart"/>
      <w:r w:rsidRPr="0046175F">
        <w:t>Tecentriq</w:t>
      </w:r>
      <w:proofErr w:type="spellEnd"/>
      <w:r w:rsidRPr="0046175F">
        <w:t xml:space="preserve"> is contraindicated in patients with a known hypersensitivity to </w:t>
      </w:r>
      <w:proofErr w:type="spellStart"/>
      <w:r w:rsidRPr="0046175F">
        <w:t>atezolizumab</w:t>
      </w:r>
      <w:proofErr w:type="spellEnd"/>
      <w:r w:rsidRPr="0046175F">
        <w:t xml:space="preserve"> or any of the excipients. </w:t>
      </w:r>
    </w:p>
    <w:p w14:paraId="2CE0599F" w14:textId="3361C3BE" w:rsidR="00FE7BB5" w:rsidRDefault="008F6CF6" w:rsidP="00CD75CF">
      <w:pPr>
        <w:pStyle w:val="Heading2"/>
        <w:rPr>
          <w:lang w:val="en-GB"/>
        </w:rPr>
      </w:pPr>
      <w:r w:rsidRPr="0046175F">
        <w:rPr>
          <w:lang w:val="en-GB"/>
        </w:rPr>
        <w:t>4.4</w:t>
      </w:r>
      <w:r w:rsidRPr="0046175F">
        <w:rPr>
          <w:lang w:val="en-GB"/>
        </w:rPr>
        <w:tab/>
      </w:r>
      <w:r w:rsidR="008B0DB6" w:rsidRPr="0046175F">
        <w:rPr>
          <w:lang w:val="en-GB"/>
        </w:rPr>
        <w:t>Special warnings and precautions for use</w:t>
      </w:r>
    </w:p>
    <w:p w14:paraId="489F14A8" w14:textId="7DEEA198" w:rsidR="00BA439B" w:rsidRDefault="00BA439B" w:rsidP="00EC2A6B">
      <w:pPr>
        <w:pStyle w:val="Heading3"/>
        <w:rPr>
          <w:lang w:val="en-GB"/>
        </w:rPr>
      </w:pPr>
      <w:r>
        <w:rPr>
          <w:lang w:val="en-GB"/>
        </w:rPr>
        <w:t>Assessment of PD-L1 status</w:t>
      </w:r>
    </w:p>
    <w:p w14:paraId="46BA30B7" w14:textId="1047320D" w:rsidR="00BA439B" w:rsidRDefault="00BA439B" w:rsidP="00EC2A6B">
      <w:r w:rsidRPr="00BA439B">
        <w:t>When assessing the PD-L1 status of the tumour, it is important that a well-validated and robust methodology is chosen to minimise false negative or false positive determinations.</w:t>
      </w:r>
    </w:p>
    <w:p w14:paraId="1657DC7D" w14:textId="07AF3FA9" w:rsidR="00BA439B" w:rsidRDefault="00BA439B" w:rsidP="00EC2A6B"/>
    <w:p w14:paraId="392703AC" w14:textId="77C66519" w:rsidR="00BA439B" w:rsidRPr="00BA439B" w:rsidRDefault="00BA439B" w:rsidP="00EC2A6B">
      <w:pPr>
        <w:pStyle w:val="Heading3"/>
        <w:rPr>
          <w:lang w:val="en-GB"/>
        </w:rPr>
      </w:pPr>
      <w:r>
        <w:rPr>
          <w:lang w:val="en-GB"/>
        </w:rPr>
        <w:t>Immune-mediated Adverse Reactions</w:t>
      </w:r>
    </w:p>
    <w:p w14:paraId="73A247E3" w14:textId="721C0BC8" w:rsidR="000E6320" w:rsidRPr="0046175F" w:rsidRDefault="005F2393" w:rsidP="000E6320">
      <w:pPr>
        <w:rPr>
          <w:lang w:val="en-GB"/>
        </w:rPr>
      </w:pPr>
      <w:r w:rsidRPr="0046175F">
        <w:rPr>
          <w:lang w:val="en-GB"/>
        </w:rPr>
        <w:t>Most immune-</w:t>
      </w:r>
      <w:r w:rsidR="004C6069" w:rsidRPr="0046175F">
        <w:rPr>
          <w:lang w:val="en-GB"/>
        </w:rPr>
        <w:t xml:space="preserve">related adverse reactions occurring during treatment with </w:t>
      </w:r>
      <w:proofErr w:type="spellStart"/>
      <w:r w:rsidR="004C6069" w:rsidRPr="0046175F">
        <w:rPr>
          <w:lang w:val="en-GB"/>
        </w:rPr>
        <w:t>Tecentriq</w:t>
      </w:r>
      <w:proofErr w:type="spellEnd"/>
      <w:r w:rsidR="004C6069" w:rsidRPr="0046175F">
        <w:rPr>
          <w:lang w:val="en-GB"/>
        </w:rPr>
        <w:t xml:space="preserve"> were reversible with interruptions of </w:t>
      </w:r>
      <w:proofErr w:type="spellStart"/>
      <w:r w:rsidR="004C6069" w:rsidRPr="0046175F">
        <w:rPr>
          <w:lang w:val="en-GB"/>
        </w:rPr>
        <w:t>Tecentriq</w:t>
      </w:r>
      <w:proofErr w:type="spellEnd"/>
      <w:r w:rsidR="004C6069" w:rsidRPr="0046175F">
        <w:rPr>
          <w:lang w:val="en-GB"/>
        </w:rPr>
        <w:t xml:space="preserve"> and initiation of corticosteroids</w:t>
      </w:r>
      <w:r w:rsidRPr="0046175F">
        <w:rPr>
          <w:lang w:val="en-GB"/>
        </w:rPr>
        <w:t xml:space="preserve"> and/or supportive care. Immune-</w:t>
      </w:r>
      <w:r w:rsidR="004C6069" w:rsidRPr="0046175F">
        <w:rPr>
          <w:lang w:val="en-GB"/>
        </w:rPr>
        <w:t>related adverse reactions affecting more than one body sy</w:t>
      </w:r>
      <w:r w:rsidRPr="0046175F">
        <w:rPr>
          <w:lang w:val="en-GB"/>
        </w:rPr>
        <w:t>stem have been observed. Immune-</w:t>
      </w:r>
      <w:r w:rsidR="004C6069" w:rsidRPr="0046175F">
        <w:rPr>
          <w:lang w:val="en-GB"/>
        </w:rPr>
        <w:t xml:space="preserve">related adverse reactions with </w:t>
      </w:r>
      <w:proofErr w:type="spellStart"/>
      <w:r w:rsidR="0041343F" w:rsidRPr="0046175F">
        <w:rPr>
          <w:lang w:val="en-GB"/>
        </w:rPr>
        <w:t>Tecentriq</w:t>
      </w:r>
      <w:proofErr w:type="spellEnd"/>
      <w:r w:rsidR="004C6069" w:rsidRPr="0046175F">
        <w:rPr>
          <w:lang w:val="en-GB"/>
        </w:rPr>
        <w:t xml:space="preserve"> may occur after the last dose of </w:t>
      </w:r>
      <w:proofErr w:type="spellStart"/>
      <w:r w:rsidR="004C6069" w:rsidRPr="0046175F">
        <w:rPr>
          <w:lang w:val="en-GB"/>
        </w:rPr>
        <w:t>Tecentriq</w:t>
      </w:r>
      <w:proofErr w:type="spellEnd"/>
      <w:r w:rsidR="004C6069" w:rsidRPr="0046175F">
        <w:rPr>
          <w:lang w:val="en-GB"/>
        </w:rPr>
        <w:t>.</w:t>
      </w:r>
      <w:r w:rsidR="00D05E12" w:rsidRPr="0046175F">
        <w:rPr>
          <w:lang w:val="en-GB"/>
        </w:rPr>
        <w:t xml:space="preserve"> </w:t>
      </w:r>
      <w:r w:rsidR="004C6069" w:rsidRPr="0046175F">
        <w:rPr>
          <w:lang w:val="en-GB"/>
        </w:rPr>
        <w:t>For suspected imm</w:t>
      </w:r>
      <w:r w:rsidRPr="0046175F">
        <w:rPr>
          <w:lang w:val="en-GB"/>
        </w:rPr>
        <w:t>une-</w:t>
      </w:r>
      <w:r w:rsidR="004C6069" w:rsidRPr="0046175F">
        <w:rPr>
          <w:lang w:val="en-GB"/>
        </w:rPr>
        <w:t xml:space="preserve">related adverse reactions, </w:t>
      </w:r>
      <w:r w:rsidR="0017004B">
        <w:rPr>
          <w:lang w:val="en-GB"/>
        </w:rPr>
        <w:t xml:space="preserve">a </w:t>
      </w:r>
      <w:r w:rsidR="004C6069" w:rsidRPr="0046175F">
        <w:rPr>
          <w:lang w:val="en-GB"/>
        </w:rPr>
        <w:t xml:space="preserve">thorough evaluation to confirm aetiology or exclude other causes should be performed. </w:t>
      </w:r>
      <w:r w:rsidR="000E6320" w:rsidRPr="0046175F">
        <w:rPr>
          <w:lang w:val="en-GB"/>
        </w:rPr>
        <w:t xml:space="preserve">Based on the severity of the adverse reaction, </w:t>
      </w:r>
      <w:proofErr w:type="spellStart"/>
      <w:r w:rsidR="00F9510D" w:rsidRPr="0046175F">
        <w:rPr>
          <w:lang w:val="en-GB"/>
        </w:rPr>
        <w:t>Tecentriq</w:t>
      </w:r>
      <w:proofErr w:type="spellEnd"/>
      <w:r w:rsidR="000E6320" w:rsidRPr="0046175F">
        <w:rPr>
          <w:lang w:val="en-GB"/>
        </w:rPr>
        <w:t xml:space="preserve"> should be withheld and corticosteroids administered. Upon improvement to Grade ≤ 1, corticosteroid</w:t>
      </w:r>
      <w:r w:rsidR="00F9510D" w:rsidRPr="0046175F">
        <w:rPr>
          <w:lang w:val="en-GB"/>
        </w:rPr>
        <w:t>s</w:t>
      </w:r>
      <w:r w:rsidR="000E6320" w:rsidRPr="0046175F">
        <w:rPr>
          <w:lang w:val="en-GB"/>
        </w:rPr>
        <w:t xml:space="preserve"> should be tapered over ≥ 1 month. Based on limited data from clinical studies in patients whose immune-related adverse reactions could not be controlled with systemic corticosteroid use, administration of other systemic </w:t>
      </w:r>
      <w:proofErr w:type="spellStart"/>
      <w:r w:rsidR="000E6320" w:rsidRPr="0046175F">
        <w:rPr>
          <w:lang w:val="en-GB"/>
        </w:rPr>
        <w:t>immunosuppressants</w:t>
      </w:r>
      <w:proofErr w:type="spellEnd"/>
      <w:r w:rsidR="000E6320" w:rsidRPr="0046175F">
        <w:rPr>
          <w:lang w:val="en-GB"/>
        </w:rPr>
        <w:t xml:space="preserve"> may be considered.</w:t>
      </w:r>
    </w:p>
    <w:p w14:paraId="33ACB571" w14:textId="77777777" w:rsidR="000E6320" w:rsidRPr="0046175F" w:rsidRDefault="000E6320" w:rsidP="000E6320">
      <w:pPr>
        <w:rPr>
          <w:lang w:val="en-GB"/>
        </w:rPr>
      </w:pPr>
    </w:p>
    <w:p w14:paraId="5605D460" w14:textId="524E4A4E" w:rsidR="004C6069" w:rsidRPr="0046175F" w:rsidRDefault="009535ED" w:rsidP="000E6320">
      <w:pPr>
        <w:rPr>
          <w:lang w:val="en-GB"/>
        </w:rPr>
      </w:pPr>
      <w:proofErr w:type="spellStart"/>
      <w:r w:rsidRPr="0046175F">
        <w:rPr>
          <w:lang w:val="en-GB"/>
        </w:rPr>
        <w:t>Tecentriq</w:t>
      </w:r>
      <w:proofErr w:type="spellEnd"/>
      <w:r w:rsidR="000E6320" w:rsidRPr="0046175F">
        <w:rPr>
          <w:lang w:val="en-GB"/>
        </w:rPr>
        <w:t xml:space="preserve"> must be permanently discontinued for any Grade 3 immune-related adverse reaction that recurs and for any Grade 4 immune-related adverse reactions, except for </w:t>
      </w:r>
      <w:proofErr w:type="spellStart"/>
      <w:r w:rsidR="000E6320" w:rsidRPr="0046175F">
        <w:rPr>
          <w:lang w:val="en-GB"/>
        </w:rPr>
        <w:t>endocrinopathies</w:t>
      </w:r>
      <w:proofErr w:type="spellEnd"/>
      <w:r w:rsidR="000E6320" w:rsidRPr="0046175F">
        <w:rPr>
          <w:lang w:val="en-GB"/>
        </w:rPr>
        <w:t xml:space="preserve"> that are controlled with replacement hormones (</w:t>
      </w:r>
      <w:r w:rsidR="0017004B">
        <w:rPr>
          <w:lang w:val="en-GB"/>
        </w:rPr>
        <w:t xml:space="preserve">se sections </w:t>
      </w:r>
      <w:r w:rsidR="00F9510D" w:rsidRPr="00100867">
        <w:rPr>
          <w:i/>
          <w:lang w:val="en-GB"/>
        </w:rPr>
        <w:t>4.2 Dose and method of administration</w:t>
      </w:r>
      <w:r w:rsidR="00F9510D" w:rsidRPr="0046175F">
        <w:rPr>
          <w:lang w:val="en-GB"/>
        </w:rPr>
        <w:t xml:space="preserve"> and </w:t>
      </w:r>
      <w:r w:rsidR="00F9510D" w:rsidRPr="0046175F">
        <w:rPr>
          <w:i/>
          <w:lang w:val="en-GB"/>
        </w:rPr>
        <w:t xml:space="preserve">4.8 </w:t>
      </w:r>
      <w:r w:rsidR="00F9510D" w:rsidRPr="00100867">
        <w:rPr>
          <w:i/>
          <w:lang w:val="en-GB"/>
        </w:rPr>
        <w:t>Adverse effects (Undesirable effects)</w:t>
      </w:r>
      <w:r w:rsidR="000E6320" w:rsidRPr="0046175F">
        <w:rPr>
          <w:lang w:val="en-GB"/>
        </w:rPr>
        <w:t>).</w:t>
      </w:r>
    </w:p>
    <w:p w14:paraId="33670929" w14:textId="534D42BB" w:rsidR="00FE7BB5" w:rsidRPr="0046175F" w:rsidRDefault="00FE7BB5" w:rsidP="00CD75CF">
      <w:pPr>
        <w:pStyle w:val="Heading3"/>
        <w:rPr>
          <w:lang w:val="en-GB"/>
        </w:rPr>
      </w:pPr>
      <w:r w:rsidRPr="0046175F">
        <w:rPr>
          <w:lang w:val="en-GB"/>
        </w:rPr>
        <w:lastRenderedPageBreak/>
        <w:t xml:space="preserve">Immune-related pneumonitis </w:t>
      </w:r>
    </w:p>
    <w:p w14:paraId="12D73E1F" w14:textId="51776CF6" w:rsidR="00FE7BB5" w:rsidRPr="0046175F" w:rsidRDefault="00FE7BB5" w:rsidP="00CD75CF">
      <w:pPr>
        <w:rPr>
          <w:lang w:val="en-GB"/>
        </w:rPr>
      </w:pPr>
      <w:r w:rsidRPr="0046175F">
        <w:rPr>
          <w:lang w:val="en-GB"/>
        </w:rPr>
        <w:t xml:space="preserve">Cases of pneumonitis, including fatal cases, have been observed in clinical trials with </w:t>
      </w:r>
      <w:proofErr w:type="spellStart"/>
      <w:r w:rsidRPr="0046175F">
        <w:rPr>
          <w:lang w:val="en-GB"/>
        </w:rPr>
        <w:t>Tecentriq</w:t>
      </w:r>
      <w:proofErr w:type="spellEnd"/>
      <w:r w:rsidRPr="0046175F">
        <w:rPr>
          <w:lang w:val="en-GB"/>
        </w:rPr>
        <w:t xml:space="preserve"> (see </w:t>
      </w:r>
      <w:r w:rsidR="0050482B" w:rsidRPr="0046175F">
        <w:rPr>
          <w:lang w:val="en-GB"/>
        </w:rPr>
        <w:t xml:space="preserve">section </w:t>
      </w:r>
      <w:r w:rsidR="0050482B" w:rsidRPr="0046175F">
        <w:rPr>
          <w:i/>
          <w:lang w:val="en-GB"/>
        </w:rPr>
        <w:t>4.8</w:t>
      </w:r>
      <w:r w:rsidR="00566E29" w:rsidRPr="0046175F">
        <w:rPr>
          <w:i/>
          <w:lang w:val="en-GB"/>
        </w:rPr>
        <w:t xml:space="preserve"> Adverse effects (Undesirable effects)</w:t>
      </w:r>
      <w:r w:rsidRPr="0046175F">
        <w:rPr>
          <w:lang w:val="en-GB"/>
        </w:rPr>
        <w:t xml:space="preserve">). Patients should be monitored for signs and symptoms of pneumonitis. </w:t>
      </w:r>
    </w:p>
    <w:p w14:paraId="6676D5AB" w14:textId="77777777" w:rsidR="00FE7BB5" w:rsidRPr="0046175F" w:rsidRDefault="00FE7BB5" w:rsidP="00CD75CF">
      <w:pPr>
        <w:rPr>
          <w:lang w:val="en-GB"/>
        </w:rPr>
      </w:pPr>
    </w:p>
    <w:p w14:paraId="77EFF9FA" w14:textId="00B5552D"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for Grade 2 pneumonitis, and 1</w:t>
      </w:r>
      <w:r w:rsidR="00EF2F22" w:rsidRPr="0046175F">
        <w:rPr>
          <w:lang w:val="en-GB"/>
        </w:rPr>
        <w:t xml:space="preserve"> to </w:t>
      </w:r>
      <w:r w:rsidRPr="0046175F">
        <w:rPr>
          <w:lang w:val="en-GB"/>
        </w:rPr>
        <w:t xml:space="preserve">2 mg/kg prednisone or equivalent per day should be started. If symptoms improve to ≤ Grade 1, taper corticosteroids over ≥ 1 month. Treatment with </w:t>
      </w:r>
      <w:proofErr w:type="spellStart"/>
      <w:r w:rsidRPr="0046175F">
        <w:rPr>
          <w:lang w:val="en-GB"/>
        </w:rPr>
        <w:t>Tecentriq</w:t>
      </w:r>
      <w:proofErr w:type="spellEnd"/>
      <w:r w:rsidRPr="0046175F">
        <w:rPr>
          <w:lang w:val="en-GB"/>
        </w:rPr>
        <w:t xml:space="preserve"> may be resumed if the event improves to ≤ Grade 1 within 12 weeks, and corticosteroids have been reduced to ≤ 10 mg prednisone or equivalent per day. Treatment with </w:t>
      </w:r>
      <w:proofErr w:type="spellStart"/>
      <w:r w:rsidRPr="0046175F">
        <w:rPr>
          <w:lang w:val="en-GB"/>
        </w:rPr>
        <w:t>Tecentriq</w:t>
      </w:r>
      <w:proofErr w:type="spellEnd"/>
      <w:r w:rsidRPr="0046175F">
        <w:rPr>
          <w:lang w:val="en-GB"/>
        </w:rPr>
        <w:t xml:space="preserve"> </w:t>
      </w:r>
      <w:r w:rsidR="0055212E">
        <w:rPr>
          <w:lang w:val="en-GB"/>
        </w:rPr>
        <w:t>must</w:t>
      </w:r>
      <w:r w:rsidR="0055212E" w:rsidRPr="0046175F">
        <w:rPr>
          <w:lang w:val="en-GB"/>
        </w:rPr>
        <w:t xml:space="preserve"> </w:t>
      </w:r>
      <w:r w:rsidRPr="0046175F">
        <w:rPr>
          <w:lang w:val="en-GB"/>
        </w:rPr>
        <w:t>be permanently discontinued for Grade 3 or 4 pneumonitis.</w:t>
      </w:r>
    </w:p>
    <w:p w14:paraId="4C55EB7F" w14:textId="77777777" w:rsidR="00FE7BB5" w:rsidRPr="0046175F" w:rsidRDefault="00FE7BB5" w:rsidP="00CD75CF">
      <w:pPr>
        <w:pStyle w:val="Heading3"/>
        <w:rPr>
          <w:lang w:val="en-GB"/>
        </w:rPr>
      </w:pPr>
      <w:r w:rsidRPr="0046175F">
        <w:rPr>
          <w:lang w:val="en-GB"/>
        </w:rPr>
        <w:t>Immune-related hepatitis</w:t>
      </w:r>
    </w:p>
    <w:p w14:paraId="173854C2" w14:textId="14EA719E" w:rsidR="00FE7BB5" w:rsidRPr="0046175F" w:rsidRDefault="00FE7BB5" w:rsidP="00CD75CF">
      <w:pPr>
        <w:rPr>
          <w:lang w:val="en-GB"/>
        </w:rPr>
      </w:pPr>
      <w:r w:rsidRPr="0046175F">
        <w:rPr>
          <w:lang w:val="en-GB"/>
        </w:rPr>
        <w:t xml:space="preserve">Cases of hepatitis, some leading to fatal outcomes, have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rPr>
        <w:t xml:space="preserve"> </w:t>
      </w:r>
      <w:r w:rsidR="00566E29" w:rsidRPr="0046175F">
        <w:rPr>
          <w:i/>
          <w:lang w:val="en-GB"/>
        </w:rPr>
        <w:t>Adverse effects (Undesirable effects)</w:t>
      </w:r>
      <w:r w:rsidR="0050482B" w:rsidRPr="0046175F">
        <w:rPr>
          <w:lang w:val="en-GB"/>
        </w:rPr>
        <w:t>)</w:t>
      </w:r>
      <w:r w:rsidRPr="0046175F">
        <w:rPr>
          <w:lang w:val="en-GB"/>
        </w:rPr>
        <w:t xml:space="preserve">. Patients should be monitored for signs and symptoms of hepatitis. Monitor aspartate aminotransferase (AST), alanine aminotransferase (ALT) and bilirubin prior to and periodically during treatment with </w:t>
      </w:r>
      <w:proofErr w:type="spellStart"/>
      <w:r w:rsidRPr="0046175F">
        <w:rPr>
          <w:lang w:val="en-GB"/>
        </w:rPr>
        <w:t>Tecentriq</w:t>
      </w:r>
      <w:proofErr w:type="spellEnd"/>
      <w:r w:rsidRPr="0046175F">
        <w:rPr>
          <w:lang w:val="en-GB"/>
        </w:rPr>
        <w:t>. Appropriate management of patients with abnormal liver function tests (LFTs) at baseline should be considered.</w:t>
      </w:r>
    </w:p>
    <w:p w14:paraId="67186659" w14:textId="77777777" w:rsidR="00FE7BB5" w:rsidRPr="0046175F" w:rsidRDefault="00FE7BB5" w:rsidP="00CD75CF">
      <w:pPr>
        <w:rPr>
          <w:lang w:val="en-GB"/>
        </w:rPr>
      </w:pPr>
    </w:p>
    <w:p w14:paraId="5D2BA425" w14:textId="47914EA1" w:rsidR="004C6069"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if Grade 2 (ALT or AST &gt; 3</w:t>
      </w:r>
      <w:r w:rsidR="004C6069" w:rsidRPr="0046175F">
        <w:rPr>
          <w:lang w:val="en-GB"/>
        </w:rPr>
        <w:t xml:space="preserve"> to 5</w:t>
      </w:r>
      <w:r w:rsidRPr="0046175F">
        <w:rPr>
          <w:lang w:val="en-GB"/>
        </w:rPr>
        <w:t xml:space="preserve"> x ULN or blood bilirubin &gt; 1.5 </w:t>
      </w:r>
      <w:r w:rsidR="004C6069" w:rsidRPr="0046175F">
        <w:rPr>
          <w:lang w:val="en-GB"/>
        </w:rPr>
        <w:t xml:space="preserve">to 3.0 </w:t>
      </w:r>
      <w:r w:rsidRPr="0046175F">
        <w:rPr>
          <w:lang w:val="en-GB"/>
        </w:rPr>
        <w:t>x ULN) persists for more than 5</w:t>
      </w:r>
      <w:r w:rsidR="00EF2F22" w:rsidRPr="0046175F">
        <w:rPr>
          <w:lang w:val="en-GB"/>
        </w:rPr>
        <w:t xml:space="preserve"> to </w:t>
      </w:r>
      <w:r w:rsidRPr="0046175F">
        <w:rPr>
          <w:lang w:val="en-GB"/>
        </w:rPr>
        <w:t xml:space="preserve">7 days, and 1 </w:t>
      </w:r>
      <w:r w:rsidR="004C6069" w:rsidRPr="0046175F">
        <w:rPr>
          <w:lang w:val="en-GB"/>
        </w:rPr>
        <w:t xml:space="preserve">to </w:t>
      </w:r>
      <w:r w:rsidRPr="0046175F">
        <w:rPr>
          <w:lang w:val="en-GB"/>
        </w:rPr>
        <w:t xml:space="preserve">2 mg/kg prednisone or equivalent per day should be started. If </w:t>
      </w:r>
      <w:r w:rsidR="0055212E">
        <w:rPr>
          <w:lang w:val="en-GB"/>
        </w:rPr>
        <w:t>the event</w:t>
      </w:r>
      <w:r w:rsidR="0055212E" w:rsidRPr="0046175F">
        <w:rPr>
          <w:lang w:val="en-GB"/>
        </w:rPr>
        <w:t xml:space="preserve"> </w:t>
      </w:r>
      <w:r w:rsidRPr="0046175F">
        <w:rPr>
          <w:lang w:val="en-GB"/>
        </w:rPr>
        <w:t>improve</w:t>
      </w:r>
      <w:r w:rsidR="0055212E">
        <w:rPr>
          <w:lang w:val="en-GB"/>
        </w:rPr>
        <w:t>s</w:t>
      </w:r>
      <w:r w:rsidRPr="0046175F">
        <w:rPr>
          <w:lang w:val="en-GB"/>
        </w:rPr>
        <w:t xml:space="preserve"> to ≤ Grade 1, taper corticosteroids over ≥ 1 month. </w:t>
      </w:r>
    </w:p>
    <w:p w14:paraId="6D1AEAC7" w14:textId="77777777" w:rsidR="004C6069" w:rsidRPr="0046175F" w:rsidRDefault="004C6069" w:rsidP="00CD75CF">
      <w:pPr>
        <w:rPr>
          <w:lang w:val="en-GB"/>
        </w:rPr>
      </w:pPr>
    </w:p>
    <w:p w14:paraId="2E1B564D" w14:textId="2C824192"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may be resumed if the event improves to ≤ Grade 1 within 12 weeks, and corticosteroids have been reduced to ≤ 10 mg oral prednisone or equivalent per day. Treatment with </w:t>
      </w:r>
      <w:proofErr w:type="spellStart"/>
      <w:r w:rsidRPr="0046175F">
        <w:rPr>
          <w:lang w:val="en-GB"/>
        </w:rPr>
        <w:t>Tecentriq</w:t>
      </w:r>
      <w:proofErr w:type="spellEnd"/>
      <w:r w:rsidRPr="0046175F">
        <w:rPr>
          <w:lang w:val="en-GB"/>
        </w:rPr>
        <w:t xml:space="preserve"> </w:t>
      </w:r>
      <w:r w:rsidR="0055212E">
        <w:rPr>
          <w:lang w:val="en-GB"/>
        </w:rPr>
        <w:t>must</w:t>
      </w:r>
      <w:r w:rsidR="0055212E" w:rsidRPr="0046175F">
        <w:rPr>
          <w:lang w:val="en-GB"/>
        </w:rPr>
        <w:t xml:space="preserve"> </w:t>
      </w:r>
      <w:r w:rsidRPr="0046175F">
        <w:rPr>
          <w:lang w:val="en-GB"/>
        </w:rPr>
        <w:t>be permanently discontinued for Grade 3 or Grade 4 events (ALT or AST &gt; 5.0 x ULN or blood bilirubin &gt; 3 x ULN).</w:t>
      </w:r>
    </w:p>
    <w:p w14:paraId="69CA8603" w14:textId="77777777" w:rsidR="00FE7BB5" w:rsidRPr="0046175F" w:rsidRDefault="00FE7BB5" w:rsidP="00CD75CF">
      <w:pPr>
        <w:pStyle w:val="Heading3"/>
        <w:rPr>
          <w:lang w:val="en-GB"/>
        </w:rPr>
      </w:pPr>
      <w:r w:rsidRPr="0046175F">
        <w:rPr>
          <w:lang w:val="en-GB"/>
        </w:rPr>
        <w:t>Immune-related colitis</w:t>
      </w:r>
    </w:p>
    <w:p w14:paraId="19840A38" w14:textId="2CFA0980" w:rsidR="00FE7BB5" w:rsidRPr="0046175F" w:rsidRDefault="00FE7BB5" w:rsidP="00CD75CF">
      <w:pPr>
        <w:rPr>
          <w:lang w:val="en-GB"/>
        </w:rPr>
      </w:pPr>
      <w:r w:rsidRPr="0046175F">
        <w:rPr>
          <w:lang w:val="en-GB"/>
        </w:rPr>
        <w:t xml:space="preserve">Cases of diarrhoea or colitis have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lang w:val="en-GB"/>
        </w:rPr>
        <w:t xml:space="preserve"> Adverse effects (Undesirable effects)</w:t>
      </w:r>
      <w:r w:rsidR="0050482B" w:rsidRPr="0046175F">
        <w:rPr>
          <w:lang w:val="en-GB"/>
        </w:rPr>
        <w:t>)</w:t>
      </w:r>
      <w:r w:rsidRPr="0046175F">
        <w:rPr>
          <w:lang w:val="en-GB"/>
        </w:rPr>
        <w:t>. Patients should be monitored for signs and symptoms of colitis.</w:t>
      </w:r>
    </w:p>
    <w:p w14:paraId="7988B3BF" w14:textId="77777777" w:rsidR="00FE7BB5" w:rsidRPr="0046175F" w:rsidRDefault="00FE7BB5" w:rsidP="00CD75CF">
      <w:pPr>
        <w:rPr>
          <w:lang w:val="en-GB"/>
        </w:rPr>
      </w:pPr>
    </w:p>
    <w:p w14:paraId="0C64A971" w14:textId="35A7F295"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for Grade 2 or 3 diarrhoea (increase of ≥ 4 stools/day over baseline) or colitis (symptomatic). For Grade 2 diarrhoea or colitis, if symptoms persist &gt; 5 days or recur, start 1 - 2 mg/kg prednisone or equivalent per day. Treat Grade 3 diarrhoea or colitis with IV corticosteroids (1</w:t>
      </w:r>
      <w:r w:rsidR="00EF2F22" w:rsidRPr="0046175F">
        <w:rPr>
          <w:lang w:val="en-GB"/>
        </w:rPr>
        <w:t xml:space="preserve"> to </w:t>
      </w:r>
      <w:r w:rsidRPr="0046175F">
        <w:rPr>
          <w:lang w:val="en-GB"/>
        </w:rPr>
        <w:t>2 mg/kg/day methylprednisolone or equivalent)</w:t>
      </w:r>
      <w:r w:rsidR="0055212E">
        <w:rPr>
          <w:lang w:val="en-GB"/>
        </w:rPr>
        <w:t>.</w:t>
      </w:r>
      <w:r w:rsidRPr="0046175F">
        <w:rPr>
          <w:lang w:val="en-GB"/>
        </w:rPr>
        <w:t xml:space="preserve"> </w:t>
      </w:r>
      <w:r w:rsidR="0055212E" w:rsidRPr="0055212E">
        <w:rPr>
          <w:lang w:val="en-GB"/>
        </w:rPr>
        <w:t xml:space="preserve">Once symptoms improve, treatment with 1 to 2 mg/kg/day of prednisone or equivalent should be started. </w:t>
      </w:r>
      <w:r w:rsidRPr="0046175F">
        <w:rPr>
          <w:lang w:val="en-GB"/>
        </w:rPr>
        <w:t xml:space="preserve">  If symptoms improve to ≤ Grade 1, taper corticosteroids over ≥ 1 month. Treatment with </w:t>
      </w:r>
      <w:proofErr w:type="spellStart"/>
      <w:r w:rsidRPr="0046175F">
        <w:rPr>
          <w:lang w:val="en-GB"/>
        </w:rPr>
        <w:t>Tecentriq</w:t>
      </w:r>
      <w:proofErr w:type="spellEnd"/>
      <w:r w:rsidRPr="0046175F">
        <w:rPr>
          <w:lang w:val="en-GB"/>
        </w:rPr>
        <w:t xml:space="preserve"> may be resumed if the event improves to ≤ Grade 1 within 12 weeks and corticosteroids have been reduced to ≤ 10 mg oral prednisone or equivalent per day. Treatment with </w:t>
      </w:r>
      <w:proofErr w:type="spellStart"/>
      <w:r w:rsidRPr="0046175F">
        <w:rPr>
          <w:lang w:val="en-GB"/>
        </w:rPr>
        <w:t>Tecentriq</w:t>
      </w:r>
      <w:proofErr w:type="spellEnd"/>
      <w:r w:rsidRPr="0046175F">
        <w:rPr>
          <w:lang w:val="en-GB"/>
        </w:rPr>
        <w:t xml:space="preserve"> </w:t>
      </w:r>
      <w:r w:rsidR="0055212E">
        <w:rPr>
          <w:lang w:val="en-GB"/>
        </w:rPr>
        <w:t>must</w:t>
      </w:r>
      <w:r w:rsidR="0055212E" w:rsidRPr="0046175F">
        <w:rPr>
          <w:lang w:val="en-GB"/>
        </w:rPr>
        <w:t xml:space="preserve"> </w:t>
      </w:r>
      <w:r w:rsidRPr="0046175F">
        <w:rPr>
          <w:lang w:val="en-GB"/>
        </w:rPr>
        <w:t>be permanently discontinued for Grade 4 (life threatening; urgent intervention indicated) diarrhoea or colitis.</w:t>
      </w:r>
    </w:p>
    <w:p w14:paraId="0CC4FBB1" w14:textId="77777777" w:rsidR="00FE7BB5" w:rsidRPr="0046175F" w:rsidRDefault="00FE7BB5" w:rsidP="00CD75CF">
      <w:pPr>
        <w:pStyle w:val="Heading3"/>
        <w:rPr>
          <w:lang w:val="en-GB"/>
        </w:rPr>
      </w:pPr>
      <w:r w:rsidRPr="0046175F">
        <w:rPr>
          <w:lang w:val="en-GB"/>
        </w:rPr>
        <w:t xml:space="preserve">Immune-related </w:t>
      </w:r>
      <w:proofErr w:type="spellStart"/>
      <w:r w:rsidRPr="0046175F">
        <w:rPr>
          <w:lang w:val="en-GB"/>
        </w:rPr>
        <w:t>endocrinopathies</w:t>
      </w:r>
      <w:proofErr w:type="spellEnd"/>
    </w:p>
    <w:p w14:paraId="08616329" w14:textId="77777777" w:rsidR="004C6069" w:rsidRPr="0046175F" w:rsidRDefault="00FE7BB5" w:rsidP="00CD75CF">
      <w:pPr>
        <w:rPr>
          <w:lang w:val="en-GB"/>
        </w:rPr>
      </w:pPr>
      <w:r w:rsidRPr="0046175F">
        <w:rPr>
          <w:lang w:val="en-GB"/>
        </w:rPr>
        <w:t xml:space="preserve">Hypothyroidism, hyperthyroidism, adrenal insufficiency, </w:t>
      </w:r>
      <w:proofErr w:type="spellStart"/>
      <w:r w:rsidRPr="0046175F">
        <w:rPr>
          <w:lang w:val="en-GB"/>
        </w:rPr>
        <w:t>hypophysitis</w:t>
      </w:r>
      <w:proofErr w:type="spellEnd"/>
      <w:r w:rsidRPr="0046175F">
        <w:rPr>
          <w:lang w:val="en-GB"/>
        </w:rPr>
        <w:t xml:space="preserve"> and type 1 diabetes mellitus, including diabetic ketoacidosis, have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rPr>
        <w:t xml:space="preserve"> </w:t>
      </w:r>
      <w:r w:rsidR="00566E29" w:rsidRPr="0046175F">
        <w:rPr>
          <w:i/>
          <w:lang w:val="en-GB"/>
        </w:rPr>
        <w:t>Adverse effects (Undesirable effects)</w:t>
      </w:r>
      <w:r w:rsidR="0050482B" w:rsidRPr="0046175F">
        <w:rPr>
          <w:lang w:val="en-GB"/>
        </w:rPr>
        <w:t>)</w:t>
      </w:r>
      <w:r w:rsidRPr="0046175F">
        <w:rPr>
          <w:lang w:val="en-GB"/>
        </w:rPr>
        <w:t xml:space="preserve">. </w:t>
      </w:r>
    </w:p>
    <w:p w14:paraId="090F741F" w14:textId="77777777" w:rsidR="004C6069" w:rsidRPr="0046175F" w:rsidRDefault="004C6069" w:rsidP="00CD75CF">
      <w:pPr>
        <w:rPr>
          <w:lang w:val="en-GB"/>
        </w:rPr>
      </w:pPr>
    </w:p>
    <w:p w14:paraId="7BF86C25" w14:textId="5BF2B4D0" w:rsidR="00FE7BB5" w:rsidRPr="0046175F" w:rsidRDefault="00FE7BB5" w:rsidP="00CD75CF">
      <w:pPr>
        <w:rPr>
          <w:lang w:val="en-GB"/>
        </w:rPr>
      </w:pPr>
      <w:r w:rsidRPr="0046175F">
        <w:rPr>
          <w:lang w:val="en-GB"/>
        </w:rPr>
        <w:t xml:space="preserve">Patients should be monitored for clinical signs and symptoms of </w:t>
      </w:r>
      <w:proofErr w:type="spellStart"/>
      <w:r w:rsidRPr="0046175F">
        <w:rPr>
          <w:lang w:val="en-GB"/>
        </w:rPr>
        <w:t>endocrinopathies</w:t>
      </w:r>
      <w:proofErr w:type="spellEnd"/>
      <w:r w:rsidRPr="0046175F">
        <w:rPr>
          <w:lang w:val="en-GB"/>
        </w:rPr>
        <w:t xml:space="preserve"> and for changes in thyroid function (at the start of treatment, periodically during treatment and as indicated based on </w:t>
      </w:r>
      <w:r w:rsidRPr="0046175F">
        <w:rPr>
          <w:lang w:val="en-GB"/>
        </w:rPr>
        <w:lastRenderedPageBreak/>
        <w:t xml:space="preserve">clinical evaluation). Patients may present with the following: fatigue, headache, mental status changes, heat or cold intolerance, tachycardia or bradycardia, unusual bowel habits, weight change, polyuria/polydipsia, blurred vision. Unless an alternate aetiology has been identified, signs and symptoms of </w:t>
      </w:r>
      <w:proofErr w:type="spellStart"/>
      <w:r w:rsidRPr="0046175F">
        <w:rPr>
          <w:lang w:val="en-GB"/>
        </w:rPr>
        <w:t>endocrinopathies</w:t>
      </w:r>
      <w:proofErr w:type="spellEnd"/>
      <w:r w:rsidRPr="0046175F">
        <w:rPr>
          <w:lang w:val="en-GB"/>
        </w:rPr>
        <w:t xml:space="preserve"> should be conservatively considered immune-related. Appropriate management of patients with abnormal thyroid function tests at baseline should be considered. </w:t>
      </w:r>
    </w:p>
    <w:p w14:paraId="0459C626" w14:textId="77777777" w:rsidR="00FE7BB5" w:rsidRPr="0046175F" w:rsidRDefault="00FE7BB5" w:rsidP="00CD75CF">
      <w:pPr>
        <w:rPr>
          <w:lang w:val="en-GB"/>
        </w:rPr>
      </w:pPr>
    </w:p>
    <w:p w14:paraId="03135947" w14:textId="0711FE92" w:rsidR="00FE7BB5" w:rsidRPr="0046175F" w:rsidRDefault="00FE7BB5" w:rsidP="00CD75CF">
      <w:pPr>
        <w:rPr>
          <w:lang w:val="en-GB"/>
        </w:rPr>
      </w:pPr>
      <w:r w:rsidRPr="0046175F">
        <w:rPr>
          <w:lang w:val="en-GB"/>
        </w:rPr>
        <w:t xml:space="preserve">Asymptomatic patients with abnormal thyroid function tests can receive </w:t>
      </w:r>
      <w:proofErr w:type="spellStart"/>
      <w:r w:rsidRPr="0046175F">
        <w:rPr>
          <w:lang w:val="en-GB"/>
        </w:rPr>
        <w:t>Tecentriq</w:t>
      </w:r>
      <w:proofErr w:type="spellEnd"/>
      <w:r w:rsidRPr="0046175F">
        <w:rPr>
          <w:lang w:val="en-GB"/>
        </w:rPr>
        <w:t xml:space="preserve">. For symptomatic hypothyroidism, </w:t>
      </w:r>
      <w:proofErr w:type="spellStart"/>
      <w:r w:rsidRPr="0046175F">
        <w:rPr>
          <w:lang w:val="en-GB"/>
        </w:rPr>
        <w:t>Tecentriq</w:t>
      </w:r>
      <w:proofErr w:type="spellEnd"/>
      <w:r w:rsidRPr="0046175F">
        <w:rPr>
          <w:lang w:val="en-GB"/>
        </w:rPr>
        <w:t xml:space="preserve"> should be withheld and thyroid hormone replacement should be initiated as needed. Isolated hypothyroidism may be managed with replacement therapy and without corticosteroids. For symptomatic hyperthyroidism, </w:t>
      </w:r>
      <w:proofErr w:type="spellStart"/>
      <w:r w:rsidRPr="0046175F">
        <w:rPr>
          <w:lang w:val="en-GB"/>
        </w:rPr>
        <w:t>Tecentriq</w:t>
      </w:r>
      <w:proofErr w:type="spellEnd"/>
      <w:r w:rsidRPr="0046175F">
        <w:rPr>
          <w:lang w:val="en-GB"/>
        </w:rPr>
        <w:t xml:space="preserve"> should be withheld and an anti-thyroid drug should be initiated as needed. Treatment with a beta blocker may also be considered. Treatment with </w:t>
      </w:r>
      <w:proofErr w:type="spellStart"/>
      <w:r w:rsidRPr="0046175F">
        <w:rPr>
          <w:lang w:val="en-GB"/>
        </w:rPr>
        <w:t>Tecentriq</w:t>
      </w:r>
      <w:proofErr w:type="spellEnd"/>
      <w:r w:rsidRPr="0046175F">
        <w:rPr>
          <w:lang w:val="en-GB"/>
        </w:rPr>
        <w:t xml:space="preserve"> may be resumed when symptoms are controlled and thyroid function is improving.</w:t>
      </w:r>
    </w:p>
    <w:p w14:paraId="1854B87C" w14:textId="15527E36" w:rsidR="00FE7BB5" w:rsidRPr="0046175F" w:rsidRDefault="00FE7BB5" w:rsidP="00CD75CF">
      <w:pPr>
        <w:rPr>
          <w:lang w:val="en-GB"/>
        </w:rPr>
      </w:pPr>
    </w:p>
    <w:p w14:paraId="05362FAA" w14:textId="21C17627" w:rsidR="00FE7BB5" w:rsidRPr="0046175F" w:rsidRDefault="00FE7BB5" w:rsidP="00CD75CF">
      <w:pPr>
        <w:rPr>
          <w:lang w:val="en-GB"/>
        </w:rPr>
      </w:pPr>
      <w:r w:rsidRPr="0046175F">
        <w:rPr>
          <w:lang w:val="en-GB"/>
        </w:rPr>
        <w:t xml:space="preserve">For symptomatic adrenal insufficiency, </w:t>
      </w:r>
      <w:proofErr w:type="spellStart"/>
      <w:r w:rsidRPr="0046175F">
        <w:rPr>
          <w:lang w:val="en-GB"/>
        </w:rPr>
        <w:t>Tecentriq</w:t>
      </w:r>
      <w:proofErr w:type="spellEnd"/>
      <w:r w:rsidRPr="0046175F">
        <w:rPr>
          <w:lang w:val="en-GB"/>
        </w:rPr>
        <w:t xml:space="preserve"> should be withheld and treatment </w:t>
      </w:r>
      <w:r w:rsidR="0055212E" w:rsidRPr="0055212E">
        <w:rPr>
          <w:lang w:val="en-GB"/>
        </w:rPr>
        <w:t xml:space="preserve">with intravenous corticosteroids </w:t>
      </w:r>
      <w:r w:rsidR="0055212E">
        <w:rPr>
          <w:lang w:val="en-GB"/>
        </w:rPr>
        <w:t>(</w:t>
      </w:r>
      <w:r w:rsidRPr="0046175F">
        <w:rPr>
          <w:lang w:val="en-GB"/>
        </w:rPr>
        <w:t>1</w:t>
      </w:r>
      <w:r w:rsidR="00EF2F22" w:rsidRPr="0046175F">
        <w:rPr>
          <w:lang w:val="en-GB"/>
        </w:rPr>
        <w:t xml:space="preserve"> to </w:t>
      </w:r>
      <w:r w:rsidRPr="0046175F">
        <w:rPr>
          <w:lang w:val="en-GB"/>
        </w:rPr>
        <w:t>2 mg/kg per day of methylprednisolone or equivalent</w:t>
      </w:r>
      <w:r w:rsidR="0055212E">
        <w:rPr>
          <w:lang w:val="en-GB"/>
        </w:rPr>
        <w:t>)</w:t>
      </w:r>
      <w:r w:rsidRPr="0046175F">
        <w:rPr>
          <w:lang w:val="en-GB"/>
        </w:rPr>
        <w:t xml:space="preserve"> should be started. Once symptoms improve, follow with 1</w:t>
      </w:r>
      <w:r w:rsidR="00EF2F22" w:rsidRPr="0046175F">
        <w:rPr>
          <w:lang w:val="en-GB"/>
        </w:rPr>
        <w:t xml:space="preserve"> to </w:t>
      </w:r>
      <w:r w:rsidRPr="0046175F">
        <w:rPr>
          <w:lang w:val="en-GB"/>
        </w:rPr>
        <w:t>2 mg/kg per day of prednisone or equivalent. If symptoms improve to ≤ Grade 1, taper corticosteroids over ≥ 1 month. Treatment may be resumed if the event improves to ≤ Grade 1 within 12 weeks and corticosteroids have been reduced to the equivalent of ≤ 10 mg prednisone or equivalent per day and</w:t>
      </w:r>
      <w:r w:rsidR="0055212E">
        <w:rPr>
          <w:lang w:val="en-GB"/>
        </w:rPr>
        <w:t xml:space="preserve"> the</w:t>
      </w:r>
      <w:r w:rsidRPr="0046175F">
        <w:rPr>
          <w:lang w:val="en-GB"/>
        </w:rPr>
        <w:t xml:space="preserve"> patient is stable on replacement therapy (if required).</w:t>
      </w:r>
    </w:p>
    <w:p w14:paraId="0ACF433C" w14:textId="1C98C943" w:rsidR="00FE7BB5" w:rsidRPr="0046175F" w:rsidRDefault="00FE7BB5" w:rsidP="00CD75CF">
      <w:pPr>
        <w:rPr>
          <w:lang w:val="en-GB"/>
        </w:rPr>
      </w:pPr>
    </w:p>
    <w:p w14:paraId="4C530A4C" w14:textId="40C90429"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for Grade 2 or Grade 3 </w:t>
      </w:r>
      <w:proofErr w:type="spellStart"/>
      <w:r w:rsidRPr="0046175F">
        <w:rPr>
          <w:lang w:val="en-GB"/>
        </w:rPr>
        <w:t>hypophysitis</w:t>
      </w:r>
      <w:proofErr w:type="spellEnd"/>
      <w:r w:rsidRPr="0046175F">
        <w:rPr>
          <w:lang w:val="en-GB"/>
        </w:rPr>
        <w:t xml:space="preserve">. Treatment with </w:t>
      </w:r>
      <w:r w:rsidR="0055212E" w:rsidRPr="0055212E">
        <w:rPr>
          <w:lang w:val="en-GB"/>
        </w:rPr>
        <w:t xml:space="preserve">intravenous corticosteroids </w:t>
      </w:r>
      <w:r w:rsidR="0055212E">
        <w:rPr>
          <w:lang w:val="en-GB"/>
        </w:rPr>
        <w:t>(</w:t>
      </w:r>
      <w:r w:rsidRPr="0046175F">
        <w:rPr>
          <w:lang w:val="en-GB"/>
        </w:rPr>
        <w:t>1</w:t>
      </w:r>
      <w:r w:rsidR="00EF2F22" w:rsidRPr="0046175F">
        <w:rPr>
          <w:lang w:val="en-GB"/>
        </w:rPr>
        <w:t xml:space="preserve"> to </w:t>
      </w:r>
      <w:r w:rsidRPr="0046175F">
        <w:rPr>
          <w:lang w:val="en-GB"/>
        </w:rPr>
        <w:t>2 mg/kg per day IV methylprednisolone or equivalent</w:t>
      </w:r>
      <w:r w:rsidR="0055212E">
        <w:rPr>
          <w:lang w:val="en-GB"/>
        </w:rPr>
        <w:t>)</w:t>
      </w:r>
      <w:r w:rsidRPr="0046175F">
        <w:rPr>
          <w:lang w:val="en-GB"/>
        </w:rPr>
        <w:t xml:space="preserve"> should be started, and hormone replacement should be initiated as needed. Once symptoms improve, </w:t>
      </w:r>
      <w:r w:rsidR="0055212E">
        <w:rPr>
          <w:lang w:val="en-GB"/>
        </w:rPr>
        <w:t>treatment with</w:t>
      </w:r>
      <w:r w:rsidRPr="0046175F">
        <w:rPr>
          <w:lang w:val="en-GB"/>
        </w:rPr>
        <w:t xml:space="preserve"> 1</w:t>
      </w:r>
      <w:r w:rsidR="00EF2F22" w:rsidRPr="0046175F">
        <w:rPr>
          <w:lang w:val="en-GB"/>
        </w:rPr>
        <w:t xml:space="preserve"> to </w:t>
      </w:r>
      <w:r w:rsidRPr="0046175F">
        <w:rPr>
          <w:lang w:val="en-GB"/>
        </w:rPr>
        <w:t>2 mg/kg per day of prednisone or equivalent</w:t>
      </w:r>
      <w:r w:rsidR="0055212E">
        <w:rPr>
          <w:lang w:val="en-GB"/>
        </w:rPr>
        <w:t xml:space="preserve"> should follow</w:t>
      </w:r>
      <w:r w:rsidRPr="0046175F">
        <w:rPr>
          <w:lang w:val="en-GB"/>
        </w:rPr>
        <w:t xml:space="preserve">. If symptoms improve to ≤ Grade 1, corticosteroids should be tapered over ≥ 1 month. Treatment may be resumed if the event improves to ≤ Grade 1 within 12 weeks and corticosteroids have been reduced to ≤ 10 mg per day prednisone or equivalent and </w:t>
      </w:r>
      <w:r w:rsidR="0017004B">
        <w:rPr>
          <w:lang w:val="en-GB"/>
        </w:rPr>
        <w:t xml:space="preserve">the </w:t>
      </w:r>
      <w:r w:rsidRPr="0046175F">
        <w:rPr>
          <w:lang w:val="en-GB"/>
        </w:rPr>
        <w:t xml:space="preserve">patient is stable on replacement therapy (if required). Treatment with </w:t>
      </w:r>
      <w:proofErr w:type="spellStart"/>
      <w:r w:rsidRPr="0046175F">
        <w:rPr>
          <w:lang w:val="en-GB"/>
        </w:rPr>
        <w:t>Tecentriq</w:t>
      </w:r>
      <w:proofErr w:type="spellEnd"/>
      <w:r w:rsidRPr="0046175F">
        <w:rPr>
          <w:lang w:val="en-GB"/>
        </w:rPr>
        <w:t xml:space="preserve"> should be permanently discontinued for Grade 4 </w:t>
      </w:r>
      <w:proofErr w:type="spellStart"/>
      <w:r w:rsidRPr="0046175F">
        <w:rPr>
          <w:lang w:val="en-GB"/>
        </w:rPr>
        <w:t>hypophysitis</w:t>
      </w:r>
      <w:proofErr w:type="spellEnd"/>
      <w:r w:rsidRPr="0046175F">
        <w:rPr>
          <w:lang w:val="en-GB"/>
        </w:rPr>
        <w:t>.</w:t>
      </w:r>
    </w:p>
    <w:p w14:paraId="28BED39D" w14:textId="03ABC87C" w:rsidR="00FE7BB5" w:rsidRPr="0046175F" w:rsidRDefault="00FE7BB5" w:rsidP="00CD75CF">
      <w:pPr>
        <w:rPr>
          <w:lang w:val="en-GB"/>
        </w:rPr>
      </w:pPr>
    </w:p>
    <w:p w14:paraId="3BC8E4E2" w14:textId="79287ED7" w:rsidR="00FE7BB5" w:rsidRPr="0046175F" w:rsidRDefault="00FE7BB5" w:rsidP="00CD75CF">
      <w:pPr>
        <w:rPr>
          <w:lang w:val="en-GB"/>
        </w:rPr>
      </w:pPr>
      <w:r w:rsidRPr="0046175F">
        <w:rPr>
          <w:lang w:val="en-GB"/>
        </w:rPr>
        <w:t xml:space="preserve">Treatment with insulin should be initiated for type 1 diabetes mellitus. For ≥ Grade 3 hyperglycaemia (fasting glucose greater than 13.9 </w:t>
      </w:r>
      <w:proofErr w:type="spellStart"/>
      <w:r w:rsidRPr="0046175F">
        <w:rPr>
          <w:lang w:val="en-GB"/>
        </w:rPr>
        <w:t>mmol</w:t>
      </w:r>
      <w:proofErr w:type="spellEnd"/>
      <w:r w:rsidRPr="0046175F">
        <w:rPr>
          <w:lang w:val="en-GB"/>
        </w:rPr>
        <w:t xml:space="preserve">/L), </w:t>
      </w:r>
      <w:proofErr w:type="spellStart"/>
      <w:r w:rsidRPr="0046175F">
        <w:rPr>
          <w:lang w:val="en-GB"/>
        </w:rPr>
        <w:t>Tecentriq</w:t>
      </w:r>
      <w:proofErr w:type="spellEnd"/>
      <w:r w:rsidRPr="0046175F">
        <w:rPr>
          <w:lang w:val="en-GB"/>
        </w:rPr>
        <w:t xml:space="preserve"> should be withheld. Treatment with </w:t>
      </w:r>
      <w:proofErr w:type="spellStart"/>
      <w:r w:rsidRPr="0046175F">
        <w:rPr>
          <w:lang w:val="en-GB"/>
        </w:rPr>
        <w:t>Tecentriq</w:t>
      </w:r>
      <w:proofErr w:type="spellEnd"/>
      <w:r w:rsidRPr="0046175F">
        <w:rPr>
          <w:lang w:val="en-GB"/>
        </w:rPr>
        <w:t xml:space="preserve"> may be resumed if metabolic control is achieved on insulin replacement therapy.</w:t>
      </w:r>
    </w:p>
    <w:p w14:paraId="25018A72" w14:textId="77777777" w:rsidR="00FE7BB5" w:rsidRPr="0046175F" w:rsidRDefault="00FE7BB5" w:rsidP="00CD75CF">
      <w:pPr>
        <w:pStyle w:val="Heading3"/>
        <w:rPr>
          <w:lang w:val="en-GB"/>
        </w:rPr>
      </w:pPr>
      <w:r w:rsidRPr="0046175F">
        <w:rPr>
          <w:lang w:val="en-GB"/>
        </w:rPr>
        <w:t>Immune-related meningoencephalitis</w:t>
      </w:r>
    </w:p>
    <w:p w14:paraId="4728F0CF" w14:textId="5ED07D5D" w:rsidR="00FE7BB5" w:rsidRPr="0046175F" w:rsidRDefault="00FE7BB5" w:rsidP="00CD75CF">
      <w:pPr>
        <w:rPr>
          <w:lang w:val="en-GB"/>
        </w:rPr>
      </w:pPr>
      <w:r w:rsidRPr="0046175F">
        <w:rPr>
          <w:lang w:val="en-GB"/>
        </w:rPr>
        <w:t xml:space="preserve">Meningoencephalitis has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rPr>
        <w:t xml:space="preserve"> </w:t>
      </w:r>
      <w:r w:rsidR="00566E29" w:rsidRPr="0046175F">
        <w:rPr>
          <w:i/>
          <w:lang w:val="en-GB"/>
        </w:rPr>
        <w:t>Adverse effects (Undesirable effects)</w:t>
      </w:r>
      <w:r w:rsidR="0050482B" w:rsidRPr="0046175F">
        <w:rPr>
          <w:lang w:val="en-GB"/>
        </w:rPr>
        <w:t>)</w:t>
      </w:r>
      <w:r w:rsidRPr="0046175F">
        <w:rPr>
          <w:lang w:val="en-GB"/>
        </w:rPr>
        <w:t>. Patients should be monitored for clinical signs and symptoms of meningitis or encephalitis.</w:t>
      </w:r>
    </w:p>
    <w:p w14:paraId="08AB1449" w14:textId="48FDB292" w:rsidR="00FE7BB5" w:rsidRPr="0046175F" w:rsidRDefault="00FE7BB5" w:rsidP="00CD75CF">
      <w:pPr>
        <w:rPr>
          <w:lang w:val="en-GB"/>
        </w:rPr>
      </w:pPr>
    </w:p>
    <w:p w14:paraId="2635FB41" w14:textId="6CB53DFE"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w:t>
      </w:r>
      <w:r w:rsidR="0055212E">
        <w:rPr>
          <w:lang w:val="en-GB"/>
        </w:rPr>
        <w:t>must</w:t>
      </w:r>
      <w:r w:rsidR="0055212E" w:rsidRPr="0046175F">
        <w:rPr>
          <w:lang w:val="en-GB"/>
        </w:rPr>
        <w:t xml:space="preserve"> </w:t>
      </w:r>
      <w:r w:rsidRPr="0046175F">
        <w:rPr>
          <w:lang w:val="en-GB"/>
        </w:rPr>
        <w:t>be permanently discontinued for any grade of meningitis or encephalitis. Treat</w:t>
      </w:r>
      <w:r w:rsidR="0055212E">
        <w:rPr>
          <w:lang w:val="en-GB"/>
        </w:rPr>
        <w:t>ment</w:t>
      </w:r>
      <w:r w:rsidRPr="0046175F">
        <w:rPr>
          <w:lang w:val="en-GB"/>
        </w:rPr>
        <w:t xml:space="preserve"> with </w:t>
      </w:r>
      <w:r w:rsidR="0055212E" w:rsidRPr="0055212E">
        <w:rPr>
          <w:lang w:val="en-GB"/>
        </w:rPr>
        <w:t xml:space="preserve">intravenous corticosteroids </w:t>
      </w:r>
      <w:r w:rsidR="0055212E">
        <w:rPr>
          <w:lang w:val="en-GB"/>
        </w:rPr>
        <w:t>(</w:t>
      </w:r>
      <w:r w:rsidRPr="0046175F">
        <w:rPr>
          <w:lang w:val="en-GB"/>
        </w:rPr>
        <w:t>1</w:t>
      </w:r>
      <w:r w:rsidR="00EF2F22" w:rsidRPr="0046175F">
        <w:rPr>
          <w:lang w:val="en-GB"/>
        </w:rPr>
        <w:t xml:space="preserve"> to </w:t>
      </w:r>
      <w:r w:rsidRPr="0046175F">
        <w:rPr>
          <w:lang w:val="en-GB"/>
        </w:rPr>
        <w:t>2 mg/kg IV methylprednisolone or equivalent per day</w:t>
      </w:r>
      <w:r w:rsidR="0055212E">
        <w:rPr>
          <w:lang w:val="en-GB"/>
        </w:rPr>
        <w:t>) should be started</w:t>
      </w:r>
      <w:r w:rsidRPr="0046175F">
        <w:rPr>
          <w:lang w:val="en-GB"/>
        </w:rPr>
        <w:t xml:space="preserve">. </w:t>
      </w:r>
      <w:r w:rsidR="0055212E" w:rsidRPr="0055212E">
        <w:rPr>
          <w:lang w:val="en-GB"/>
        </w:rPr>
        <w:t xml:space="preserve">Once symptoms improve, treatment with </w:t>
      </w:r>
      <w:r w:rsidRPr="0046175F">
        <w:rPr>
          <w:lang w:val="en-GB"/>
        </w:rPr>
        <w:t>1</w:t>
      </w:r>
      <w:r w:rsidR="00EF2F22" w:rsidRPr="0046175F">
        <w:rPr>
          <w:lang w:val="en-GB"/>
        </w:rPr>
        <w:t xml:space="preserve"> to </w:t>
      </w:r>
      <w:r w:rsidRPr="0046175F">
        <w:rPr>
          <w:lang w:val="en-GB"/>
        </w:rPr>
        <w:t xml:space="preserve">2 mg/kg oral prednisone or equivalent per day </w:t>
      </w:r>
      <w:r w:rsidR="0055212E">
        <w:rPr>
          <w:lang w:val="en-GB"/>
        </w:rPr>
        <w:t>should follow</w:t>
      </w:r>
      <w:r w:rsidRPr="0046175F">
        <w:rPr>
          <w:lang w:val="en-GB"/>
        </w:rPr>
        <w:t>.</w:t>
      </w:r>
    </w:p>
    <w:p w14:paraId="7FF4B211" w14:textId="77777777" w:rsidR="00FE7BB5" w:rsidRPr="0046175F" w:rsidRDefault="00FE7BB5" w:rsidP="00CD75CF">
      <w:pPr>
        <w:pStyle w:val="Heading3"/>
        <w:rPr>
          <w:lang w:val="en-GB"/>
        </w:rPr>
      </w:pPr>
      <w:r w:rsidRPr="0046175F">
        <w:rPr>
          <w:lang w:val="en-GB"/>
        </w:rPr>
        <w:t>Immune-related neuropathies</w:t>
      </w:r>
    </w:p>
    <w:p w14:paraId="696044FD" w14:textId="0FD068DE" w:rsidR="00FE7BB5" w:rsidRPr="0046175F" w:rsidRDefault="00FE7BB5" w:rsidP="00CD75CF">
      <w:pPr>
        <w:rPr>
          <w:lang w:val="en-GB"/>
        </w:rPr>
      </w:pPr>
      <w:proofErr w:type="spellStart"/>
      <w:r w:rsidRPr="0046175F">
        <w:rPr>
          <w:lang w:val="en-GB"/>
        </w:rPr>
        <w:t>Myasthenic</w:t>
      </w:r>
      <w:proofErr w:type="spellEnd"/>
      <w:r w:rsidRPr="0046175F">
        <w:rPr>
          <w:lang w:val="en-GB"/>
        </w:rPr>
        <w:t xml:space="preserve"> syndrome/myasthenia gravis or </w:t>
      </w:r>
      <w:proofErr w:type="spellStart"/>
      <w:r w:rsidRPr="0046175F">
        <w:rPr>
          <w:lang w:val="en-GB"/>
        </w:rPr>
        <w:t>Guillain-Barré</w:t>
      </w:r>
      <w:proofErr w:type="spellEnd"/>
      <w:r w:rsidRPr="0046175F">
        <w:rPr>
          <w:lang w:val="en-GB"/>
        </w:rPr>
        <w:t xml:space="preserve"> syndrome, which may be life-threatening, were observed in patients receiving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rPr>
        <w:t xml:space="preserve"> </w:t>
      </w:r>
      <w:r w:rsidR="00566E29" w:rsidRPr="0046175F">
        <w:rPr>
          <w:i/>
          <w:lang w:val="en-GB"/>
        </w:rPr>
        <w:t>Adverse effects (Undesirable effects)</w:t>
      </w:r>
      <w:r w:rsidR="0050482B" w:rsidRPr="0046175F">
        <w:rPr>
          <w:lang w:val="en-GB"/>
        </w:rPr>
        <w:t>)</w:t>
      </w:r>
      <w:r w:rsidRPr="0046175F">
        <w:rPr>
          <w:lang w:val="en-GB"/>
        </w:rPr>
        <w:t>. Patients should be monitored for symptoms of motor and sensory neuropathy.</w:t>
      </w:r>
    </w:p>
    <w:p w14:paraId="2D437FB1" w14:textId="77777777" w:rsidR="00FE7BB5" w:rsidRPr="0046175F" w:rsidRDefault="00FE7BB5" w:rsidP="00CD75CF">
      <w:pPr>
        <w:rPr>
          <w:lang w:val="en-GB"/>
        </w:rPr>
      </w:pPr>
    </w:p>
    <w:p w14:paraId="118684B7" w14:textId="5BC7E594" w:rsidR="00FE7BB5" w:rsidRPr="0046175F" w:rsidRDefault="00FE7BB5" w:rsidP="00CD75CF">
      <w:pPr>
        <w:rPr>
          <w:lang w:val="en-GB"/>
        </w:rPr>
      </w:pPr>
      <w:r w:rsidRPr="0046175F">
        <w:rPr>
          <w:lang w:val="en-GB"/>
        </w:rPr>
        <w:lastRenderedPageBreak/>
        <w:t xml:space="preserve">Treatment with </w:t>
      </w:r>
      <w:proofErr w:type="spellStart"/>
      <w:r w:rsidRPr="0046175F">
        <w:rPr>
          <w:lang w:val="en-GB"/>
        </w:rPr>
        <w:t>Tecentriq</w:t>
      </w:r>
      <w:proofErr w:type="spellEnd"/>
      <w:r w:rsidRPr="0046175F">
        <w:rPr>
          <w:lang w:val="en-GB"/>
        </w:rPr>
        <w:t xml:space="preserve"> </w:t>
      </w:r>
      <w:r w:rsidR="000A0006" w:rsidRPr="0046175F">
        <w:rPr>
          <w:lang w:val="en-GB"/>
        </w:rPr>
        <w:t xml:space="preserve">must </w:t>
      </w:r>
      <w:r w:rsidRPr="0046175F">
        <w:rPr>
          <w:lang w:val="en-GB"/>
        </w:rPr>
        <w:t xml:space="preserve">be permanently discontinued for any grade of </w:t>
      </w:r>
      <w:proofErr w:type="spellStart"/>
      <w:r w:rsidRPr="0046175F">
        <w:rPr>
          <w:lang w:val="en-GB"/>
        </w:rPr>
        <w:t>myasthenic</w:t>
      </w:r>
      <w:proofErr w:type="spellEnd"/>
      <w:r w:rsidRPr="0046175F">
        <w:rPr>
          <w:lang w:val="en-GB"/>
        </w:rPr>
        <w:t xml:space="preserve"> syndrome/myasthenia gravis or </w:t>
      </w:r>
      <w:proofErr w:type="spellStart"/>
      <w:r w:rsidRPr="0046175F">
        <w:rPr>
          <w:lang w:val="en-GB"/>
        </w:rPr>
        <w:t>Guillain-Barré</w:t>
      </w:r>
      <w:proofErr w:type="spellEnd"/>
      <w:r w:rsidRPr="0046175F">
        <w:rPr>
          <w:lang w:val="en-GB"/>
        </w:rPr>
        <w:t xml:space="preserve"> syndrome. Consider initiation of systemic corticosteroids at a dose of 1</w:t>
      </w:r>
      <w:r w:rsidR="00EF2F22" w:rsidRPr="0046175F">
        <w:rPr>
          <w:lang w:val="en-GB"/>
        </w:rPr>
        <w:t xml:space="preserve"> to </w:t>
      </w:r>
      <w:r w:rsidRPr="0046175F">
        <w:rPr>
          <w:lang w:val="en-GB"/>
        </w:rPr>
        <w:t xml:space="preserve">2 mg/kg oral prednisone or equivalent per day. </w:t>
      </w:r>
    </w:p>
    <w:p w14:paraId="709E2B08" w14:textId="77777777" w:rsidR="00FE7BB5" w:rsidRPr="0046175F" w:rsidRDefault="00FE7BB5" w:rsidP="00CD75CF">
      <w:pPr>
        <w:pStyle w:val="Heading3"/>
        <w:rPr>
          <w:lang w:val="en-GB"/>
        </w:rPr>
      </w:pPr>
      <w:r w:rsidRPr="0046175F">
        <w:rPr>
          <w:lang w:val="en-GB"/>
        </w:rPr>
        <w:t>Immune-related pancreatitis</w:t>
      </w:r>
    </w:p>
    <w:p w14:paraId="7EE5C7D7" w14:textId="2E6E4CBF" w:rsidR="00FE7BB5" w:rsidRPr="0046175F" w:rsidRDefault="00FE7BB5" w:rsidP="00CD75CF">
      <w:pPr>
        <w:rPr>
          <w:lang w:val="en-GB"/>
        </w:rPr>
      </w:pPr>
      <w:r w:rsidRPr="0046175F">
        <w:rPr>
          <w:lang w:val="en-GB"/>
        </w:rPr>
        <w:t xml:space="preserve">Pancreatitis, including increases in serum amylase and lipase levels, has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rPr>
        <w:t xml:space="preserve"> </w:t>
      </w:r>
      <w:r w:rsidR="00566E29" w:rsidRPr="0046175F">
        <w:rPr>
          <w:i/>
          <w:lang w:val="en-GB"/>
        </w:rPr>
        <w:t>Adverse effects (Undesirable effects)</w:t>
      </w:r>
      <w:r w:rsidR="0050482B" w:rsidRPr="0046175F">
        <w:rPr>
          <w:lang w:val="en-GB"/>
        </w:rPr>
        <w:t>)</w:t>
      </w:r>
      <w:r w:rsidRPr="0046175F">
        <w:rPr>
          <w:lang w:val="en-GB"/>
        </w:rPr>
        <w:t>. Patients should be closely monitored for signs and symptoms that are suggestive of acute pancreatitis.</w:t>
      </w:r>
    </w:p>
    <w:p w14:paraId="50307F90" w14:textId="77777777" w:rsidR="00FE7BB5" w:rsidRPr="0046175F" w:rsidRDefault="00FE7BB5" w:rsidP="00CD75CF">
      <w:pPr>
        <w:rPr>
          <w:lang w:val="en-GB"/>
        </w:rPr>
      </w:pPr>
    </w:p>
    <w:p w14:paraId="6F9A85E9" w14:textId="3793866B" w:rsidR="00FE7BB5" w:rsidRPr="0046175F" w:rsidRDefault="00FE7BB5" w:rsidP="00CD75CF">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for ≥ Grade 3 serum amylase or lipase levels increased (&gt; 2.0 ULN), or Grade 2 or 3 pancreatitis, and treatment with</w:t>
      </w:r>
      <w:r w:rsidR="0055212E" w:rsidRPr="0055212E">
        <w:t xml:space="preserve"> </w:t>
      </w:r>
      <w:r w:rsidR="0055212E" w:rsidRPr="0055212E">
        <w:rPr>
          <w:lang w:val="en-GB"/>
        </w:rPr>
        <w:t>intravenous corticosteroids</w:t>
      </w:r>
      <w:r w:rsidRPr="0055212E">
        <w:rPr>
          <w:lang w:val="en-GB"/>
        </w:rPr>
        <w:t xml:space="preserve"> </w:t>
      </w:r>
      <w:r w:rsidR="0055212E">
        <w:rPr>
          <w:lang w:val="en-GB"/>
        </w:rPr>
        <w:t>(</w:t>
      </w:r>
      <w:r w:rsidRPr="0046175F">
        <w:rPr>
          <w:lang w:val="en-GB"/>
        </w:rPr>
        <w:t>1</w:t>
      </w:r>
      <w:r w:rsidR="00EF2F22" w:rsidRPr="0046175F">
        <w:rPr>
          <w:lang w:val="en-GB"/>
        </w:rPr>
        <w:t xml:space="preserve"> to </w:t>
      </w:r>
      <w:r w:rsidRPr="0046175F">
        <w:rPr>
          <w:lang w:val="en-GB"/>
        </w:rPr>
        <w:t>2 mg/kg  methylprednisolone or equivalent per day</w:t>
      </w:r>
      <w:r w:rsidR="0055212E">
        <w:rPr>
          <w:lang w:val="en-GB"/>
        </w:rPr>
        <w:t>)</w:t>
      </w:r>
      <w:r w:rsidRPr="0046175F">
        <w:rPr>
          <w:lang w:val="en-GB"/>
        </w:rPr>
        <w:t>, should be started. Once symptoms improve, follow with 1</w:t>
      </w:r>
      <w:r w:rsidR="00EF2F22" w:rsidRPr="0046175F">
        <w:rPr>
          <w:lang w:val="en-GB"/>
        </w:rPr>
        <w:t xml:space="preserve"> to </w:t>
      </w:r>
      <w:r w:rsidRPr="0046175F">
        <w:rPr>
          <w:lang w:val="en-GB"/>
        </w:rPr>
        <w:t xml:space="preserve">2 mg/kg oral prednisone or equivalent per day. Treatment with </w:t>
      </w:r>
      <w:proofErr w:type="spellStart"/>
      <w:r w:rsidRPr="0046175F">
        <w:rPr>
          <w:lang w:val="en-GB"/>
        </w:rPr>
        <w:t>Tecentriq</w:t>
      </w:r>
      <w:proofErr w:type="spellEnd"/>
      <w:r w:rsidRPr="0046175F">
        <w:rPr>
          <w:lang w:val="en-GB"/>
        </w:rPr>
        <w:t xml:space="preserve"> may be resumed when serum amylase and lipase levels improve to ≤ Grade 1 within 12 weeks, or symptoms of pancreatitis have resolved, and corticosteroids have been reduced to ≤ 10 mg prednisone or equivalent per day. Treatment with </w:t>
      </w:r>
      <w:proofErr w:type="spellStart"/>
      <w:r w:rsidRPr="0046175F">
        <w:rPr>
          <w:lang w:val="en-GB"/>
        </w:rPr>
        <w:t>Tecentriq</w:t>
      </w:r>
      <w:proofErr w:type="spellEnd"/>
      <w:r w:rsidRPr="0046175F">
        <w:rPr>
          <w:lang w:val="en-GB"/>
        </w:rPr>
        <w:t xml:space="preserve"> should be permanently discontinued for Grade 4, or any grade of recurrent pancreatitis.</w:t>
      </w:r>
    </w:p>
    <w:p w14:paraId="16102A3E" w14:textId="17B8EBE1" w:rsidR="00FE7BB5" w:rsidRPr="0046175F" w:rsidRDefault="00FE7BB5" w:rsidP="00CD75CF">
      <w:pPr>
        <w:pStyle w:val="Heading3"/>
        <w:rPr>
          <w:i/>
        </w:rPr>
      </w:pPr>
      <w:r w:rsidRPr="0046175F">
        <w:t>Immune</w:t>
      </w:r>
      <w:r w:rsidR="00B36EC3" w:rsidRPr="0046175F">
        <w:t>-</w:t>
      </w:r>
      <w:r w:rsidRPr="0046175F">
        <w:t>related myocarditis</w:t>
      </w:r>
    </w:p>
    <w:p w14:paraId="43278F01" w14:textId="6C6ECCDC" w:rsidR="000A0006" w:rsidRPr="0046175F" w:rsidRDefault="00FE7BB5" w:rsidP="00A7536D">
      <w:pPr>
        <w:rPr>
          <w:lang w:val="en-US" w:eastAsia="en-US"/>
        </w:rPr>
      </w:pPr>
      <w:r w:rsidRPr="0046175F">
        <w:rPr>
          <w:iCs/>
          <w:lang w:val="en-GB"/>
        </w:rPr>
        <w:t>Myocarditis</w:t>
      </w:r>
      <w:r w:rsidRPr="0046175F">
        <w:rPr>
          <w:lang w:val="en-US" w:eastAsia="en-US"/>
        </w:rPr>
        <w:t xml:space="preserve"> has been observed in clinical trials with </w:t>
      </w:r>
      <w:proofErr w:type="spellStart"/>
      <w:r w:rsidRPr="0046175F">
        <w:rPr>
          <w:lang w:val="en-US" w:eastAsia="en-US"/>
        </w:rPr>
        <w:t>Tecentriq</w:t>
      </w:r>
      <w:proofErr w:type="spellEnd"/>
      <w:r w:rsidR="00A7536D" w:rsidRPr="0046175F">
        <w:rPr>
          <w:lang w:val="en-US" w:eastAsia="en-US"/>
        </w:rPr>
        <w:t xml:space="preserve"> </w:t>
      </w:r>
      <w:r w:rsidR="00A7536D" w:rsidRPr="0046175F">
        <w:rPr>
          <w:lang w:val="en-GB"/>
        </w:rPr>
        <w:t xml:space="preserve">(see section </w:t>
      </w:r>
      <w:r w:rsidR="00A7536D" w:rsidRPr="0046175F">
        <w:rPr>
          <w:i/>
          <w:lang w:val="en-GB"/>
        </w:rPr>
        <w:t>4.8</w:t>
      </w:r>
      <w:r w:rsidR="00A7536D" w:rsidRPr="0046175F">
        <w:rPr>
          <w:i/>
        </w:rPr>
        <w:t xml:space="preserve"> </w:t>
      </w:r>
      <w:r w:rsidR="00A7536D" w:rsidRPr="0046175F">
        <w:rPr>
          <w:i/>
          <w:lang w:val="en-GB"/>
        </w:rPr>
        <w:t>Adverse effects (Undesirable effects)</w:t>
      </w:r>
      <w:r w:rsidR="00A7536D" w:rsidRPr="0046175F">
        <w:rPr>
          <w:lang w:val="en-GB"/>
        </w:rPr>
        <w:t>)</w:t>
      </w:r>
      <w:r w:rsidRPr="0046175F">
        <w:rPr>
          <w:lang w:val="en-US" w:eastAsia="en-US"/>
        </w:rPr>
        <w:t xml:space="preserve">. Patients should be monitored for signs and symptoms of myocarditis. </w:t>
      </w:r>
    </w:p>
    <w:p w14:paraId="472CBD72" w14:textId="77777777" w:rsidR="000A0006" w:rsidRPr="0046175F" w:rsidRDefault="000A0006" w:rsidP="00A7536D">
      <w:pPr>
        <w:rPr>
          <w:lang w:val="en-US" w:eastAsia="en-US"/>
        </w:rPr>
      </w:pPr>
    </w:p>
    <w:p w14:paraId="1722B365" w14:textId="45CC0BBA" w:rsidR="00A7536D" w:rsidRPr="0046175F" w:rsidRDefault="00FE7BB5" w:rsidP="00A7536D">
      <w:pPr>
        <w:rPr>
          <w:color w:val="222222"/>
          <w:shd w:val="clear" w:color="auto" w:fill="FFFFFF"/>
          <w:lang w:val="en-US" w:eastAsia="en-US"/>
        </w:rPr>
      </w:pPr>
      <w:r w:rsidRPr="0046175F">
        <w:rPr>
          <w:shd w:val="clear" w:color="auto" w:fill="FFFFFF"/>
          <w:lang w:val="en-US" w:eastAsia="en-US"/>
        </w:rPr>
        <w:t xml:space="preserve">Treatment with </w:t>
      </w:r>
      <w:proofErr w:type="spellStart"/>
      <w:r w:rsidRPr="0046175F">
        <w:rPr>
          <w:shd w:val="clear" w:color="auto" w:fill="FFFFFF"/>
          <w:lang w:val="en-US" w:eastAsia="en-US"/>
        </w:rPr>
        <w:t>Tecentriq</w:t>
      </w:r>
      <w:proofErr w:type="spellEnd"/>
      <w:r w:rsidRPr="0046175F">
        <w:rPr>
          <w:shd w:val="clear" w:color="auto" w:fill="FFFFFF"/>
          <w:lang w:val="en-US" w:eastAsia="en-US"/>
        </w:rPr>
        <w:t xml:space="preserve"> should be withheld for Grade 2 myocarditis</w:t>
      </w:r>
      <w:r w:rsidR="00596D90" w:rsidRPr="0046175F">
        <w:t xml:space="preserve"> </w:t>
      </w:r>
      <w:r w:rsidR="00596D90" w:rsidRPr="0046175F">
        <w:rPr>
          <w:shd w:val="clear" w:color="auto" w:fill="FFFFFF"/>
          <w:lang w:val="en-US" w:eastAsia="en-US"/>
        </w:rPr>
        <w:t>and treatment with systemic corticosteroids at a dose of 1 to 2</w:t>
      </w:r>
      <w:r w:rsidR="00E423A9" w:rsidRPr="0046175F">
        <w:rPr>
          <w:shd w:val="clear" w:color="auto" w:fill="FFFFFF"/>
          <w:lang w:val="en-US" w:eastAsia="en-US"/>
        </w:rPr>
        <w:t xml:space="preserve"> </w:t>
      </w:r>
      <w:r w:rsidR="00596D90" w:rsidRPr="0046175F">
        <w:rPr>
          <w:shd w:val="clear" w:color="auto" w:fill="FFFFFF"/>
          <w:lang w:val="en-US" w:eastAsia="en-US"/>
        </w:rPr>
        <w:t xml:space="preserve">mg/kg/day of prednisone or equivalent should be started. Treatment with </w:t>
      </w:r>
      <w:proofErr w:type="spellStart"/>
      <w:r w:rsidR="0041343F" w:rsidRPr="0046175F">
        <w:rPr>
          <w:shd w:val="clear" w:color="auto" w:fill="FFFFFF"/>
          <w:lang w:val="en-US" w:eastAsia="en-US"/>
        </w:rPr>
        <w:t>Tecentriq</w:t>
      </w:r>
      <w:proofErr w:type="spellEnd"/>
      <w:r w:rsidR="00596D90" w:rsidRPr="0046175F">
        <w:rPr>
          <w:shd w:val="clear" w:color="auto" w:fill="FFFFFF"/>
          <w:lang w:val="en-US" w:eastAsia="en-US"/>
        </w:rPr>
        <w:t xml:space="preserve"> may be resumed if the event improves to ≤ Grade 1 within 12 weeks, and corticosteroids have been reduced to ≤ 10 mg prednisone or equivalent per day.</w:t>
      </w:r>
      <w:r w:rsidRPr="0046175F">
        <w:rPr>
          <w:color w:val="222222"/>
          <w:shd w:val="clear" w:color="auto" w:fill="FFFFFF"/>
          <w:lang w:val="en-US" w:eastAsia="en-US"/>
        </w:rPr>
        <w:t xml:space="preserve"> Treatment with </w:t>
      </w:r>
      <w:proofErr w:type="spellStart"/>
      <w:r w:rsidRPr="0046175F">
        <w:rPr>
          <w:color w:val="222222"/>
          <w:shd w:val="clear" w:color="auto" w:fill="FFFFFF"/>
          <w:lang w:val="en-US" w:eastAsia="en-US"/>
        </w:rPr>
        <w:t>Tecentriq</w:t>
      </w:r>
      <w:proofErr w:type="spellEnd"/>
      <w:r w:rsidRPr="0046175F">
        <w:rPr>
          <w:color w:val="222222"/>
          <w:shd w:val="clear" w:color="auto" w:fill="FFFFFF"/>
          <w:lang w:val="en-US" w:eastAsia="en-US"/>
        </w:rPr>
        <w:t xml:space="preserve"> </w:t>
      </w:r>
      <w:r w:rsidR="0055212E">
        <w:rPr>
          <w:color w:val="222222"/>
          <w:shd w:val="clear" w:color="auto" w:fill="FFFFFF"/>
          <w:lang w:val="en-US" w:eastAsia="en-US"/>
        </w:rPr>
        <w:t>must</w:t>
      </w:r>
      <w:r w:rsidR="0055212E" w:rsidRPr="0046175F">
        <w:rPr>
          <w:color w:val="222222"/>
          <w:shd w:val="clear" w:color="auto" w:fill="FFFFFF"/>
          <w:lang w:val="en-US" w:eastAsia="en-US"/>
        </w:rPr>
        <w:t xml:space="preserve"> </w:t>
      </w:r>
      <w:r w:rsidRPr="0046175F">
        <w:rPr>
          <w:color w:val="222222"/>
          <w:shd w:val="clear" w:color="auto" w:fill="FFFFFF"/>
          <w:lang w:val="en-US" w:eastAsia="en-US"/>
        </w:rPr>
        <w:t>be permanently discontinued for Grade 3 or 4 myocarditis.</w:t>
      </w:r>
    </w:p>
    <w:p w14:paraId="3E3EA4A5" w14:textId="768DBC77" w:rsidR="00E925D2" w:rsidRPr="0046175F" w:rsidRDefault="00E925D2" w:rsidP="00100867">
      <w:pPr>
        <w:pStyle w:val="Heading3"/>
        <w:rPr>
          <w:lang w:val="en-US" w:eastAsia="en-US"/>
        </w:rPr>
      </w:pPr>
      <w:r w:rsidRPr="0046175F">
        <w:rPr>
          <w:lang w:val="en-US" w:eastAsia="en-US"/>
        </w:rPr>
        <w:t>Immune-related myositis</w:t>
      </w:r>
    </w:p>
    <w:p w14:paraId="3886E96B" w14:textId="18AE844A" w:rsidR="00E925D2" w:rsidRPr="0046175F" w:rsidRDefault="00E925D2" w:rsidP="00E925D2">
      <w:pPr>
        <w:rPr>
          <w:lang w:val="en-US" w:eastAsia="en-US"/>
        </w:rPr>
      </w:pPr>
      <w:r w:rsidRPr="0046175F">
        <w:rPr>
          <w:lang w:val="en-US" w:eastAsia="en-US"/>
        </w:rPr>
        <w:t xml:space="preserve">Cases of myositis, including fatal cases, have been observed in clinical trials with </w:t>
      </w:r>
      <w:proofErr w:type="spellStart"/>
      <w:r w:rsidRPr="0046175F">
        <w:rPr>
          <w:lang w:val="en-US" w:eastAsia="en-US"/>
        </w:rPr>
        <w:t>Tecentriq</w:t>
      </w:r>
      <w:proofErr w:type="spellEnd"/>
      <w:r w:rsidRPr="0046175F">
        <w:rPr>
          <w:lang w:val="en-US" w:eastAsia="en-US"/>
        </w:rPr>
        <w:t xml:space="preserve"> (see section </w:t>
      </w:r>
      <w:r w:rsidRPr="00100867">
        <w:rPr>
          <w:i/>
          <w:lang w:val="en-US" w:eastAsia="en-US"/>
        </w:rPr>
        <w:t>4.8 Adverse effects (Undesirable effects)</w:t>
      </w:r>
      <w:r w:rsidRPr="0046175F">
        <w:rPr>
          <w:lang w:val="en-US" w:eastAsia="en-US"/>
        </w:rPr>
        <w:t xml:space="preserve">). Patients should be monitored for signs and symptoms of myositis. </w:t>
      </w:r>
    </w:p>
    <w:p w14:paraId="7A15BDFB" w14:textId="280771E1" w:rsidR="00E925D2" w:rsidRPr="0046175F" w:rsidRDefault="00E925D2" w:rsidP="00E925D2">
      <w:pPr>
        <w:rPr>
          <w:lang w:val="en-US" w:eastAsia="en-US"/>
        </w:rPr>
      </w:pPr>
    </w:p>
    <w:p w14:paraId="40A880E8" w14:textId="3FEAB809" w:rsidR="00E925D2" w:rsidRPr="0046175F" w:rsidRDefault="00E925D2" w:rsidP="00E925D2">
      <w:pPr>
        <w:rPr>
          <w:lang w:val="en-US" w:eastAsia="en-US"/>
        </w:rPr>
      </w:pPr>
      <w:r w:rsidRPr="0046175F">
        <w:rPr>
          <w:lang w:val="en-US" w:eastAsia="en-US"/>
        </w:rPr>
        <w:t xml:space="preserve">Treatment with </w:t>
      </w:r>
      <w:proofErr w:type="spellStart"/>
      <w:r w:rsidR="00E423A9" w:rsidRPr="0046175F">
        <w:rPr>
          <w:lang w:val="en-US" w:eastAsia="en-US"/>
        </w:rPr>
        <w:t>Tecentriq</w:t>
      </w:r>
      <w:proofErr w:type="spellEnd"/>
      <w:r w:rsidRPr="0046175F">
        <w:rPr>
          <w:lang w:val="en-US" w:eastAsia="en-US"/>
        </w:rPr>
        <w:t xml:space="preserve"> should be withheld for Grade 2 or 3 myositis and corticosteroid therapy (1</w:t>
      </w:r>
      <w:r w:rsidR="00E423A9" w:rsidRPr="0046175F">
        <w:rPr>
          <w:lang w:val="en-US" w:eastAsia="en-US"/>
        </w:rPr>
        <w:t xml:space="preserve"> to </w:t>
      </w:r>
      <w:r w:rsidRPr="0046175F">
        <w:rPr>
          <w:lang w:val="en-US" w:eastAsia="en-US"/>
        </w:rPr>
        <w:t xml:space="preserve">2 mg/kg/day prednisone or equivalent) should be initiated. If symptoms improve to ≤ Grade 1, taper corticosteroids as clinically indicated. Treatment with </w:t>
      </w:r>
      <w:proofErr w:type="spellStart"/>
      <w:r w:rsidRPr="0046175F">
        <w:rPr>
          <w:lang w:val="en-US" w:eastAsia="en-US"/>
        </w:rPr>
        <w:t>Tecentriq</w:t>
      </w:r>
      <w:proofErr w:type="spellEnd"/>
      <w:r w:rsidRPr="0046175F">
        <w:rPr>
          <w:lang w:val="en-US" w:eastAsia="en-US"/>
        </w:rPr>
        <w:t xml:space="preserve"> may be resumed if the event improves to ≤ Grade 1 within 12 weeks, and corticosteroids have been reduced to ≤ 10 mg prednisone or equivalent per day. Treatment with </w:t>
      </w:r>
      <w:proofErr w:type="spellStart"/>
      <w:r w:rsidRPr="0046175F">
        <w:rPr>
          <w:lang w:val="en-US" w:eastAsia="en-US"/>
        </w:rPr>
        <w:t>Tecentriq</w:t>
      </w:r>
      <w:proofErr w:type="spellEnd"/>
      <w:r w:rsidRPr="0046175F">
        <w:rPr>
          <w:lang w:val="en-US" w:eastAsia="en-US"/>
        </w:rPr>
        <w:t xml:space="preserve"> should be permanently discontinued for Grade 4 or </w:t>
      </w:r>
      <w:r w:rsidR="00C702C8">
        <w:rPr>
          <w:lang w:val="en-US" w:eastAsia="en-US"/>
        </w:rPr>
        <w:t>G</w:t>
      </w:r>
      <w:r w:rsidRPr="0046175F">
        <w:rPr>
          <w:lang w:val="en-US" w:eastAsia="en-US"/>
        </w:rPr>
        <w:t>rade 3 recurrent myositis.</w:t>
      </w:r>
    </w:p>
    <w:p w14:paraId="11864B7B" w14:textId="77777777" w:rsidR="00B36EC3" w:rsidRPr="0046175F" w:rsidRDefault="00B36EC3" w:rsidP="00B36EC3">
      <w:pPr>
        <w:pStyle w:val="Heading3"/>
        <w:rPr>
          <w:lang w:val="en-GB"/>
        </w:rPr>
      </w:pPr>
      <w:r w:rsidRPr="0046175F">
        <w:rPr>
          <w:lang w:val="en-GB"/>
        </w:rPr>
        <w:t>Immune-related nephritis</w:t>
      </w:r>
    </w:p>
    <w:p w14:paraId="0B899086" w14:textId="77777777" w:rsidR="00596D90" w:rsidRPr="0046175F" w:rsidRDefault="00B36EC3" w:rsidP="00B36EC3">
      <w:pPr>
        <w:rPr>
          <w:lang w:val="en-GB"/>
        </w:rPr>
      </w:pPr>
      <w:r w:rsidRPr="0046175F">
        <w:rPr>
          <w:lang w:val="en-GB"/>
        </w:rPr>
        <w:t xml:space="preserve">Nephritis has been observed in clinical trials with </w:t>
      </w:r>
      <w:proofErr w:type="spellStart"/>
      <w:r w:rsidRPr="0046175F">
        <w:rPr>
          <w:lang w:val="en-GB"/>
        </w:rPr>
        <w:t>Tecentriq</w:t>
      </w:r>
      <w:proofErr w:type="spellEnd"/>
      <w:r w:rsidRPr="0046175F">
        <w:rPr>
          <w:lang w:val="en-GB"/>
        </w:rPr>
        <w:t xml:space="preserve"> (see section </w:t>
      </w:r>
      <w:r w:rsidRPr="0046175F">
        <w:rPr>
          <w:i/>
          <w:lang w:val="en-GB"/>
        </w:rPr>
        <w:t>4.8 Adverse effects (Undesirable effects)</w:t>
      </w:r>
      <w:r w:rsidRPr="0046175F">
        <w:rPr>
          <w:lang w:val="en-GB"/>
        </w:rPr>
        <w:t xml:space="preserve">). Patients should be monitored for changes in renal function. </w:t>
      </w:r>
    </w:p>
    <w:p w14:paraId="10F80C08" w14:textId="77777777" w:rsidR="00596D90" w:rsidRPr="0046175F" w:rsidRDefault="00596D90" w:rsidP="00B36EC3">
      <w:pPr>
        <w:rPr>
          <w:lang w:val="en-GB"/>
        </w:rPr>
      </w:pPr>
    </w:p>
    <w:p w14:paraId="680A6A13" w14:textId="37A2E694" w:rsidR="00B36EC3" w:rsidRPr="0046175F" w:rsidRDefault="00B36EC3" w:rsidP="00B36EC3">
      <w:pPr>
        <w:rPr>
          <w:lang w:val="en-GB"/>
        </w:rPr>
      </w:pPr>
      <w:r w:rsidRPr="0046175F">
        <w:rPr>
          <w:lang w:val="en-GB"/>
        </w:rPr>
        <w:t xml:space="preserve">Treatment with </w:t>
      </w:r>
      <w:proofErr w:type="spellStart"/>
      <w:r w:rsidRPr="0046175F">
        <w:rPr>
          <w:lang w:val="en-GB"/>
        </w:rPr>
        <w:t>Tecentriq</w:t>
      </w:r>
      <w:proofErr w:type="spellEnd"/>
      <w:r w:rsidRPr="0046175F">
        <w:rPr>
          <w:lang w:val="en-GB"/>
        </w:rPr>
        <w:t xml:space="preserve"> should be withheld for Grade 2 nephritis. Treatment with </w:t>
      </w:r>
      <w:r w:rsidR="0055212E" w:rsidRPr="0055212E">
        <w:rPr>
          <w:lang w:val="en-GB"/>
        </w:rPr>
        <w:t xml:space="preserve">systemic </w:t>
      </w:r>
      <w:r w:rsidRPr="0046175F">
        <w:rPr>
          <w:lang w:val="en-GB"/>
        </w:rPr>
        <w:t>corticosteroid</w:t>
      </w:r>
      <w:r w:rsidR="0055212E">
        <w:rPr>
          <w:lang w:val="en-GB"/>
        </w:rPr>
        <w:t>s</w:t>
      </w:r>
      <w:r w:rsidRPr="0046175F">
        <w:rPr>
          <w:lang w:val="en-GB"/>
        </w:rPr>
        <w:t xml:space="preserve"> (1</w:t>
      </w:r>
      <w:r w:rsidR="0055212E">
        <w:rPr>
          <w:lang w:val="en-GB"/>
        </w:rPr>
        <w:t xml:space="preserve"> to </w:t>
      </w:r>
      <w:r w:rsidRPr="0046175F">
        <w:rPr>
          <w:lang w:val="en-GB"/>
        </w:rPr>
        <w:t xml:space="preserve">2 mg/kg/day prednisone or equivalent) should be initiated. Treatment with </w:t>
      </w:r>
      <w:proofErr w:type="spellStart"/>
      <w:r w:rsidRPr="0046175F">
        <w:rPr>
          <w:lang w:val="en-GB"/>
        </w:rPr>
        <w:t>Tecentriq</w:t>
      </w:r>
      <w:proofErr w:type="spellEnd"/>
      <w:r w:rsidRPr="0046175F">
        <w:rPr>
          <w:lang w:val="en-GB"/>
        </w:rPr>
        <w:t xml:space="preserve"> may be resumed when the symptoms improve to Grade 0 or Grade 1 within 12 weeks and corticosteroids have been reduced to the equivalent of ≤ 10 mg prednisone or equivalent per day. </w:t>
      </w:r>
      <w:proofErr w:type="spellStart"/>
      <w:r w:rsidRPr="0046175F">
        <w:rPr>
          <w:lang w:val="en-GB"/>
        </w:rPr>
        <w:t>Tecentriq</w:t>
      </w:r>
      <w:proofErr w:type="spellEnd"/>
      <w:r w:rsidRPr="0046175F">
        <w:rPr>
          <w:lang w:val="en-GB"/>
        </w:rPr>
        <w:t xml:space="preserve"> </w:t>
      </w:r>
      <w:r w:rsidR="0055212E">
        <w:rPr>
          <w:lang w:val="en-GB"/>
        </w:rPr>
        <w:t>must</w:t>
      </w:r>
      <w:r w:rsidR="0055212E" w:rsidRPr="0046175F">
        <w:rPr>
          <w:lang w:val="en-GB"/>
        </w:rPr>
        <w:t xml:space="preserve"> </w:t>
      </w:r>
      <w:r w:rsidRPr="0046175F">
        <w:rPr>
          <w:lang w:val="en-GB"/>
        </w:rPr>
        <w:t>be permanently discontinued for Grade 3 or 4 nephritis.</w:t>
      </w:r>
    </w:p>
    <w:p w14:paraId="4E068AF2" w14:textId="4D82CF65" w:rsidR="00FE7BB5" w:rsidRPr="0046175F" w:rsidRDefault="00FE7BB5" w:rsidP="0050482B">
      <w:pPr>
        <w:pStyle w:val="Heading3"/>
        <w:rPr>
          <w:lang w:val="en-GB"/>
        </w:rPr>
      </w:pPr>
      <w:r w:rsidRPr="0046175F">
        <w:rPr>
          <w:lang w:val="en-GB"/>
        </w:rPr>
        <w:lastRenderedPageBreak/>
        <w:t>Infusion</w:t>
      </w:r>
      <w:r w:rsidR="005616CC" w:rsidRPr="0046175F">
        <w:rPr>
          <w:lang w:val="en-GB"/>
        </w:rPr>
        <w:t>-</w:t>
      </w:r>
      <w:r w:rsidRPr="0046175F">
        <w:rPr>
          <w:lang w:val="en-GB"/>
        </w:rPr>
        <w:t>related reactions</w:t>
      </w:r>
    </w:p>
    <w:p w14:paraId="6C0D4F30" w14:textId="320EE599" w:rsidR="00FE7BB5" w:rsidRPr="0046175F" w:rsidRDefault="00FE7BB5" w:rsidP="00CD75CF">
      <w:pPr>
        <w:rPr>
          <w:lang w:val="en-GB"/>
        </w:rPr>
      </w:pPr>
      <w:r w:rsidRPr="0046175F">
        <w:rPr>
          <w:lang w:val="en-GB"/>
        </w:rPr>
        <w:t>Infusion</w:t>
      </w:r>
      <w:r w:rsidR="005616CC" w:rsidRPr="0046175F">
        <w:rPr>
          <w:lang w:val="en-GB"/>
        </w:rPr>
        <w:t>-</w:t>
      </w:r>
      <w:r w:rsidRPr="0046175F">
        <w:rPr>
          <w:lang w:val="en-GB"/>
        </w:rPr>
        <w:t>related reactions (IRRs)</w:t>
      </w:r>
      <w:r w:rsidR="00BA794C">
        <w:rPr>
          <w:lang w:val="en-GB"/>
        </w:rPr>
        <w:t xml:space="preserve">, </w:t>
      </w:r>
      <w:r w:rsidR="00BA794C" w:rsidRPr="00BA794C">
        <w:rPr>
          <w:lang w:val="en-GB"/>
        </w:rPr>
        <w:t>including hypersensitivity and anaphylaxis</w:t>
      </w:r>
      <w:r w:rsidR="00BA794C">
        <w:rPr>
          <w:lang w:val="en-GB"/>
        </w:rPr>
        <w:t>,</w:t>
      </w:r>
      <w:r w:rsidRPr="0046175F">
        <w:rPr>
          <w:lang w:val="en-GB"/>
        </w:rPr>
        <w:t xml:space="preserve"> have been observed in clinical trials with </w:t>
      </w:r>
      <w:proofErr w:type="spellStart"/>
      <w:r w:rsidRPr="0046175F">
        <w:rPr>
          <w:lang w:val="en-GB"/>
        </w:rPr>
        <w:t>Tecentriq</w:t>
      </w:r>
      <w:proofErr w:type="spellEnd"/>
      <w:r w:rsidRPr="0046175F">
        <w:rPr>
          <w:lang w:val="en-GB"/>
        </w:rPr>
        <w:t xml:space="preserve"> </w:t>
      </w:r>
      <w:r w:rsidR="0050482B" w:rsidRPr="0046175F">
        <w:rPr>
          <w:lang w:val="en-GB"/>
        </w:rPr>
        <w:t xml:space="preserve">(see section </w:t>
      </w:r>
      <w:r w:rsidR="0050482B" w:rsidRPr="0046175F">
        <w:rPr>
          <w:i/>
          <w:lang w:val="en-GB"/>
        </w:rPr>
        <w:t>4.8</w:t>
      </w:r>
      <w:r w:rsidR="00566E29" w:rsidRPr="0046175F">
        <w:rPr>
          <w:i/>
          <w:lang w:val="en-GB"/>
        </w:rPr>
        <w:t xml:space="preserve"> Adverse effects (Undesirable effects)</w:t>
      </w:r>
      <w:r w:rsidR="0050482B" w:rsidRPr="0046175F">
        <w:rPr>
          <w:lang w:val="en-GB"/>
        </w:rPr>
        <w:t>)</w:t>
      </w:r>
      <w:r w:rsidRPr="0046175F">
        <w:rPr>
          <w:lang w:val="en-GB"/>
        </w:rPr>
        <w:t xml:space="preserve">. </w:t>
      </w:r>
    </w:p>
    <w:p w14:paraId="55A3C625" w14:textId="77777777" w:rsidR="00FE7BB5" w:rsidRPr="0046175F" w:rsidRDefault="00FE7BB5" w:rsidP="00CD75CF">
      <w:pPr>
        <w:rPr>
          <w:lang w:val="en-GB"/>
        </w:rPr>
      </w:pPr>
    </w:p>
    <w:p w14:paraId="06F54DE4" w14:textId="0B5740DD" w:rsidR="00FE7BB5" w:rsidRDefault="00FE7BB5" w:rsidP="00CD75CF">
      <w:pPr>
        <w:rPr>
          <w:lang w:val="en-GB"/>
        </w:rPr>
      </w:pPr>
      <w:r w:rsidRPr="0046175F">
        <w:rPr>
          <w:lang w:val="en-GB"/>
        </w:rPr>
        <w:t xml:space="preserve">The rate of infusion should be reduced or treatment should be interrupted in patients with Grade 1 or 2 infusion related reactions. </w:t>
      </w:r>
      <w:proofErr w:type="spellStart"/>
      <w:r w:rsidRPr="0046175F">
        <w:rPr>
          <w:lang w:val="en-GB"/>
        </w:rPr>
        <w:t>Tecentriq</w:t>
      </w:r>
      <w:proofErr w:type="spellEnd"/>
      <w:r w:rsidRPr="0046175F">
        <w:rPr>
          <w:lang w:val="en-GB"/>
        </w:rPr>
        <w:t xml:space="preserve"> should be permanently discontinued in patients with Grade 3 or 4 infusion</w:t>
      </w:r>
      <w:r w:rsidR="00596D90" w:rsidRPr="0046175F">
        <w:rPr>
          <w:lang w:val="en-GB"/>
        </w:rPr>
        <w:t>-</w:t>
      </w:r>
      <w:r w:rsidRPr="0046175F">
        <w:rPr>
          <w:lang w:val="en-GB"/>
        </w:rPr>
        <w:t>related reactions. Patients with Grade 1 or 2 infusion</w:t>
      </w:r>
      <w:r w:rsidR="00596D90" w:rsidRPr="0046175F">
        <w:rPr>
          <w:lang w:val="en-GB"/>
        </w:rPr>
        <w:t>-</w:t>
      </w:r>
      <w:r w:rsidRPr="0046175F">
        <w:rPr>
          <w:lang w:val="en-GB"/>
        </w:rPr>
        <w:t xml:space="preserve">related reactions may continue to receive </w:t>
      </w:r>
      <w:proofErr w:type="spellStart"/>
      <w:r w:rsidRPr="0046175F">
        <w:rPr>
          <w:lang w:val="en-GB"/>
        </w:rPr>
        <w:t>Tecentriq</w:t>
      </w:r>
      <w:proofErr w:type="spellEnd"/>
      <w:r w:rsidRPr="0046175F">
        <w:rPr>
          <w:lang w:val="en-GB"/>
        </w:rPr>
        <w:t xml:space="preserve"> with close monitoring; premedication with an antipyretic and antihistamines may be considered.</w:t>
      </w:r>
    </w:p>
    <w:p w14:paraId="0214EA31" w14:textId="7C5215C0" w:rsidR="0088166A" w:rsidRPr="0046175F" w:rsidRDefault="0088166A" w:rsidP="00364F3A">
      <w:pPr>
        <w:pStyle w:val="Heading3"/>
        <w:rPr>
          <w:lang w:val="en-GB"/>
        </w:rPr>
      </w:pPr>
      <w:r w:rsidRPr="0088166A">
        <w:rPr>
          <w:lang w:val="en-GB"/>
        </w:rPr>
        <w:t>Disease-specific precautions</w:t>
      </w:r>
    </w:p>
    <w:p w14:paraId="3FAB186E" w14:textId="77777777" w:rsidR="00596D90" w:rsidRPr="0046175F" w:rsidRDefault="00596D90" w:rsidP="00364F3A">
      <w:pPr>
        <w:pStyle w:val="Heading4"/>
        <w:rPr>
          <w:lang w:val="en-GB"/>
        </w:rPr>
      </w:pPr>
      <w:r w:rsidRPr="0046175F">
        <w:rPr>
          <w:lang w:val="en-GB"/>
        </w:rPr>
        <w:t>Patients excluded from clinical trials</w:t>
      </w:r>
    </w:p>
    <w:p w14:paraId="047C8ECA" w14:textId="77777777" w:rsidR="00596D90" w:rsidRPr="0046175F" w:rsidRDefault="00596D90" w:rsidP="00596D90">
      <w:pPr>
        <w:rPr>
          <w:lang w:val="en-GB"/>
        </w:rPr>
      </w:pPr>
      <w:r w:rsidRPr="0046175F">
        <w:rPr>
          <w:lang w:val="en-GB"/>
        </w:rPr>
        <w:t xml:space="preserve">Patients with the following conditions were excluded from clinical trials: a history of autoimmune disease, history of pneumonitis, active brain metastasis, HIV, hepatitis B or hepatitis C infection. Patients who were administered a live, attenuated vaccine within 28 days prior to enrolment; systemic </w:t>
      </w:r>
      <w:proofErr w:type="spellStart"/>
      <w:r w:rsidRPr="0046175F">
        <w:rPr>
          <w:lang w:val="en-GB"/>
        </w:rPr>
        <w:t>immunostimulatory</w:t>
      </w:r>
      <w:proofErr w:type="spellEnd"/>
      <w:r w:rsidRPr="0046175F">
        <w:rPr>
          <w:lang w:val="en-GB"/>
        </w:rPr>
        <w:t xml:space="preserve"> agents within 4 weeks or systemic immunosuppressive medicinal products within 2 weeks prior to study entry were excluded from clinical trials. </w:t>
      </w:r>
    </w:p>
    <w:p w14:paraId="397E81AC" w14:textId="77777777" w:rsidR="00596D90" w:rsidRPr="0046175F" w:rsidRDefault="00596D90" w:rsidP="00596D90">
      <w:pPr>
        <w:rPr>
          <w:lang w:val="en-GB"/>
        </w:rPr>
      </w:pPr>
    </w:p>
    <w:p w14:paraId="41F9E76E" w14:textId="00BEF184" w:rsidR="00596D90" w:rsidRDefault="00596D90" w:rsidP="00596D90">
      <w:pPr>
        <w:rPr>
          <w:lang w:val="en-GB"/>
        </w:rPr>
      </w:pPr>
      <w:r w:rsidRPr="0046175F">
        <w:rPr>
          <w:lang w:val="en-GB"/>
        </w:rPr>
        <w:t xml:space="preserve">Patients with a baseline performance status ≥ 2 were excluded (apart from Study GO29293 [IMvigor210] Cohort 1 that enrolled patients with cisplatin-ineligible urothelial carcinoma and allowed a baseline performance status ≥ 2) (see section </w:t>
      </w:r>
      <w:r w:rsidRPr="0046175F">
        <w:rPr>
          <w:i/>
          <w:lang w:val="en-GB"/>
        </w:rPr>
        <w:t>5.1 Pharmacodynamic properties</w:t>
      </w:r>
      <w:r w:rsidRPr="0046175F">
        <w:rPr>
          <w:lang w:val="en-GB"/>
        </w:rPr>
        <w:t>).</w:t>
      </w:r>
    </w:p>
    <w:p w14:paraId="39EFC69E" w14:textId="5CA013AC" w:rsidR="0088166A" w:rsidRPr="0088166A" w:rsidRDefault="0088166A" w:rsidP="00364F3A">
      <w:pPr>
        <w:pStyle w:val="Heading4"/>
        <w:rPr>
          <w:lang w:val="en-GB"/>
        </w:rPr>
      </w:pPr>
      <w:r w:rsidRPr="0088166A">
        <w:rPr>
          <w:lang w:val="en-GB"/>
        </w:rPr>
        <w:t xml:space="preserve">Use of </w:t>
      </w:r>
      <w:proofErr w:type="spellStart"/>
      <w:r>
        <w:rPr>
          <w:lang w:val="en-GB"/>
        </w:rPr>
        <w:t>Tecentriq</w:t>
      </w:r>
      <w:proofErr w:type="spellEnd"/>
      <w:r w:rsidRPr="0088166A">
        <w:rPr>
          <w:lang w:val="en-GB"/>
        </w:rPr>
        <w:t xml:space="preserve"> in combination with bevacizumab, paclitaxel and carboplatin in metastatic non-squamous </w:t>
      </w:r>
      <w:proofErr w:type="spellStart"/>
      <w:r w:rsidRPr="0088166A">
        <w:rPr>
          <w:lang w:val="en-GB"/>
        </w:rPr>
        <w:t>non small</w:t>
      </w:r>
      <w:proofErr w:type="spellEnd"/>
      <w:r w:rsidRPr="0088166A">
        <w:rPr>
          <w:lang w:val="en-GB"/>
        </w:rPr>
        <w:t xml:space="preserve"> cell lung cancer </w:t>
      </w:r>
    </w:p>
    <w:p w14:paraId="4F55709F" w14:textId="4FC26819" w:rsidR="0088166A" w:rsidRDefault="0088166A" w:rsidP="0088166A">
      <w:pPr>
        <w:rPr>
          <w:lang w:val="en-GB"/>
        </w:rPr>
      </w:pPr>
      <w:r w:rsidRPr="0088166A">
        <w:rPr>
          <w:lang w:val="en-GB"/>
        </w:rPr>
        <w:t xml:space="preserve">Physicians should carefully consider the combined risks of the four-drug regimen of </w:t>
      </w:r>
      <w:proofErr w:type="spellStart"/>
      <w:r>
        <w:rPr>
          <w:lang w:val="en-GB"/>
        </w:rPr>
        <w:t>Tecentriq</w:t>
      </w:r>
      <w:proofErr w:type="spellEnd"/>
      <w:r w:rsidRPr="0088166A">
        <w:rPr>
          <w:lang w:val="en-GB"/>
        </w:rPr>
        <w:t xml:space="preserve">, bevacizumab, paclitaxel, and carboplatin before initiating treatment (see section </w:t>
      </w:r>
      <w:r w:rsidRPr="00364F3A">
        <w:rPr>
          <w:i/>
          <w:lang w:val="en-GB"/>
        </w:rPr>
        <w:t>4.8 Adverse effects (Undesirable effects)</w:t>
      </w:r>
      <w:r w:rsidRPr="0088166A">
        <w:rPr>
          <w:lang w:val="en-GB"/>
        </w:rPr>
        <w:t>).</w:t>
      </w:r>
    </w:p>
    <w:p w14:paraId="49074971" w14:textId="64BE08A8" w:rsidR="0088166A" w:rsidRPr="0088166A" w:rsidRDefault="0088166A" w:rsidP="00364F3A">
      <w:pPr>
        <w:pStyle w:val="Heading4"/>
        <w:rPr>
          <w:lang w:val="en-GB"/>
        </w:rPr>
      </w:pPr>
      <w:r w:rsidRPr="0088166A">
        <w:rPr>
          <w:lang w:val="en-GB"/>
        </w:rPr>
        <w:t xml:space="preserve">Use of </w:t>
      </w:r>
      <w:proofErr w:type="spellStart"/>
      <w:r>
        <w:rPr>
          <w:lang w:val="en-GB"/>
        </w:rPr>
        <w:t>Tecentriq</w:t>
      </w:r>
      <w:proofErr w:type="spellEnd"/>
      <w:r w:rsidRPr="0088166A">
        <w:rPr>
          <w:lang w:val="en-GB"/>
        </w:rPr>
        <w:t xml:space="preserve"> in combination with bevacizumab, paclitaxel and carboplatin </w:t>
      </w:r>
    </w:p>
    <w:p w14:paraId="37E6A17E" w14:textId="6AD596CC" w:rsidR="0088166A" w:rsidRDefault="0088166A" w:rsidP="0088166A">
      <w:pPr>
        <w:rPr>
          <w:lang w:val="en-GB"/>
        </w:rPr>
      </w:pPr>
      <w:r w:rsidRPr="0088166A">
        <w:rPr>
          <w:lang w:val="en-GB"/>
        </w:rPr>
        <w:t xml:space="preserve">Patients with NSCLC that had clear tumour infiltration into the thoracic great vessels or clear cavitation of pulmonary lesions, as seen on imaging, were excluded from the pivotal clinical study IMpower150 after several cases of fatal pulmonary haemorrhage were observed, which is a known risk factor of treatment with bevacizumab. In the absence of data, </w:t>
      </w:r>
      <w:proofErr w:type="spellStart"/>
      <w:r>
        <w:rPr>
          <w:lang w:val="en-GB"/>
        </w:rPr>
        <w:t>Tecentriq</w:t>
      </w:r>
      <w:proofErr w:type="spellEnd"/>
      <w:r w:rsidRPr="0088166A">
        <w:rPr>
          <w:lang w:val="en-GB"/>
        </w:rPr>
        <w:t xml:space="preserve"> should be used with caution in these populations after careful evaluation of the balance of benefits and risks for the patient.</w:t>
      </w:r>
    </w:p>
    <w:p w14:paraId="17B75A4F" w14:textId="222D1E47" w:rsidR="00596D90" w:rsidRPr="0046175F" w:rsidRDefault="00596D90" w:rsidP="00364F3A">
      <w:pPr>
        <w:pStyle w:val="Heading4"/>
        <w:rPr>
          <w:lang w:val="en-GB"/>
        </w:rPr>
      </w:pPr>
      <w:r w:rsidRPr="0046175F">
        <w:rPr>
          <w:lang w:val="en-GB"/>
        </w:rPr>
        <w:t xml:space="preserve">Use of </w:t>
      </w:r>
      <w:proofErr w:type="spellStart"/>
      <w:r w:rsidRPr="0046175F">
        <w:rPr>
          <w:lang w:val="en-GB"/>
        </w:rPr>
        <w:t>Tecentriq</w:t>
      </w:r>
      <w:proofErr w:type="spellEnd"/>
      <w:r w:rsidRPr="0046175F">
        <w:rPr>
          <w:lang w:val="en-GB"/>
        </w:rPr>
        <w:t xml:space="preserve"> in urothelial carcinoma for previously untreated patients who are considered cisplatin</w:t>
      </w:r>
      <w:r w:rsidR="00A7536D" w:rsidRPr="0046175F">
        <w:rPr>
          <w:lang w:val="en-GB"/>
        </w:rPr>
        <w:t xml:space="preserve"> </w:t>
      </w:r>
      <w:r w:rsidRPr="0046175F">
        <w:rPr>
          <w:lang w:val="en-GB"/>
        </w:rPr>
        <w:t>ineligible</w:t>
      </w:r>
    </w:p>
    <w:p w14:paraId="56A6D0B0" w14:textId="39EBB7C8" w:rsidR="00596D90" w:rsidRDefault="00596D90" w:rsidP="00596D90">
      <w:pPr>
        <w:rPr>
          <w:lang w:val="en-GB"/>
        </w:rPr>
      </w:pPr>
      <w:r w:rsidRPr="0046175F">
        <w:rPr>
          <w:lang w:val="en-GB"/>
        </w:rPr>
        <w:t xml:space="preserve">The baseline and prognostic disease characteristics of the IMvigor210 Cohort 1 study population were overall comparable to patients in the clinic who would be considered cisplatin ineligible but would be eligible for a carboplatin based combination chemotherapy. There are insufficient data for the subgroup of patients that would be unfit for any chemotherapy; therefore </w:t>
      </w:r>
      <w:proofErr w:type="spellStart"/>
      <w:r w:rsidR="0041343F" w:rsidRPr="0046175F">
        <w:rPr>
          <w:lang w:val="en-GB"/>
        </w:rPr>
        <w:t>Tecentriq</w:t>
      </w:r>
      <w:proofErr w:type="spellEnd"/>
      <w:r w:rsidRPr="0046175F">
        <w:rPr>
          <w:lang w:val="en-GB"/>
        </w:rPr>
        <w:t xml:space="preserve"> should be used with caution in these patients, after careful consideration of the potential balance of risks and benefits on an individual basis.</w:t>
      </w:r>
    </w:p>
    <w:p w14:paraId="22F63512" w14:textId="4CC1C14F" w:rsidR="00221709" w:rsidRDefault="00221709" w:rsidP="00596D90">
      <w:pPr>
        <w:rPr>
          <w:lang w:val="en-GB"/>
        </w:rPr>
      </w:pPr>
    </w:p>
    <w:p w14:paraId="015DB9BC" w14:textId="77777777" w:rsidR="00221709" w:rsidRPr="00803FA2" w:rsidRDefault="00221709" w:rsidP="00221709">
      <w:pPr>
        <w:rPr>
          <w:i/>
          <w:u w:val="single"/>
        </w:rPr>
      </w:pPr>
      <w:r w:rsidRPr="002D27B7">
        <w:rPr>
          <w:i/>
          <w:u w:val="single"/>
        </w:rPr>
        <w:t xml:space="preserve">Use of </w:t>
      </w:r>
      <w:proofErr w:type="spellStart"/>
      <w:r w:rsidRPr="002D27B7">
        <w:rPr>
          <w:i/>
          <w:u w:val="single"/>
        </w:rPr>
        <w:t>atezolizumab</w:t>
      </w:r>
      <w:proofErr w:type="spellEnd"/>
      <w:r w:rsidRPr="002D27B7">
        <w:rPr>
          <w:i/>
          <w:u w:val="single"/>
        </w:rPr>
        <w:t xml:space="preserve"> in combination with nab-paclitaxel in metastatic triple negative breast cancer</w:t>
      </w:r>
    </w:p>
    <w:p w14:paraId="03AB09FD" w14:textId="77777777" w:rsidR="00221709" w:rsidRPr="0090397D" w:rsidRDefault="00221709" w:rsidP="00221709">
      <w:pPr>
        <w:rPr>
          <w:iCs/>
          <w:u w:val="single"/>
          <w:lang w:val="en-GB"/>
        </w:rPr>
      </w:pPr>
    </w:p>
    <w:p w14:paraId="4021C73F" w14:textId="10573D54" w:rsidR="00221709" w:rsidRPr="0046175F" w:rsidRDefault="00221709" w:rsidP="00221709">
      <w:pPr>
        <w:rPr>
          <w:lang w:val="en-GB"/>
        </w:rPr>
      </w:pPr>
      <w:r w:rsidRPr="0060028F">
        <w:rPr>
          <w:lang w:val="en-GB"/>
        </w:rPr>
        <w:t xml:space="preserve">Neutropenia and peripheral neuropathies occurring during treatment with </w:t>
      </w:r>
      <w:proofErr w:type="spellStart"/>
      <w:r w:rsidRPr="0060028F">
        <w:rPr>
          <w:lang w:val="en-GB"/>
        </w:rPr>
        <w:t>atezolizumab</w:t>
      </w:r>
      <w:proofErr w:type="spellEnd"/>
      <w:r w:rsidRPr="0060028F">
        <w:rPr>
          <w:lang w:val="en-GB"/>
        </w:rPr>
        <w:t xml:space="preserve"> and nab-paclitaxel may be reversible with interruptions of </w:t>
      </w:r>
      <w:proofErr w:type="spellStart"/>
      <w:r w:rsidRPr="0060028F">
        <w:rPr>
          <w:lang w:val="en-GB"/>
        </w:rPr>
        <w:t>atezolizumab</w:t>
      </w:r>
      <w:proofErr w:type="spellEnd"/>
      <w:r w:rsidRPr="0060028F">
        <w:rPr>
          <w:lang w:val="en-GB"/>
        </w:rPr>
        <w:t xml:space="preserve"> and/or nab-paclitaxel.</w:t>
      </w:r>
      <w:r w:rsidRPr="0060028F">
        <w:rPr>
          <w:noProof/>
          <w:lang w:val="en-GB"/>
        </w:rPr>
        <w:t xml:space="preserve"> Physicians should consult the </w:t>
      </w:r>
      <w:r w:rsidRPr="0060028F">
        <w:t xml:space="preserve">nab-paclitaxel </w:t>
      </w:r>
      <w:r>
        <w:t>product information</w:t>
      </w:r>
      <w:r w:rsidRPr="0060028F">
        <w:t xml:space="preserve"> for specific</w:t>
      </w:r>
      <w:r w:rsidRPr="0090397D">
        <w:t xml:space="preserve"> precautions and contraindications of this medicine.</w:t>
      </w:r>
    </w:p>
    <w:p w14:paraId="3D669232" w14:textId="532FC26D" w:rsidR="008F6CF6" w:rsidRPr="0046175F" w:rsidRDefault="008F6CF6" w:rsidP="00CD75CF">
      <w:pPr>
        <w:pStyle w:val="Heading3"/>
        <w:rPr>
          <w:lang w:val="en-GB"/>
        </w:rPr>
      </w:pPr>
      <w:r w:rsidRPr="0046175F">
        <w:rPr>
          <w:lang w:val="en-GB"/>
        </w:rPr>
        <w:lastRenderedPageBreak/>
        <w:t>Use in hepatic impairment</w:t>
      </w:r>
    </w:p>
    <w:p w14:paraId="2B593E24" w14:textId="4C0C88CB" w:rsidR="00FE7BB5" w:rsidRPr="0046175F" w:rsidRDefault="00FE7BB5" w:rsidP="00CD75CF">
      <w:r w:rsidRPr="0046175F">
        <w:t xml:space="preserve">Based on a population pharmacokinetic analysis, no dose adjustment is required for patients with mild hepatic impairment (see </w:t>
      </w:r>
      <w:r w:rsidR="0050482B" w:rsidRPr="0046175F">
        <w:t xml:space="preserve">sections </w:t>
      </w:r>
      <w:r w:rsidR="0050482B" w:rsidRPr="0046175F">
        <w:rPr>
          <w:i/>
        </w:rPr>
        <w:t xml:space="preserve">4.2 </w:t>
      </w:r>
      <w:r w:rsidR="00566E29" w:rsidRPr="0046175F">
        <w:rPr>
          <w:i/>
        </w:rPr>
        <w:t>Dose and method of administration</w:t>
      </w:r>
      <w:r w:rsidR="00566E29" w:rsidRPr="0046175F">
        <w:t xml:space="preserve"> </w:t>
      </w:r>
      <w:r w:rsidR="0050482B" w:rsidRPr="0046175F">
        <w:t xml:space="preserve">and </w:t>
      </w:r>
      <w:r w:rsidR="0050482B" w:rsidRPr="0046175F">
        <w:rPr>
          <w:i/>
        </w:rPr>
        <w:t>5.2</w:t>
      </w:r>
      <w:r w:rsidR="00566E29" w:rsidRPr="0046175F">
        <w:rPr>
          <w:i/>
        </w:rPr>
        <w:t xml:space="preserve"> Pharmacokinetic properties</w:t>
      </w:r>
      <w:r w:rsidRPr="0046175F">
        <w:t>). There are no data in patients with moderate or severe hepatic impairment.</w:t>
      </w:r>
    </w:p>
    <w:p w14:paraId="2303592A" w14:textId="67A27467" w:rsidR="008F6CF6" w:rsidRPr="0046175F" w:rsidRDefault="008F6CF6" w:rsidP="00CD75CF">
      <w:pPr>
        <w:pStyle w:val="Heading3"/>
        <w:rPr>
          <w:lang w:val="en-GB"/>
        </w:rPr>
      </w:pPr>
      <w:r w:rsidRPr="0046175F">
        <w:rPr>
          <w:lang w:val="en-GB"/>
        </w:rPr>
        <w:t>Use in renal impairment</w:t>
      </w:r>
    </w:p>
    <w:p w14:paraId="19B1AB98" w14:textId="204C69C0" w:rsidR="00FE7BB5" w:rsidRPr="0046175F" w:rsidRDefault="00FE7BB5" w:rsidP="00CD75CF">
      <w:r w:rsidRPr="0046175F">
        <w:t xml:space="preserve">Based on a population pharmacokinetic analysis, no dose adjustment is required in patients with </w:t>
      </w:r>
      <w:r w:rsidR="00E423A9" w:rsidRPr="0046175F">
        <w:t xml:space="preserve">mild or moderate </w:t>
      </w:r>
      <w:r w:rsidRPr="0046175F">
        <w:t xml:space="preserve">renal impairment </w:t>
      </w:r>
      <w:r w:rsidR="0050482B" w:rsidRPr="0046175F">
        <w:t xml:space="preserve">(see sections </w:t>
      </w:r>
      <w:r w:rsidR="0050482B" w:rsidRPr="0046175F">
        <w:rPr>
          <w:i/>
        </w:rPr>
        <w:t xml:space="preserve">4.2 </w:t>
      </w:r>
      <w:r w:rsidR="00566E29" w:rsidRPr="0046175F">
        <w:rPr>
          <w:i/>
        </w:rPr>
        <w:t>Dose and method of administration</w:t>
      </w:r>
      <w:r w:rsidR="00566E29" w:rsidRPr="0046175F">
        <w:t xml:space="preserve"> </w:t>
      </w:r>
      <w:r w:rsidR="0050482B" w:rsidRPr="0046175F">
        <w:t xml:space="preserve">and </w:t>
      </w:r>
      <w:r w:rsidR="0050482B" w:rsidRPr="0046175F">
        <w:rPr>
          <w:i/>
        </w:rPr>
        <w:t>5.2</w:t>
      </w:r>
      <w:r w:rsidR="00566E29" w:rsidRPr="0046175F">
        <w:rPr>
          <w:i/>
        </w:rPr>
        <w:t xml:space="preserve"> Pharmacokinetic properties</w:t>
      </w:r>
      <w:r w:rsidR="0050482B" w:rsidRPr="0046175F">
        <w:t>)</w:t>
      </w:r>
      <w:r w:rsidRPr="0046175F">
        <w:t>.</w:t>
      </w:r>
      <w:r w:rsidR="000E6320" w:rsidRPr="0046175F">
        <w:t xml:space="preserve"> Data from patients with severe renal impairment are too limited to draw conclusions on this population.</w:t>
      </w:r>
    </w:p>
    <w:p w14:paraId="5280614B" w14:textId="77777777" w:rsidR="008F6CF6" w:rsidRPr="0046175F" w:rsidRDefault="008F6CF6" w:rsidP="00CD75CF">
      <w:pPr>
        <w:pStyle w:val="Heading3"/>
        <w:rPr>
          <w:lang w:val="en-GB"/>
        </w:rPr>
      </w:pPr>
      <w:r w:rsidRPr="0046175F">
        <w:rPr>
          <w:lang w:val="en-GB"/>
        </w:rPr>
        <w:t>Use in the elderly</w:t>
      </w:r>
    </w:p>
    <w:p w14:paraId="5010A8C1" w14:textId="3B1FFB93" w:rsidR="00FE7BB5" w:rsidRPr="0046175F" w:rsidRDefault="00FE7BB5" w:rsidP="00CD75CF">
      <w:pPr>
        <w:rPr>
          <w:bCs/>
        </w:rPr>
      </w:pPr>
      <w:r w:rsidRPr="0046175F">
        <w:rPr>
          <w:bCs/>
        </w:rPr>
        <w:t xml:space="preserve">No overall differences in safety or efficacy were observed between patients ≥ 65 years of age and younger patients </w:t>
      </w:r>
      <w:r w:rsidR="0050482B" w:rsidRPr="0046175F">
        <w:t xml:space="preserve">(see sections </w:t>
      </w:r>
      <w:r w:rsidR="0050482B" w:rsidRPr="0046175F">
        <w:rPr>
          <w:i/>
        </w:rPr>
        <w:t xml:space="preserve">4.2 </w:t>
      </w:r>
      <w:r w:rsidR="00566E29" w:rsidRPr="0046175F">
        <w:rPr>
          <w:i/>
        </w:rPr>
        <w:t>Dose and method of administration</w:t>
      </w:r>
      <w:r w:rsidR="00566E29" w:rsidRPr="0046175F">
        <w:t xml:space="preserve"> </w:t>
      </w:r>
      <w:r w:rsidR="0050482B" w:rsidRPr="0046175F">
        <w:t xml:space="preserve">and </w:t>
      </w:r>
      <w:r w:rsidR="0050482B" w:rsidRPr="0046175F">
        <w:rPr>
          <w:i/>
        </w:rPr>
        <w:t>5.2</w:t>
      </w:r>
      <w:r w:rsidR="00566E29" w:rsidRPr="0046175F">
        <w:rPr>
          <w:i/>
        </w:rPr>
        <w:t xml:space="preserve"> Pharmacokinetic properties</w:t>
      </w:r>
      <w:r w:rsidR="0050482B" w:rsidRPr="0046175F">
        <w:t>)</w:t>
      </w:r>
      <w:r w:rsidRPr="0046175F">
        <w:rPr>
          <w:bCs/>
        </w:rPr>
        <w:t xml:space="preserve">. </w:t>
      </w:r>
    </w:p>
    <w:p w14:paraId="22216D90" w14:textId="77777777" w:rsidR="008F6CF6" w:rsidRPr="0046175F" w:rsidRDefault="008F6CF6" w:rsidP="00CD75CF">
      <w:pPr>
        <w:pStyle w:val="Heading3"/>
        <w:rPr>
          <w:lang w:val="en-GB"/>
        </w:rPr>
      </w:pPr>
      <w:r w:rsidRPr="0046175F">
        <w:rPr>
          <w:lang w:val="en-GB"/>
        </w:rPr>
        <w:t>Paediatric use</w:t>
      </w:r>
    </w:p>
    <w:p w14:paraId="2A26D958" w14:textId="24B8F600" w:rsidR="00FE7BB5" w:rsidRPr="0046175F" w:rsidRDefault="00FE7BB5" w:rsidP="00CD75CF">
      <w:pPr>
        <w:rPr>
          <w:color w:val="000000"/>
          <w:lang w:val="en-GB"/>
        </w:rPr>
      </w:pPr>
      <w:r w:rsidRPr="0046175F">
        <w:t xml:space="preserve">The safety and efficacy of </w:t>
      </w:r>
      <w:proofErr w:type="spellStart"/>
      <w:r w:rsidRPr="0046175F">
        <w:t>Tecentriq</w:t>
      </w:r>
      <w:proofErr w:type="spellEnd"/>
      <w:r w:rsidRPr="0046175F">
        <w:t xml:space="preserve"> in children and adolescents below 18 years of age has not been established.</w:t>
      </w:r>
    </w:p>
    <w:p w14:paraId="7774F5B1" w14:textId="01C26290" w:rsidR="008F6CF6" w:rsidRPr="0046175F" w:rsidRDefault="008F6CF6" w:rsidP="00CD75CF">
      <w:pPr>
        <w:pStyle w:val="Heading3"/>
        <w:rPr>
          <w:lang w:val="en-GB"/>
        </w:rPr>
      </w:pPr>
      <w:r w:rsidRPr="0046175F">
        <w:rPr>
          <w:lang w:val="en-GB"/>
        </w:rPr>
        <w:t>Effects on laboratory tests</w:t>
      </w:r>
    </w:p>
    <w:p w14:paraId="7BA00E7F" w14:textId="059CC3B7" w:rsidR="002C7D36" w:rsidRPr="0046175F" w:rsidRDefault="002C7D36" w:rsidP="002C2FD1">
      <w:pPr>
        <w:rPr>
          <w:b/>
          <w:bCs/>
          <w:i/>
        </w:rPr>
      </w:pPr>
      <w:r w:rsidRPr="0046175F">
        <w:t>No data available.</w:t>
      </w:r>
    </w:p>
    <w:p w14:paraId="5D0272F9" w14:textId="37995A22" w:rsidR="008F6CF6" w:rsidRPr="0046175F" w:rsidRDefault="008F6CF6" w:rsidP="00CD75CF">
      <w:pPr>
        <w:pStyle w:val="Heading2"/>
        <w:rPr>
          <w:lang w:val="en-GB"/>
        </w:rPr>
      </w:pPr>
      <w:r w:rsidRPr="0046175F">
        <w:rPr>
          <w:lang w:val="en-GB"/>
        </w:rPr>
        <w:t>4.5</w:t>
      </w:r>
      <w:r w:rsidRPr="0046175F">
        <w:rPr>
          <w:lang w:val="en-GB"/>
        </w:rPr>
        <w:tab/>
      </w:r>
      <w:r w:rsidR="008B0DB6" w:rsidRPr="0046175F">
        <w:rPr>
          <w:lang w:val="en-GB"/>
        </w:rPr>
        <w:t>Interactions with other medicines and other forms of interactions</w:t>
      </w:r>
    </w:p>
    <w:p w14:paraId="3B702941" w14:textId="04F0E009" w:rsidR="00FE7BB5" w:rsidRDefault="00FE7BB5" w:rsidP="00CD75CF">
      <w:r w:rsidRPr="0046175F">
        <w:t xml:space="preserve">No formal pharmacokinetic drug-drug interaction studies have been conducted with </w:t>
      </w:r>
      <w:proofErr w:type="spellStart"/>
      <w:r w:rsidRPr="0046175F">
        <w:t>Tecentriq</w:t>
      </w:r>
      <w:proofErr w:type="spellEnd"/>
      <w:r w:rsidRPr="0046175F">
        <w:t>.</w:t>
      </w:r>
      <w:r w:rsidR="00D07016" w:rsidRPr="00D07016">
        <w:t xml:space="preserve"> Since </w:t>
      </w:r>
      <w:proofErr w:type="spellStart"/>
      <w:r w:rsidR="00D07016" w:rsidRPr="00D07016">
        <w:t>Tecentriq</w:t>
      </w:r>
      <w:proofErr w:type="spellEnd"/>
      <w:r w:rsidR="00D07016" w:rsidRPr="00D07016">
        <w:t xml:space="preserve"> is cleared from the circulation through catabolism, no metabolic drug-drug interactions are expected.</w:t>
      </w:r>
    </w:p>
    <w:p w14:paraId="27CF79A2" w14:textId="268BDFAB" w:rsidR="0074791D" w:rsidRDefault="0074791D" w:rsidP="00CD75CF"/>
    <w:p w14:paraId="1B643A3F" w14:textId="77777777" w:rsidR="0074791D" w:rsidRDefault="0074791D" w:rsidP="0074791D">
      <w:pPr>
        <w:pStyle w:val="BodyText"/>
        <w:spacing w:before="115"/>
        <w:ind w:right="409"/>
      </w:pPr>
      <w:r w:rsidRPr="00251F85">
        <w:rPr>
          <w:iCs/>
          <w:lang w:val="en-GB"/>
        </w:rPr>
        <w:t xml:space="preserve">The use of systemic corticosteroids or </w:t>
      </w:r>
      <w:proofErr w:type="spellStart"/>
      <w:r w:rsidRPr="00251F85">
        <w:rPr>
          <w:iCs/>
          <w:lang w:val="en-GB"/>
        </w:rPr>
        <w:t>immunosuppressants</w:t>
      </w:r>
      <w:proofErr w:type="spellEnd"/>
      <w:r w:rsidRPr="00251F85">
        <w:rPr>
          <w:iCs/>
          <w:lang w:val="en-GB"/>
        </w:rPr>
        <w:t xml:space="preserve"> before starting </w:t>
      </w:r>
      <w:proofErr w:type="spellStart"/>
      <w:r w:rsidRPr="00251F85">
        <w:rPr>
          <w:iCs/>
          <w:lang w:val="en-GB"/>
        </w:rPr>
        <w:t>atezolizumab</w:t>
      </w:r>
      <w:proofErr w:type="spellEnd"/>
      <w:r w:rsidRPr="00251F85">
        <w:rPr>
          <w:iCs/>
          <w:lang w:val="en-GB"/>
        </w:rPr>
        <w:t xml:space="preserve"> should be avoided because of their potential interference with the pharmacodynamic activity and efficacy of </w:t>
      </w:r>
      <w:proofErr w:type="spellStart"/>
      <w:r w:rsidRPr="00251F85">
        <w:rPr>
          <w:iCs/>
          <w:lang w:val="en-GB"/>
        </w:rPr>
        <w:t>atezolizumab</w:t>
      </w:r>
      <w:proofErr w:type="spellEnd"/>
      <w:r w:rsidRPr="00251F85">
        <w:rPr>
          <w:iCs/>
          <w:lang w:val="en-GB"/>
        </w:rPr>
        <w:t xml:space="preserve">. However, systemic corticosteroids or other </w:t>
      </w:r>
      <w:proofErr w:type="spellStart"/>
      <w:r w:rsidRPr="00251F85">
        <w:rPr>
          <w:iCs/>
          <w:lang w:val="en-GB"/>
        </w:rPr>
        <w:t>immunosuppressants</w:t>
      </w:r>
      <w:proofErr w:type="spellEnd"/>
      <w:r w:rsidRPr="00251F85">
        <w:rPr>
          <w:iCs/>
          <w:lang w:val="en-GB"/>
        </w:rPr>
        <w:t xml:space="preserve"> can be used to treat immune</w:t>
      </w:r>
      <w:r w:rsidRPr="00251F85">
        <w:rPr>
          <w:iCs/>
          <w:lang w:val="en-GB"/>
        </w:rPr>
        <w:noBreakHyphen/>
        <w:t xml:space="preserve">related adverse reactions after starting </w:t>
      </w:r>
      <w:proofErr w:type="spellStart"/>
      <w:r w:rsidRPr="00251F85">
        <w:rPr>
          <w:iCs/>
          <w:lang w:val="en-GB"/>
        </w:rPr>
        <w:t>atezolizumab</w:t>
      </w:r>
      <w:proofErr w:type="spellEnd"/>
      <w:r>
        <w:rPr>
          <w:iCs/>
          <w:lang w:val="en-GB"/>
        </w:rPr>
        <w:t>.</w:t>
      </w:r>
    </w:p>
    <w:p w14:paraId="5F106941" w14:textId="77777777" w:rsidR="0074791D" w:rsidRPr="0046175F" w:rsidRDefault="0074791D" w:rsidP="00CD75CF"/>
    <w:p w14:paraId="4201950C" w14:textId="5E82FB31" w:rsidR="008F6CF6" w:rsidRPr="0046175F" w:rsidRDefault="008B0DB6" w:rsidP="00CD75CF">
      <w:pPr>
        <w:pStyle w:val="Heading2"/>
        <w:rPr>
          <w:lang w:val="en-GB"/>
        </w:rPr>
      </w:pPr>
      <w:r w:rsidRPr="0046175F">
        <w:rPr>
          <w:lang w:val="en-GB"/>
        </w:rPr>
        <w:t>4.6</w:t>
      </w:r>
      <w:r w:rsidRPr="0046175F">
        <w:rPr>
          <w:lang w:val="en-GB"/>
        </w:rPr>
        <w:tab/>
        <w:t xml:space="preserve">Fertility, pregnancy and lactation </w:t>
      </w:r>
    </w:p>
    <w:p w14:paraId="51BFB7FD" w14:textId="77777777" w:rsidR="008F6CF6" w:rsidRPr="0046175F" w:rsidRDefault="008F6CF6" w:rsidP="00CD75CF">
      <w:pPr>
        <w:pStyle w:val="Heading3"/>
        <w:rPr>
          <w:lang w:val="en-GB"/>
        </w:rPr>
      </w:pPr>
      <w:r w:rsidRPr="0046175F">
        <w:rPr>
          <w:lang w:val="en-GB"/>
        </w:rPr>
        <w:t>Effects on fertility</w:t>
      </w:r>
    </w:p>
    <w:p w14:paraId="74A02EDB" w14:textId="57154933" w:rsidR="00822EEB" w:rsidRPr="0046175F" w:rsidRDefault="00D84D48" w:rsidP="00CD75CF">
      <w:r w:rsidRPr="00D84D48">
        <w:t xml:space="preserve">No fertility studies have been conducted with </w:t>
      </w:r>
      <w:proofErr w:type="spellStart"/>
      <w:r w:rsidRPr="00D84D48">
        <w:t>atezolizumab</w:t>
      </w:r>
      <w:proofErr w:type="spellEnd"/>
      <w:r w:rsidRPr="00D84D48">
        <w:t xml:space="preserve">; however assessment of the </w:t>
      </w:r>
      <w:proofErr w:type="spellStart"/>
      <w:r w:rsidRPr="00D84D48">
        <w:t>cynomolgus</w:t>
      </w:r>
      <w:proofErr w:type="spellEnd"/>
      <w:r w:rsidRPr="00D84D48">
        <w:t xml:space="preserve"> monkey male and female reproductive organs was included in the chronic toxicity study. </w:t>
      </w:r>
      <w:proofErr w:type="spellStart"/>
      <w:r w:rsidRPr="00D84D48">
        <w:t>Atezolizumab</w:t>
      </w:r>
      <w:proofErr w:type="spellEnd"/>
      <w:r w:rsidRPr="00D84D48" w:rsidDel="00461F7F">
        <w:t xml:space="preserve"> </w:t>
      </w:r>
      <w:r w:rsidRPr="00D84D48">
        <w:t>had an effect on menstrual cycles in all female monkeys in the 50 mg/kg</w:t>
      </w:r>
      <w:r>
        <w:t>/week</w:t>
      </w:r>
      <w:r w:rsidRPr="00D84D48">
        <w:t xml:space="preserve"> dose group characterised by an irregular cycle pattern during the dosing phase and correlated with the lack of fresh corpora </w:t>
      </w:r>
      <w:proofErr w:type="spellStart"/>
      <w:r w:rsidRPr="00D84D48">
        <w:t>lutea</w:t>
      </w:r>
      <w:proofErr w:type="spellEnd"/>
      <w:r w:rsidRPr="00D84D48">
        <w:t xml:space="preserve"> in the ovaries at the terminal necropsy; this effect was reversible during the dose-free recovery period. The AUC at the no effect level </w:t>
      </w:r>
      <w:r w:rsidRPr="00D84D48">
        <w:rPr>
          <w:lang w:val="en-US"/>
        </w:rPr>
        <w:t xml:space="preserve">(15mg/kg/week) </w:t>
      </w:r>
      <w:r w:rsidRPr="00D84D48">
        <w:t xml:space="preserve">was approximately </w:t>
      </w:r>
      <w:r>
        <w:t>3.</w:t>
      </w:r>
      <w:r w:rsidRPr="00D84D48">
        <w:t>5 times that anticipated in patients</w:t>
      </w:r>
      <w:r w:rsidRPr="00D84D48">
        <w:rPr>
          <w:rFonts w:eastAsia="Times New Roman"/>
          <w:sz w:val="22"/>
          <w:u w:val="single"/>
          <w:lang w:val="en-US" w:eastAsia="en-US"/>
        </w:rPr>
        <w:t xml:space="preserve"> </w:t>
      </w:r>
      <w:r w:rsidRPr="00D84D48">
        <w:rPr>
          <w:u w:val="single"/>
          <w:lang w:val="en-US"/>
        </w:rPr>
        <w:t>at the clinical dose yielding the highest exposure</w:t>
      </w:r>
      <w:r w:rsidRPr="00D84D48">
        <w:t>. There was no effect on the male reproductive organs.</w:t>
      </w:r>
    </w:p>
    <w:p w14:paraId="6F0192CC" w14:textId="3AF4DEBA" w:rsidR="00C54120" w:rsidRPr="0046175F" w:rsidRDefault="008F6CF6" w:rsidP="00F5567B">
      <w:pPr>
        <w:pStyle w:val="Heading3"/>
        <w:rPr>
          <w:lang w:val="en-GB"/>
        </w:rPr>
      </w:pPr>
      <w:r w:rsidRPr="0046175F">
        <w:rPr>
          <w:lang w:val="en-GB"/>
        </w:rPr>
        <w:lastRenderedPageBreak/>
        <w:t xml:space="preserve">Use in pregnancy </w:t>
      </w:r>
      <w:r w:rsidR="00F5567B" w:rsidRPr="0046175F">
        <w:rPr>
          <w:lang w:val="en-GB"/>
        </w:rPr>
        <w:t xml:space="preserve">- </w:t>
      </w:r>
      <w:r w:rsidR="00822EEB" w:rsidRPr="0046175F">
        <w:rPr>
          <w:lang w:val="en-GB"/>
        </w:rPr>
        <w:t>Category D</w:t>
      </w:r>
    </w:p>
    <w:p w14:paraId="3EBDAEBB" w14:textId="5F8B7F83" w:rsidR="005478CA" w:rsidRPr="0046175F" w:rsidRDefault="00822EEB" w:rsidP="005478CA">
      <w:pPr>
        <w:rPr>
          <w:lang w:val="en-GB"/>
        </w:rPr>
      </w:pPr>
      <w:r w:rsidRPr="0046175F">
        <w:rPr>
          <w:lang w:val="en-GB"/>
        </w:rPr>
        <w:t xml:space="preserve">Based on the mechanism of action, the use of </w:t>
      </w:r>
      <w:proofErr w:type="spellStart"/>
      <w:r w:rsidRPr="0046175F">
        <w:rPr>
          <w:lang w:val="en-GB"/>
        </w:rPr>
        <w:t>Tecentriq</w:t>
      </w:r>
      <w:proofErr w:type="spellEnd"/>
      <w:r w:rsidRPr="0046175F">
        <w:rPr>
          <w:lang w:val="en-GB"/>
        </w:rPr>
        <w:t xml:space="preserve"> may cause foetal harm. Administration of </w:t>
      </w:r>
      <w:proofErr w:type="spellStart"/>
      <w:r w:rsidRPr="0046175F">
        <w:rPr>
          <w:lang w:val="en-GB"/>
        </w:rPr>
        <w:t>Tecentriq</w:t>
      </w:r>
      <w:proofErr w:type="spellEnd"/>
      <w:r w:rsidRPr="0046175F">
        <w:rPr>
          <w:lang w:val="en-GB"/>
        </w:rPr>
        <w:t xml:space="preserve"> is expected to have an adverse effect on pregnancy and poses a risk to the human foetus, including </w:t>
      </w:r>
      <w:proofErr w:type="spellStart"/>
      <w:r w:rsidRPr="0046175F">
        <w:rPr>
          <w:lang w:val="en-GB"/>
        </w:rPr>
        <w:t>embryofoetal</w:t>
      </w:r>
      <w:proofErr w:type="spellEnd"/>
      <w:r w:rsidRPr="0046175F">
        <w:rPr>
          <w:lang w:val="en-GB"/>
        </w:rPr>
        <w:t xml:space="preserve"> lethality. Animal studies have demonstrated that inhibition of the PD-L1/PD-1 pathway can lead to an increased risk of immune-related rejection of the developing foetus resulting in foetal death. </w:t>
      </w:r>
    </w:p>
    <w:p w14:paraId="3805E2BA" w14:textId="77777777" w:rsidR="00822EEB" w:rsidRPr="0046175F" w:rsidRDefault="00822EEB" w:rsidP="00CD75CF">
      <w:pPr>
        <w:rPr>
          <w:lang w:val="en-GB"/>
        </w:rPr>
      </w:pPr>
    </w:p>
    <w:p w14:paraId="54D7C446" w14:textId="77777777" w:rsidR="00822EEB" w:rsidRPr="0046175F" w:rsidRDefault="00822EEB" w:rsidP="00CD75CF">
      <w:pPr>
        <w:rPr>
          <w:lang w:val="en-GB"/>
        </w:rPr>
      </w:pPr>
      <w:r w:rsidRPr="0046175F">
        <w:rPr>
          <w:lang w:val="en-GB"/>
        </w:rPr>
        <w:t xml:space="preserve">No dedicated reproductive or teratogenicity studies in animals have been conducted with </w:t>
      </w:r>
      <w:proofErr w:type="spellStart"/>
      <w:r w:rsidRPr="0046175F">
        <w:rPr>
          <w:lang w:val="en-GB"/>
        </w:rPr>
        <w:t>atezolizumab</w:t>
      </w:r>
      <w:proofErr w:type="spellEnd"/>
      <w:r w:rsidRPr="0046175F">
        <w:rPr>
          <w:lang w:val="en-GB"/>
        </w:rPr>
        <w:t>.</w:t>
      </w:r>
    </w:p>
    <w:p w14:paraId="74918EF0" w14:textId="77777777" w:rsidR="00822EEB" w:rsidRPr="0046175F" w:rsidRDefault="00822EEB" w:rsidP="00CD75CF">
      <w:pPr>
        <w:rPr>
          <w:lang w:val="en-GB"/>
        </w:rPr>
      </w:pPr>
    </w:p>
    <w:p w14:paraId="0F258168" w14:textId="3D1EC547" w:rsidR="00822EEB" w:rsidRPr="0046175F" w:rsidRDefault="00822EEB" w:rsidP="00CD75CF">
      <w:pPr>
        <w:rPr>
          <w:lang w:val="en-GB"/>
        </w:rPr>
      </w:pPr>
      <w:r w:rsidRPr="0046175F">
        <w:rPr>
          <w:lang w:val="en-GB"/>
        </w:rPr>
        <w:t xml:space="preserve">There are no clinical studies of </w:t>
      </w:r>
      <w:proofErr w:type="spellStart"/>
      <w:r w:rsidRPr="0046175F">
        <w:rPr>
          <w:lang w:val="en-GB"/>
        </w:rPr>
        <w:t>Tecentriq</w:t>
      </w:r>
      <w:proofErr w:type="spellEnd"/>
      <w:r w:rsidRPr="0046175F">
        <w:rPr>
          <w:lang w:val="en-GB"/>
        </w:rPr>
        <w:t xml:space="preserve"> in pregnant women. </w:t>
      </w:r>
      <w:proofErr w:type="spellStart"/>
      <w:r w:rsidRPr="0046175F">
        <w:rPr>
          <w:lang w:val="en-GB"/>
        </w:rPr>
        <w:t>Tecentriq</w:t>
      </w:r>
      <w:proofErr w:type="spellEnd"/>
      <w:r w:rsidRPr="0046175F">
        <w:rPr>
          <w:lang w:val="en-GB"/>
        </w:rPr>
        <w:t xml:space="preserve"> is not recommended during pregnancy unless the potential benefit for the mother outweighs the potential risk to the foetus. Pregnant women should be advised of the potential risk to the foetus. </w:t>
      </w:r>
    </w:p>
    <w:p w14:paraId="2CE21BC5" w14:textId="77777777" w:rsidR="00822EEB" w:rsidRPr="0046175F" w:rsidRDefault="00822EEB" w:rsidP="00CD75CF">
      <w:pPr>
        <w:rPr>
          <w:lang w:val="en-GB"/>
        </w:rPr>
      </w:pPr>
    </w:p>
    <w:p w14:paraId="795015C0" w14:textId="59F80BBD" w:rsidR="00822EEB" w:rsidRPr="0046175F" w:rsidRDefault="00822EEB" w:rsidP="00CD75CF">
      <w:pPr>
        <w:rPr>
          <w:lang w:val="en-GB"/>
        </w:rPr>
      </w:pPr>
      <w:r w:rsidRPr="0046175F">
        <w:rPr>
          <w:lang w:val="en-GB"/>
        </w:rPr>
        <w:t xml:space="preserve">Women of childbearing potential should use highly effective contraception during treatment with </w:t>
      </w:r>
      <w:proofErr w:type="spellStart"/>
      <w:r w:rsidRPr="0046175F">
        <w:rPr>
          <w:lang w:val="en-GB"/>
        </w:rPr>
        <w:t>Tecentriq</w:t>
      </w:r>
      <w:proofErr w:type="spellEnd"/>
      <w:r w:rsidRPr="0046175F">
        <w:rPr>
          <w:lang w:val="en-GB"/>
        </w:rPr>
        <w:t xml:space="preserve"> and for 5 months after the last dose.</w:t>
      </w:r>
    </w:p>
    <w:p w14:paraId="105F6801" w14:textId="77777777" w:rsidR="00822EEB" w:rsidRPr="0046175F" w:rsidRDefault="00822EEB" w:rsidP="00CD75CF">
      <w:pPr>
        <w:rPr>
          <w:lang w:val="en-GB"/>
        </w:rPr>
      </w:pPr>
    </w:p>
    <w:p w14:paraId="3725AE94" w14:textId="77777777" w:rsidR="00822EEB" w:rsidRPr="0046175F" w:rsidRDefault="00822EEB" w:rsidP="00CD75CF">
      <w:pPr>
        <w:rPr>
          <w:lang w:val="en-GB"/>
        </w:rPr>
      </w:pPr>
      <w:r w:rsidRPr="0046175F">
        <w:rPr>
          <w:lang w:val="en-GB"/>
        </w:rPr>
        <w:t xml:space="preserve">The safety of </w:t>
      </w:r>
      <w:proofErr w:type="spellStart"/>
      <w:r w:rsidRPr="0046175F">
        <w:rPr>
          <w:lang w:val="en-GB"/>
        </w:rPr>
        <w:t>Tecentriq</w:t>
      </w:r>
      <w:proofErr w:type="spellEnd"/>
      <w:r w:rsidRPr="0046175F">
        <w:rPr>
          <w:lang w:val="en-GB"/>
        </w:rPr>
        <w:t xml:space="preserve"> during </w:t>
      </w:r>
      <w:proofErr w:type="spellStart"/>
      <w:r w:rsidRPr="0046175F">
        <w:rPr>
          <w:lang w:val="en-GB"/>
        </w:rPr>
        <w:t>labor</w:t>
      </w:r>
      <w:proofErr w:type="spellEnd"/>
      <w:r w:rsidRPr="0046175F">
        <w:rPr>
          <w:lang w:val="en-GB"/>
        </w:rPr>
        <w:t xml:space="preserve"> and delivery has not been established.</w:t>
      </w:r>
    </w:p>
    <w:p w14:paraId="47AFA31D" w14:textId="1AB6BBD8" w:rsidR="008F6CF6" w:rsidRPr="0046175F" w:rsidRDefault="00FE7BB5" w:rsidP="00CD75CF">
      <w:pPr>
        <w:pStyle w:val="Heading3"/>
        <w:rPr>
          <w:lang w:val="en-GB"/>
        </w:rPr>
      </w:pPr>
      <w:r w:rsidRPr="0046175F">
        <w:rPr>
          <w:lang w:val="en-GB"/>
        </w:rPr>
        <w:t>Use in lactation</w:t>
      </w:r>
    </w:p>
    <w:p w14:paraId="32DE0826" w14:textId="77777777" w:rsidR="00822EEB" w:rsidRPr="0046175F" w:rsidRDefault="00822EEB" w:rsidP="00CD75CF">
      <w:r w:rsidRPr="0046175F">
        <w:t xml:space="preserve">It is not known whether </w:t>
      </w:r>
      <w:proofErr w:type="spellStart"/>
      <w:r w:rsidRPr="0046175F">
        <w:t>atezolizumab</w:t>
      </w:r>
      <w:proofErr w:type="spellEnd"/>
      <w:r w:rsidRPr="0046175F">
        <w:t xml:space="preserve"> is excreted in human breast milk. No studies have been conducted to assess the impact of </w:t>
      </w:r>
      <w:proofErr w:type="spellStart"/>
      <w:r w:rsidRPr="0046175F">
        <w:t>atezolizumab</w:t>
      </w:r>
      <w:proofErr w:type="spellEnd"/>
      <w:r w:rsidRPr="0046175F">
        <w:t xml:space="preserve"> on milk production or its presence in breast milk. As the potential for harm to the nursing infant is unknown, a decision must be made to either discontinue breast-feeding or discontinue </w:t>
      </w:r>
      <w:proofErr w:type="spellStart"/>
      <w:r w:rsidRPr="0046175F">
        <w:t>Tecentriq</w:t>
      </w:r>
      <w:proofErr w:type="spellEnd"/>
      <w:r w:rsidRPr="0046175F">
        <w:t xml:space="preserve"> therapy.</w:t>
      </w:r>
    </w:p>
    <w:p w14:paraId="38115E6F" w14:textId="57EC2E9C" w:rsidR="008F6CF6" w:rsidRPr="0046175F" w:rsidRDefault="008F6CF6" w:rsidP="00CD75CF">
      <w:pPr>
        <w:pStyle w:val="Heading2"/>
        <w:rPr>
          <w:lang w:val="en-GB"/>
        </w:rPr>
      </w:pPr>
      <w:r w:rsidRPr="0046175F">
        <w:rPr>
          <w:lang w:val="en-GB"/>
        </w:rPr>
        <w:t>4.7</w:t>
      </w:r>
      <w:r w:rsidRPr="0046175F">
        <w:rPr>
          <w:lang w:val="en-GB"/>
        </w:rPr>
        <w:tab/>
      </w:r>
      <w:r w:rsidR="008B0DB6" w:rsidRPr="0046175F">
        <w:rPr>
          <w:lang w:val="en-GB"/>
        </w:rPr>
        <w:t>Effects on ability to drive and use machines</w:t>
      </w:r>
      <w:r w:rsidRPr="0046175F">
        <w:rPr>
          <w:lang w:val="en-GB"/>
        </w:rPr>
        <w:t xml:space="preserve"> </w:t>
      </w:r>
    </w:p>
    <w:p w14:paraId="42DF6519" w14:textId="0C6907E4" w:rsidR="00822EEB" w:rsidRDefault="00822EEB" w:rsidP="00CD75CF">
      <w:r w:rsidRPr="0046175F">
        <w:t>No studies on the effects on the ability to drive and to use machines have been performed.</w:t>
      </w:r>
      <w:r w:rsidR="0074791D">
        <w:t xml:space="preserve"> </w:t>
      </w:r>
    </w:p>
    <w:p w14:paraId="34607704" w14:textId="6438B4FF" w:rsidR="0074791D" w:rsidRPr="0046175F" w:rsidRDefault="0074791D" w:rsidP="0074791D">
      <w:proofErr w:type="spellStart"/>
      <w:r w:rsidRPr="00467BEE">
        <w:t>Tecentriq</w:t>
      </w:r>
      <w:proofErr w:type="spellEnd"/>
      <w:r w:rsidRPr="00467BEE">
        <w:t xml:space="preserve"> has minor influence on the ability to drive and use machines. Patients experiencing fatigue should be advised not to drive and use machines until symptoms abate</w:t>
      </w:r>
      <w:r>
        <w:t>.</w:t>
      </w:r>
    </w:p>
    <w:p w14:paraId="0D60AC6F" w14:textId="63EA4A8B" w:rsidR="008F6CF6" w:rsidRPr="0046175F" w:rsidRDefault="008F6CF6" w:rsidP="00CD75CF">
      <w:pPr>
        <w:pStyle w:val="Heading2"/>
        <w:rPr>
          <w:lang w:val="en-GB"/>
        </w:rPr>
      </w:pPr>
      <w:r w:rsidRPr="0046175F">
        <w:rPr>
          <w:lang w:val="en-GB"/>
        </w:rPr>
        <w:t>4.8</w:t>
      </w:r>
      <w:r w:rsidRPr="0046175F">
        <w:rPr>
          <w:lang w:val="en-GB"/>
        </w:rPr>
        <w:tab/>
      </w:r>
      <w:r w:rsidR="00EB0B29" w:rsidRPr="0046175F">
        <w:rPr>
          <w:lang w:val="en-GB"/>
        </w:rPr>
        <w:t xml:space="preserve">Adverse effects (Undesirable effects) </w:t>
      </w:r>
    </w:p>
    <w:p w14:paraId="2F540D74" w14:textId="4E388A4C" w:rsidR="00417E4B" w:rsidRPr="00417E4B" w:rsidRDefault="00417E4B" w:rsidP="00E569AD">
      <w:r w:rsidRPr="0046175F">
        <w:t>The following categories of frequency have been used: very common (≥1/10), common (≥1/100 to &lt;1/10), uncommon (≥1/1,000 to &lt;1/100), rare (≥1/10,000 to &lt;1/1000), very rare (&lt;1/10,000).</w:t>
      </w:r>
    </w:p>
    <w:p w14:paraId="03D56165" w14:textId="471FF057" w:rsidR="00031EC1" w:rsidRDefault="00031EC1" w:rsidP="00364F3A">
      <w:pPr>
        <w:pStyle w:val="Heading3"/>
      </w:pPr>
      <w:proofErr w:type="spellStart"/>
      <w:r>
        <w:t>Tecentriq</w:t>
      </w:r>
      <w:proofErr w:type="spellEnd"/>
      <w:r>
        <w:t xml:space="preserve"> monotherapy</w:t>
      </w:r>
    </w:p>
    <w:p w14:paraId="1B3D1D0B" w14:textId="09B8EE21" w:rsidR="00822EEB" w:rsidRPr="0046175F" w:rsidRDefault="00822EEB" w:rsidP="00CD75CF">
      <w:r w:rsidRPr="0046175F">
        <w:t xml:space="preserve">The safety of </w:t>
      </w:r>
      <w:proofErr w:type="spellStart"/>
      <w:r w:rsidRPr="0046175F">
        <w:t>Tecentriq</w:t>
      </w:r>
      <w:proofErr w:type="spellEnd"/>
      <w:r w:rsidR="00AF631E" w:rsidRPr="0046175F">
        <w:t xml:space="preserve"> as a</w:t>
      </w:r>
      <w:r w:rsidRPr="0046175F">
        <w:t xml:space="preserve"> </w:t>
      </w:r>
      <w:r w:rsidR="00886FB9" w:rsidRPr="0046175F">
        <w:t xml:space="preserve">monotherapy </w:t>
      </w:r>
      <w:r w:rsidRPr="0046175F">
        <w:t xml:space="preserve">is based on pooled data in </w:t>
      </w:r>
      <w:r w:rsidR="0074791D">
        <w:t>3075</w:t>
      </w:r>
      <w:r w:rsidR="00197527" w:rsidRPr="0046175F">
        <w:t xml:space="preserve"> </w:t>
      </w:r>
      <w:r w:rsidRPr="0046175F">
        <w:t xml:space="preserve">patients </w:t>
      </w:r>
      <w:r w:rsidR="00886FB9" w:rsidRPr="0046175F">
        <w:t>across multiple tumour types</w:t>
      </w:r>
      <w:r w:rsidR="00886FB9" w:rsidRPr="0046175F" w:rsidDel="00197527">
        <w:t xml:space="preserve"> </w:t>
      </w:r>
      <w:r w:rsidRPr="0046175F">
        <w:t xml:space="preserve">with supporting data from the estimated cumulative exposure in </w:t>
      </w:r>
      <w:r w:rsidR="00A235AE" w:rsidRPr="0046175F">
        <w:t xml:space="preserve">&gt; </w:t>
      </w:r>
      <w:r w:rsidR="00886FB9" w:rsidRPr="0046175F">
        <w:t xml:space="preserve">13,000 </w:t>
      </w:r>
      <w:r w:rsidRPr="0046175F">
        <w:t xml:space="preserve">patients across all clinical trials.  </w:t>
      </w:r>
      <w:r w:rsidR="00197527" w:rsidRPr="0046175F">
        <w:t>The most common adverse reactions (&gt; 10%) were fatigue (35.5%), decreased appetite (26.0%), nausea (23.7%), cough (20.7%), dyspnoea (20.7%), pyrexia (19.9%), diarrhoea (19.8%), rash (19.2%), back pain (15.3%), vomiting (15.3%), asthenia (14.8%), arthralgia (13.9%), pruritus (12.5%) and urinary tract infection (11.7%).</w:t>
      </w:r>
    </w:p>
    <w:p w14:paraId="128FE58C" w14:textId="77777777" w:rsidR="00822EEB" w:rsidRPr="0046175F" w:rsidRDefault="00822EEB" w:rsidP="00CD75CF"/>
    <w:p w14:paraId="4B7AC81F" w14:textId="2BAE9392" w:rsidR="00197527" w:rsidRPr="0046175F" w:rsidRDefault="00822EEB">
      <w:r w:rsidRPr="0046175F">
        <w:t xml:space="preserve">Table </w:t>
      </w:r>
      <w:r w:rsidR="00F063B8" w:rsidRPr="0046175F">
        <w:t>2</w:t>
      </w:r>
      <w:r w:rsidRPr="0046175F">
        <w:t xml:space="preserve"> summarises the adverse drug reactions (ADRs) that have been reported in association with the use of </w:t>
      </w:r>
      <w:proofErr w:type="spellStart"/>
      <w:r w:rsidRPr="0046175F">
        <w:t>Tecentriq</w:t>
      </w:r>
      <w:proofErr w:type="spellEnd"/>
      <w:r w:rsidR="00AF631E" w:rsidRPr="0046175F">
        <w:t xml:space="preserve"> monotherapy</w:t>
      </w:r>
      <w:r w:rsidRPr="0046175F">
        <w:t xml:space="preserve">. </w:t>
      </w:r>
    </w:p>
    <w:p w14:paraId="615E8BEF" w14:textId="77777777" w:rsidR="00886FB9" w:rsidRPr="0046175F" w:rsidRDefault="00886FB9" w:rsidP="00B334C3">
      <w:pPr>
        <w:rPr>
          <w:b/>
        </w:rPr>
      </w:pPr>
    </w:p>
    <w:p w14:paraId="3FA3D913" w14:textId="1E2D7620" w:rsidR="00CE76C0" w:rsidRPr="0046175F" w:rsidRDefault="00CE76C0" w:rsidP="00B334C3">
      <w:pPr>
        <w:rPr>
          <w:b/>
        </w:rPr>
      </w:pPr>
      <w:r w:rsidRPr="0046175F">
        <w:rPr>
          <w:b/>
        </w:rPr>
        <w:t xml:space="preserve">Table 2. Summary of ADRs occurring in patients treated with </w:t>
      </w:r>
      <w:proofErr w:type="spellStart"/>
      <w:r w:rsidRPr="0046175F">
        <w:rPr>
          <w:b/>
        </w:rPr>
        <w:t>Tecentriq</w:t>
      </w:r>
      <w:proofErr w:type="spellEnd"/>
      <w:r w:rsidRPr="0046175F">
        <w:rPr>
          <w:b/>
        </w:rPr>
        <w:t xml:space="preserve"> </w:t>
      </w:r>
      <w:r w:rsidR="00886FB9" w:rsidRPr="0046175F">
        <w:rPr>
          <w:b/>
        </w:rPr>
        <w:t xml:space="preserve">monotherapy </w:t>
      </w:r>
      <w:r w:rsidRPr="0046175F">
        <w:rPr>
          <w:b/>
        </w:rPr>
        <w:t>in clinical trials</w:t>
      </w:r>
    </w:p>
    <w:tbl>
      <w:tblPr>
        <w:tblW w:w="9072" w:type="dxa"/>
        <w:tblInd w:w="108" w:type="dxa"/>
        <w:tblBorders>
          <w:top w:val="single" w:sz="4" w:space="0" w:color="auto"/>
          <w:left w:val="single" w:sz="4" w:space="0" w:color="auto"/>
          <w:bottom w:val="single" w:sz="4" w:space="0" w:color="auto"/>
          <w:right w:val="single" w:sz="4" w:space="0" w:color="auto"/>
        </w:tblBorders>
        <w:shd w:val="clear" w:color="auto" w:fill="FFFFFF"/>
        <w:tblLayout w:type="fixed"/>
        <w:tblLook w:val="00A0" w:firstRow="1" w:lastRow="0" w:firstColumn="1" w:lastColumn="0" w:noHBand="0" w:noVBand="0"/>
      </w:tblPr>
      <w:tblGrid>
        <w:gridCol w:w="3119"/>
        <w:gridCol w:w="1559"/>
        <w:gridCol w:w="1276"/>
        <w:gridCol w:w="1417"/>
        <w:gridCol w:w="1701"/>
      </w:tblGrid>
      <w:tr w:rsidR="00F013AA" w:rsidRPr="0046175F" w14:paraId="2658723D" w14:textId="77777777" w:rsidTr="00E569AD">
        <w:trPr>
          <w:tblHeader/>
        </w:trPr>
        <w:tc>
          <w:tcPr>
            <w:tcW w:w="3119" w:type="dxa"/>
            <w:vMerge w:val="restart"/>
            <w:tcBorders>
              <w:top w:val="single" w:sz="4" w:space="0" w:color="auto"/>
              <w:bottom w:val="nil"/>
            </w:tcBorders>
            <w:shd w:val="clear" w:color="auto" w:fill="FFFFFF"/>
          </w:tcPr>
          <w:p w14:paraId="06A36A26" w14:textId="3C37DCB2" w:rsidR="00F013AA" w:rsidRPr="0046175F" w:rsidRDefault="00F013AA" w:rsidP="00B334C3">
            <w:pPr>
              <w:spacing w:line="280" w:lineRule="atLeast"/>
              <w:jc w:val="left"/>
              <w:rPr>
                <w:b/>
                <w:sz w:val="22"/>
              </w:rPr>
            </w:pPr>
            <w:r w:rsidRPr="0046175F">
              <w:rPr>
                <w:b/>
                <w:sz w:val="22"/>
              </w:rPr>
              <w:lastRenderedPageBreak/>
              <w:t>System Organ Class/ADR (MedDRA preferred term)</w:t>
            </w:r>
          </w:p>
        </w:tc>
        <w:tc>
          <w:tcPr>
            <w:tcW w:w="5953" w:type="dxa"/>
            <w:gridSpan w:val="4"/>
            <w:tcBorders>
              <w:top w:val="single" w:sz="4" w:space="0" w:color="auto"/>
              <w:bottom w:val="single" w:sz="4" w:space="0" w:color="auto"/>
            </w:tcBorders>
            <w:shd w:val="clear" w:color="auto" w:fill="FFFFFF"/>
          </w:tcPr>
          <w:p w14:paraId="0BCBD935" w14:textId="4757709D" w:rsidR="00F013AA" w:rsidRPr="0046175F" w:rsidRDefault="00F013AA" w:rsidP="00B334C3">
            <w:pPr>
              <w:spacing w:line="280" w:lineRule="atLeast"/>
              <w:jc w:val="center"/>
              <w:rPr>
                <w:b/>
                <w:sz w:val="22"/>
              </w:rPr>
            </w:pPr>
            <w:proofErr w:type="spellStart"/>
            <w:r w:rsidRPr="0046175F">
              <w:rPr>
                <w:b/>
                <w:sz w:val="22"/>
              </w:rPr>
              <w:t>Tecentriq</w:t>
            </w:r>
            <w:proofErr w:type="spellEnd"/>
            <w:r w:rsidRPr="0046175F">
              <w:rPr>
                <w:b/>
                <w:sz w:val="22"/>
              </w:rPr>
              <w:t xml:space="preserve"> (n = 3075)</w:t>
            </w:r>
          </w:p>
        </w:tc>
      </w:tr>
      <w:tr w:rsidR="00F013AA" w:rsidRPr="0046175F" w14:paraId="7B6ACC0F" w14:textId="77777777" w:rsidTr="00E569AD">
        <w:trPr>
          <w:tblHeader/>
        </w:trPr>
        <w:tc>
          <w:tcPr>
            <w:tcW w:w="3119" w:type="dxa"/>
            <w:vMerge/>
            <w:tcBorders>
              <w:top w:val="nil"/>
              <w:bottom w:val="single" w:sz="4" w:space="0" w:color="auto"/>
            </w:tcBorders>
            <w:shd w:val="clear" w:color="auto" w:fill="FFFFFF"/>
          </w:tcPr>
          <w:p w14:paraId="2A23598A" w14:textId="60894574" w:rsidR="00F013AA" w:rsidRPr="0046175F" w:rsidRDefault="00F013AA" w:rsidP="00B334C3">
            <w:pPr>
              <w:spacing w:line="280" w:lineRule="atLeast"/>
              <w:rPr>
                <w:b/>
                <w:sz w:val="22"/>
              </w:rPr>
            </w:pPr>
          </w:p>
        </w:tc>
        <w:tc>
          <w:tcPr>
            <w:tcW w:w="1559" w:type="dxa"/>
            <w:tcBorders>
              <w:top w:val="single" w:sz="4" w:space="0" w:color="auto"/>
              <w:bottom w:val="single" w:sz="4" w:space="0" w:color="auto"/>
            </w:tcBorders>
            <w:shd w:val="clear" w:color="auto" w:fill="FFFFFF"/>
          </w:tcPr>
          <w:p w14:paraId="292ED2A2" w14:textId="77777777" w:rsidR="00F013AA" w:rsidRPr="0046175F" w:rsidRDefault="00F013AA" w:rsidP="00B334C3">
            <w:pPr>
              <w:spacing w:line="280" w:lineRule="atLeast"/>
              <w:jc w:val="center"/>
              <w:rPr>
                <w:b/>
                <w:sz w:val="22"/>
              </w:rPr>
            </w:pPr>
            <w:r w:rsidRPr="0046175F">
              <w:rPr>
                <w:b/>
                <w:sz w:val="22"/>
              </w:rPr>
              <w:t>All Grades (%)</w:t>
            </w:r>
          </w:p>
        </w:tc>
        <w:tc>
          <w:tcPr>
            <w:tcW w:w="1276" w:type="dxa"/>
            <w:tcBorders>
              <w:top w:val="single" w:sz="4" w:space="0" w:color="auto"/>
              <w:bottom w:val="single" w:sz="4" w:space="0" w:color="auto"/>
            </w:tcBorders>
            <w:shd w:val="clear" w:color="auto" w:fill="FFFFFF"/>
          </w:tcPr>
          <w:p w14:paraId="04535FFB" w14:textId="77777777" w:rsidR="00F013AA" w:rsidRPr="0046175F" w:rsidRDefault="00F013AA" w:rsidP="00B334C3">
            <w:pPr>
              <w:spacing w:line="280" w:lineRule="atLeast"/>
              <w:jc w:val="center"/>
              <w:rPr>
                <w:b/>
                <w:sz w:val="22"/>
              </w:rPr>
            </w:pPr>
            <w:r w:rsidRPr="0046175F">
              <w:rPr>
                <w:b/>
                <w:sz w:val="22"/>
              </w:rPr>
              <w:t>Grade 3 - 4 (%)</w:t>
            </w:r>
          </w:p>
        </w:tc>
        <w:tc>
          <w:tcPr>
            <w:tcW w:w="1417" w:type="dxa"/>
            <w:tcBorders>
              <w:top w:val="single" w:sz="4" w:space="0" w:color="auto"/>
              <w:bottom w:val="single" w:sz="4" w:space="0" w:color="auto"/>
            </w:tcBorders>
            <w:shd w:val="clear" w:color="auto" w:fill="FFFFFF"/>
          </w:tcPr>
          <w:p w14:paraId="3EA23345" w14:textId="77777777" w:rsidR="00F013AA" w:rsidRPr="0046175F" w:rsidRDefault="00F013AA" w:rsidP="00B334C3">
            <w:pPr>
              <w:spacing w:line="280" w:lineRule="atLeast"/>
              <w:jc w:val="center"/>
              <w:rPr>
                <w:b/>
                <w:sz w:val="22"/>
              </w:rPr>
            </w:pPr>
            <w:r w:rsidRPr="0046175F">
              <w:rPr>
                <w:b/>
                <w:sz w:val="22"/>
              </w:rPr>
              <w:t xml:space="preserve">Grade 5 </w:t>
            </w:r>
          </w:p>
          <w:p w14:paraId="0D95CC78" w14:textId="79654F5A" w:rsidR="00F013AA" w:rsidRPr="0046175F" w:rsidRDefault="00F013AA" w:rsidP="00B334C3">
            <w:pPr>
              <w:spacing w:line="280" w:lineRule="atLeast"/>
              <w:jc w:val="center"/>
              <w:rPr>
                <w:b/>
                <w:sz w:val="22"/>
              </w:rPr>
            </w:pPr>
            <w:r w:rsidRPr="0046175F">
              <w:rPr>
                <w:b/>
                <w:sz w:val="22"/>
              </w:rPr>
              <w:t>(%)</w:t>
            </w:r>
          </w:p>
        </w:tc>
        <w:tc>
          <w:tcPr>
            <w:tcW w:w="1701" w:type="dxa"/>
            <w:tcBorders>
              <w:top w:val="single" w:sz="4" w:space="0" w:color="auto"/>
              <w:bottom w:val="single" w:sz="4" w:space="0" w:color="auto"/>
            </w:tcBorders>
            <w:shd w:val="clear" w:color="auto" w:fill="FFFFFF"/>
          </w:tcPr>
          <w:p w14:paraId="46D1D87B" w14:textId="77777777" w:rsidR="00F013AA" w:rsidRPr="0046175F" w:rsidRDefault="00F013AA" w:rsidP="00B334C3">
            <w:pPr>
              <w:spacing w:line="280" w:lineRule="atLeast"/>
              <w:jc w:val="center"/>
              <w:rPr>
                <w:b/>
                <w:sz w:val="22"/>
              </w:rPr>
            </w:pPr>
            <w:r w:rsidRPr="0046175F">
              <w:rPr>
                <w:b/>
                <w:sz w:val="22"/>
              </w:rPr>
              <w:t>Frequency (All Grades)</w:t>
            </w:r>
          </w:p>
        </w:tc>
      </w:tr>
      <w:tr w:rsidR="00C516B8" w:rsidRPr="0046175F" w14:paraId="1805ED72" w14:textId="77777777" w:rsidTr="00B334C3">
        <w:trPr>
          <w:tblHeader/>
        </w:trPr>
        <w:tc>
          <w:tcPr>
            <w:tcW w:w="9072" w:type="dxa"/>
            <w:gridSpan w:val="5"/>
            <w:tcBorders>
              <w:top w:val="single" w:sz="4" w:space="0" w:color="auto"/>
              <w:bottom w:val="nil"/>
            </w:tcBorders>
            <w:shd w:val="clear" w:color="auto" w:fill="FFFFFF"/>
          </w:tcPr>
          <w:p w14:paraId="251E5740" w14:textId="139EFF51" w:rsidR="00C516B8" w:rsidRPr="0046175F" w:rsidRDefault="00C516B8" w:rsidP="00B334C3">
            <w:pPr>
              <w:spacing w:line="280" w:lineRule="atLeast"/>
              <w:jc w:val="left"/>
              <w:rPr>
                <w:b/>
                <w:sz w:val="22"/>
              </w:rPr>
            </w:pPr>
            <w:r w:rsidRPr="0046175F">
              <w:rPr>
                <w:b/>
                <w:sz w:val="22"/>
              </w:rPr>
              <w:t>Blood and Lymphatic System Disorders</w:t>
            </w:r>
          </w:p>
        </w:tc>
      </w:tr>
      <w:tr w:rsidR="00C516B8" w:rsidRPr="0046175F" w14:paraId="544F5135" w14:textId="77777777" w:rsidTr="00B334C3">
        <w:trPr>
          <w:tblHeader/>
        </w:trPr>
        <w:tc>
          <w:tcPr>
            <w:tcW w:w="3119" w:type="dxa"/>
            <w:tcBorders>
              <w:top w:val="nil"/>
              <w:bottom w:val="single" w:sz="4" w:space="0" w:color="auto"/>
            </w:tcBorders>
            <w:shd w:val="clear" w:color="auto" w:fill="FFFFFF"/>
          </w:tcPr>
          <w:p w14:paraId="3672F4EC" w14:textId="77777777" w:rsidR="00886FB9" w:rsidRPr="0046175F" w:rsidRDefault="00886FB9" w:rsidP="00B334C3">
            <w:pPr>
              <w:spacing w:line="280" w:lineRule="atLeast"/>
              <w:jc w:val="left"/>
              <w:rPr>
                <w:rFonts w:eastAsia="MS Mincho"/>
                <w:sz w:val="22"/>
              </w:rPr>
            </w:pPr>
            <w:r w:rsidRPr="0046175F">
              <w:rPr>
                <w:rFonts w:eastAsia="MS Mincho"/>
                <w:sz w:val="22"/>
              </w:rPr>
              <w:t>Thrombocytopenia</w:t>
            </w:r>
            <w:r w:rsidRPr="0046175F">
              <w:rPr>
                <w:rFonts w:eastAsia="MS Mincho"/>
                <w:sz w:val="22"/>
                <w:vertAlign w:val="superscript"/>
              </w:rPr>
              <w:t xml:space="preserve"> n</w:t>
            </w:r>
          </w:p>
        </w:tc>
        <w:tc>
          <w:tcPr>
            <w:tcW w:w="1559" w:type="dxa"/>
            <w:tcBorders>
              <w:top w:val="nil"/>
              <w:bottom w:val="single" w:sz="4" w:space="0" w:color="auto"/>
            </w:tcBorders>
            <w:shd w:val="clear" w:color="auto" w:fill="FFFFFF"/>
          </w:tcPr>
          <w:p w14:paraId="732AD8A6" w14:textId="77777777" w:rsidR="00886FB9" w:rsidRPr="0046175F" w:rsidRDefault="00886FB9" w:rsidP="00B334C3">
            <w:pPr>
              <w:spacing w:line="280" w:lineRule="atLeast"/>
              <w:jc w:val="center"/>
              <w:rPr>
                <w:rFonts w:eastAsia="MS Mincho"/>
                <w:sz w:val="22"/>
              </w:rPr>
            </w:pPr>
            <w:r w:rsidRPr="0046175F">
              <w:rPr>
                <w:rFonts w:eastAsia="MS Mincho"/>
                <w:sz w:val="22"/>
              </w:rPr>
              <w:t>113 (3.7%)</w:t>
            </w:r>
          </w:p>
        </w:tc>
        <w:tc>
          <w:tcPr>
            <w:tcW w:w="1276" w:type="dxa"/>
            <w:tcBorders>
              <w:top w:val="nil"/>
              <w:bottom w:val="single" w:sz="4" w:space="0" w:color="auto"/>
            </w:tcBorders>
            <w:shd w:val="clear" w:color="auto" w:fill="FFFFFF"/>
          </w:tcPr>
          <w:p w14:paraId="4DC64D1E" w14:textId="77777777" w:rsidR="00886FB9" w:rsidRPr="0046175F" w:rsidRDefault="00886FB9" w:rsidP="00B334C3">
            <w:pPr>
              <w:spacing w:line="280" w:lineRule="atLeast"/>
              <w:jc w:val="center"/>
              <w:rPr>
                <w:rFonts w:eastAsia="MS Mincho"/>
                <w:sz w:val="22"/>
              </w:rPr>
            </w:pPr>
            <w:r w:rsidRPr="0046175F">
              <w:rPr>
                <w:rFonts w:eastAsia="MS Mincho"/>
                <w:sz w:val="22"/>
              </w:rPr>
              <w:t>27 (0.9%)</w:t>
            </w:r>
          </w:p>
        </w:tc>
        <w:tc>
          <w:tcPr>
            <w:tcW w:w="1417" w:type="dxa"/>
            <w:tcBorders>
              <w:top w:val="nil"/>
              <w:bottom w:val="single" w:sz="4" w:space="0" w:color="auto"/>
            </w:tcBorders>
            <w:shd w:val="clear" w:color="auto" w:fill="FFFFFF"/>
          </w:tcPr>
          <w:p w14:paraId="4B8958A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6F1A056E"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886FB9" w:rsidRPr="0046175F" w14:paraId="3B435AD1" w14:textId="77777777" w:rsidTr="00B334C3">
        <w:trPr>
          <w:tblHeader/>
        </w:trPr>
        <w:tc>
          <w:tcPr>
            <w:tcW w:w="9072" w:type="dxa"/>
            <w:gridSpan w:val="5"/>
            <w:tcBorders>
              <w:top w:val="single" w:sz="4" w:space="0" w:color="auto"/>
              <w:bottom w:val="nil"/>
            </w:tcBorders>
            <w:shd w:val="clear" w:color="auto" w:fill="FFFFFF"/>
          </w:tcPr>
          <w:p w14:paraId="01EB4F06" w14:textId="77777777" w:rsidR="00886FB9" w:rsidRPr="0046175F" w:rsidRDefault="00886FB9" w:rsidP="00B334C3">
            <w:pPr>
              <w:spacing w:line="280" w:lineRule="atLeast"/>
              <w:jc w:val="left"/>
              <w:rPr>
                <w:rFonts w:eastAsia="MS Mincho"/>
                <w:sz w:val="22"/>
              </w:rPr>
            </w:pPr>
            <w:r w:rsidRPr="0046175F">
              <w:rPr>
                <w:rFonts w:eastAsia="MS Mincho"/>
                <w:b/>
                <w:sz w:val="22"/>
              </w:rPr>
              <w:t>Cardiac Disorders</w:t>
            </w:r>
          </w:p>
        </w:tc>
      </w:tr>
      <w:tr w:rsidR="00C516B8" w:rsidRPr="0046175F" w14:paraId="282A2821" w14:textId="77777777" w:rsidTr="00B334C3">
        <w:trPr>
          <w:tblHeader/>
        </w:trPr>
        <w:tc>
          <w:tcPr>
            <w:tcW w:w="3119" w:type="dxa"/>
            <w:tcBorders>
              <w:top w:val="nil"/>
              <w:bottom w:val="single" w:sz="4" w:space="0" w:color="auto"/>
            </w:tcBorders>
            <w:shd w:val="clear" w:color="auto" w:fill="FFFFFF"/>
          </w:tcPr>
          <w:p w14:paraId="21FFE244" w14:textId="2D5F85FD" w:rsidR="00886FB9" w:rsidRPr="0046175F" w:rsidRDefault="00886FB9" w:rsidP="00B334C3">
            <w:pPr>
              <w:spacing w:line="280" w:lineRule="atLeast"/>
              <w:jc w:val="left"/>
              <w:rPr>
                <w:rFonts w:eastAsia="MS Mincho"/>
                <w:sz w:val="22"/>
              </w:rPr>
            </w:pPr>
            <w:r w:rsidRPr="0046175F">
              <w:rPr>
                <w:rFonts w:eastAsia="MS Mincho"/>
                <w:sz w:val="22"/>
              </w:rPr>
              <w:t xml:space="preserve">Myocarditis </w:t>
            </w:r>
            <w:r w:rsidRPr="0046175F">
              <w:rPr>
                <w:rFonts w:eastAsia="MS Mincho"/>
                <w:sz w:val="22"/>
                <w:vertAlign w:val="superscript"/>
              </w:rPr>
              <w:t>a</w:t>
            </w:r>
            <w:r w:rsidRPr="0046175F">
              <w:rPr>
                <w:rFonts w:eastAsia="MS Mincho"/>
                <w:sz w:val="22"/>
              </w:rPr>
              <w:t xml:space="preserve"> </w:t>
            </w:r>
          </w:p>
        </w:tc>
        <w:tc>
          <w:tcPr>
            <w:tcW w:w="1559" w:type="dxa"/>
            <w:tcBorders>
              <w:top w:val="nil"/>
              <w:bottom w:val="single" w:sz="4" w:space="0" w:color="auto"/>
            </w:tcBorders>
            <w:shd w:val="clear" w:color="auto" w:fill="FFFFFF"/>
          </w:tcPr>
          <w:p w14:paraId="7098091E" w14:textId="77777777" w:rsidR="00886FB9" w:rsidRPr="0046175F" w:rsidRDefault="00886FB9" w:rsidP="00B334C3">
            <w:pPr>
              <w:spacing w:line="280" w:lineRule="atLeast"/>
              <w:jc w:val="center"/>
              <w:rPr>
                <w:rFonts w:eastAsia="MS Mincho"/>
                <w:sz w:val="22"/>
              </w:rPr>
            </w:pPr>
            <w:r w:rsidRPr="0046175F">
              <w:rPr>
                <w:rFonts w:eastAsia="MS Mincho"/>
                <w:sz w:val="22"/>
              </w:rPr>
              <w:t>-</w:t>
            </w:r>
          </w:p>
        </w:tc>
        <w:tc>
          <w:tcPr>
            <w:tcW w:w="1276" w:type="dxa"/>
            <w:tcBorders>
              <w:top w:val="nil"/>
              <w:bottom w:val="single" w:sz="4" w:space="0" w:color="auto"/>
            </w:tcBorders>
            <w:shd w:val="clear" w:color="auto" w:fill="FFFFFF"/>
          </w:tcPr>
          <w:p w14:paraId="13A2A981" w14:textId="77777777" w:rsidR="00886FB9" w:rsidRPr="0046175F" w:rsidRDefault="00886FB9" w:rsidP="00B334C3">
            <w:pPr>
              <w:spacing w:line="280" w:lineRule="atLeast"/>
              <w:jc w:val="center"/>
              <w:rPr>
                <w:rFonts w:eastAsia="MS Mincho"/>
                <w:sz w:val="22"/>
              </w:rPr>
            </w:pPr>
            <w:r w:rsidRPr="0046175F">
              <w:rPr>
                <w:rFonts w:eastAsia="MS Mincho"/>
                <w:sz w:val="22"/>
              </w:rPr>
              <w:t>-</w:t>
            </w:r>
          </w:p>
        </w:tc>
        <w:tc>
          <w:tcPr>
            <w:tcW w:w="1417" w:type="dxa"/>
            <w:tcBorders>
              <w:top w:val="nil"/>
              <w:bottom w:val="single" w:sz="4" w:space="0" w:color="auto"/>
            </w:tcBorders>
            <w:shd w:val="clear" w:color="auto" w:fill="FFFFFF"/>
          </w:tcPr>
          <w:p w14:paraId="624D7907" w14:textId="77777777" w:rsidR="00886FB9" w:rsidRPr="0046175F" w:rsidRDefault="00886FB9" w:rsidP="00B334C3">
            <w:pPr>
              <w:spacing w:line="280" w:lineRule="atLeast"/>
              <w:jc w:val="center"/>
              <w:rPr>
                <w:rFonts w:eastAsia="MS Mincho"/>
                <w:sz w:val="22"/>
              </w:rPr>
            </w:pPr>
            <w:r w:rsidRPr="0046175F">
              <w:rPr>
                <w:rFonts w:eastAsia="MS Mincho"/>
                <w:sz w:val="22"/>
              </w:rPr>
              <w:t>-</w:t>
            </w:r>
          </w:p>
        </w:tc>
        <w:tc>
          <w:tcPr>
            <w:tcW w:w="1701" w:type="dxa"/>
            <w:tcBorders>
              <w:top w:val="nil"/>
              <w:bottom w:val="single" w:sz="4" w:space="0" w:color="auto"/>
            </w:tcBorders>
            <w:shd w:val="clear" w:color="auto" w:fill="FFFFFF"/>
          </w:tcPr>
          <w:p w14:paraId="5128E01A" w14:textId="77777777" w:rsidR="00886FB9" w:rsidRPr="0046175F" w:rsidRDefault="00886FB9" w:rsidP="00B334C3">
            <w:pPr>
              <w:spacing w:line="280" w:lineRule="atLeast"/>
              <w:jc w:val="center"/>
              <w:rPr>
                <w:rFonts w:eastAsia="MS Mincho"/>
                <w:sz w:val="22"/>
              </w:rPr>
            </w:pPr>
            <w:r w:rsidRPr="0046175F">
              <w:rPr>
                <w:rFonts w:eastAsia="MS Mincho"/>
                <w:sz w:val="22"/>
              </w:rPr>
              <w:t>Rare</w:t>
            </w:r>
          </w:p>
        </w:tc>
      </w:tr>
      <w:tr w:rsidR="00886FB9" w:rsidRPr="0046175F" w14:paraId="41C8D807" w14:textId="77777777" w:rsidTr="00B334C3">
        <w:trPr>
          <w:tblHeader/>
        </w:trPr>
        <w:tc>
          <w:tcPr>
            <w:tcW w:w="3119" w:type="dxa"/>
            <w:tcBorders>
              <w:top w:val="single" w:sz="4" w:space="0" w:color="auto"/>
              <w:bottom w:val="nil"/>
            </w:tcBorders>
            <w:shd w:val="clear" w:color="auto" w:fill="FFFFFF"/>
          </w:tcPr>
          <w:p w14:paraId="745235EE" w14:textId="77777777" w:rsidR="00886FB9" w:rsidRPr="0046175F" w:rsidRDefault="00886FB9" w:rsidP="00B334C3">
            <w:pPr>
              <w:spacing w:line="280" w:lineRule="atLeast"/>
              <w:jc w:val="left"/>
              <w:rPr>
                <w:rFonts w:eastAsia="MS Mincho"/>
                <w:sz w:val="22"/>
              </w:rPr>
            </w:pPr>
            <w:r w:rsidRPr="0046175F">
              <w:rPr>
                <w:rFonts w:eastAsia="MS Mincho"/>
                <w:b/>
                <w:sz w:val="22"/>
              </w:rPr>
              <w:t>Endocrine Disorders</w:t>
            </w:r>
          </w:p>
        </w:tc>
        <w:tc>
          <w:tcPr>
            <w:tcW w:w="5953" w:type="dxa"/>
            <w:gridSpan w:val="4"/>
            <w:tcBorders>
              <w:top w:val="single" w:sz="4" w:space="0" w:color="auto"/>
              <w:bottom w:val="nil"/>
            </w:tcBorders>
            <w:shd w:val="clear" w:color="auto" w:fill="FFFFFF"/>
          </w:tcPr>
          <w:p w14:paraId="10EBD14B" w14:textId="77777777" w:rsidR="00886FB9" w:rsidRPr="0046175F" w:rsidRDefault="00886FB9" w:rsidP="00B334C3">
            <w:pPr>
              <w:spacing w:line="280" w:lineRule="atLeast"/>
              <w:jc w:val="center"/>
              <w:rPr>
                <w:rFonts w:eastAsia="MS Mincho"/>
                <w:sz w:val="22"/>
              </w:rPr>
            </w:pPr>
          </w:p>
        </w:tc>
      </w:tr>
      <w:tr w:rsidR="00C516B8" w:rsidRPr="0046175F" w14:paraId="5F8DD371" w14:textId="77777777" w:rsidTr="00B334C3">
        <w:trPr>
          <w:tblHeader/>
        </w:trPr>
        <w:tc>
          <w:tcPr>
            <w:tcW w:w="3119" w:type="dxa"/>
            <w:tcBorders>
              <w:top w:val="nil"/>
              <w:bottom w:val="nil"/>
            </w:tcBorders>
            <w:shd w:val="clear" w:color="auto" w:fill="FFFFFF"/>
          </w:tcPr>
          <w:p w14:paraId="51145DB5"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Hypothyroidism </w:t>
            </w:r>
            <w:r w:rsidRPr="0046175F">
              <w:rPr>
                <w:rFonts w:eastAsia="MS Mincho"/>
                <w:sz w:val="22"/>
                <w:vertAlign w:val="superscript"/>
              </w:rPr>
              <w:t>b</w:t>
            </w:r>
          </w:p>
        </w:tc>
        <w:tc>
          <w:tcPr>
            <w:tcW w:w="1559" w:type="dxa"/>
            <w:tcBorders>
              <w:top w:val="nil"/>
              <w:bottom w:val="nil"/>
            </w:tcBorders>
            <w:shd w:val="clear" w:color="auto" w:fill="FFFFFF"/>
          </w:tcPr>
          <w:p w14:paraId="155BC871" w14:textId="77777777" w:rsidR="00886FB9" w:rsidRPr="0046175F" w:rsidRDefault="00886FB9" w:rsidP="00B334C3">
            <w:pPr>
              <w:spacing w:line="280" w:lineRule="atLeast"/>
              <w:jc w:val="center"/>
              <w:rPr>
                <w:rFonts w:eastAsia="MS Mincho"/>
                <w:sz w:val="22"/>
              </w:rPr>
            </w:pPr>
            <w:r w:rsidRPr="0046175F">
              <w:rPr>
                <w:rFonts w:eastAsia="MS Mincho"/>
                <w:sz w:val="22"/>
              </w:rPr>
              <w:t>149 (4.8%)</w:t>
            </w:r>
          </w:p>
        </w:tc>
        <w:tc>
          <w:tcPr>
            <w:tcW w:w="1276" w:type="dxa"/>
            <w:tcBorders>
              <w:top w:val="nil"/>
              <w:bottom w:val="nil"/>
            </w:tcBorders>
            <w:shd w:val="clear" w:color="auto" w:fill="FFFFFF"/>
          </w:tcPr>
          <w:p w14:paraId="7D2548CD" w14:textId="77777777" w:rsidR="00886FB9" w:rsidRPr="0046175F" w:rsidRDefault="00886FB9" w:rsidP="00B334C3">
            <w:pPr>
              <w:spacing w:line="280" w:lineRule="atLeast"/>
              <w:jc w:val="center"/>
              <w:rPr>
                <w:rFonts w:eastAsia="MS Mincho"/>
                <w:sz w:val="22"/>
              </w:rPr>
            </w:pPr>
            <w:r w:rsidRPr="0046175F">
              <w:rPr>
                <w:rFonts w:eastAsia="MS Mincho"/>
                <w:sz w:val="22"/>
              </w:rPr>
              <w:t>6 (0.2%)</w:t>
            </w:r>
          </w:p>
        </w:tc>
        <w:tc>
          <w:tcPr>
            <w:tcW w:w="1417" w:type="dxa"/>
            <w:tcBorders>
              <w:top w:val="nil"/>
              <w:bottom w:val="nil"/>
            </w:tcBorders>
            <w:shd w:val="clear" w:color="auto" w:fill="FFFFFF"/>
          </w:tcPr>
          <w:p w14:paraId="1A66D1B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75873875"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38BDB465" w14:textId="77777777" w:rsidTr="00B334C3">
        <w:trPr>
          <w:tblHeader/>
        </w:trPr>
        <w:tc>
          <w:tcPr>
            <w:tcW w:w="3119" w:type="dxa"/>
            <w:tcBorders>
              <w:top w:val="nil"/>
              <w:bottom w:val="nil"/>
            </w:tcBorders>
            <w:shd w:val="clear" w:color="auto" w:fill="FFFFFF"/>
          </w:tcPr>
          <w:p w14:paraId="5EF58877"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Hyperthyroidism </w:t>
            </w:r>
            <w:r w:rsidRPr="0046175F">
              <w:rPr>
                <w:rFonts w:eastAsia="MS Mincho"/>
                <w:sz w:val="22"/>
                <w:vertAlign w:val="superscript"/>
              </w:rPr>
              <w:t>c</w:t>
            </w:r>
          </w:p>
        </w:tc>
        <w:tc>
          <w:tcPr>
            <w:tcW w:w="1559" w:type="dxa"/>
            <w:tcBorders>
              <w:top w:val="nil"/>
              <w:bottom w:val="nil"/>
            </w:tcBorders>
            <w:shd w:val="clear" w:color="auto" w:fill="FFFFFF"/>
          </w:tcPr>
          <w:p w14:paraId="0C812516" w14:textId="77777777" w:rsidR="00886FB9" w:rsidRPr="0046175F" w:rsidRDefault="00886FB9" w:rsidP="00B334C3">
            <w:pPr>
              <w:spacing w:line="280" w:lineRule="atLeast"/>
              <w:jc w:val="center"/>
              <w:rPr>
                <w:rFonts w:eastAsia="MS Mincho"/>
                <w:sz w:val="22"/>
              </w:rPr>
            </w:pPr>
            <w:r w:rsidRPr="0046175F">
              <w:rPr>
                <w:rFonts w:eastAsia="MS Mincho"/>
                <w:sz w:val="22"/>
              </w:rPr>
              <w:t>28 (0.9%)</w:t>
            </w:r>
          </w:p>
        </w:tc>
        <w:tc>
          <w:tcPr>
            <w:tcW w:w="1276" w:type="dxa"/>
            <w:tcBorders>
              <w:top w:val="nil"/>
              <w:bottom w:val="nil"/>
            </w:tcBorders>
            <w:shd w:val="clear" w:color="auto" w:fill="FFFFFF"/>
          </w:tcPr>
          <w:p w14:paraId="51786707" w14:textId="0533A618"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417" w:type="dxa"/>
            <w:tcBorders>
              <w:top w:val="nil"/>
              <w:bottom w:val="nil"/>
            </w:tcBorders>
            <w:shd w:val="clear" w:color="auto" w:fill="FFFFFF"/>
          </w:tcPr>
          <w:p w14:paraId="13154D90"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334D54DF" w14:textId="77777777" w:rsidR="00886FB9" w:rsidRPr="0046175F" w:rsidRDefault="00886FB9" w:rsidP="00B334C3">
            <w:pPr>
              <w:spacing w:line="280" w:lineRule="atLeast"/>
              <w:jc w:val="center"/>
              <w:rPr>
                <w:rFonts w:eastAsia="MS Mincho"/>
                <w:strike/>
                <w:sz w:val="22"/>
              </w:rPr>
            </w:pPr>
            <w:r w:rsidRPr="0046175F">
              <w:rPr>
                <w:rFonts w:eastAsia="MS Mincho"/>
                <w:sz w:val="22"/>
              </w:rPr>
              <w:t>Uncommon</w:t>
            </w:r>
          </w:p>
        </w:tc>
      </w:tr>
      <w:tr w:rsidR="00C516B8" w:rsidRPr="0046175F" w14:paraId="39B39B1C" w14:textId="77777777" w:rsidTr="00B334C3">
        <w:trPr>
          <w:tblHeader/>
        </w:trPr>
        <w:tc>
          <w:tcPr>
            <w:tcW w:w="3119" w:type="dxa"/>
            <w:tcBorders>
              <w:top w:val="nil"/>
              <w:bottom w:val="nil"/>
            </w:tcBorders>
            <w:shd w:val="clear" w:color="auto" w:fill="FFFFFF"/>
          </w:tcPr>
          <w:p w14:paraId="60BE682C"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Adrenal insufficiency </w:t>
            </w:r>
            <w:r w:rsidRPr="0046175F">
              <w:rPr>
                <w:rFonts w:eastAsia="MS Mincho"/>
                <w:sz w:val="22"/>
                <w:vertAlign w:val="superscript"/>
              </w:rPr>
              <w:t>d</w:t>
            </w:r>
          </w:p>
        </w:tc>
        <w:tc>
          <w:tcPr>
            <w:tcW w:w="1559" w:type="dxa"/>
            <w:tcBorders>
              <w:top w:val="nil"/>
              <w:bottom w:val="nil"/>
            </w:tcBorders>
            <w:shd w:val="clear" w:color="auto" w:fill="FFFFFF"/>
          </w:tcPr>
          <w:p w14:paraId="03AF45E4" w14:textId="77777777" w:rsidR="00886FB9" w:rsidRPr="0046175F" w:rsidRDefault="00886FB9" w:rsidP="00B334C3">
            <w:pPr>
              <w:spacing w:line="280" w:lineRule="atLeast"/>
              <w:jc w:val="center"/>
              <w:rPr>
                <w:rFonts w:eastAsia="MS Mincho"/>
                <w:strike/>
                <w:sz w:val="22"/>
              </w:rPr>
            </w:pPr>
            <w:r w:rsidRPr="0046175F">
              <w:rPr>
                <w:rFonts w:eastAsia="MS Mincho"/>
                <w:sz w:val="22"/>
              </w:rPr>
              <w:t>12 (0.4%)</w:t>
            </w:r>
          </w:p>
        </w:tc>
        <w:tc>
          <w:tcPr>
            <w:tcW w:w="1276" w:type="dxa"/>
            <w:tcBorders>
              <w:top w:val="nil"/>
              <w:bottom w:val="nil"/>
            </w:tcBorders>
            <w:shd w:val="clear" w:color="auto" w:fill="FFFFFF"/>
          </w:tcPr>
          <w:p w14:paraId="7618F080" w14:textId="1DD740C4" w:rsidR="00886FB9" w:rsidRPr="0046175F" w:rsidRDefault="00886FB9" w:rsidP="00B334C3">
            <w:pPr>
              <w:spacing w:line="280" w:lineRule="atLeast"/>
              <w:jc w:val="center"/>
              <w:rPr>
                <w:rFonts w:eastAsia="MS Mincho"/>
                <w:sz w:val="22"/>
              </w:rPr>
            </w:pPr>
            <w:r w:rsidRPr="0046175F">
              <w:rPr>
                <w:rFonts w:eastAsia="MS Mincho"/>
                <w:sz w:val="22"/>
              </w:rPr>
              <w:t>2 (&lt;</w:t>
            </w:r>
            <w:r w:rsidR="00D96DDB" w:rsidRPr="0046175F">
              <w:rPr>
                <w:rFonts w:eastAsia="MS Mincho"/>
                <w:sz w:val="22"/>
              </w:rPr>
              <w:t xml:space="preserve"> </w:t>
            </w:r>
            <w:r w:rsidRPr="0046175F">
              <w:rPr>
                <w:rFonts w:eastAsia="MS Mincho"/>
                <w:sz w:val="22"/>
              </w:rPr>
              <w:t>0.1%)</w:t>
            </w:r>
          </w:p>
        </w:tc>
        <w:tc>
          <w:tcPr>
            <w:tcW w:w="1417" w:type="dxa"/>
            <w:tcBorders>
              <w:top w:val="nil"/>
              <w:bottom w:val="nil"/>
            </w:tcBorders>
            <w:shd w:val="clear" w:color="auto" w:fill="FFFFFF"/>
          </w:tcPr>
          <w:p w14:paraId="35CF52F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6DADA584" w14:textId="77777777" w:rsidR="00886FB9" w:rsidRPr="0046175F" w:rsidRDefault="00886FB9" w:rsidP="00B334C3">
            <w:pPr>
              <w:spacing w:line="280" w:lineRule="atLeast"/>
              <w:jc w:val="center"/>
              <w:rPr>
                <w:rFonts w:eastAsia="MS Mincho"/>
                <w:sz w:val="22"/>
              </w:rPr>
            </w:pPr>
            <w:r w:rsidRPr="0046175F">
              <w:rPr>
                <w:rFonts w:eastAsia="MS Mincho"/>
                <w:sz w:val="22"/>
              </w:rPr>
              <w:t>Uncommon</w:t>
            </w:r>
          </w:p>
        </w:tc>
      </w:tr>
      <w:tr w:rsidR="00C516B8" w:rsidRPr="0046175F" w14:paraId="2BE42507" w14:textId="77777777" w:rsidTr="00B334C3">
        <w:trPr>
          <w:tblHeader/>
        </w:trPr>
        <w:tc>
          <w:tcPr>
            <w:tcW w:w="3119" w:type="dxa"/>
            <w:tcBorders>
              <w:top w:val="nil"/>
              <w:bottom w:val="nil"/>
            </w:tcBorders>
            <w:shd w:val="clear" w:color="auto" w:fill="FFFFFF"/>
          </w:tcPr>
          <w:p w14:paraId="3A525937" w14:textId="77777777" w:rsidR="00886FB9" w:rsidRPr="0046175F" w:rsidRDefault="00886FB9" w:rsidP="00B334C3">
            <w:pPr>
              <w:spacing w:line="280" w:lineRule="atLeast"/>
              <w:jc w:val="left"/>
              <w:rPr>
                <w:rFonts w:eastAsia="MS Mincho"/>
                <w:sz w:val="22"/>
              </w:rPr>
            </w:pPr>
            <w:proofErr w:type="spellStart"/>
            <w:r w:rsidRPr="0046175F">
              <w:rPr>
                <w:rFonts w:eastAsia="MS Mincho"/>
                <w:sz w:val="22"/>
              </w:rPr>
              <w:t>Hypophysitis</w:t>
            </w:r>
            <w:proofErr w:type="spellEnd"/>
          </w:p>
        </w:tc>
        <w:tc>
          <w:tcPr>
            <w:tcW w:w="1559" w:type="dxa"/>
            <w:tcBorders>
              <w:top w:val="nil"/>
              <w:bottom w:val="nil"/>
            </w:tcBorders>
            <w:shd w:val="clear" w:color="auto" w:fill="FFFFFF"/>
          </w:tcPr>
          <w:p w14:paraId="043556DF" w14:textId="1560DB80"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276" w:type="dxa"/>
            <w:tcBorders>
              <w:top w:val="nil"/>
              <w:bottom w:val="nil"/>
            </w:tcBorders>
            <w:shd w:val="clear" w:color="auto" w:fill="FFFFFF"/>
          </w:tcPr>
          <w:p w14:paraId="0D524BDB"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417" w:type="dxa"/>
            <w:tcBorders>
              <w:top w:val="nil"/>
              <w:bottom w:val="nil"/>
            </w:tcBorders>
            <w:shd w:val="clear" w:color="auto" w:fill="FFFFFF"/>
          </w:tcPr>
          <w:p w14:paraId="2934D5CB"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6AFAA04A" w14:textId="77777777" w:rsidR="00886FB9" w:rsidRPr="0046175F" w:rsidRDefault="00886FB9" w:rsidP="00B334C3">
            <w:pPr>
              <w:spacing w:line="280" w:lineRule="atLeast"/>
              <w:jc w:val="center"/>
              <w:rPr>
                <w:rFonts w:eastAsia="MS Mincho"/>
                <w:sz w:val="22"/>
              </w:rPr>
            </w:pPr>
            <w:r w:rsidRPr="0046175F">
              <w:rPr>
                <w:rFonts w:eastAsia="MS Mincho"/>
                <w:sz w:val="22"/>
              </w:rPr>
              <w:t>Rare</w:t>
            </w:r>
          </w:p>
        </w:tc>
      </w:tr>
      <w:tr w:rsidR="00C516B8" w:rsidRPr="0046175F" w14:paraId="28D653E0" w14:textId="77777777" w:rsidTr="00B334C3">
        <w:trPr>
          <w:tblHeader/>
        </w:trPr>
        <w:tc>
          <w:tcPr>
            <w:tcW w:w="3119" w:type="dxa"/>
            <w:tcBorders>
              <w:top w:val="nil"/>
              <w:bottom w:val="single" w:sz="4" w:space="0" w:color="auto"/>
            </w:tcBorders>
            <w:shd w:val="clear" w:color="auto" w:fill="FFFFFF"/>
          </w:tcPr>
          <w:p w14:paraId="6A6D57FB"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Diabetes mellitus </w:t>
            </w:r>
            <w:r w:rsidRPr="0046175F">
              <w:rPr>
                <w:sz w:val="22"/>
                <w:vertAlign w:val="superscript"/>
              </w:rPr>
              <w:t>e</w:t>
            </w:r>
          </w:p>
        </w:tc>
        <w:tc>
          <w:tcPr>
            <w:tcW w:w="1559" w:type="dxa"/>
            <w:tcBorders>
              <w:top w:val="nil"/>
              <w:bottom w:val="single" w:sz="4" w:space="0" w:color="auto"/>
            </w:tcBorders>
            <w:shd w:val="clear" w:color="auto" w:fill="FFFFFF"/>
          </w:tcPr>
          <w:p w14:paraId="7FD51B3C" w14:textId="77777777" w:rsidR="00886FB9" w:rsidRPr="0046175F" w:rsidRDefault="00886FB9" w:rsidP="00B334C3">
            <w:pPr>
              <w:spacing w:line="280" w:lineRule="atLeast"/>
              <w:jc w:val="center"/>
              <w:rPr>
                <w:rFonts w:eastAsia="MS Mincho"/>
                <w:sz w:val="22"/>
              </w:rPr>
            </w:pPr>
            <w:r w:rsidRPr="0046175F">
              <w:rPr>
                <w:rFonts w:eastAsia="MS Mincho"/>
                <w:sz w:val="22"/>
              </w:rPr>
              <w:t>10 (0.3%)</w:t>
            </w:r>
          </w:p>
        </w:tc>
        <w:tc>
          <w:tcPr>
            <w:tcW w:w="1276" w:type="dxa"/>
            <w:tcBorders>
              <w:top w:val="nil"/>
              <w:bottom w:val="single" w:sz="4" w:space="0" w:color="auto"/>
            </w:tcBorders>
            <w:shd w:val="clear" w:color="auto" w:fill="FFFFFF"/>
          </w:tcPr>
          <w:p w14:paraId="2D82D1F2" w14:textId="77777777" w:rsidR="00886FB9" w:rsidRPr="0046175F" w:rsidRDefault="00886FB9" w:rsidP="00B334C3">
            <w:pPr>
              <w:spacing w:line="280" w:lineRule="atLeast"/>
              <w:jc w:val="center"/>
              <w:rPr>
                <w:rFonts w:eastAsia="MS Mincho"/>
                <w:sz w:val="22"/>
              </w:rPr>
            </w:pPr>
            <w:r w:rsidRPr="0046175F">
              <w:rPr>
                <w:rFonts w:eastAsia="MS Mincho"/>
                <w:sz w:val="22"/>
              </w:rPr>
              <w:t>6 (0.2%)</w:t>
            </w:r>
          </w:p>
        </w:tc>
        <w:tc>
          <w:tcPr>
            <w:tcW w:w="1417" w:type="dxa"/>
            <w:tcBorders>
              <w:top w:val="nil"/>
              <w:bottom w:val="single" w:sz="4" w:space="0" w:color="auto"/>
            </w:tcBorders>
            <w:shd w:val="clear" w:color="auto" w:fill="FFFFFF"/>
          </w:tcPr>
          <w:p w14:paraId="0EBD0237"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040AAE88" w14:textId="77777777" w:rsidR="00886FB9" w:rsidRPr="0046175F" w:rsidRDefault="00886FB9" w:rsidP="00B334C3">
            <w:pPr>
              <w:spacing w:line="280" w:lineRule="atLeast"/>
              <w:jc w:val="center"/>
              <w:rPr>
                <w:rFonts w:eastAsia="MS Mincho"/>
                <w:sz w:val="22"/>
              </w:rPr>
            </w:pPr>
            <w:r w:rsidRPr="0046175F">
              <w:rPr>
                <w:rFonts w:eastAsia="MS Mincho"/>
                <w:sz w:val="22"/>
              </w:rPr>
              <w:t>Uncommon</w:t>
            </w:r>
          </w:p>
        </w:tc>
      </w:tr>
      <w:tr w:rsidR="00886FB9" w:rsidRPr="0046175F" w14:paraId="14FDD534" w14:textId="77777777" w:rsidTr="00B334C3">
        <w:trPr>
          <w:tblHeader/>
        </w:trPr>
        <w:tc>
          <w:tcPr>
            <w:tcW w:w="9072" w:type="dxa"/>
            <w:gridSpan w:val="5"/>
            <w:tcBorders>
              <w:top w:val="single" w:sz="4" w:space="0" w:color="auto"/>
              <w:bottom w:val="nil"/>
            </w:tcBorders>
            <w:shd w:val="clear" w:color="auto" w:fill="FFFFFF"/>
          </w:tcPr>
          <w:p w14:paraId="415C8241" w14:textId="77777777" w:rsidR="00886FB9" w:rsidRPr="0046175F" w:rsidRDefault="00886FB9" w:rsidP="00B334C3">
            <w:pPr>
              <w:spacing w:line="280" w:lineRule="atLeast"/>
              <w:jc w:val="left"/>
              <w:rPr>
                <w:rFonts w:eastAsia="MS Mincho"/>
                <w:b/>
                <w:sz w:val="22"/>
              </w:rPr>
            </w:pPr>
            <w:r w:rsidRPr="0046175F">
              <w:rPr>
                <w:rFonts w:eastAsia="MS Mincho"/>
                <w:b/>
                <w:sz w:val="22"/>
              </w:rPr>
              <w:t>Gastrointestinal Disorders</w:t>
            </w:r>
          </w:p>
        </w:tc>
      </w:tr>
      <w:tr w:rsidR="00C516B8" w:rsidRPr="0046175F" w14:paraId="3E1C444C" w14:textId="77777777" w:rsidTr="00B334C3">
        <w:trPr>
          <w:tblHeader/>
        </w:trPr>
        <w:tc>
          <w:tcPr>
            <w:tcW w:w="3119" w:type="dxa"/>
            <w:tcBorders>
              <w:top w:val="nil"/>
              <w:bottom w:val="nil"/>
            </w:tcBorders>
            <w:shd w:val="clear" w:color="auto" w:fill="FFFFFF"/>
          </w:tcPr>
          <w:p w14:paraId="68E8DA58" w14:textId="24347F87" w:rsidR="00886FB9" w:rsidRPr="0046175F" w:rsidRDefault="00886FB9" w:rsidP="00B334C3">
            <w:pPr>
              <w:spacing w:line="280" w:lineRule="atLeast"/>
              <w:jc w:val="left"/>
              <w:rPr>
                <w:rFonts w:eastAsia="MS Mincho"/>
                <w:sz w:val="22"/>
              </w:rPr>
            </w:pPr>
            <w:r w:rsidRPr="0046175F">
              <w:rPr>
                <w:rFonts w:eastAsia="MS Mincho"/>
                <w:sz w:val="22"/>
              </w:rPr>
              <w:t>Diarrh</w:t>
            </w:r>
            <w:r w:rsidR="0079034D" w:rsidRPr="0046175F">
              <w:rPr>
                <w:rFonts w:eastAsia="MS Mincho"/>
                <w:sz w:val="22"/>
              </w:rPr>
              <w:t>o</w:t>
            </w:r>
            <w:r w:rsidRPr="0046175F">
              <w:rPr>
                <w:rFonts w:eastAsia="MS Mincho"/>
                <w:sz w:val="22"/>
              </w:rPr>
              <w:t>ea</w:t>
            </w:r>
            <w:r w:rsidRPr="0046175F">
              <w:rPr>
                <w:rFonts w:eastAsia="MS Mincho"/>
                <w:sz w:val="22"/>
                <w:vertAlign w:val="superscript"/>
              </w:rPr>
              <w:t xml:space="preserve"> o</w:t>
            </w:r>
          </w:p>
        </w:tc>
        <w:tc>
          <w:tcPr>
            <w:tcW w:w="1559" w:type="dxa"/>
            <w:tcBorders>
              <w:top w:val="nil"/>
              <w:bottom w:val="nil"/>
            </w:tcBorders>
            <w:shd w:val="clear" w:color="auto" w:fill="FFFFFF"/>
          </w:tcPr>
          <w:p w14:paraId="480D537C" w14:textId="77777777" w:rsidR="00886FB9" w:rsidRPr="0046175F" w:rsidRDefault="00886FB9" w:rsidP="00B334C3">
            <w:pPr>
              <w:spacing w:line="280" w:lineRule="atLeast"/>
              <w:jc w:val="center"/>
              <w:rPr>
                <w:rFonts w:eastAsia="MS Mincho"/>
                <w:sz w:val="22"/>
              </w:rPr>
            </w:pPr>
            <w:r w:rsidRPr="0046175F">
              <w:rPr>
                <w:rFonts w:eastAsia="MS Mincho"/>
                <w:sz w:val="22"/>
              </w:rPr>
              <w:t>609 (19.8%)</w:t>
            </w:r>
          </w:p>
        </w:tc>
        <w:tc>
          <w:tcPr>
            <w:tcW w:w="1276" w:type="dxa"/>
            <w:tcBorders>
              <w:top w:val="nil"/>
              <w:bottom w:val="nil"/>
            </w:tcBorders>
            <w:shd w:val="clear" w:color="auto" w:fill="FFFFFF"/>
          </w:tcPr>
          <w:p w14:paraId="42489D01" w14:textId="77777777" w:rsidR="00886FB9" w:rsidRPr="0046175F" w:rsidRDefault="00886FB9" w:rsidP="00B334C3">
            <w:pPr>
              <w:spacing w:line="280" w:lineRule="atLeast"/>
              <w:jc w:val="center"/>
              <w:rPr>
                <w:rFonts w:eastAsia="MS Mincho"/>
                <w:sz w:val="22"/>
              </w:rPr>
            </w:pPr>
            <w:r w:rsidRPr="0046175F">
              <w:rPr>
                <w:rFonts w:eastAsia="MS Mincho"/>
                <w:sz w:val="22"/>
              </w:rPr>
              <w:t>36 (1.2%)</w:t>
            </w:r>
          </w:p>
        </w:tc>
        <w:tc>
          <w:tcPr>
            <w:tcW w:w="1417" w:type="dxa"/>
            <w:tcBorders>
              <w:top w:val="nil"/>
              <w:bottom w:val="nil"/>
            </w:tcBorders>
            <w:shd w:val="clear" w:color="auto" w:fill="FFFFFF"/>
          </w:tcPr>
          <w:p w14:paraId="76BC0AD9"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26F91EB8"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59202DAE" w14:textId="77777777" w:rsidTr="00B334C3">
        <w:trPr>
          <w:tblHeader/>
        </w:trPr>
        <w:tc>
          <w:tcPr>
            <w:tcW w:w="3119" w:type="dxa"/>
            <w:tcBorders>
              <w:top w:val="nil"/>
              <w:bottom w:val="nil"/>
            </w:tcBorders>
            <w:shd w:val="clear" w:color="auto" w:fill="FFFFFF"/>
          </w:tcPr>
          <w:p w14:paraId="5D74EE13" w14:textId="77777777" w:rsidR="00886FB9" w:rsidRPr="0046175F" w:rsidRDefault="00886FB9" w:rsidP="00B334C3">
            <w:pPr>
              <w:spacing w:line="280" w:lineRule="atLeast"/>
              <w:jc w:val="left"/>
              <w:rPr>
                <w:rFonts w:eastAsia="MS Mincho"/>
                <w:sz w:val="22"/>
              </w:rPr>
            </w:pPr>
            <w:r w:rsidRPr="0046175F">
              <w:rPr>
                <w:rFonts w:eastAsia="MS Mincho"/>
                <w:sz w:val="22"/>
              </w:rPr>
              <w:t>Dysphagia</w:t>
            </w:r>
          </w:p>
        </w:tc>
        <w:tc>
          <w:tcPr>
            <w:tcW w:w="1559" w:type="dxa"/>
            <w:tcBorders>
              <w:top w:val="nil"/>
              <w:bottom w:val="nil"/>
            </w:tcBorders>
            <w:shd w:val="clear" w:color="auto" w:fill="FFFFFF"/>
          </w:tcPr>
          <w:p w14:paraId="69DE4044" w14:textId="77777777" w:rsidR="00886FB9" w:rsidRPr="0046175F" w:rsidRDefault="00886FB9" w:rsidP="00B334C3">
            <w:pPr>
              <w:spacing w:line="280" w:lineRule="atLeast"/>
              <w:jc w:val="center"/>
              <w:rPr>
                <w:rFonts w:eastAsia="MS Mincho"/>
                <w:sz w:val="22"/>
              </w:rPr>
            </w:pPr>
            <w:r w:rsidRPr="0046175F">
              <w:rPr>
                <w:rFonts w:eastAsia="MS Mincho"/>
                <w:sz w:val="22"/>
              </w:rPr>
              <w:t>82 (2.7%)</w:t>
            </w:r>
          </w:p>
        </w:tc>
        <w:tc>
          <w:tcPr>
            <w:tcW w:w="1276" w:type="dxa"/>
            <w:tcBorders>
              <w:top w:val="nil"/>
              <w:bottom w:val="nil"/>
            </w:tcBorders>
            <w:shd w:val="clear" w:color="auto" w:fill="FFFFFF"/>
          </w:tcPr>
          <w:p w14:paraId="0E546A17" w14:textId="77777777" w:rsidR="00886FB9" w:rsidRPr="0046175F" w:rsidRDefault="00886FB9" w:rsidP="00B334C3">
            <w:pPr>
              <w:spacing w:line="280" w:lineRule="atLeast"/>
              <w:jc w:val="center"/>
              <w:rPr>
                <w:rFonts w:eastAsia="MS Mincho"/>
                <w:sz w:val="22"/>
              </w:rPr>
            </w:pPr>
            <w:r w:rsidRPr="0046175F">
              <w:rPr>
                <w:rFonts w:eastAsia="MS Mincho"/>
                <w:sz w:val="22"/>
              </w:rPr>
              <w:t>16 (0.5%)</w:t>
            </w:r>
          </w:p>
        </w:tc>
        <w:tc>
          <w:tcPr>
            <w:tcW w:w="1417" w:type="dxa"/>
            <w:tcBorders>
              <w:top w:val="nil"/>
              <w:bottom w:val="nil"/>
            </w:tcBorders>
            <w:shd w:val="clear" w:color="auto" w:fill="FFFFFF"/>
          </w:tcPr>
          <w:p w14:paraId="5776B1B8"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7F8CD6FA"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099FC99B" w14:textId="77777777" w:rsidTr="00B334C3">
        <w:trPr>
          <w:tblHeader/>
        </w:trPr>
        <w:tc>
          <w:tcPr>
            <w:tcW w:w="3119" w:type="dxa"/>
            <w:tcBorders>
              <w:top w:val="nil"/>
              <w:bottom w:val="nil"/>
            </w:tcBorders>
            <w:shd w:val="clear" w:color="auto" w:fill="FFFFFF"/>
          </w:tcPr>
          <w:p w14:paraId="4285459A"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Colitis </w:t>
            </w:r>
            <w:r w:rsidRPr="0046175F">
              <w:rPr>
                <w:rFonts w:eastAsia="MS Mincho"/>
                <w:sz w:val="22"/>
                <w:vertAlign w:val="superscript"/>
              </w:rPr>
              <w:t>f</w:t>
            </w:r>
          </w:p>
        </w:tc>
        <w:tc>
          <w:tcPr>
            <w:tcW w:w="1559" w:type="dxa"/>
            <w:tcBorders>
              <w:top w:val="nil"/>
              <w:bottom w:val="nil"/>
            </w:tcBorders>
            <w:shd w:val="clear" w:color="auto" w:fill="FFFFFF"/>
          </w:tcPr>
          <w:p w14:paraId="0DCBF32D" w14:textId="77777777" w:rsidR="00886FB9" w:rsidRPr="0046175F" w:rsidRDefault="00886FB9" w:rsidP="00B334C3">
            <w:pPr>
              <w:spacing w:line="280" w:lineRule="atLeast"/>
              <w:jc w:val="center"/>
              <w:rPr>
                <w:rFonts w:eastAsia="MS Mincho"/>
                <w:sz w:val="22"/>
              </w:rPr>
            </w:pPr>
            <w:r w:rsidRPr="0046175F">
              <w:rPr>
                <w:rFonts w:eastAsia="MS Mincho"/>
                <w:sz w:val="22"/>
              </w:rPr>
              <w:t>34 (1.1%)</w:t>
            </w:r>
          </w:p>
        </w:tc>
        <w:tc>
          <w:tcPr>
            <w:tcW w:w="1276" w:type="dxa"/>
            <w:tcBorders>
              <w:top w:val="nil"/>
              <w:bottom w:val="nil"/>
            </w:tcBorders>
            <w:shd w:val="clear" w:color="auto" w:fill="FFFFFF"/>
          </w:tcPr>
          <w:p w14:paraId="643CAABC" w14:textId="77777777" w:rsidR="00886FB9" w:rsidRPr="0046175F" w:rsidRDefault="00886FB9" w:rsidP="00B334C3">
            <w:pPr>
              <w:spacing w:line="280" w:lineRule="atLeast"/>
              <w:jc w:val="center"/>
              <w:rPr>
                <w:rFonts w:eastAsia="MS Mincho"/>
                <w:sz w:val="22"/>
              </w:rPr>
            </w:pPr>
            <w:r w:rsidRPr="0046175F">
              <w:rPr>
                <w:rFonts w:eastAsia="MS Mincho"/>
                <w:sz w:val="22"/>
              </w:rPr>
              <w:t>18 (0.6%)</w:t>
            </w:r>
          </w:p>
        </w:tc>
        <w:tc>
          <w:tcPr>
            <w:tcW w:w="1417" w:type="dxa"/>
            <w:tcBorders>
              <w:top w:val="nil"/>
              <w:bottom w:val="nil"/>
            </w:tcBorders>
            <w:shd w:val="clear" w:color="auto" w:fill="FFFFFF"/>
          </w:tcPr>
          <w:p w14:paraId="066EE0A4"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66ACAE18"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6268B253" w14:textId="77777777" w:rsidTr="00B334C3">
        <w:trPr>
          <w:tblHeader/>
        </w:trPr>
        <w:tc>
          <w:tcPr>
            <w:tcW w:w="3119" w:type="dxa"/>
            <w:tcBorders>
              <w:top w:val="nil"/>
              <w:bottom w:val="nil"/>
            </w:tcBorders>
            <w:shd w:val="clear" w:color="auto" w:fill="FFFFFF"/>
          </w:tcPr>
          <w:p w14:paraId="5205EE96" w14:textId="77777777" w:rsidR="00886FB9" w:rsidRPr="0046175F" w:rsidRDefault="00886FB9" w:rsidP="00B334C3">
            <w:pPr>
              <w:spacing w:line="280" w:lineRule="atLeast"/>
              <w:jc w:val="left"/>
              <w:rPr>
                <w:rFonts w:eastAsia="MS Mincho"/>
                <w:sz w:val="22"/>
              </w:rPr>
            </w:pPr>
            <w:r w:rsidRPr="0046175F">
              <w:rPr>
                <w:rFonts w:eastAsia="MS Mincho"/>
                <w:sz w:val="22"/>
              </w:rPr>
              <w:t>Nausea</w:t>
            </w:r>
          </w:p>
        </w:tc>
        <w:tc>
          <w:tcPr>
            <w:tcW w:w="1559" w:type="dxa"/>
            <w:tcBorders>
              <w:top w:val="nil"/>
              <w:bottom w:val="nil"/>
            </w:tcBorders>
            <w:shd w:val="clear" w:color="auto" w:fill="FFFFFF"/>
          </w:tcPr>
          <w:p w14:paraId="489EE1EF" w14:textId="77777777" w:rsidR="00886FB9" w:rsidRPr="0046175F" w:rsidRDefault="00886FB9" w:rsidP="00B334C3">
            <w:pPr>
              <w:spacing w:line="280" w:lineRule="atLeast"/>
              <w:jc w:val="center"/>
              <w:rPr>
                <w:rFonts w:eastAsia="MS Mincho"/>
                <w:sz w:val="22"/>
              </w:rPr>
            </w:pPr>
            <w:r w:rsidRPr="0046175F">
              <w:rPr>
                <w:rFonts w:eastAsia="MS Mincho"/>
                <w:sz w:val="22"/>
              </w:rPr>
              <w:t>728 (23.7%)</w:t>
            </w:r>
          </w:p>
        </w:tc>
        <w:tc>
          <w:tcPr>
            <w:tcW w:w="1276" w:type="dxa"/>
            <w:tcBorders>
              <w:top w:val="nil"/>
              <w:bottom w:val="nil"/>
            </w:tcBorders>
            <w:shd w:val="clear" w:color="auto" w:fill="FFFFFF"/>
          </w:tcPr>
          <w:p w14:paraId="124E67D1" w14:textId="77777777" w:rsidR="00886FB9" w:rsidRPr="0046175F" w:rsidRDefault="00886FB9" w:rsidP="00B334C3">
            <w:pPr>
              <w:spacing w:line="280" w:lineRule="atLeast"/>
              <w:jc w:val="center"/>
              <w:rPr>
                <w:rFonts w:eastAsia="MS Mincho"/>
                <w:sz w:val="22"/>
              </w:rPr>
            </w:pPr>
            <w:r w:rsidRPr="0046175F">
              <w:rPr>
                <w:rFonts w:eastAsia="MS Mincho"/>
                <w:sz w:val="22"/>
              </w:rPr>
              <w:t>35 (1.1%)</w:t>
            </w:r>
          </w:p>
        </w:tc>
        <w:tc>
          <w:tcPr>
            <w:tcW w:w="1417" w:type="dxa"/>
            <w:tcBorders>
              <w:top w:val="nil"/>
              <w:bottom w:val="nil"/>
            </w:tcBorders>
            <w:shd w:val="clear" w:color="auto" w:fill="FFFFFF"/>
          </w:tcPr>
          <w:p w14:paraId="64F1762B"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1E4F4722"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017F3B61" w14:textId="77777777" w:rsidTr="00B334C3">
        <w:trPr>
          <w:tblHeader/>
        </w:trPr>
        <w:tc>
          <w:tcPr>
            <w:tcW w:w="3119" w:type="dxa"/>
            <w:tcBorders>
              <w:top w:val="nil"/>
              <w:bottom w:val="nil"/>
            </w:tcBorders>
            <w:shd w:val="clear" w:color="auto" w:fill="FFFFFF"/>
          </w:tcPr>
          <w:p w14:paraId="658E0539" w14:textId="77777777" w:rsidR="00886FB9" w:rsidRPr="0046175F" w:rsidRDefault="00886FB9" w:rsidP="00B334C3">
            <w:pPr>
              <w:spacing w:line="280" w:lineRule="atLeast"/>
              <w:jc w:val="left"/>
              <w:rPr>
                <w:rFonts w:eastAsia="MS Mincho"/>
                <w:sz w:val="22"/>
              </w:rPr>
            </w:pPr>
            <w:r w:rsidRPr="0046175F">
              <w:rPr>
                <w:rFonts w:eastAsia="MS Mincho"/>
                <w:sz w:val="22"/>
              </w:rPr>
              <w:t>Vomiting</w:t>
            </w:r>
          </w:p>
        </w:tc>
        <w:tc>
          <w:tcPr>
            <w:tcW w:w="1559" w:type="dxa"/>
            <w:tcBorders>
              <w:top w:val="nil"/>
              <w:bottom w:val="nil"/>
            </w:tcBorders>
            <w:shd w:val="clear" w:color="auto" w:fill="FFFFFF"/>
          </w:tcPr>
          <w:p w14:paraId="146B4B34" w14:textId="77777777" w:rsidR="00886FB9" w:rsidRPr="0046175F" w:rsidRDefault="00886FB9" w:rsidP="00B334C3">
            <w:pPr>
              <w:spacing w:line="280" w:lineRule="atLeast"/>
              <w:jc w:val="center"/>
              <w:rPr>
                <w:rFonts w:eastAsia="MS Mincho"/>
                <w:sz w:val="22"/>
              </w:rPr>
            </w:pPr>
            <w:r w:rsidRPr="0046175F">
              <w:rPr>
                <w:rFonts w:eastAsia="MS Mincho"/>
                <w:sz w:val="22"/>
              </w:rPr>
              <w:t>471 (15.3%)</w:t>
            </w:r>
          </w:p>
        </w:tc>
        <w:tc>
          <w:tcPr>
            <w:tcW w:w="1276" w:type="dxa"/>
            <w:tcBorders>
              <w:top w:val="nil"/>
              <w:bottom w:val="nil"/>
            </w:tcBorders>
            <w:shd w:val="clear" w:color="auto" w:fill="FFFFFF"/>
          </w:tcPr>
          <w:p w14:paraId="7330C827" w14:textId="77777777" w:rsidR="00886FB9" w:rsidRPr="0046175F" w:rsidRDefault="00886FB9" w:rsidP="00B334C3">
            <w:pPr>
              <w:spacing w:line="280" w:lineRule="atLeast"/>
              <w:jc w:val="center"/>
              <w:rPr>
                <w:rFonts w:eastAsia="MS Mincho"/>
                <w:sz w:val="22"/>
              </w:rPr>
            </w:pPr>
            <w:r w:rsidRPr="0046175F">
              <w:rPr>
                <w:rFonts w:eastAsia="MS Mincho"/>
                <w:sz w:val="22"/>
              </w:rPr>
              <w:t>24 (0.8%)</w:t>
            </w:r>
          </w:p>
        </w:tc>
        <w:tc>
          <w:tcPr>
            <w:tcW w:w="1417" w:type="dxa"/>
            <w:tcBorders>
              <w:top w:val="nil"/>
              <w:bottom w:val="nil"/>
            </w:tcBorders>
            <w:shd w:val="clear" w:color="auto" w:fill="FFFFFF"/>
          </w:tcPr>
          <w:p w14:paraId="317B7E33"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69A53215"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70E9110A" w14:textId="77777777" w:rsidTr="00B334C3">
        <w:trPr>
          <w:tblHeader/>
        </w:trPr>
        <w:tc>
          <w:tcPr>
            <w:tcW w:w="3119" w:type="dxa"/>
            <w:tcBorders>
              <w:top w:val="nil"/>
              <w:bottom w:val="nil"/>
            </w:tcBorders>
            <w:shd w:val="clear" w:color="auto" w:fill="FFFFFF"/>
          </w:tcPr>
          <w:p w14:paraId="0915B35C" w14:textId="77777777" w:rsidR="00886FB9" w:rsidRPr="0046175F" w:rsidRDefault="00886FB9" w:rsidP="00B334C3">
            <w:pPr>
              <w:spacing w:line="280" w:lineRule="atLeast"/>
              <w:jc w:val="left"/>
              <w:rPr>
                <w:rFonts w:eastAsia="MS Mincho"/>
                <w:sz w:val="22"/>
              </w:rPr>
            </w:pPr>
            <w:r w:rsidRPr="0046175F">
              <w:rPr>
                <w:rFonts w:eastAsia="MS Mincho"/>
                <w:sz w:val="22"/>
              </w:rPr>
              <w:t>Abdominal pain</w:t>
            </w:r>
          </w:p>
        </w:tc>
        <w:tc>
          <w:tcPr>
            <w:tcW w:w="1559" w:type="dxa"/>
            <w:tcBorders>
              <w:top w:val="nil"/>
              <w:bottom w:val="nil"/>
            </w:tcBorders>
            <w:shd w:val="clear" w:color="auto" w:fill="FFFFFF"/>
          </w:tcPr>
          <w:p w14:paraId="208E8FF7" w14:textId="77777777" w:rsidR="00886FB9" w:rsidRPr="0046175F" w:rsidRDefault="00886FB9" w:rsidP="00B334C3">
            <w:pPr>
              <w:spacing w:line="280" w:lineRule="atLeast"/>
              <w:jc w:val="center"/>
              <w:rPr>
                <w:rFonts w:eastAsia="MS Mincho"/>
                <w:sz w:val="22"/>
              </w:rPr>
            </w:pPr>
            <w:r w:rsidRPr="0046175F">
              <w:rPr>
                <w:rFonts w:eastAsia="MS Mincho"/>
                <w:sz w:val="22"/>
              </w:rPr>
              <w:t>261 (8.5%)</w:t>
            </w:r>
          </w:p>
        </w:tc>
        <w:tc>
          <w:tcPr>
            <w:tcW w:w="1276" w:type="dxa"/>
            <w:tcBorders>
              <w:top w:val="nil"/>
              <w:bottom w:val="nil"/>
            </w:tcBorders>
            <w:shd w:val="clear" w:color="auto" w:fill="FFFFFF"/>
          </w:tcPr>
          <w:p w14:paraId="1835B6E9" w14:textId="77777777" w:rsidR="00886FB9" w:rsidRPr="0046175F" w:rsidRDefault="00886FB9" w:rsidP="00B334C3">
            <w:pPr>
              <w:spacing w:line="280" w:lineRule="atLeast"/>
              <w:jc w:val="center"/>
              <w:rPr>
                <w:rFonts w:eastAsia="MS Mincho"/>
                <w:sz w:val="22"/>
              </w:rPr>
            </w:pPr>
            <w:r w:rsidRPr="0046175F">
              <w:rPr>
                <w:rFonts w:eastAsia="MS Mincho"/>
                <w:sz w:val="22"/>
              </w:rPr>
              <w:t>33 (1.1%)</w:t>
            </w:r>
          </w:p>
        </w:tc>
        <w:tc>
          <w:tcPr>
            <w:tcW w:w="1417" w:type="dxa"/>
            <w:tcBorders>
              <w:top w:val="nil"/>
              <w:bottom w:val="nil"/>
            </w:tcBorders>
            <w:shd w:val="clear" w:color="auto" w:fill="FFFFFF"/>
          </w:tcPr>
          <w:p w14:paraId="5FB6BF0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00CA6DF5"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615D9168" w14:textId="77777777" w:rsidTr="00B334C3">
        <w:trPr>
          <w:tblHeader/>
        </w:trPr>
        <w:tc>
          <w:tcPr>
            <w:tcW w:w="3119" w:type="dxa"/>
            <w:tcBorders>
              <w:top w:val="nil"/>
              <w:bottom w:val="nil"/>
            </w:tcBorders>
            <w:shd w:val="clear" w:color="auto" w:fill="FFFFFF"/>
          </w:tcPr>
          <w:p w14:paraId="383F9FF3"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Pancreatitis </w:t>
            </w:r>
            <w:r w:rsidRPr="0046175F">
              <w:rPr>
                <w:rFonts w:eastAsia="MS Mincho"/>
                <w:sz w:val="22"/>
                <w:vertAlign w:val="superscript"/>
              </w:rPr>
              <w:t>g</w:t>
            </w:r>
          </w:p>
        </w:tc>
        <w:tc>
          <w:tcPr>
            <w:tcW w:w="1559" w:type="dxa"/>
            <w:tcBorders>
              <w:top w:val="nil"/>
              <w:bottom w:val="nil"/>
            </w:tcBorders>
            <w:shd w:val="clear" w:color="auto" w:fill="FFFFFF"/>
          </w:tcPr>
          <w:p w14:paraId="7BE80145" w14:textId="77777777" w:rsidR="00886FB9" w:rsidRPr="0046175F" w:rsidRDefault="00886FB9" w:rsidP="00B334C3">
            <w:pPr>
              <w:spacing w:line="280" w:lineRule="atLeast"/>
              <w:jc w:val="center"/>
              <w:rPr>
                <w:rFonts w:eastAsia="MS Mincho"/>
                <w:strike/>
                <w:sz w:val="22"/>
              </w:rPr>
            </w:pPr>
            <w:r w:rsidRPr="0046175F">
              <w:rPr>
                <w:rFonts w:eastAsia="MS Mincho"/>
                <w:sz w:val="22"/>
              </w:rPr>
              <w:t>16 (0.5%)</w:t>
            </w:r>
          </w:p>
        </w:tc>
        <w:tc>
          <w:tcPr>
            <w:tcW w:w="1276" w:type="dxa"/>
            <w:tcBorders>
              <w:top w:val="nil"/>
              <w:bottom w:val="nil"/>
            </w:tcBorders>
            <w:shd w:val="clear" w:color="auto" w:fill="FFFFFF"/>
          </w:tcPr>
          <w:p w14:paraId="0E85A5A9" w14:textId="77777777" w:rsidR="00886FB9" w:rsidRPr="0046175F" w:rsidRDefault="00886FB9" w:rsidP="00B334C3">
            <w:pPr>
              <w:spacing w:line="280" w:lineRule="atLeast"/>
              <w:jc w:val="center"/>
              <w:rPr>
                <w:rFonts w:eastAsia="MS Mincho"/>
                <w:strike/>
                <w:sz w:val="22"/>
              </w:rPr>
            </w:pPr>
            <w:r w:rsidRPr="0046175F">
              <w:rPr>
                <w:rFonts w:eastAsia="MS Mincho"/>
                <w:sz w:val="22"/>
              </w:rPr>
              <w:t>12 (0.4%)</w:t>
            </w:r>
          </w:p>
        </w:tc>
        <w:tc>
          <w:tcPr>
            <w:tcW w:w="1417" w:type="dxa"/>
            <w:tcBorders>
              <w:top w:val="nil"/>
              <w:bottom w:val="nil"/>
            </w:tcBorders>
            <w:shd w:val="clear" w:color="auto" w:fill="FFFFFF"/>
          </w:tcPr>
          <w:p w14:paraId="383105F5"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4BBE5F5F" w14:textId="77777777" w:rsidR="00886FB9" w:rsidRPr="0046175F" w:rsidRDefault="00886FB9" w:rsidP="00B334C3">
            <w:pPr>
              <w:spacing w:line="280" w:lineRule="atLeast"/>
              <w:jc w:val="center"/>
              <w:rPr>
                <w:rFonts w:eastAsia="MS Mincho"/>
                <w:sz w:val="22"/>
              </w:rPr>
            </w:pPr>
            <w:r w:rsidRPr="0046175F">
              <w:rPr>
                <w:rFonts w:eastAsia="MS Mincho"/>
                <w:sz w:val="22"/>
              </w:rPr>
              <w:t>Uncommon</w:t>
            </w:r>
          </w:p>
        </w:tc>
      </w:tr>
      <w:tr w:rsidR="00F013AA" w:rsidRPr="0046175F" w14:paraId="2B1BD2A7" w14:textId="77777777" w:rsidTr="00B334C3">
        <w:trPr>
          <w:tblHeader/>
        </w:trPr>
        <w:tc>
          <w:tcPr>
            <w:tcW w:w="3119" w:type="dxa"/>
            <w:tcBorders>
              <w:top w:val="nil"/>
              <w:bottom w:val="single" w:sz="4" w:space="0" w:color="auto"/>
            </w:tcBorders>
            <w:shd w:val="clear" w:color="auto" w:fill="FFFFFF"/>
          </w:tcPr>
          <w:p w14:paraId="0268F678" w14:textId="4FD8B01C" w:rsidR="00F013AA" w:rsidRPr="0046175F" w:rsidRDefault="00F013AA" w:rsidP="00B334C3">
            <w:pPr>
              <w:spacing w:line="280" w:lineRule="atLeast"/>
              <w:jc w:val="left"/>
              <w:rPr>
                <w:rFonts w:eastAsia="MS Mincho"/>
                <w:sz w:val="22"/>
              </w:rPr>
            </w:pPr>
            <w:r w:rsidRPr="0046175F">
              <w:rPr>
                <w:sz w:val="22"/>
              </w:rPr>
              <w:t xml:space="preserve">Oropharyngeal pain </w:t>
            </w:r>
            <w:r w:rsidRPr="0046175F">
              <w:rPr>
                <w:sz w:val="22"/>
                <w:vertAlign w:val="superscript"/>
              </w:rPr>
              <w:t>r, s</w:t>
            </w:r>
          </w:p>
        </w:tc>
        <w:tc>
          <w:tcPr>
            <w:tcW w:w="1559" w:type="dxa"/>
            <w:tcBorders>
              <w:top w:val="nil"/>
              <w:bottom w:val="single" w:sz="4" w:space="0" w:color="auto"/>
            </w:tcBorders>
            <w:shd w:val="clear" w:color="auto" w:fill="FFFFFF"/>
          </w:tcPr>
          <w:p w14:paraId="0FC3F95E" w14:textId="46E90587" w:rsidR="00F013AA" w:rsidRPr="0046175F" w:rsidRDefault="00F013AA" w:rsidP="00B334C3">
            <w:pPr>
              <w:spacing w:line="280" w:lineRule="atLeast"/>
              <w:jc w:val="center"/>
              <w:rPr>
                <w:rFonts w:eastAsia="MS Mincho"/>
                <w:sz w:val="22"/>
              </w:rPr>
            </w:pPr>
            <w:r w:rsidRPr="0046175F">
              <w:rPr>
                <w:sz w:val="22"/>
              </w:rPr>
              <w:t>-</w:t>
            </w:r>
          </w:p>
        </w:tc>
        <w:tc>
          <w:tcPr>
            <w:tcW w:w="1276" w:type="dxa"/>
            <w:tcBorders>
              <w:top w:val="nil"/>
              <w:bottom w:val="single" w:sz="4" w:space="0" w:color="auto"/>
            </w:tcBorders>
            <w:shd w:val="clear" w:color="auto" w:fill="FFFFFF"/>
          </w:tcPr>
          <w:p w14:paraId="6C423F39" w14:textId="7485E056" w:rsidR="00F013AA" w:rsidRPr="0046175F" w:rsidRDefault="00F013AA" w:rsidP="00B334C3">
            <w:pPr>
              <w:spacing w:line="280" w:lineRule="atLeast"/>
              <w:jc w:val="center"/>
              <w:rPr>
                <w:rFonts w:eastAsia="MS Mincho"/>
                <w:sz w:val="22"/>
              </w:rPr>
            </w:pPr>
            <w:r w:rsidRPr="0046175F">
              <w:rPr>
                <w:sz w:val="22"/>
              </w:rPr>
              <w:t>-</w:t>
            </w:r>
          </w:p>
        </w:tc>
        <w:tc>
          <w:tcPr>
            <w:tcW w:w="1417" w:type="dxa"/>
            <w:tcBorders>
              <w:top w:val="nil"/>
              <w:bottom w:val="single" w:sz="4" w:space="0" w:color="auto"/>
            </w:tcBorders>
            <w:shd w:val="clear" w:color="auto" w:fill="FFFFFF"/>
          </w:tcPr>
          <w:p w14:paraId="448067C4" w14:textId="4EFC2A58" w:rsidR="00F013AA" w:rsidRPr="0046175F" w:rsidRDefault="00F013AA" w:rsidP="00B334C3">
            <w:pPr>
              <w:spacing w:line="280" w:lineRule="atLeast"/>
              <w:jc w:val="center"/>
              <w:rPr>
                <w:rFonts w:eastAsia="MS Mincho"/>
                <w:sz w:val="22"/>
              </w:rPr>
            </w:pPr>
            <w:r w:rsidRPr="0046175F">
              <w:rPr>
                <w:sz w:val="22"/>
              </w:rPr>
              <w:t>-</w:t>
            </w:r>
          </w:p>
        </w:tc>
        <w:tc>
          <w:tcPr>
            <w:tcW w:w="1701" w:type="dxa"/>
            <w:tcBorders>
              <w:top w:val="nil"/>
              <w:bottom w:val="single" w:sz="4" w:space="0" w:color="auto"/>
            </w:tcBorders>
            <w:shd w:val="clear" w:color="auto" w:fill="FFFFFF"/>
          </w:tcPr>
          <w:p w14:paraId="0D19A000" w14:textId="3AF14969" w:rsidR="00F013AA" w:rsidRPr="0046175F" w:rsidRDefault="00F013AA" w:rsidP="00B334C3">
            <w:pPr>
              <w:spacing w:line="280" w:lineRule="atLeast"/>
              <w:jc w:val="center"/>
              <w:rPr>
                <w:rFonts w:eastAsia="MS Mincho"/>
                <w:sz w:val="22"/>
              </w:rPr>
            </w:pPr>
            <w:r w:rsidRPr="0046175F">
              <w:rPr>
                <w:sz w:val="22"/>
              </w:rPr>
              <w:t>Common</w:t>
            </w:r>
          </w:p>
        </w:tc>
      </w:tr>
      <w:tr w:rsidR="00886FB9" w:rsidRPr="0046175F" w14:paraId="1C6454DE" w14:textId="77777777" w:rsidTr="00B334C3">
        <w:trPr>
          <w:tblHeader/>
        </w:trPr>
        <w:tc>
          <w:tcPr>
            <w:tcW w:w="9072" w:type="dxa"/>
            <w:gridSpan w:val="5"/>
            <w:tcBorders>
              <w:top w:val="single" w:sz="4" w:space="0" w:color="auto"/>
              <w:bottom w:val="nil"/>
            </w:tcBorders>
            <w:shd w:val="clear" w:color="auto" w:fill="FFFFFF"/>
          </w:tcPr>
          <w:p w14:paraId="65878E20" w14:textId="3A9D2F60" w:rsidR="00886FB9" w:rsidRPr="0046175F" w:rsidRDefault="00886FB9" w:rsidP="00B334C3">
            <w:pPr>
              <w:spacing w:line="280" w:lineRule="atLeast"/>
              <w:jc w:val="left"/>
              <w:rPr>
                <w:rFonts w:eastAsia="MS Mincho"/>
                <w:b/>
                <w:sz w:val="22"/>
              </w:rPr>
            </w:pPr>
            <w:r w:rsidRPr="0046175F">
              <w:rPr>
                <w:rFonts w:eastAsia="MS Mincho"/>
                <w:b/>
                <w:sz w:val="22"/>
              </w:rPr>
              <w:t>General Disorders and Administration</w:t>
            </w:r>
          </w:p>
        </w:tc>
      </w:tr>
      <w:tr w:rsidR="00C516B8" w:rsidRPr="0046175F" w14:paraId="173AFB3B" w14:textId="77777777" w:rsidTr="00B334C3">
        <w:trPr>
          <w:tblHeader/>
        </w:trPr>
        <w:tc>
          <w:tcPr>
            <w:tcW w:w="3119" w:type="dxa"/>
            <w:tcBorders>
              <w:top w:val="nil"/>
              <w:bottom w:val="nil"/>
            </w:tcBorders>
            <w:shd w:val="clear" w:color="auto" w:fill="FFFFFF"/>
          </w:tcPr>
          <w:p w14:paraId="50188A0F" w14:textId="77777777" w:rsidR="00886FB9" w:rsidRPr="0046175F" w:rsidRDefault="00886FB9" w:rsidP="00B334C3">
            <w:pPr>
              <w:spacing w:line="280" w:lineRule="atLeast"/>
              <w:jc w:val="left"/>
              <w:rPr>
                <w:rFonts w:eastAsia="MS Mincho"/>
                <w:sz w:val="22"/>
              </w:rPr>
            </w:pPr>
            <w:r w:rsidRPr="0046175F">
              <w:rPr>
                <w:rFonts w:eastAsia="MS Mincho"/>
                <w:sz w:val="22"/>
              </w:rPr>
              <w:t>Chills</w:t>
            </w:r>
          </w:p>
        </w:tc>
        <w:tc>
          <w:tcPr>
            <w:tcW w:w="1559" w:type="dxa"/>
            <w:tcBorders>
              <w:top w:val="nil"/>
              <w:bottom w:val="nil"/>
            </w:tcBorders>
            <w:shd w:val="clear" w:color="auto" w:fill="FFFFFF"/>
          </w:tcPr>
          <w:p w14:paraId="5875513E" w14:textId="77777777" w:rsidR="00886FB9" w:rsidRPr="0046175F" w:rsidRDefault="00886FB9" w:rsidP="00B334C3">
            <w:pPr>
              <w:spacing w:line="280" w:lineRule="atLeast"/>
              <w:jc w:val="center"/>
              <w:rPr>
                <w:rFonts w:eastAsia="MS Mincho"/>
                <w:sz w:val="22"/>
              </w:rPr>
            </w:pPr>
            <w:r w:rsidRPr="0046175F">
              <w:rPr>
                <w:rFonts w:eastAsia="MS Mincho"/>
                <w:sz w:val="22"/>
              </w:rPr>
              <w:t>199 (6.5%)</w:t>
            </w:r>
          </w:p>
        </w:tc>
        <w:tc>
          <w:tcPr>
            <w:tcW w:w="1276" w:type="dxa"/>
            <w:tcBorders>
              <w:top w:val="nil"/>
              <w:bottom w:val="nil"/>
            </w:tcBorders>
            <w:shd w:val="clear" w:color="auto" w:fill="FFFFFF"/>
          </w:tcPr>
          <w:p w14:paraId="27BA91AA" w14:textId="75472F62" w:rsidR="00886FB9" w:rsidRPr="0046175F" w:rsidRDefault="00886FB9" w:rsidP="00B334C3">
            <w:pPr>
              <w:spacing w:line="280" w:lineRule="atLeast"/>
              <w:jc w:val="center"/>
              <w:rPr>
                <w:rFonts w:eastAsia="MS Mincho"/>
                <w:sz w:val="22"/>
              </w:rPr>
            </w:pPr>
            <w:r w:rsidRPr="0046175F">
              <w:rPr>
                <w:rFonts w:eastAsia="MS Mincho"/>
                <w:sz w:val="22"/>
              </w:rPr>
              <w:t>2 (&lt;</w:t>
            </w:r>
            <w:r w:rsidR="00D96DDB" w:rsidRPr="0046175F">
              <w:rPr>
                <w:rFonts w:eastAsia="MS Mincho"/>
                <w:sz w:val="22"/>
              </w:rPr>
              <w:t xml:space="preserve"> </w:t>
            </w:r>
            <w:r w:rsidRPr="0046175F">
              <w:rPr>
                <w:rFonts w:eastAsia="MS Mincho"/>
                <w:sz w:val="22"/>
              </w:rPr>
              <w:t>0.1%)</w:t>
            </w:r>
          </w:p>
        </w:tc>
        <w:tc>
          <w:tcPr>
            <w:tcW w:w="1417" w:type="dxa"/>
            <w:tcBorders>
              <w:top w:val="nil"/>
              <w:bottom w:val="nil"/>
            </w:tcBorders>
            <w:shd w:val="clear" w:color="auto" w:fill="FFFFFF"/>
          </w:tcPr>
          <w:p w14:paraId="3B72EDF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431EFF75"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63B4B910" w14:textId="77777777" w:rsidTr="00B334C3">
        <w:trPr>
          <w:tblHeader/>
        </w:trPr>
        <w:tc>
          <w:tcPr>
            <w:tcW w:w="3119" w:type="dxa"/>
            <w:tcBorders>
              <w:top w:val="nil"/>
              <w:bottom w:val="nil"/>
            </w:tcBorders>
            <w:shd w:val="clear" w:color="auto" w:fill="FFFFFF"/>
          </w:tcPr>
          <w:p w14:paraId="4CC4C419" w14:textId="77777777" w:rsidR="00886FB9" w:rsidRPr="0046175F" w:rsidRDefault="00886FB9" w:rsidP="00B334C3">
            <w:pPr>
              <w:spacing w:line="280" w:lineRule="atLeast"/>
              <w:jc w:val="left"/>
              <w:rPr>
                <w:rFonts w:eastAsia="MS Mincho"/>
                <w:sz w:val="22"/>
              </w:rPr>
            </w:pPr>
            <w:r w:rsidRPr="0046175F">
              <w:rPr>
                <w:rFonts w:eastAsia="MS Mincho"/>
                <w:sz w:val="22"/>
              </w:rPr>
              <w:t>Fatigue</w:t>
            </w:r>
          </w:p>
        </w:tc>
        <w:tc>
          <w:tcPr>
            <w:tcW w:w="1559" w:type="dxa"/>
            <w:tcBorders>
              <w:top w:val="nil"/>
              <w:bottom w:val="nil"/>
            </w:tcBorders>
            <w:shd w:val="clear" w:color="auto" w:fill="FFFFFF"/>
          </w:tcPr>
          <w:p w14:paraId="33A3DFBB" w14:textId="77777777" w:rsidR="00886FB9" w:rsidRPr="0046175F" w:rsidRDefault="00886FB9" w:rsidP="00B334C3">
            <w:pPr>
              <w:spacing w:line="280" w:lineRule="atLeast"/>
              <w:jc w:val="center"/>
              <w:rPr>
                <w:rFonts w:eastAsia="MS Mincho"/>
                <w:sz w:val="22"/>
              </w:rPr>
            </w:pPr>
            <w:r w:rsidRPr="0046175F">
              <w:rPr>
                <w:rFonts w:eastAsia="MS Mincho"/>
                <w:sz w:val="22"/>
              </w:rPr>
              <w:t>1093 (35.5%)</w:t>
            </w:r>
          </w:p>
        </w:tc>
        <w:tc>
          <w:tcPr>
            <w:tcW w:w="1276" w:type="dxa"/>
            <w:tcBorders>
              <w:top w:val="nil"/>
              <w:bottom w:val="nil"/>
            </w:tcBorders>
            <w:shd w:val="clear" w:color="auto" w:fill="FFFFFF"/>
          </w:tcPr>
          <w:p w14:paraId="30CACAF2" w14:textId="77777777" w:rsidR="00886FB9" w:rsidRPr="0046175F" w:rsidRDefault="00886FB9" w:rsidP="00B334C3">
            <w:pPr>
              <w:spacing w:line="280" w:lineRule="atLeast"/>
              <w:jc w:val="center"/>
              <w:rPr>
                <w:rFonts w:eastAsia="MS Mincho"/>
                <w:sz w:val="22"/>
              </w:rPr>
            </w:pPr>
            <w:r w:rsidRPr="0046175F">
              <w:rPr>
                <w:rFonts w:eastAsia="MS Mincho"/>
                <w:sz w:val="22"/>
              </w:rPr>
              <w:t>108 (3.5%)</w:t>
            </w:r>
          </w:p>
        </w:tc>
        <w:tc>
          <w:tcPr>
            <w:tcW w:w="1417" w:type="dxa"/>
            <w:tcBorders>
              <w:top w:val="nil"/>
              <w:bottom w:val="nil"/>
            </w:tcBorders>
            <w:shd w:val="clear" w:color="auto" w:fill="FFFFFF"/>
          </w:tcPr>
          <w:p w14:paraId="6ED880BA"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02CF3F1C"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320C1081" w14:textId="77777777" w:rsidTr="00B334C3">
        <w:trPr>
          <w:tblHeader/>
        </w:trPr>
        <w:tc>
          <w:tcPr>
            <w:tcW w:w="3119" w:type="dxa"/>
            <w:tcBorders>
              <w:top w:val="nil"/>
              <w:bottom w:val="nil"/>
            </w:tcBorders>
            <w:shd w:val="clear" w:color="auto" w:fill="FFFFFF"/>
          </w:tcPr>
          <w:p w14:paraId="272C74E1" w14:textId="77777777" w:rsidR="00886FB9" w:rsidRPr="0046175F" w:rsidRDefault="00886FB9" w:rsidP="00B334C3">
            <w:pPr>
              <w:spacing w:line="280" w:lineRule="atLeast"/>
              <w:jc w:val="left"/>
              <w:rPr>
                <w:rFonts w:eastAsia="MS Mincho"/>
                <w:sz w:val="22"/>
              </w:rPr>
            </w:pPr>
            <w:r w:rsidRPr="0046175F">
              <w:rPr>
                <w:rFonts w:eastAsia="MS Mincho"/>
                <w:sz w:val="22"/>
              </w:rPr>
              <w:t>Asthenia</w:t>
            </w:r>
          </w:p>
        </w:tc>
        <w:tc>
          <w:tcPr>
            <w:tcW w:w="1559" w:type="dxa"/>
            <w:tcBorders>
              <w:top w:val="nil"/>
              <w:bottom w:val="nil"/>
            </w:tcBorders>
            <w:shd w:val="clear" w:color="auto" w:fill="FFFFFF"/>
          </w:tcPr>
          <w:p w14:paraId="6F8CB2F4" w14:textId="77777777" w:rsidR="00886FB9" w:rsidRPr="0046175F" w:rsidRDefault="00886FB9" w:rsidP="00B334C3">
            <w:pPr>
              <w:spacing w:line="280" w:lineRule="atLeast"/>
              <w:jc w:val="center"/>
              <w:rPr>
                <w:rFonts w:eastAsia="MS Mincho"/>
                <w:sz w:val="22"/>
              </w:rPr>
            </w:pPr>
            <w:r w:rsidRPr="0046175F">
              <w:rPr>
                <w:rFonts w:eastAsia="MS Mincho"/>
                <w:sz w:val="22"/>
              </w:rPr>
              <w:t>454 (14.8%)</w:t>
            </w:r>
          </w:p>
        </w:tc>
        <w:tc>
          <w:tcPr>
            <w:tcW w:w="1276" w:type="dxa"/>
            <w:tcBorders>
              <w:top w:val="nil"/>
              <w:bottom w:val="nil"/>
            </w:tcBorders>
            <w:shd w:val="clear" w:color="auto" w:fill="FFFFFF"/>
          </w:tcPr>
          <w:p w14:paraId="03BA24F8" w14:textId="77777777" w:rsidR="00886FB9" w:rsidRPr="0046175F" w:rsidRDefault="00886FB9" w:rsidP="00B334C3">
            <w:pPr>
              <w:spacing w:line="280" w:lineRule="atLeast"/>
              <w:jc w:val="center"/>
              <w:rPr>
                <w:rFonts w:eastAsia="MS Mincho"/>
                <w:sz w:val="22"/>
              </w:rPr>
            </w:pPr>
            <w:r w:rsidRPr="0046175F">
              <w:rPr>
                <w:rFonts w:eastAsia="MS Mincho"/>
                <w:sz w:val="22"/>
              </w:rPr>
              <w:t>61 (2.0%)</w:t>
            </w:r>
          </w:p>
        </w:tc>
        <w:tc>
          <w:tcPr>
            <w:tcW w:w="1417" w:type="dxa"/>
            <w:tcBorders>
              <w:top w:val="nil"/>
              <w:bottom w:val="nil"/>
            </w:tcBorders>
            <w:shd w:val="clear" w:color="auto" w:fill="FFFFFF"/>
          </w:tcPr>
          <w:p w14:paraId="1728E7FB"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17585044"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05EFDB00" w14:textId="77777777" w:rsidTr="00B334C3">
        <w:trPr>
          <w:tblHeader/>
        </w:trPr>
        <w:tc>
          <w:tcPr>
            <w:tcW w:w="3119" w:type="dxa"/>
            <w:tcBorders>
              <w:top w:val="nil"/>
              <w:bottom w:val="nil"/>
            </w:tcBorders>
            <w:shd w:val="clear" w:color="auto" w:fill="FFFFFF"/>
          </w:tcPr>
          <w:p w14:paraId="13E1E980" w14:textId="77777777" w:rsidR="00886FB9" w:rsidRPr="0046175F" w:rsidRDefault="00886FB9" w:rsidP="00B334C3">
            <w:pPr>
              <w:spacing w:line="280" w:lineRule="atLeast"/>
              <w:jc w:val="left"/>
              <w:rPr>
                <w:rFonts w:eastAsia="MS Mincho"/>
                <w:sz w:val="22"/>
              </w:rPr>
            </w:pPr>
            <w:r w:rsidRPr="0046175F">
              <w:rPr>
                <w:rFonts w:eastAsia="MS Mincho"/>
                <w:sz w:val="22"/>
              </w:rPr>
              <w:t>Influenza like illness</w:t>
            </w:r>
          </w:p>
        </w:tc>
        <w:tc>
          <w:tcPr>
            <w:tcW w:w="1559" w:type="dxa"/>
            <w:tcBorders>
              <w:top w:val="nil"/>
              <w:bottom w:val="nil"/>
            </w:tcBorders>
            <w:shd w:val="clear" w:color="auto" w:fill="FFFFFF"/>
          </w:tcPr>
          <w:p w14:paraId="5CC795A9" w14:textId="77777777" w:rsidR="00886FB9" w:rsidRPr="0046175F" w:rsidRDefault="00886FB9" w:rsidP="00B334C3">
            <w:pPr>
              <w:spacing w:line="280" w:lineRule="atLeast"/>
              <w:jc w:val="center"/>
              <w:rPr>
                <w:rFonts w:eastAsia="MS Mincho"/>
                <w:sz w:val="22"/>
              </w:rPr>
            </w:pPr>
            <w:r w:rsidRPr="0046175F">
              <w:rPr>
                <w:rFonts w:eastAsia="MS Mincho"/>
                <w:sz w:val="22"/>
              </w:rPr>
              <w:t>180 (5.9%)</w:t>
            </w:r>
          </w:p>
        </w:tc>
        <w:tc>
          <w:tcPr>
            <w:tcW w:w="1276" w:type="dxa"/>
            <w:tcBorders>
              <w:top w:val="nil"/>
              <w:bottom w:val="nil"/>
            </w:tcBorders>
            <w:shd w:val="clear" w:color="auto" w:fill="FFFFFF"/>
          </w:tcPr>
          <w:p w14:paraId="6FC55D24" w14:textId="779A9DF6"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417" w:type="dxa"/>
            <w:tcBorders>
              <w:top w:val="nil"/>
              <w:bottom w:val="nil"/>
            </w:tcBorders>
            <w:shd w:val="clear" w:color="auto" w:fill="FFFFFF"/>
          </w:tcPr>
          <w:p w14:paraId="01932BBD"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0601964E"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51F51A41" w14:textId="77777777" w:rsidTr="00B334C3">
        <w:trPr>
          <w:tblHeader/>
        </w:trPr>
        <w:tc>
          <w:tcPr>
            <w:tcW w:w="3119" w:type="dxa"/>
            <w:tcBorders>
              <w:top w:val="nil"/>
              <w:bottom w:val="nil"/>
            </w:tcBorders>
            <w:shd w:val="clear" w:color="auto" w:fill="FFFFFF"/>
          </w:tcPr>
          <w:p w14:paraId="5DB13180" w14:textId="77777777" w:rsidR="00886FB9" w:rsidRPr="0046175F" w:rsidRDefault="00886FB9" w:rsidP="00B334C3">
            <w:pPr>
              <w:spacing w:line="280" w:lineRule="atLeast"/>
              <w:jc w:val="left"/>
              <w:rPr>
                <w:rFonts w:eastAsia="MS Mincho"/>
                <w:sz w:val="22"/>
              </w:rPr>
            </w:pPr>
            <w:r w:rsidRPr="0046175F">
              <w:rPr>
                <w:rFonts w:eastAsia="MS Mincho"/>
                <w:sz w:val="22"/>
              </w:rPr>
              <w:t>Pyrexia</w:t>
            </w:r>
          </w:p>
        </w:tc>
        <w:tc>
          <w:tcPr>
            <w:tcW w:w="1559" w:type="dxa"/>
            <w:tcBorders>
              <w:top w:val="nil"/>
              <w:bottom w:val="nil"/>
            </w:tcBorders>
            <w:shd w:val="clear" w:color="auto" w:fill="FFFFFF"/>
          </w:tcPr>
          <w:p w14:paraId="71C4D34A" w14:textId="77777777" w:rsidR="00886FB9" w:rsidRPr="0046175F" w:rsidRDefault="00886FB9" w:rsidP="00B334C3">
            <w:pPr>
              <w:spacing w:line="280" w:lineRule="atLeast"/>
              <w:jc w:val="center"/>
              <w:rPr>
                <w:rFonts w:eastAsia="MS Mincho"/>
                <w:sz w:val="22"/>
              </w:rPr>
            </w:pPr>
            <w:r w:rsidRPr="0046175F">
              <w:rPr>
                <w:rFonts w:eastAsia="MS Mincho"/>
                <w:sz w:val="22"/>
              </w:rPr>
              <w:t>613 (19.9%)</w:t>
            </w:r>
          </w:p>
        </w:tc>
        <w:tc>
          <w:tcPr>
            <w:tcW w:w="1276" w:type="dxa"/>
            <w:tcBorders>
              <w:top w:val="nil"/>
              <w:bottom w:val="nil"/>
            </w:tcBorders>
            <w:shd w:val="clear" w:color="auto" w:fill="FFFFFF"/>
          </w:tcPr>
          <w:p w14:paraId="26EAB9D1" w14:textId="77777777" w:rsidR="00886FB9" w:rsidRPr="0046175F" w:rsidRDefault="00886FB9" w:rsidP="00B334C3">
            <w:pPr>
              <w:spacing w:line="280" w:lineRule="atLeast"/>
              <w:jc w:val="center"/>
              <w:rPr>
                <w:rFonts w:eastAsia="MS Mincho"/>
                <w:sz w:val="22"/>
              </w:rPr>
            </w:pPr>
            <w:r w:rsidRPr="0046175F">
              <w:rPr>
                <w:rFonts w:eastAsia="MS Mincho"/>
                <w:sz w:val="22"/>
              </w:rPr>
              <w:t>16 (0.5%)</w:t>
            </w:r>
          </w:p>
        </w:tc>
        <w:tc>
          <w:tcPr>
            <w:tcW w:w="1417" w:type="dxa"/>
            <w:tcBorders>
              <w:top w:val="nil"/>
              <w:bottom w:val="nil"/>
            </w:tcBorders>
            <w:shd w:val="clear" w:color="auto" w:fill="FFFFFF"/>
          </w:tcPr>
          <w:p w14:paraId="15E74B30"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653C361E"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42624DB2" w14:textId="77777777" w:rsidTr="00B334C3">
        <w:trPr>
          <w:tblHeader/>
        </w:trPr>
        <w:tc>
          <w:tcPr>
            <w:tcW w:w="3119" w:type="dxa"/>
            <w:tcBorders>
              <w:top w:val="nil"/>
              <w:bottom w:val="single" w:sz="4" w:space="0" w:color="auto"/>
            </w:tcBorders>
            <w:shd w:val="clear" w:color="auto" w:fill="FFFFFF"/>
          </w:tcPr>
          <w:p w14:paraId="42FD0508"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Infusion related reaction </w:t>
            </w:r>
            <w:r w:rsidRPr="0046175F">
              <w:rPr>
                <w:rFonts w:eastAsia="MS Mincho"/>
                <w:sz w:val="22"/>
                <w:vertAlign w:val="superscript"/>
              </w:rPr>
              <w:t>h</w:t>
            </w:r>
          </w:p>
        </w:tc>
        <w:tc>
          <w:tcPr>
            <w:tcW w:w="1559" w:type="dxa"/>
            <w:tcBorders>
              <w:top w:val="nil"/>
              <w:bottom w:val="single" w:sz="4" w:space="0" w:color="auto"/>
            </w:tcBorders>
            <w:shd w:val="clear" w:color="auto" w:fill="FFFFFF"/>
          </w:tcPr>
          <w:p w14:paraId="7FB6E070" w14:textId="77777777" w:rsidR="00886FB9" w:rsidRPr="0046175F" w:rsidRDefault="00886FB9" w:rsidP="00B334C3">
            <w:pPr>
              <w:spacing w:line="280" w:lineRule="atLeast"/>
              <w:jc w:val="center"/>
              <w:rPr>
                <w:rFonts w:eastAsia="MS Mincho"/>
                <w:sz w:val="22"/>
              </w:rPr>
            </w:pPr>
            <w:r w:rsidRPr="0046175F">
              <w:rPr>
                <w:rFonts w:eastAsia="MS Mincho"/>
                <w:sz w:val="22"/>
              </w:rPr>
              <w:t>30 (1.0%)</w:t>
            </w:r>
          </w:p>
        </w:tc>
        <w:tc>
          <w:tcPr>
            <w:tcW w:w="1276" w:type="dxa"/>
            <w:tcBorders>
              <w:top w:val="nil"/>
              <w:bottom w:val="single" w:sz="4" w:space="0" w:color="auto"/>
            </w:tcBorders>
            <w:shd w:val="clear" w:color="auto" w:fill="FFFFFF"/>
          </w:tcPr>
          <w:p w14:paraId="25CD3568" w14:textId="77777777" w:rsidR="00886FB9" w:rsidRPr="0046175F" w:rsidRDefault="00886FB9" w:rsidP="00B334C3">
            <w:pPr>
              <w:spacing w:line="280" w:lineRule="atLeast"/>
              <w:jc w:val="center"/>
              <w:rPr>
                <w:rFonts w:eastAsia="MS Mincho"/>
                <w:sz w:val="22"/>
              </w:rPr>
            </w:pPr>
            <w:r w:rsidRPr="0046175F">
              <w:rPr>
                <w:rFonts w:eastAsia="MS Mincho"/>
                <w:sz w:val="22"/>
              </w:rPr>
              <w:t>4 (0.1%)</w:t>
            </w:r>
          </w:p>
        </w:tc>
        <w:tc>
          <w:tcPr>
            <w:tcW w:w="1417" w:type="dxa"/>
            <w:tcBorders>
              <w:top w:val="nil"/>
              <w:bottom w:val="single" w:sz="4" w:space="0" w:color="auto"/>
            </w:tcBorders>
            <w:shd w:val="clear" w:color="auto" w:fill="FFFFFF"/>
          </w:tcPr>
          <w:p w14:paraId="4C868F0D"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612ACF5F"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886FB9" w:rsidRPr="0046175F" w14:paraId="57DF261E" w14:textId="77777777" w:rsidTr="00B334C3">
        <w:trPr>
          <w:tblHeader/>
        </w:trPr>
        <w:tc>
          <w:tcPr>
            <w:tcW w:w="9072" w:type="dxa"/>
            <w:gridSpan w:val="5"/>
            <w:tcBorders>
              <w:top w:val="single" w:sz="4" w:space="0" w:color="auto"/>
              <w:bottom w:val="nil"/>
            </w:tcBorders>
            <w:shd w:val="clear" w:color="auto" w:fill="FFFFFF"/>
          </w:tcPr>
          <w:p w14:paraId="7D419431" w14:textId="2DEA82DA" w:rsidR="00886FB9" w:rsidRPr="0046175F" w:rsidRDefault="00886FB9" w:rsidP="00B334C3">
            <w:pPr>
              <w:spacing w:line="280" w:lineRule="atLeast"/>
              <w:jc w:val="left"/>
              <w:rPr>
                <w:rFonts w:eastAsia="MS Mincho"/>
                <w:b/>
                <w:sz w:val="22"/>
              </w:rPr>
            </w:pPr>
            <w:r w:rsidRPr="0046175F">
              <w:rPr>
                <w:rFonts w:eastAsia="MS Mincho"/>
                <w:b/>
                <w:sz w:val="22"/>
              </w:rPr>
              <w:t>Hepatobiliary Disorders</w:t>
            </w:r>
          </w:p>
        </w:tc>
      </w:tr>
      <w:tr w:rsidR="00C516B8" w:rsidRPr="0046175F" w14:paraId="58A06F02" w14:textId="77777777" w:rsidTr="00B334C3">
        <w:trPr>
          <w:tblHeader/>
        </w:trPr>
        <w:tc>
          <w:tcPr>
            <w:tcW w:w="3119" w:type="dxa"/>
            <w:tcBorders>
              <w:top w:val="nil"/>
              <w:bottom w:val="nil"/>
            </w:tcBorders>
            <w:shd w:val="clear" w:color="auto" w:fill="FFFFFF"/>
          </w:tcPr>
          <w:p w14:paraId="26C632BA" w14:textId="77777777" w:rsidR="00886FB9" w:rsidRPr="0046175F" w:rsidRDefault="00886FB9" w:rsidP="00B334C3">
            <w:pPr>
              <w:spacing w:line="280" w:lineRule="atLeast"/>
              <w:jc w:val="left"/>
              <w:rPr>
                <w:rFonts w:eastAsia="MS Mincho"/>
                <w:sz w:val="22"/>
              </w:rPr>
            </w:pPr>
            <w:r w:rsidRPr="0046175F">
              <w:rPr>
                <w:rFonts w:eastAsia="MS Mincho"/>
                <w:sz w:val="22"/>
              </w:rPr>
              <w:t>ALT increased</w:t>
            </w:r>
          </w:p>
        </w:tc>
        <w:tc>
          <w:tcPr>
            <w:tcW w:w="1559" w:type="dxa"/>
            <w:tcBorders>
              <w:top w:val="nil"/>
              <w:bottom w:val="nil"/>
            </w:tcBorders>
            <w:shd w:val="clear" w:color="auto" w:fill="FFFFFF"/>
          </w:tcPr>
          <w:p w14:paraId="1C94DDA4" w14:textId="77777777" w:rsidR="00886FB9" w:rsidRPr="0046175F" w:rsidRDefault="00886FB9" w:rsidP="00B334C3">
            <w:pPr>
              <w:spacing w:line="280" w:lineRule="atLeast"/>
              <w:jc w:val="center"/>
              <w:rPr>
                <w:rFonts w:eastAsia="MS Mincho"/>
                <w:sz w:val="22"/>
              </w:rPr>
            </w:pPr>
            <w:r w:rsidRPr="0046175F">
              <w:rPr>
                <w:rFonts w:eastAsia="MS Mincho"/>
                <w:sz w:val="22"/>
              </w:rPr>
              <w:t>160 (5.2%)</w:t>
            </w:r>
          </w:p>
        </w:tc>
        <w:tc>
          <w:tcPr>
            <w:tcW w:w="1276" w:type="dxa"/>
            <w:tcBorders>
              <w:top w:val="nil"/>
              <w:bottom w:val="nil"/>
            </w:tcBorders>
            <w:shd w:val="clear" w:color="auto" w:fill="FFFFFF"/>
          </w:tcPr>
          <w:p w14:paraId="1607AEC7" w14:textId="77777777" w:rsidR="00886FB9" w:rsidRPr="0046175F" w:rsidRDefault="00886FB9" w:rsidP="00B334C3">
            <w:pPr>
              <w:spacing w:line="280" w:lineRule="atLeast"/>
              <w:jc w:val="center"/>
              <w:rPr>
                <w:rFonts w:eastAsia="MS Mincho"/>
                <w:sz w:val="22"/>
              </w:rPr>
            </w:pPr>
            <w:r w:rsidRPr="0046175F">
              <w:rPr>
                <w:rFonts w:eastAsia="MS Mincho"/>
                <w:sz w:val="22"/>
              </w:rPr>
              <w:t>44 (1.4%)</w:t>
            </w:r>
          </w:p>
        </w:tc>
        <w:tc>
          <w:tcPr>
            <w:tcW w:w="1417" w:type="dxa"/>
            <w:tcBorders>
              <w:top w:val="nil"/>
              <w:bottom w:val="nil"/>
            </w:tcBorders>
            <w:shd w:val="clear" w:color="auto" w:fill="FFFFFF"/>
          </w:tcPr>
          <w:p w14:paraId="3FC8C5BC"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1456950A"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34777682" w14:textId="77777777" w:rsidTr="00B334C3">
        <w:trPr>
          <w:tblHeader/>
        </w:trPr>
        <w:tc>
          <w:tcPr>
            <w:tcW w:w="3119" w:type="dxa"/>
            <w:tcBorders>
              <w:top w:val="nil"/>
              <w:bottom w:val="nil"/>
            </w:tcBorders>
            <w:shd w:val="clear" w:color="auto" w:fill="FFFFFF"/>
          </w:tcPr>
          <w:p w14:paraId="1DCF796B" w14:textId="77777777" w:rsidR="00886FB9" w:rsidRPr="0046175F" w:rsidRDefault="00886FB9" w:rsidP="00B334C3">
            <w:pPr>
              <w:spacing w:line="280" w:lineRule="atLeast"/>
              <w:jc w:val="left"/>
              <w:rPr>
                <w:rFonts w:eastAsia="MS Mincho"/>
                <w:sz w:val="22"/>
              </w:rPr>
            </w:pPr>
            <w:r w:rsidRPr="0046175F">
              <w:rPr>
                <w:rFonts w:eastAsia="MS Mincho"/>
                <w:sz w:val="22"/>
              </w:rPr>
              <w:t>AST increased</w:t>
            </w:r>
          </w:p>
        </w:tc>
        <w:tc>
          <w:tcPr>
            <w:tcW w:w="1559" w:type="dxa"/>
            <w:tcBorders>
              <w:top w:val="nil"/>
              <w:bottom w:val="nil"/>
            </w:tcBorders>
            <w:shd w:val="clear" w:color="auto" w:fill="FFFFFF"/>
          </w:tcPr>
          <w:p w14:paraId="3B71C19B" w14:textId="77777777" w:rsidR="00886FB9" w:rsidRPr="0046175F" w:rsidRDefault="00886FB9" w:rsidP="00B334C3">
            <w:pPr>
              <w:spacing w:line="280" w:lineRule="atLeast"/>
              <w:jc w:val="center"/>
              <w:rPr>
                <w:rFonts w:eastAsia="MS Mincho"/>
                <w:sz w:val="22"/>
              </w:rPr>
            </w:pPr>
            <w:r w:rsidRPr="0046175F">
              <w:rPr>
                <w:rFonts w:eastAsia="MS Mincho"/>
                <w:sz w:val="22"/>
              </w:rPr>
              <w:t>173 (5.6%)</w:t>
            </w:r>
          </w:p>
        </w:tc>
        <w:tc>
          <w:tcPr>
            <w:tcW w:w="1276" w:type="dxa"/>
            <w:tcBorders>
              <w:top w:val="nil"/>
              <w:bottom w:val="nil"/>
            </w:tcBorders>
            <w:shd w:val="clear" w:color="auto" w:fill="FFFFFF"/>
          </w:tcPr>
          <w:p w14:paraId="161D38F1" w14:textId="77777777" w:rsidR="00886FB9" w:rsidRPr="0046175F" w:rsidRDefault="00886FB9" w:rsidP="00B334C3">
            <w:pPr>
              <w:spacing w:line="280" w:lineRule="atLeast"/>
              <w:jc w:val="center"/>
              <w:rPr>
                <w:rFonts w:eastAsia="MS Mincho"/>
                <w:sz w:val="22"/>
              </w:rPr>
            </w:pPr>
            <w:r w:rsidRPr="0046175F">
              <w:rPr>
                <w:rFonts w:eastAsia="MS Mincho"/>
                <w:sz w:val="22"/>
              </w:rPr>
              <w:t>44 (1.4%)</w:t>
            </w:r>
          </w:p>
        </w:tc>
        <w:tc>
          <w:tcPr>
            <w:tcW w:w="1417" w:type="dxa"/>
            <w:tcBorders>
              <w:top w:val="nil"/>
              <w:bottom w:val="nil"/>
            </w:tcBorders>
            <w:shd w:val="clear" w:color="auto" w:fill="FFFFFF"/>
          </w:tcPr>
          <w:p w14:paraId="7A1E4306"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75FE3656"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1375F8BD" w14:textId="77777777" w:rsidTr="00B334C3">
        <w:trPr>
          <w:tblHeader/>
        </w:trPr>
        <w:tc>
          <w:tcPr>
            <w:tcW w:w="3119" w:type="dxa"/>
            <w:tcBorders>
              <w:top w:val="nil"/>
              <w:bottom w:val="single" w:sz="4" w:space="0" w:color="auto"/>
            </w:tcBorders>
            <w:shd w:val="clear" w:color="auto" w:fill="FFFFFF"/>
          </w:tcPr>
          <w:p w14:paraId="660A170A"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Hepatitis </w:t>
            </w:r>
            <w:proofErr w:type="spellStart"/>
            <w:r w:rsidRPr="0046175F">
              <w:rPr>
                <w:rFonts w:eastAsia="MS Mincho"/>
                <w:sz w:val="22"/>
                <w:vertAlign w:val="superscript"/>
              </w:rPr>
              <w:t>i</w:t>
            </w:r>
            <w:proofErr w:type="spellEnd"/>
          </w:p>
        </w:tc>
        <w:tc>
          <w:tcPr>
            <w:tcW w:w="1559" w:type="dxa"/>
            <w:tcBorders>
              <w:top w:val="nil"/>
              <w:bottom w:val="single" w:sz="4" w:space="0" w:color="auto"/>
            </w:tcBorders>
            <w:shd w:val="clear" w:color="auto" w:fill="FFFFFF"/>
          </w:tcPr>
          <w:p w14:paraId="2C22D538" w14:textId="77777777" w:rsidR="00886FB9" w:rsidRPr="0046175F" w:rsidRDefault="00886FB9" w:rsidP="00B334C3">
            <w:pPr>
              <w:spacing w:line="280" w:lineRule="atLeast"/>
              <w:jc w:val="center"/>
              <w:rPr>
                <w:rFonts w:eastAsia="MS Mincho"/>
                <w:sz w:val="22"/>
              </w:rPr>
            </w:pPr>
            <w:r w:rsidRPr="0046175F">
              <w:rPr>
                <w:rFonts w:eastAsia="MS Mincho"/>
                <w:sz w:val="22"/>
              </w:rPr>
              <w:t>62 (2.0%)</w:t>
            </w:r>
          </w:p>
        </w:tc>
        <w:tc>
          <w:tcPr>
            <w:tcW w:w="1276" w:type="dxa"/>
            <w:tcBorders>
              <w:top w:val="nil"/>
              <w:bottom w:val="single" w:sz="4" w:space="0" w:color="auto"/>
            </w:tcBorders>
            <w:shd w:val="clear" w:color="auto" w:fill="FFFFFF"/>
          </w:tcPr>
          <w:p w14:paraId="4F5A7F1D" w14:textId="77777777" w:rsidR="00886FB9" w:rsidRPr="0046175F" w:rsidRDefault="00886FB9" w:rsidP="00B334C3">
            <w:pPr>
              <w:spacing w:line="280" w:lineRule="atLeast"/>
              <w:jc w:val="center"/>
              <w:rPr>
                <w:rFonts w:eastAsia="MS Mincho"/>
                <w:sz w:val="22"/>
              </w:rPr>
            </w:pPr>
            <w:r w:rsidRPr="0046175F">
              <w:rPr>
                <w:rFonts w:eastAsia="MS Mincho"/>
                <w:sz w:val="22"/>
              </w:rPr>
              <w:t>25 (0.8%)</w:t>
            </w:r>
          </w:p>
        </w:tc>
        <w:tc>
          <w:tcPr>
            <w:tcW w:w="1417" w:type="dxa"/>
            <w:tcBorders>
              <w:top w:val="nil"/>
              <w:bottom w:val="single" w:sz="4" w:space="0" w:color="auto"/>
            </w:tcBorders>
            <w:shd w:val="clear" w:color="auto" w:fill="FFFFFF"/>
          </w:tcPr>
          <w:p w14:paraId="5DCB5719" w14:textId="4BEC03C3"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701" w:type="dxa"/>
            <w:tcBorders>
              <w:top w:val="nil"/>
              <w:bottom w:val="single" w:sz="4" w:space="0" w:color="auto"/>
            </w:tcBorders>
            <w:shd w:val="clear" w:color="auto" w:fill="FFFFFF"/>
          </w:tcPr>
          <w:p w14:paraId="5CD93292"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886FB9" w:rsidRPr="0046175F" w14:paraId="7721FB8F" w14:textId="77777777" w:rsidTr="00B334C3">
        <w:trPr>
          <w:tblHeader/>
        </w:trPr>
        <w:tc>
          <w:tcPr>
            <w:tcW w:w="9072" w:type="dxa"/>
            <w:gridSpan w:val="5"/>
            <w:tcBorders>
              <w:top w:val="single" w:sz="4" w:space="0" w:color="auto"/>
              <w:bottom w:val="nil"/>
            </w:tcBorders>
            <w:shd w:val="clear" w:color="auto" w:fill="FFFFFF"/>
          </w:tcPr>
          <w:p w14:paraId="2FD41B24" w14:textId="77777777" w:rsidR="00886FB9" w:rsidRPr="0046175F" w:rsidRDefault="00886FB9" w:rsidP="00B334C3">
            <w:pPr>
              <w:spacing w:line="280" w:lineRule="atLeast"/>
              <w:jc w:val="left"/>
              <w:rPr>
                <w:rFonts w:eastAsia="MS Mincho"/>
                <w:b/>
                <w:sz w:val="22"/>
              </w:rPr>
            </w:pPr>
            <w:r w:rsidRPr="0046175F">
              <w:rPr>
                <w:rFonts w:eastAsia="MS Mincho"/>
                <w:b/>
                <w:sz w:val="22"/>
              </w:rPr>
              <w:t>Immune System Disorders</w:t>
            </w:r>
          </w:p>
        </w:tc>
      </w:tr>
      <w:tr w:rsidR="00C516B8" w:rsidRPr="0046175F" w14:paraId="25E3FFD1" w14:textId="77777777" w:rsidTr="00B334C3">
        <w:trPr>
          <w:tblHeader/>
        </w:trPr>
        <w:tc>
          <w:tcPr>
            <w:tcW w:w="3119" w:type="dxa"/>
            <w:tcBorders>
              <w:top w:val="nil"/>
              <w:bottom w:val="single" w:sz="4" w:space="0" w:color="auto"/>
            </w:tcBorders>
            <w:shd w:val="clear" w:color="auto" w:fill="FFFFFF"/>
          </w:tcPr>
          <w:p w14:paraId="6DBC81BA" w14:textId="77777777" w:rsidR="00886FB9" w:rsidRPr="0046175F" w:rsidRDefault="00886FB9" w:rsidP="00B334C3">
            <w:pPr>
              <w:spacing w:line="280" w:lineRule="atLeast"/>
              <w:jc w:val="left"/>
              <w:rPr>
                <w:rFonts w:eastAsia="MS Mincho"/>
                <w:sz w:val="22"/>
              </w:rPr>
            </w:pPr>
            <w:r w:rsidRPr="0046175F">
              <w:rPr>
                <w:rFonts w:eastAsia="MS Mincho"/>
                <w:sz w:val="22"/>
              </w:rPr>
              <w:t>Hypersensitivity</w:t>
            </w:r>
          </w:p>
        </w:tc>
        <w:tc>
          <w:tcPr>
            <w:tcW w:w="1559" w:type="dxa"/>
            <w:tcBorders>
              <w:top w:val="nil"/>
              <w:bottom w:val="single" w:sz="4" w:space="0" w:color="auto"/>
            </w:tcBorders>
            <w:shd w:val="clear" w:color="auto" w:fill="FFFFFF"/>
          </w:tcPr>
          <w:p w14:paraId="73C9A23F" w14:textId="77777777" w:rsidR="00886FB9" w:rsidRPr="0046175F" w:rsidRDefault="00886FB9" w:rsidP="00B334C3">
            <w:pPr>
              <w:spacing w:line="280" w:lineRule="atLeast"/>
              <w:jc w:val="center"/>
              <w:rPr>
                <w:rFonts w:eastAsia="MS Mincho"/>
                <w:sz w:val="22"/>
              </w:rPr>
            </w:pPr>
            <w:r w:rsidRPr="0046175F">
              <w:rPr>
                <w:rFonts w:eastAsia="MS Mincho"/>
                <w:sz w:val="22"/>
              </w:rPr>
              <w:t>35 (1.1%)</w:t>
            </w:r>
          </w:p>
        </w:tc>
        <w:tc>
          <w:tcPr>
            <w:tcW w:w="1276" w:type="dxa"/>
            <w:tcBorders>
              <w:top w:val="nil"/>
              <w:bottom w:val="single" w:sz="4" w:space="0" w:color="auto"/>
            </w:tcBorders>
            <w:shd w:val="clear" w:color="auto" w:fill="FFFFFF"/>
          </w:tcPr>
          <w:p w14:paraId="19623776" w14:textId="2B1371BF" w:rsidR="00886FB9" w:rsidRPr="0046175F" w:rsidRDefault="00886FB9" w:rsidP="00B334C3">
            <w:pPr>
              <w:spacing w:line="280" w:lineRule="atLeast"/>
              <w:jc w:val="center"/>
              <w:rPr>
                <w:rFonts w:eastAsia="MS Mincho"/>
                <w:sz w:val="22"/>
              </w:rPr>
            </w:pPr>
            <w:r w:rsidRPr="0046175F">
              <w:rPr>
                <w:rFonts w:eastAsia="MS Mincho"/>
                <w:sz w:val="22"/>
              </w:rPr>
              <w:t>3 (&lt;</w:t>
            </w:r>
            <w:r w:rsidR="00D96DDB" w:rsidRPr="0046175F">
              <w:rPr>
                <w:rFonts w:eastAsia="MS Mincho"/>
                <w:sz w:val="22"/>
              </w:rPr>
              <w:t xml:space="preserve"> </w:t>
            </w:r>
            <w:r w:rsidRPr="0046175F">
              <w:rPr>
                <w:rFonts w:eastAsia="MS Mincho"/>
                <w:sz w:val="22"/>
              </w:rPr>
              <w:t>0.1%)</w:t>
            </w:r>
          </w:p>
        </w:tc>
        <w:tc>
          <w:tcPr>
            <w:tcW w:w="1417" w:type="dxa"/>
            <w:tcBorders>
              <w:top w:val="nil"/>
              <w:bottom w:val="single" w:sz="4" w:space="0" w:color="auto"/>
            </w:tcBorders>
            <w:shd w:val="clear" w:color="auto" w:fill="FFFFFF"/>
          </w:tcPr>
          <w:p w14:paraId="67F664FC"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728CFD72"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886FB9" w:rsidRPr="0046175F" w14:paraId="5B1D9B0C" w14:textId="77777777" w:rsidTr="00B334C3">
        <w:trPr>
          <w:tblHeader/>
        </w:trPr>
        <w:tc>
          <w:tcPr>
            <w:tcW w:w="9072" w:type="dxa"/>
            <w:gridSpan w:val="5"/>
            <w:tcBorders>
              <w:top w:val="single" w:sz="4" w:space="0" w:color="auto"/>
              <w:bottom w:val="nil"/>
            </w:tcBorders>
            <w:shd w:val="clear" w:color="auto" w:fill="FFFFFF"/>
          </w:tcPr>
          <w:p w14:paraId="36D9C314" w14:textId="5624B8BE" w:rsidR="00886FB9" w:rsidRPr="0046175F" w:rsidRDefault="00893835" w:rsidP="00B334C3">
            <w:pPr>
              <w:spacing w:line="280" w:lineRule="atLeast"/>
              <w:jc w:val="left"/>
              <w:rPr>
                <w:rFonts w:eastAsia="MS Mincho"/>
                <w:b/>
                <w:sz w:val="22"/>
              </w:rPr>
            </w:pPr>
            <w:r w:rsidRPr="0046175F">
              <w:rPr>
                <w:rFonts w:eastAsia="MS Mincho"/>
                <w:b/>
                <w:sz w:val="22"/>
              </w:rPr>
              <w:t>Infections and I</w:t>
            </w:r>
            <w:r w:rsidR="00886FB9" w:rsidRPr="0046175F">
              <w:rPr>
                <w:rFonts w:eastAsia="MS Mincho"/>
                <w:b/>
                <w:sz w:val="22"/>
              </w:rPr>
              <w:t>nfestations</w:t>
            </w:r>
          </w:p>
        </w:tc>
      </w:tr>
      <w:tr w:rsidR="00C516B8" w:rsidRPr="0046175F" w14:paraId="190F3F7C" w14:textId="77777777" w:rsidTr="00B334C3">
        <w:trPr>
          <w:tblHeader/>
        </w:trPr>
        <w:tc>
          <w:tcPr>
            <w:tcW w:w="3119" w:type="dxa"/>
            <w:tcBorders>
              <w:top w:val="nil"/>
              <w:bottom w:val="single" w:sz="4" w:space="0" w:color="auto"/>
            </w:tcBorders>
            <w:shd w:val="clear" w:color="auto" w:fill="FFFFFF"/>
          </w:tcPr>
          <w:p w14:paraId="19D211D3"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Urinary tract infection </w:t>
            </w:r>
            <w:r w:rsidRPr="0046175F">
              <w:rPr>
                <w:rFonts w:eastAsia="MS Mincho"/>
                <w:sz w:val="22"/>
                <w:vertAlign w:val="superscript"/>
              </w:rPr>
              <w:t>p</w:t>
            </w:r>
            <w:r w:rsidRPr="0046175F">
              <w:rPr>
                <w:rFonts w:eastAsia="MS Mincho"/>
                <w:sz w:val="22"/>
              </w:rPr>
              <w:t xml:space="preserve"> </w:t>
            </w:r>
          </w:p>
        </w:tc>
        <w:tc>
          <w:tcPr>
            <w:tcW w:w="1559" w:type="dxa"/>
            <w:tcBorders>
              <w:top w:val="nil"/>
              <w:bottom w:val="single" w:sz="4" w:space="0" w:color="auto"/>
            </w:tcBorders>
            <w:shd w:val="clear" w:color="auto" w:fill="FFFFFF"/>
          </w:tcPr>
          <w:p w14:paraId="2B0285CC" w14:textId="77777777" w:rsidR="00886FB9" w:rsidRPr="0046175F" w:rsidRDefault="00886FB9" w:rsidP="00B334C3">
            <w:pPr>
              <w:spacing w:line="280" w:lineRule="atLeast"/>
              <w:jc w:val="center"/>
              <w:rPr>
                <w:rFonts w:eastAsia="MS Mincho"/>
                <w:sz w:val="22"/>
              </w:rPr>
            </w:pPr>
            <w:r w:rsidRPr="0046175F">
              <w:rPr>
                <w:rFonts w:eastAsia="MS Mincho"/>
                <w:sz w:val="22"/>
              </w:rPr>
              <w:t>360 (11.7%)</w:t>
            </w:r>
          </w:p>
        </w:tc>
        <w:tc>
          <w:tcPr>
            <w:tcW w:w="1276" w:type="dxa"/>
            <w:tcBorders>
              <w:top w:val="nil"/>
              <w:bottom w:val="single" w:sz="4" w:space="0" w:color="auto"/>
            </w:tcBorders>
            <w:shd w:val="clear" w:color="auto" w:fill="FFFFFF"/>
          </w:tcPr>
          <w:p w14:paraId="1AD3BB27" w14:textId="77777777" w:rsidR="00886FB9" w:rsidRPr="0046175F" w:rsidRDefault="00886FB9" w:rsidP="00B334C3">
            <w:pPr>
              <w:spacing w:line="280" w:lineRule="atLeast"/>
              <w:jc w:val="center"/>
              <w:rPr>
                <w:rFonts w:eastAsia="MS Mincho"/>
                <w:sz w:val="22"/>
              </w:rPr>
            </w:pPr>
            <w:r w:rsidRPr="0046175F">
              <w:rPr>
                <w:rFonts w:eastAsia="MS Mincho"/>
                <w:sz w:val="22"/>
              </w:rPr>
              <w:t>84 (2.7%)</w:t>
            </w:r>
          </w:p>
        </w:tc>
        <w:tc>
          <w:tcPr>
            <w:tcW w:w="1417" w:type="dxa"/>
            <w:tcBorders>
              <w:top w:val="nil"/>
              <w:bottom w:val="single" w:sz="4" w:space="0" w:color="auto"/>
            </w:tcBorders>
            <w:shd w:val="clear" w:color="auto" w:fill="FFFFFF"/>
          </w:tcPr>
          <w:p w14:paraId="47BF8B0E"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1A46614B"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886FB9" w:rsidRPr="0046175F" w14:paraId="08B81038" w14:textId="77777777" w:rsidTr="00B334C3">
        <w:trPr>
          <w:tblHeader/>
        </w:trPr>
        <w:tc>
          <w:tcPr>
            <w:tcW w:w="9072" w:type="dxa"/>
            <w:gridSpan w:val="5"/>
            <w:tcBorders>
              <w:top w:val="single" w:sz="4" w:space="0" w:color="auto"/>
              <w:bottom w:val="nil"/>
            </w:tcBorders>
            <w:shd w:val="clear" w:color="auto" w:fill="FFFFFF"/>
          </w:tcPr>
          <w:p w14:paraId="7903253A" w14:textId="77777777" w:rsidR="00886FB9" w:rsidRPr="0046175F" w:rsidRDefault="00886FB9" w:rsidP="00B334C3">
            <w:pPr>
              <w:spacing w:line="280" w:lineRule="atLeast"/>
              <w:jc w:val="left"/>
              <w:rPr>
                <w:rFonts w:eastAsia="MS Mincho"/>
                <w:b/>
                <w:sz w:val="22"/>
              </w:rPr>
            </w:pPr>
            <w:r w:rsidRPr="0046175F">
              <w:rPr>
                <w:rFonts w:eastAsia="MS Mincho"/>
                <w:b/>
                <w:sz w:val="22"/>
              </w:rPr>
              <w:t>Metabolism and Nutrition Disorders</w:t>
            </w:r>
          </w:p>
        </w:tc>
      </w:tr>
      <w:tr w:rsidR="00C516B8" w:rsidRPr="0046175F" w14:paraId="6A48E1AB" w14:textId="77777777" w:rsidTr="00B334C3">
        <w:trPr>
          <w:tblHeader/>
        </w:trPr>
        <w:tc>
          <w:tcPr>
            <w:tcW w:w="3119" w:type="dxa"/>
            <w:tcBorders>
              <w:top w:val="nil"/>
              <w:bottom w:val="nil"/>
            </w:tcBorders>
            <w:shd w:val="clear" w:color="auto" w:fill="FFFFFF"/>
          </w:tcPr>
          <w:p w14:paraId="1852E86C" w14:textId="77777777" w:rsidR="00886FB9" w:rsidRPr="0046175F" w:rsidRDefault="00886FB9" w:rsidP="00B334C3">
            <w:pPr>
              <w:spacing w:line="280" w:lineRule="atLeast"/>
              <w:jc w:val="left"/>
              <w:rPr>
                <w:rFonts w:eastAsia="MS Mincho"/>
                <w:sz w:val="22"/>
              </w:rPr>
            </w:pPr>
            <w:r w:rsidRPr="0046175F">
              <w:rPr>
                <w:rFonts w:eastAsia="MS Mincho"/>
                <w:sz w:val="22"/>
              </w:rPr>
              <w:t>Decreased appetite</w:t>
            </w:r>
          </w:p>
        </w:tc>
        <w:tc>
          <w:tcPr>
            <w:tcW w:w="1559" w:type="dxa"/>
            <w:tcBorders>
              <w:top w:val="nil"/>
              <w:bottom w:val="nil"/>
            </w:tcBorders>
            <w:shd w:val="clear" w:color="auto" w:fill="FFFFFF"/>
          </w:tcPr>
          <w:p w14:paraId="3FAB33ED" w14:textId="77777777" w:rsidR="00886FB9" w:rsidRPr="0046175F" w:rsidRDefault="00886FB9" w:rsidP="00B334C3">
            <w:pPr>
              <w:spacing w:line="280" w:lineRule="atLeast"/>
              <w:jc w:val="center"/>
              <w:rPr>
                <w:rFonts w:eastAsia="MS Mincho"/>
                <w:sz w:val="22"/>
              </w:rPr>
            </w:pPr>
            <w:r w:rsidRPr="0046175F">
              <w:rPr>
                <w:rFonts w:eastAsia="MS Mincho"/>
                <w:sz w:val="22"/>
              </w:rPr>
              <w:t>799 (26.0%)</w:t>
            </w:r>
          </w:p>
        </w:tc>
        <w:tc>
          <w:tcPr>
            <w:tcW w:w="1276" w:type="dxa"/>
            <w:tcBorders>
              <w:top w:val="nil"/>
              <w:bottom w:val="nil"/>
            </w:tcBorders>
            <w:shd w:val="clear" w:color="auto" w:fill="FFFFFF"/>
          </w:tcPr>
          <w:p w14:paraId="25F3E9E2" w14:textId="77777777" w:rsidR="00886FB9" w:rsidRPr="0046175F" w:rsidRDefault="00886FB9" w:rsidP="00B334C3">
            <w:pPr>
              <w:spacing w:line="280" w:lineRule="atLeast"/>
              <w:jc w:val="center"/>
              <w:rPr>
                <w:rFonts w:eastAsia="MS Mincho"/>
                <w:sz w:val="22"/>
              </w:rPr>
            </w:pPr>
            <w:r w:rsidRPr="0046175F">
              <w:rPr>
                <w:rFonts w:eastAsia="MS Mincho"/>
                <w:sz w:val="22"/>
              </w:rPr>
              <w:t>35 (1.1%)</w:t>
            </w:r>
          </w:p>
        </w:tc>
        <w:tc>
          <w:tcPr>
            <w:tcW w:w="1417" w:type="dxa"/>
            <w:tcBorders>
              <w:top w:val="nil"/>
              <w:bottom w:val="nil"/>
            </w:tcBorders>
            <w:shd w:val="clear" w:color="auto" w:fill="FFFFFF"/>
          </w:tcPr>
          <w:p w14:paraId="19605454"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1F8FCA19"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3F24150F" w14:textId="77777777" w:rsidTr="00B334C3">
        <w:trPr>
          <w:tblHeader/>
        </w:trPr>
        <w:tc>
          <w:tcPr>
            <w:tcW w:w="3119" w:type="dxa"/>
            <w:tcBorders>
              <w:top w:val="nil"/>
              <w:bottom w:val="nil"/>
            </w:tcBorders>
            <w:shd w:val="clear" w:color="auto" w:fill="FFFFFF"/>
          </w:tcPr>
          <w:p w14:paraId="09064CFE" w14:textId="77777777" w:rsidR="00886FB9" w:rsidRPr="0046175F" w:rsidRDefault="00886FB9" w:rsidP="00B334C3">
            <w:pPr>
              <w:spacing w:line="280" w:lineRule="atLeast"/>
              <w:jc w:val="left"/>
              <w:rPr>
                <w:rFonts w:eastAsia="MS Mincho"/>
                <w:sz w:val="22"/>
              </w:rPr>
            </w:pPr>
            <w:proofErr w:type="spellStart"/>
            <w:r w:rsidRPr="0046175F">
              <w:rPr>
                <w:rFonts w:eastAsia="MS Mincho"/>
                <w:sz w:val="22"/>
              </w:rPr>
              <w:t>Hypokalemia</w:t>
            </w:r>
            <w:proofErr w:type="spellEnd"/>
          </w:p>
        </w:tc>
        <w:tc>
          <w:tcPr>
            <w:tcW w:w="1559" w:type="dxa"/>
            <w:tcBorders>
              <w:top w:val="nil"/>
              <w:bottom w:val="nil"/>
            </w:tcBorders>
            <w:shd w:val="clear" w:color="auto" w:fill="FFFFFF"/>
          </w:tcPr>
          <w:p w14:paraId="51C46704" w14:textId="77777777" w:rsidR="00886FB9" w:rsidRPr="0046175F" w:rsidRDefault="00886FB9" w:rsidP="00B334C3">
            <w:pPr>
              <w:spacing w:line="280" w:lineRule="atLeast"/>
              <w:jc w:val="center"/>
              <w:rPr>
                <w:rFonts w:eastAsia="MS Mincho"/>
                <w:sz w:val="22"/>
              </w:rPr>
            </w:pPr>
            <w:r w:rsidRPr="0046175F">
              <w:rPr>
                <w:rFonts w:eastAsia="MS Mincho"/>
                <w:sz w:val="22"/>
              </w:rPr>
              <w:t>137 (4.5%)</w:t>
            </w:r>
          </w:p>
        </w:tc>
        <w:tc>
          <w:tcPr>
            <w:tcW w:w="1276" w:type="dxa"/>
            <w:tcBorders>
              <w:top w:val="nil"/>
              <w:bottom w:val="nil"/>
            </w:tcBorders>
            <w:shd w:val="clear" w:color="auto" w:fill="FFFFFF"/>
          </w:tcPr>
          <w:p w14:paraId="76B0EDE0" w14:textId="77777777" w:rsidR="00886FB9" w:rsidRPr="0046175F" w:rsidRDefault="00886FB9" w:rsidP="00B334C3">
            <w:pPr>
              <w:spacing w:line="280" w:lineRule="atLeast"/>
              <w:jc w:val="center"/>
              <w:rPr>
                <w:rFonts w:eastAsia="MS Mincho"/>
                <w:strike/>
                <w:sz w:val="22"/>
              </w:rPr>
            </w:pPr>
            <w:r w:rsidRPr="0046175F">
              <w:rPr>
                <w:rFonts w:eastAsia="MS Mincho"/>
                <w:sz w:val="22"/>
              </w:rPr>
              <w:t>32 (1.0%)</w:t>
            </w:r>
          </w:p>
        </w:tc>
        <w:tc>
          <w:tcPr>
            <w:tcW w:w="1417" w:type="dxa"/>
            <w:tcBorders>
              <w:top w:val="nil"/>
              <w:bottom w:val="nil"/>
            </w:tcBorders>
            <w:shd w:val="clear" w:color="auto" w:fill="FFFFFF"/>
          </w:tcPr>
          <w:p w14:paraId="7CA29A04"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04FB7E2C"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52BAA42F" w14:textId="77777777" w:rsidTr="00B334C3">
        <w:trPr>
          <w:tblHeader/>
        </w:trPr>
        <w:tc>
          <w:tcPr>
            <w:tcW w:w="3119" w:type="dxa"/>
            <w:tcBorders>
              <w:top w:val="nil"/>
              <w:bottom w:val="nil"/>
            </w:tcBorders>
            <w:shd w:val="clear" w:color="auto" w:fill="FFFFFF"/>
          </w:tcPr>
          <w:p w14:paraId="6648A754" w14:textId="77777777" w:rsidR="00886FB9" w:rsidRPr="0046175F" w:rsidRDefault="00886FB9" w:rsidP="00B334C3">
            <w:pPr>
              <w:spacing w:line="280" w:lineRule="atLeast"/>
              <w:jc w:val="left"/>
              <w:rPr>
                <w:rFonts w:eastAsia="MS Mincho"/>
                <w:sz w:val="22"/>
              </w:rPr>
            </w:pPr>
            <w:r w:rsidRPr="0046175F">
              <w:rPr>
                <w:rFonts w:eastAsia="MS Mincho"/>
                <w:sz w:val="22"/>
              </w:rPr>
              <w:t>Hyponatremia</w:t>
            </w:r>
          </w:p>
        </w:tc>
        <w:tc>
          <w:tcPr>
            <w:tcW w:w="1559" w:type="dxa"/>
            <w:tcBorders>
              <w:top w:val="nil"/>
              <w:bottom w:val="nil"/>
            </w:tcBorders>
            <w:shd w:val="clear" w:color="auto" w:fill="FFFFFF"/>
          </w:tcPr>
          <w:p w14:paraId="0C483B47" w14:textId="77777777" w:rsidR="00886FB9" w:rsidRPr="0046175F" w:rsidRDefault="00886FB9" w:rsidP="00B334C3">
            <w:pPr>
              <w:spacing w:line="280" w:lineRule="atLeast"/>
              <w:jc w:val="center"/>
              <w:rPr>
                <w:rFonts w:eastAsia="MS Mincho"/>
                <w:sz w:val="22"/>
              </w:rPr>
            </w:pPr>
            <w:r w:rsidRPr="0046175F">
              <w:rPr>
                <w:rFonts w:eastAsia="MS Mincho"/>
                <w:sz w:val="22"/>
              </w:rPr>
              <w:t>163 (5.3%)</w:t>
            </w:r>
          </w:p>
        </w:tc>
        <w:tc>
          <w:tcPr>
            <w:tcW w:w="1276" w:type="dxa"/>
            <w:tcBorders>
              <w:top w:val="nil"/>
              <w:bottom w:val="nil"/>
            </w:tcBorders>
            <w:shd w:val="clear" w:color="auto" w:fill="FFFFFF"/>
          </w:tcPr>
          <w:p w14:paraId="4A16CCA3" w14:textId="77777777" w:rsidR="00886FB9" w:rsidRPr="0046175F" w:rsidRDefault="00886FB9" w:rsidP="00B334C3">
            <w:pPr>
              <w:spacing w:line="280" w:lineRule="atLeast"/>
              <w:jc w:val="center"/>
              <w:rPr>
                <w:rFonts w:eastAsia="MS Mincho"/>
                <w:sz w:val="22"/>
              </w:rPr>
            </w:pPr>
            <w:r w:rsidRPr="0046175F">
              <w:rPr>
                <w:rFonts w:eastAsia="MS Mincho"/>
                <w:sz w:val="22"/>
              </w:rPr>
              <w:t>94 (3.1%)</w:t>
            </w:r>
          </w:p>
        </w:tc>
        <w:tc>
          <w:tcPr>
            <w:tcW w:w="1417" w:type="dxa"/>
            <w:tcBorders>
              <w:top w:val="nil"/>
              <w:bottom w:val="nil"/>
            </w:tcBorders>
            <w:shd w:val="clear" w:color="auto" w:fill="FFFFFF"/>
          </w:tcPr>
          <w:p w14:paraId="67B56BBE"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35F352C2"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F013AA" w:rsidRPr="0046175F" w14:paraId="717AAA21" w14:textId="77777777" w:rsidTr="00100867">
        <w:trPr>
          <w:tblHeader/>
        </w:trPr>
        <w:tc>
          <w:tcPr>
            <w:tcW w:w="3119" w:type="dxa"/>
            <w:tcBorders>
              <w:top w:val="nil"/>
              <w:bottom w:val="single" w:sz="4" w:space="0" w:color="auto"/>
            </w:tcBorders>
            <w:shd w:val="clear" w:color="auto" w:fill="FFFFFF"/>
          </w:tcPr>
          <w:p w14:paraId="47EE6A5D" w14:textId="5A7C4BEE" w:rsidR="00F013AA" w:rsidRPr="0046175F" w:rsidRDefault="00F013AA" w:rsidP="00B334C3">
            <w:pPr>
              <w:spacing w:line="280" w:lineRule="atLeast"/>
              <w:jc w:val="left"/>
              <w:rPr>
                <w:rFonts w:eastAsia="MS Mincho"/>
                <w:sz w:val="22"/>
              </w:rPr>
            </w:pPr>
            <w:r w:rsidRPr="0046175F">
              <w:rPr>
                <w:sz w:val="22"/>
              </w:rPr>
              <w:t xml:space="preserve">Hyperglycaemia </w:t>
            </w:r>
            <w:r w:rsidRPr="0046175F">
              <w:rPr>
                <w:sz w:val="22"/>
                <w:vertAlign w:val="superscript"/>
              </w:rPr>
              <w:t>s</w:t>
            </w:r>
          </w:p>
        </w:tc>
        <w:tc>
          <w:tcPr>
            <w:tcW w:w="1559" w:type="dxa"/>
            <w:tcBorders>
              <w:top w:val="nil"/>
              <w:bottom w:val="single" w:sz="4" w:space="0" w:color="auto"/>
            </w:tcBorders>
            <w:shd w:val="clear" w:color="auto" w:fill="FFFFFF"/>
          </w:tcPr>
          <w:p w14:paraId="20735C09" w14:textId="6D79CDF0" w:rsidR="00F013AA" w:rsidRPr="0046175F" w:rsidRDefault="00F013AA" w:rsidP="00B334C3">
            <w:pPr>
              <w:spacing w:line="280" w:lineRule="atLeast"/>
              <w:jc w:val="center"/>
              <w:rPr>
                <w:rFonts w:eastAsia="MS Mincho"/>
                <w:sz w:val="22"/>
              </w:rPr>
            </w:pPr>
            <w:r w:rsidRPr="0046175F">
              <w:rPr>
                <w:sz w:val="22"/>
              </w:rPr>
              <w:t>-</w:t>
            </w:r>
          </w:p>
        </w:tc>
        <w:tc>
          <w:tcPr>
            <w:tcW w:w="1276" w:type="dxa"/>
            <w:tcBorders>
              <w:top w:val="nil"/>
              <w:bottom w:val="single" w:sz="4" w:space="0" w:color="auto"/>
            </w:tcBorders>
            <w:shd w:val="clear" w:color="auto" w:fill="FFFFFF"/>
          </w:tcPr>
          <w:p w14:paraId="049E8E7A" w14:textId="74DE6047" w:rsidR="00F013AA" w:rsidRPr="0046175F" w:rsidRDefault="00F013AA" w:rsidP="00B334C3">
            <w:pPr>
              <w:spacing w:line="280" w:lineRule="atLeast"/>
              <w:jc w:val="center"/>
              <w:rPr>
                <w:rFonts w:eastAsia="MS Mincho"/>
                <w:sz w:val="22"/>
              </w:rPr>
            </w:pPr>
            <w:r w:rsidRPr="0046175F">
              <w:rPr>
                <w:sz w:val="22"/>
              </w:rPr>
              <w:t>-</w:t>
            </w:r>
          </w:p>
        </w:tc>
        <w:tc>
          <w:tcPr>
            <w:tcW w:w="1417" w:type="dxa"/>
            <w:tcBorders>
              <w:top w:val="nil"/>
              <w:bottom w:val="single" w:sz="4" w:space="0" w:color="auto"/>
            </w:tcBorders>
            <w:shd w:val="clear" w:color="auto" w:fill="FFFFFF"/>
          </w:tcPr>
          <w:p w14:paraId="51CCA38E" w14:textId="122079CF" w:rsidR="00F013AA" w:rsidRPr="0046175F" w:rsidRDefault="00F013AA" w:rsidP="00B334C3">
            <w:pPr>
              <w:spacing w:line="280" w:lineRule="atLeast"/>
              <w:jc w:val="center"/>
              <w:rPr>
                <w:rFonts w:eastAsia="MS Mincho"/>
                <w:sz w:val="22"/>
              </w:rPr>
            </w:pPr>
            <w:r w:rsidRPr="0046175F">
              <w:rPr>
                <w:sz w:val="22"/>
              </w:rPr>
              <w:t>-</w:t>
            </w:r>
          </w:p>
        </w:tc>
        <w:tc>
          <w:tcPr>
            <w:tcW w:w="1701" w:type="dxa"/>
            <w:tcBorders>
              <w:top w:val="nil"/>
              <w:bottom w:val="single" w:sz="4" w:space="0" w:color="auto"/>
            </w:tcBorders>
            <w:shd w:val="clear" w:color="auto" w:fill="FFFFFF"/>
          </w:tcPr>
          <w:p w14:paraId="32AB5222" w14:textId="02EDB0FA" w:rsidR="00F013AA" w:rsidRPr="0046175F" w:rsidRDefault="00F013AA" w:rsidP="00B334C3">
            <w:pPr>
              <w:spacing w:line="280" w:lineRule="atLeast"/>
              <w:jc w:val="center"/>
              <w:rPr>
                <w:rFonts w:eastAsia="MS Mincho"/>
                <w:sz w:val="22"/>
              </w:rPr>
            </w:pPr>
            <w:r w:rsidRPr="0046175F">
              <w:rPr>
                <w:sz w:val="22"/>
              </w:rPr>
              <w:t>Common</w:t>
            </w:r>
          </w:p>
        </w:tc>
      </w:tr>
      <w:tr w:rsidR="00886FB9" w:rsidRPr="0046175F" w14:paraId="7FE665ED" w14:textId="77777777" w:rsidTr="00B334C3">
        <w:trPr>
          <w:tblHeader/>
        </w:trPr>
        <w:tc>
          <w:tcPr>
            <w:tcW w:w="9072" w:type="dxa"/>
            <w:gridSpan w:val="5"/>
            <w:tcBorders>
              <w:top w:val="single" w:sz="4" w:space="0" w:color="auto"/>
              <w:bottom w:val="nil"/>
            </w:tcBorders>
            <w:shd w:val="clear" w:color="auto" w:fill="FFFFFF"/>
          </w:tcPr>
          <w:p w14:paraId="5D397265" w14:textId="77777777" w:rsidR="00886FB9" w:rsidRPr="0046175F" w:rsidRDefault="00886FB9" w:rsidP="00B334C3">
            <w:pPr>
              <w:spacing w:line="280" w:lineRule="atLeast"/>
              <w:jc w:val="left"/>
              <w:rPr>
                <w:rFonts w:eastAsia="MS Mincho"/>
                <w:b/>
                <w:sz w:val="22"/>
              </w:rPr>
            </w:pPr>
            <w:r w:rsidRPr="0046175F">
              <w:rPr>
                <w:rFonts w:eastAsia="MS Mincho"/>
                <w:b/>
                <w:sz w:val="22"/>
              </w:rPr>
              <w:t>Musculoskeletal and Connective Tissue Disorders</w:t>
            </w:r>
          </w:p>
        </w:tc>
      </w:tr>
      <w:tr w:rsidR="00C516B8" w:rsidRPr="0046175F" w14:paraId="35E53908" w14:textId="77777777" w:rsidTr="00B334C3">
        <w:trPr>
          <w:tblHeader/>
        </w:trPr>
        <w:tc>
          <w:tcPr>
            <w:tcW w:w="3119" w:type="dxa"/>
            <w:tcBorders>
              <w:top w:val="nil"/>
              <w:bottom w:val="nil"/>
            </w:tcBorders>
            <w:shd w:val="clear" w:color="auto" w:fill="FFFFFF"/>
          </w:tcPr>
          <w:p w14:paraId="44E1421D" w14:textId="77777777" w:rsidR="00886FB9" w:rsidRPr="0046175F" w:rsidRDefault="00886FB9" w:rsidP="00B334C3">
            <w:pPr>
              <w:spacing w:line="280" w:lineRule="atLeast"/>
              <w:jc w:val="left"/>
              <w:rPr>
                <w:rFonts w:eastAsia="MS Mincho"/>
                <w:sz w:val="22"/>
              </w:rPr>
            </w:pPr>
            <w:r w:rsidRPr="0046175F">
              <w:rPr>
                <w:rFonts w:eastAsia="MS Mincho"/>
                <w:sz w:val="22"/>
              </w:rPr>
              <w:t>Arthralgia</w:t>
            </w:r>
          </w:p>
        </w:tc>
        <w:tc>
          <w:tcPr>
            <w:tcW w:w="1559" w:type="dxa"/>
            <w:tcBorders>
              <w:top w:val="nil"/>
              <w:bottom w:val="nil"/>
            </w:tcBorders>
            <w:shd w:val="clear" w:color="auto" w:fill="FFFFFF"/>
          </w:tcPr>
          <w:p w14:paraId="10B226AF" w14:textId="77777777" w:rsidR="00886FB9" w:rsidRPr="0046175F" w:rsidRDefault="00886FB9" w:rsidP="00B334C3">
            <w:pPr>
              <w:spacing w:line="280" w:lineRule="atLeast"/>
              <w:jc w:val="center"/>
              <w:rPr>
                <w:rFonts w:eastAsia="MS Mincho"/>
                <w:sz w:val="22"/>
              </w:rPr>
            </w:pPr>
            <w:r w:rsidRPr="0046175F">
              <w:rPr>
                <w:rFonts w:eastAsia="MS Mincho"/>
                <w:sz w:val="22"/>
              </w:rPr>
              <w:t>428 (13.9%)</w:t>
            </w:r>
          </w:p>
        </w:tc>
        <w:tc>
          <w:tcPr>
            <w:tcW w:w="1276" w:type="dxa"/>
            <w:tcBorders>
              <w:top w:val="nil"/>
              <w:bottom w:val="nil"/>
            </w:tcBorders>
            <w:shd w:val="clear" w:color="auto" w:fill="FFFFFF"/>
          </w:tcPr>
          <w:p w14:paraId="1D82BA61" w14:textId="77777777" w:rsidR="00886FB9" w:rsidRPr="0046175F" w:rsidRDefault="00886FB9" w:rsidP="00B334C3">
            <w:pPr>
              <w:spacing w:line="280" w:lineRule="atLeast"/>
              <w:jc w:val="center"/>
              <w:rPr>
                <w:rFonts w:eastAsia="MS Mincho"/>
                <w:sz w:val="22"/>
              </w:rPr>
            </w:pPr>
            <w:r w:rsidRPr="0046175F">
              <w:rPr>
                <w:rFonts w:eastAsia="MS Mincho"/>
                <w:sz w:val="22"/>
              </w:rPr>
              <w:t>23 (0.7%)</w:t>
            </w:r>
          </w:p>
        </w:tc>
        <w:tc>
          <w:tcPr>
            <w:tcW w:w="1417" w:type="dxa"/>
            <w:tcBorders>
              <w:top w:val="nil"/>
              <w:bottom w:val="nil"/>
            </w:tcBorders>
            <w:shd w:val="clear" w:color="auto" w:fill="FFFFFF"/>
          </w:tcPr>
          <w:p w14:paraId="3B34D48F"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74CB4A10"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73FE74A6" w14:textId="77777777" w:rsidTr="00B334C3">
        <w:trPr>
          <w:tblHeader/>
        </w:trPr>
        <w:tc>
          <w:tcPr>
            <w:tcW w:w="3119" w:type="dxa"/>
            <w:tcBorders>
              <w:top w:val="nil"/>
              <w:bottom w:val="nil"/>
            </w:tcBorders>
            <w:shd w:val="clear" w:color="auto" w:fill="FFFFFF"/>
          </w:tcPr>
          <w:p w14:paraId="35C9AD11"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Back pain </w:t>
            </w:r>
          </w:p>
        </w:tc>
        <w:tc>
          <w:tcPr>
            <w:tcW w:w="1559" w:type="dxa"/>
            <w:tcBorders>
              <w:top w:val="nil"/>
              <w:bottom w:val="nil"/>
            </w:tcBorders>
            <w:shd w:val="clear" w:color="auto" w:fill="FFFFFF"/>
          </w:tcPr>
          <w:p w14:paraId="150131C1" w14:textId="77777777" w:rsidR="00886FB9" w:rsidRPr="0046175F" w:rsidRDefault="00886FB9" w:rsidP="00B334C3">
            <w:pPr>
              <w:spacing w:line="280" w:lineRule="atLeast"/>
              <w:jc w:val="center"/>
              <w:rPr>
                <w:rFonts w:eastAsia="MS Mincho"/>
                <w:sz w:val="22"/>
              </w:rPr>
            </w:pPr>
            <w:r w:rsidRPr="0046175F">
              <w:rPr>
                <w:rFonts w:eastAsia="MS Mincho"/>
                <w:sz w:val="22"/>
              </w:rPr>
              <w:t>471 (15.3%)</w:t>
            </w:r>
          </w:p>
        </w:tc>
        <w:tc>
          <w:tcPr>
            <w:tcW w:w="1276" w:type="dxa"/>
            <w:tcBorders>
              <w:top w:val="nil"/>
              <w:bottom w:val="nil"/>
            </w:tcBorders>
            <w:shd w:val="clear" w:color="auto" w:fill="FFFFFF"/>
          </w:tcPr>
          <w:p w14:paraId="69DE8503" w14:textId="77777777" w:rsidR="00886FB9" w:rsidRPr="0046175F" w:rsidRDefault="00886FB9" w:rsidP="00B334C3">
            <w:pPr>
              <w:spacing w:line="280" w:lineRule="atLeast"/>
              <w:jc w:val="center"/>
              <w:rPr>
                <w:rFonts w:eastAsia="MS Mincho"/>
                <w:sz w:val="22"/>
              </w:rPr>
            </w:pPr>
            <w:r w:rsidRPr="0046175F">
              <w:rPr>
                <w:rFonts w:eastAsia="MS Mincho"/>
                <w:sz w:val="22"/>
              </w:rPr>
              <w:t>52 (1.7%)</w:t>
            </w:r>
          </w:p>
        </w:tc>
        <w:tc>
          <w:tcPr>
            <w:tcW w:w="1417" w:type="dxa"/>
            <w:tcBorders>
              <w:top w:val="nil"/>
              <w:bottom w:val="nil"/>
            </w:tcBorders>
            <w:shd w:val="clear" w:color="auto" w:fill="FFFFFF"/>
          </w:tcPr>
          <w:p w14:paraId="18A1C45F"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10F722CB"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5B773CC2" w14:textId="77777777" w:rsidTr="00100867">
        <w:trPr>
          <w:tblHeader/>
        </w:trPr>
        <w:tc>
          <w:tcPr>
            <w:tcW w:w="3119" w:type="dxa"/>
            <w:tcBorders>
              <w:top w:val="nil"/>
              <w:bottom w:val="nil"/>
            </w:tcBorders>
            <w:shd w:val="clear" w:color="auto" w:fill="FFFFFF"/>
          </w:tcPr>
          <w:p w14:paraId="03CDF946" w14:textId="77777777" w:rsidR="00886FB9" w:rsidRPr="0046175F" w:rsidRDefault="00886FB9" w:rsidP="00B334C3">
            <w:pPr>
              <w:spacing w:line="280" w:lineRule="atLeast"/>
              <w:jc w:val="left"/>
              <w:rPr>
                <w:rFonts w:eastAsia="MS Mincho"/>
                <w:sz w:val="22"/>
              </w:rPr>
            </w:pPr>
            <w:r w:rsidRPr="0046175F">
              <w:rPr>
                <w:rFonts w:eastAsia="MS Mincho"/>
                <w:sz w:val="22"/>
              </w:rPr>
              <w:t>Musculoskeletal pain</w:t>
            </w:r>
          </w:p>
        </w:tc>
        <w:tc>
          <w:tcPr>
            <w:tcW w:w="1559" w:type="dxa"/>
            <w:tcBorders>
              <w:top w:val="nil"/>
              <w:bottom w:val="nil"/>
            </w:tcBorders>
            <w:shd w:val="clear" w:color="auto" w:fill="FFFFFF"/>
          </w:tcPr>
          <w:p w14:paraId="0FE09460" w14:textId="77777777" w:rsidR="00886FB9" w:rsidRPr="0046175F" w:rsidRDefault="00886FB9" w:rsidP="00B334C3">
            <w:pPr>
              <w:spacing w:line="280" w:lineRule="atLeast"/>
              <w:jc w:val="center"/>
              <w:rPr>
                <w:rFonts w:eastAsia="MS Mincho"/>
                <w:sz w:val="22"/>
              </w:rPr>
            </w:pPr>
            <w:r w:rsidRPr="0046175F">
              <w:rPr>
                <w:rFonts w:eastAsia="MS Mincho"/>
                <w:sz w:val="22"/>
              </w:rPr>
              <w:t>233 (7.6%)</w:t>
            </w:r>
          </w:p>
        </w:tc>
        <w:tc>
          <w:tcPr>
            <w:tcW w:w="1276" w:type="dxa"/>
            <w:tcBorders>
              <w:top w:val="nil"/>
              <w:bottom w:val="nil"/>
            </w:tcBorders>
            <w:shd w:val="clear" w:color="auto" w:fill="FFFFFF"/>
          </w:tcPr>
          <w:p w14:paraId="35A8E537" w14:textId="77777777" w:rsidR="00886FB9" w:rsidRPr="0046175F" w:rsidRDefault="00886FB9" w:rsidP="00B334C3">
            <w:pPr>
              <w:spacing w:line="280" w:lineRule="atLeast"/>
              <w:jc w:val="center"/>
              <w:rPr>
                <w:rFonts w:eastAsia="MS Mincho"/>
                <w:sz w:val="22"/>
              </w:rPr>
            </w:pPr>
            <w:r w:rsidRPr="0046175F">
              <w:rPr>
                <w:rFonts w:eastAsia="MS Mincho"/>
                <w:sz w:val="22"/>
              </w:rPr>
              <w:t>12 (0.4%)</w:t>
            </w:r>
          </w:p>
        </w:tc>
        <w:tc>
          <w:tcPr>
            <w:tcW w:w="1417" w:type="dxa"/>
            <w:tcBorders>
              <w:top w:val="nil"/>
              <w:bottom w:val="nil"/>
            </w:tcBorders>
            <w:shd w:val="clear" w:color="auto" w:fill="FFFFFF"/>
          </w:tcPr>
          <w:p w14:paraId="2B6E4D9E"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nil"/>
            </w:tcBorders>
            <w:shd w:val="clear" w:color="auto" w:fill="FFFFFF"/>
          </w:tcPr>
          <w:p w14:paraId="41A469AF"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5B4CCD" w:rsidRPr="0046175F" w14:paraId="5180BFF8" w14:textId="77777777" w:rsidTr="00100867">
        <w:trPr>
          <w:tblHeader/>
        </w:trPr>
        <w:tc>
          <w:tcPr>
            <w:tcW w:w="3119" w:type="dxa"/>
            <w:tcBorders>
              <w:top w:val="nil"/>
              <w:left w:val="single" w:sz="4" w:space="0" w:color="auto"/>
              <w:bottom w:val="single" w:sz="4" w:space="0" w:color="auto"/>
            </w:tcBorders>
            <w:shd w:val="clear" w:color="auto" w:fill="FFFFFF"/>
          </w:tcPr>
          <w:p w14:paraId="61B68027" w14:textId="27F32E19" w:rsidR="005B4CCD" w:rsidRPr="0046175F" w:rsidRDefault="005B4CCD" w:rsidP="005B4CCD">
            <w:pPr>
              <w:spacing w:line="280" w:lineRule="atLeast"/>
              <w:jc w:val="left"/>
              <w:rPr>
                <w:rFonts w:eastAsia="MS Mincho"/>
                <w:sz w:val="22"/>
              </w:rPr>
            </w:pPr>
            <w:r w:rsidRPr="00100867">
              <w:rPr>
                <w:sz w:val="22"/>
              </w:rPr>
              <w:t xml:space="preserve">Myositis </w:t>
            </w:r>
            <w:r w:rsidRPr="00100867">
              <w:rPr>
                <w:sz w:val="22"/>
                <w:vertAlign w:val="superscript"/>
              </w:rPr>
              <w:t>u, v</w:t>
            </w:r>
          </w:p>
        </w:tc>
        <w:tc>
          <w:tcPr>
            <w:tcW w:w="1559" w:type="dxa"/>
            <w:tcBorders>
              <w:top w:val="nil"/>
              <w:bottom w:val="single" w:sz="4" w:space="0" w:color="auto"/>
            </w:tcBorders>
            <w:shd w:val="clear" w:color="auto" w:fill="FFFFFF"/>
          </w:tcPr>
          <w:p w14:paraId="315F39A7" w14:textId="47014398" w:rsidR="005B4CCD" w:rsidRPr="0046175F" w:rsidRDefault="005B4CCD" w:rsidP="005B4CCD">
            <w:pPr>
              <w:spacing w:line="280" w:lineRule="atLeast"/>
              <w:jc w:val="center"/>
              <w:rPr>
                <w:rFonts w:eastAsia="MS Mincho"/>
                <w:sz w:val="22"/>
              </w:rPr>
            </w:pPr>
            <w:r w:rsidRPr="00100867">
              <w:rPr>
                <w:sz w:val="22"/>
              </w:rPr>
              <w:t>12 (0.4%)</w:t>
            </w:r>
          </w:p>
        </w:tc>
        <w:tc>
          <w:tcPr>
            <w:tcW w:w="1276" w:type="dxa"/>
            <w:tcBorders>
              <w:top w:val="nil"/>
              <w:bottom w:val="single" w:sz="4" w:space="0" w:color="auto"/>
            </w:tcBorders>
            <w:shd w:val="clear" w:color="auto" w:fill="FFFFFF"/>
          </w:tcPr>
          <w:p w14:paraId="2D337B35" w14:textId="6A94FD8D" w:rsidR="005B4CCD" w:rsidRPr="0046175F" w:rsidRDefault="005B4CCD" w:rsidP="005B4CCD">
            <w:pPr>
              <w:spacing w:line="280" w:lineRule="atLeast"/>
              <w:jc w:val="center"/>
              <w:rPr>
                <w:rFonts w:eastAsia="MS Mincho"/>
                <w:sz w:val="22"/>
              </w:rPr>
            </w:pPr>
            <w:r w:rsidRPr="00100867">
              <w:rPr>
                <w:sz w:val="22"/>
              </w:rPr>
              <w:t>5 (0.2%)</w:t>
            </w:r>
          </w:p>
        </w:tc>
        <w:tc>
          <w:tcPr>
            <w:tcW w:w="1417" w:type="dxa"/>
            <w:tcBorders>
              <w:top w:val="nil"/>
              <w:bottom w:val="single" w:sz="4" w:space="0" w:color="auto"/>
            </w:tcBorders>
            <w:shd w:val="clear" w:color="auto" w:fill="FFFFFF"/>
          </w:tcPr>
          <w:p w14:paraId="2B0A7B4B" w14:textId="1B32C504" w:rsidR="005B4CCD" w:rsidRPr="0046175F" w:rsidRDefault="005B4CCD" w:rsidP="005B4CCD">
            <w:pPr>
              <w:spacing w:line="280" w:lineRule="atLeast"/>
              <w:jc w:val="center"/>
              <w:rPr>
                <w:rFonts w:eastAsia="MS Mincho"/>
                <w:sz w:val="22"/>
              </w:rPr>
            </w:pPr>
            <w:r w:rsidRPr="00100867">
              <w:rPr>
                <w:sz w:val="22"/>
              </w:rPr>
              <w:t>0 (0%)</w:t>
            </w:r>
          </w:p>
        </w:tc>
        <w:tc>
          <w:tcPr>
            <w:tcW w:w="1701" w:type="dxa"/>
            <w:tcBorders>
              <w:top w:val="nil"/>
              <w:bottom w:val="single" w:sz="4" w:space="0" w:color="auto"/>
              <w:right w:val="single" w:sz="4" w:space="0" w:color="auto"/>
            </w:tcBorders>
            <w:shd w:val="clear" w:color="auto" w:fill="FFFFFF"/>
          </w:tcPr>
          <w:p w14:paraId="4C28BA52" w14:textId="594BF42C" w:rsidR="005B4CCD" w:rsidRPr="0046175F" w:rsidRDefault="005B4CCD" w:rsidP="005B4CCD">
            <w:pPr>
              <w:spacing w:line="280" w:lineRule="atLeast"/>
              <w:jc w:val="center"/>
              <w:rPr>
                <w:rFonts w:eastAsia="MS Mincho"/>
                <w:sz w:val="22"/>
              </w:rPr>
            </w:pPr>
            <w:r w:rsidRPr="00100867">
              <w:rPr>
                <w:sz w:val="22"/>
              </w:rPr>
              <w:t>Uncommon</w:t>
            </w:r>
          </w:p>
        </w:tc>
      </w:tr>
      <w:tr w:rsidR="00886FB9" w:rsidRPr="0046175F" w14:paraId="502017C2" w14:textId="77777777" w:rsidTr="00100867">
        <w:trPr>
          <w:tblHeader/>
        </w:trPr>
        <w:tc>
          <w:tcPr>
            <w:tcW w:w="9072" w:type="dxa"/>
            <w:gridSpan w:val="5"/>
            <w:tcBorders>
              <w:top w:val="single" w:sz="4" w:space="0" w:color="auto"/>
            </w:tcBorders>
            <w:shd w:val="clear" w:color="auto" w:fill="FFFFFF"/>
          </w:tcPr>
          <w:p w14:paraId="0862C4AF" w14:textId="77777777" w:rsidR="00886FB9" w:rsidRPr="0046175F" w:rsidRDefault="00886FB9" w:rsidP="00B334C3">
            <w:pPr>
              <w:spacing w:line="280" w:lineRule="atLeast"/>
              <w:jc w:val="left"/>
              <w:rPr>
                <w:rFonts w:eastAsia="MS Mincho"/>
                <w:b/>
                <w:sz w:val="22"/>
              </w:rPr>
            </w:pPr>
            <w:r w:rsidRPr="0046175F">
              <w:rPr>
                <w:rFonts w:eastAsia="MS Mincho"/>
                <w:b/>
                <w:sz w:val="22"/>
              </w:rPr>
              <w:t>Nervous System Disorders</w:t>
            </w:r>
          </w:p>
        </w:tc>
      </w:tr>
      <w:tr w:rsidR="00C516B8" w:rsidRPr="0046175F" w14:paraId="75177974" w14:textId="77777777" w:rsidTr="00B334C3">
        <w:trPr>
          <w:tblHeader/>
        </w:trPr>
        <w:tc>
          <w:tcPr>
            <w:tcW w:w="3119" w:type="dxa"/>
            <w:shd w:val="clear" w:color="auto" w:fill="FFFFFF"/>
          </w:tcPr>
          <w:p w14:paraId="7A3C516D" w14:textId="77777777" w:rsidR="00886FB9" w:rsidRPr="0046175F" w:rsidRDefault="00886FB9" w:rsidP="00B334C3">
            <w:pPr>
              <w:spacing w:line="280" w:lineRule="atLeast"/>
              <w:jc w:val="left"/>
              <w:rPr>
                <w:rFonts w:eastAsia="MS Mincho"/>
                <w:sz w:val="22"/>
                <w:lang w:val="fr-CH"/>
              </w:rPr>
            </w:pPr>
            <w:proofErr w:type="spellStart"/>
            <w:r w:rsidRPr="0046175F">
              <w:rPr>
                <w:rFonts w:eastAsia="MS Mincho"/>
                <w:sz w:val="22"/>
              </w:rPr>
              <w:lastRenderedPageBreak/>
              <w:t>Guillain-Barré</w:t>
            </w:r>
            <w:proofErr w:type="spellEnd"/>
            <w:r w:rsidRPr="0046175F">
              <w:rPr>
                <w:rFonts w:eastAsia="MS Mincho"/>
                <w:sz w:val="22"/>
              </w:rPr>
              <w:t xml:space="preserve"> syndrome </w:t>
            </w:r>
            <w:r w:rsidRPr="0046175F">
              <w:rPr>
                <w:rFonts w:eastAsia="MS Mincho"/>
                <w:sz w:val="22"/>
                <w:vertAlign w:val="superscript"/>
              </w:rPr>
              <w:t>j</w:t>
            </w:r>
            <w:r w:rsidRPr="0046175F">
              <w:rPr>
                <w:rFonts w:eastAsia="MS Mincho"/>
                <w:sz w:val="22"/>
                <w:lang w:val="fr-CH"/>
              </w:rPr>
              <w:t xml:space="preserve"> </w:t>
            </w:r>
          </w:p>
        </w:tc>
        <w:tc>
          <w:tcPr>
            <w:tcW w:w="1559" w:type="dxa"/>
            <w:shd w:val="clear" w:color="auto" w:fill="FFFFFF"/>
          </w:tcPr>
          <w:p w14:paraId="770CCEA3" w14:textId="77777777" w:rsidR="00886FB9" w:rsidRPr="0046175F" w:rsidRDefault="00886FB9" w:rsidP="00B334C3">
            <w:pPr>
              <w:spacing w:line="280" w:lineRule="atLeast"/>
              <w:jc w:val="center"/>
              <w:rPr>
                <w:rFonts w:eastAsia="MS Mincho"/>
                <w:sz w:val="22"/>
              </w:rPr>
            </w:pPr>
            <w:r w:rsidRPr="0046175F">
              <w:rPr>
                <w:rFonts w:eastAsia="MS Mincho"/>
                <w:sz w:val="22"/>
              </w:rPr>
              <w:t>5 (0.2%)</w:t>
            </w:r>
          </w:p>
        </w:tc>
        <w:tc>
          <w:tcPr>
            <w:tcW w:w="1276" w:type="dxa"/>
            <w:shd w:val="clear" w:color="auto" w:fill="FFFFFF"/>
          </w:tcPr>
          <w:p w14:paraId="41602FC9" w14:textId="77777777" w:rsidR="00886FB9" w:rsidRPr="0046175F" w:rsidRDefault="00886FB9" w:rsidP="00B334C3">
            <w:pPr>
              <w:spacing w:line="280" w:lineRule="atLeast"/>
              <w:jc w:val="center"/>
              <w:rPr>
                <w:rFonts w:eastAsia="MS Mincho"/>
                <w:sz w:val="22"/>
              </w:rPr>
            </w:pPr>
            <w:r w:rsidRPr="0046175F">
              <w:rPr>
                <w:rFonts w:eastAsia="MS Mincho"/>
                <w:sz w:val="22"/>
              </w:rPr>
              <w:t>4 (0.1%)</w:t>
            </w:r>
          </w:p>
        </w:tc>
        <w:tc>
          <w:tcPr>
            <w:tcW w:w="1417" w:type="dxa"/>
            <w:shd w:val="clear" w:color="auto" w:fill="FFFFFF"/>
          </w:tcPr>
          <w:p w14:paraId="22161381"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43F6FB67" w14:textId="77777777" w:rsidR="00886FB9" w:rsidRPr="0046175F" w:rsidRDefault="00886FB9" w:rsidP="00B334C3">
            <w:pPr>
              <w:spacing w:line="280" w:lineRule="atLeast"/>
              <w:jc w:val="center"/>
              <w:rPr>
                <w:rFonts w:eastAsia="MS Mincho"/>
                <w:sz w:val="22"/>
              </w:rPr>
            </w:pPr>
            <w:r w:rsidRPr="0046175F">
              <w:rPr>
                <w:rFonts w:eastAsia="MS Mincho"/>
                <w:sz w:val="22"/>
              </w:rPr>
              <w:t>Uncommon</w:t>
            </w:r>
          </w:p>
        </w:tc>
      </w:tr>
      <w:tr w:rsidR="00C516B8" w:rsidRPr="0046175F" w14:paraId="7F62E41C" w14:textId="77777777" w:rsidTr="00B334C3">
        <w:trPr>
          <w:tblHeader/>
        </w:trPr>
        <w:tc>
          <w:tcPr>
            <w:tcW w:w="3119" w:type="dxa"/>
            <w:shd w:val="clear" w:color="auto" w:fill="FFFFFF"/>
          </w:tcPr>
          <w:p w14:paraId="209B4B95" w14:textId="77777777" w:rsidR="00886FB9" w:rsidRPr="0046175F" w:rsidRDefault="00886FB9" w:rsidP="00B334C3">
            <w:pPr>
              <w:spacing w:line="280" w:lineRule="atLeast"/>
              <w:jc w:val="left"/>
              <w:rPr>
                <w:rFonts w:eastAsia="MS Mincho"/>
                <w:sz w:val="22"/>
                <w:lang w:val="fr-CH"/>
              </w:rPr>
            </w:pPr>
            <w:proofErr w:type="spellStart"/>
            <w:r w:rsidRPr="0046175F">
              <w:rPr>
                <w:rFonts w:eastAsia="MS Mincho"/>
                <w:sz w:val="22"/>
                <w:lang w:val="fr-CH"/>
              </w:rPr>
              <w:t>Meningoencephalitis</w:t>
            </w:r>
            <w:proofErr w:type="spellEnd"/>
            <w:r w:rsidRPr="0046175F">
              <w:rPr>
                <w:rFonts w:eastAsia="MS Mincho"/>
                <w:sz w:val="22"/>
                <w:lang w:val="fr-CH"/>
              </w:rPr>
              <w:t xml:space="preserve"> </w:t>
            </w:r>
            <w:r w:rsidRPr="0046175F">
              <w:rPr>
                <w:rFonts w:eastAsia="MS Mincho"/>
                <w:sz w:val="22"/>
                <w:vertAlign w:val="superscript"/>
                <w:lang w:val="fr-CH"/>
              </w:rPr>
              <w:t>k</w:t>
            </w:r>
          </w:p>
        </w:tc>
        <w:tc>
          <w:tcPr>
            <w:tcW w:w="1559" w:type="dxa"/>
            <w:shd w:val="clear" w:color="auto" w:fill="FFFFFF"/>
          </w:tcPr>
          <w:p w14:paraId="00AF5119" w14:textId="77777777" w:rsidR="00886FB9" w:rsidRPr="0046175F" w:rsidRDefault="00886FB9" w:rsidP="00B334C3">
            <w:pPr>
              <w:spacing w:line="280" w:lineRule="atLeast"/>
              <w:jc w:val="center"/>
              <w:rPr>
                <w:rFonts w:eastAsia="MS Mincho"/>
                <w:sz w:val="22"/>
              </w:rPr>
            </w:pPr>
            <w:r w:rsidRPr="0046175F">
              <w:rPr>
                <w:rFonts w:eastAsia="MS Mincho"/>
                <w:sz w:val="22"/>
              </w:rPr>
              <w:t>12 (0.4%)</w:t>
            </w:r>
          </w:p>
        </w:tc>
        <w:tc>
          <w:tcPr>
            <w:tcW w:w="1276" w:type="dxa"/>
            <w:shd w:val="clear" w:color="auto" w:fill="FFFFFF"/>
          </w:tcPr>
          <w:p w14:paraId="60C6E7E0" w14:textId="77777777" w:rsidR="00886FB9" w:rsidRPr="0046175F" w:rsidRDefault="00886FB9" w:rsidP="00B334C3">
            <w:pPr>
              <w:spacing w:line="280" w:lineRule="atLeast"/>
              <w:jc w:val="center"/>
              <w:rPr>
                <w:rFonts w:eastAsia="MS Mincho"/>
                <w:sz w:val="22"/>
              </w:rPr>
            </w:pPr>
            <w:r w:rsidRPr="0046175F">
              <w:rPr>
                <w:rFonts w:eastAsia="MS Mincho"/>
                <w:sz w:val="22"/>
              </w:rPr>
              <w:t>6 (0.2%)</w:t>
            </w:r>
          </w:p>
        </w:tc>
        <w:tc>
          <w:tcPr>
            <w:tcW w:w="1417" w:type="dxa"/>
            <w:shd w:val="clear" w:color="auto" w:fill="FFFFFF"/>
          </w:tcPr>
          <w:p w14:paraId="49BA5444"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0C3F9C7B" w14:textId="77777777" w:rsidR="00886FB9" w:rsidRPr="0046175F" w:rsidRDefault="00886FB9" w:rsidP="00B334C3">
            <w:pPr>
              <w:spacing w:line="280" w:lineRule="atLeast"/>
              <w:jc w:val="center"/>
              <w:rPr>
                <w:rFonts w:eastAsia="MS Mincho"/>
                <w:sz w:val="22"/>
              </w:rPr>
            </w:pPr>
            <w:r w:rsidRPr="0046175F">
              <w:rPr>
                <w:rFonts w:eastAsia="MS Mincho"/>
                <w:sz w:val="22"/>
              </w:rPr>
              <w:t>Uncommon</w:t>
            </w:r>
          </w:p>
        </w:tc>
      </w:tr>
      <w:tr w:rsidR="00C516B8" w:rsidRPr="0046175F" w14:paraId="10A83EE1" w14:textId="77777777" w:rsidTr="00B334C3">
        <w:trPr>
          <w:tblHeader/>
        </w:trPr>
        <w:tc>
          <w:tcPr>
            <w:tcW w:w="3119" w:type="dxa"/>
            <w:tcBorders>
              <w:bottom w:val="single" w:sz="4" w:space="0" w:color="auto"/>
            </w:tcBorders>
            <w:shd w:val="clear" w:color="auto" w:fill="FFFFFF"/>
          </w:tcPr>
          <w:p w14:paraId="0FD606AD" w14:textId="77777777" w:rsidR="00886FB9" w:rsidRPr="0046175F" w:rsidRDefault="00886FB9" w:rsidP="00B334C3">
            <w:pPr>
              <w:spacing w:line="280" w:lineRule="atLeast"/>
              <w:jc w:val="left"/>
              <w:rPr>
                <w:rFonts w:eastAsia="MS Mincho"/>
                <w:sz w:val="22"/>
              </w:rPr>
            </w:pPr>
            <w:proofErr w:type="spellStart"/>
            <w:r w:rsidRPr="0046175F">
              <w:rPr>
                <w:rFonts w:eastAsia="MS Mincho"/>
                <w:sz w:val="22"/>
              </w:rPr>
              <w:t>Myasthenic</w:t>
            </w:r>
            <w:proofErr w:type="spellEnd"/>
            <w:r w:rsidRPr="0046175F">
              <w:rPr>
                <w:rFonts w:eastAsia="MS Mincho"/>
                <w:sz w:val="22"/>
              </w:rPr>
              <w:t xml:space="preserve"> syndrome</w:t>
            </w:r>
            <w:r w:rsidRPr="0046175F">
              <w:rPr>
                <w:sz w:val="22"/>
                <w:vertAlign w:val="superscript"/>
              </w:rPr>
              <w:t xml:space="preserve"> </w:t>
            </w:r>
          </w:p>
        </w:tc>
        <w:tc>
          <w:tcPr>
            <w:tcW w:w="1559" w:type="dxa"/>
            <w:tcBorders>
              <w:bottom w:val="single" w:sz="4" w:space="0" w:color="auto"/>
            </w:tcBorders>
            <w:shd w:val="clear" w:color="auto" w:fill="FFFFFF"/>
          </w:tcPr>
          <w:p w14:paraId="20CAE21B" w14:textId="4E46B282"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276" w:type="dxa"/>
            <w:tcBorders>
              <w:bottom w:val="single" w:sz="4" w:space="0" w:color="auto"/>
            </w:tcBorders>
            <w:shd w:val="clear" w:color="auto" w:fill="FFFFFF"/>
          </w:tcPr>
          <w:p w14:paraId="2250F5AF"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417" w:type="dxa"/>
            <w:tcBorders>
              <w:bottom w:val="single" w:sz="4" w:space="0" w:color="auto"/>
            </w:tcBorders>
            <w:shd w:val="clear" w:color="auto" w:fill="FFFFFF"/>
          </w:tcPr>
          <w:p w14:paraId="16EE062E"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bottom w:val="single" w:sz="4" w:space="0" w:color="auto"/>
            </w:tcBorders>
            <w:shd w:val="clear" w:color="auto" w:fill="FFFFFF"/>
          </w:tcPr>
          <w:p w14:paraId="446FD0C0" w14:textId="77777777" w:rsidR="00886FB9" w:rsidRPr="0046175F" w:rsidRDefault="00886FB9" w:rsidP="00B334C3">
            <w:pPr>
              <w:spacing w:line="280" w:lineRule="atLeast"/>
              <w:jc w:val="center"/>
              <w:rPr>
                <w:rFonts w:eastAsia="MS Mincho"/>
                <w:sz w:val="22"/>
              </w:rPr>
            </w:pPr>
            <w:r w:rsidRPr="0046175F">
              <w:rPr>
                <w:rFonts w:eastAsia="MS Mincho"/>
                <w:sz w:val="22"/>
              </w:rPr>
              <w:t>Rare</w:t>
            </w:r>
          </w:p>
        </w:tc>
      </w:tr>
      <w:tr w:rsidR="00F013AA" w:rsidRPr="0046175F" w14:paraId="6D763FA5" w14:textId="77777777" w:rsidTr="00B334C3">
        <w:trPr>
          <w:tblHeader/>
        </w:trPr>
        <w:tc>
          <w:tcPr>
            <w:tcW w:w="9072" w:type="dxa"/>
            <w:gridSpan w:val="5"/>
            <w:tcBorders>
              <w:top w:val="single" w:sz="4" w:space="0" w:color="auto"/>
              <w:bottom w:val="nil"/>
            </w:tcBorders>
            <w:shd w:val="clear" w:color="auto" w:fill="FFFFFF"/>
          </w:tcPr>
          <w:p w14:paraId="5A4A3F96" w14:textId="6380BE2E" w:rsidR="00F013AA" w:rsidRPr="0046175F" w:rsidRDefault="00F013AA" w:rsidP="00B334C3">
            <w:pPr>
              <w:spacing w:line="280" w:lineRule="atLeast"/>
              <w:jc w:val="left"/>
              <w:rPr>
                <w:rFonts w:eastAsia="MS Mincho"/>
                <w:sz w:val="22"/>
              </w:rPr>
            </w:pPr>
            <w:r w:rsidRPr="0046175F">
              <w:rPr>
                <w:rFonts w:eastAsia="MS Mincho"/>
                <w:b/>
                <w:sz w:val="22"/>
              </w:rPr>
              <w:t>Renal and Urinary Disorders</w:t>
            </w:r>
          </w:p>
        </w:tc>
      </w:tr>
      <w:tr w:rsidR="00F013AA" w:rsidRPr="0046175F" w14:paraId="235F8A4E" w14:textId="77777777" w:rsidTr="00B334C3">
        <w:trPr>
          <w:tblHeader/>
        </w:trPr>
        <w:tc>
          <w:tcPr>
            <w:tcW w:w="3119" w:type="dxa"/>
            <w:tcBorders>
              <w:top w:val="nil"/>
              <w:bottom w:val="single" w:sz="4" w:space="0" w:color="auto"/>
            </w:tcBorders>
            <w:shd w:val="clear" w:color="auto" w:fill="FFFFFF"/>
          </w:tcPr>
          <w:p w14:paraId="13B3155A" w14:textId="44CABA7E" w:rsidR="00F013AA" w:rsidRPr="0046175F" w:rsidRDefault="00F013AA" w:rsidP="00B334C3">
            <w:pPr>
              <w:spacing w:line="280" w:lineRule="atLeast"/>
              <w:jc w:val="left"/>
              <w:rPr>
                <w:rFonts w:eastAsia="MS Mincho"/>
                <w:sz w:val="22"/>
              </w:rPr>
            </w:pPr>
            <w:r w:rsidRPr="0046175F">
              <w:rPr>
                <w:rFonts w:eastAsia="MS Mincho"/>
                <w:sz w:val="22"/>
              </w:rPr>
              <w:t xml:space="preserve">Nephritis </w:t>
            </w:r>
            <w:r w:rsidRPr="0046175F">
              <w:rPr>
                <w:rFonts w:eastAsia="MS Mincho"/>
                <w:sz w:val="22"/>
                <w:vertAlign w:val="superscript"/>
              </w:rPr>
              <w:t>t</w:t>
            </w:r>
          </w:p>
        </w:tc>
        <w:tc>
          <w:tcPr>
            <w:tcW w:w="1559" w:type="dxa"/>
            <w:tcBorders>
              <w:top w:val="nil"/>
              <w:bottom w:val="single" w:sz="4" w:space="0" w:color="auto"/>
            </w:tcBorders>
            <w:shd w:val="clear" w:color="auto" w:fill="FFFFFF"/>
          </w:tcPr>
          <w:p w14:paraId="5846CA34" w14:textId="74E588CC" w:rsidR="00F013AA" w:rsidRPr="0046175F" w:rsidRDefault="00F013AA" w:rsidP="00B334C3">
            <w:pPr>
              <w:spacing w:line="280" w:lineRule="atLeast"/>
              <w:jc w:val="center"/>
              <w:rPr>
                <w:rFonts w:eastAsia="MS Mincho"/>
                <w:sz w:val="22"/>
              </w:rPr>
            </w:pPr>
            <w:r w:rsidRPr="0046175F">
              <w:rPr>
                <w:sz w:val="22"/>
              </w:rPr>
              <w:t>-</w:t>
            </w:r>
          </w:p>
        </w:tc>
        <w:tc>
          <w:tcPr>
            <w:tcW w:w="1276" w:type="dxa"/>
            <w:tcBorders>
              <w:top w:val="nil"/>
              <w:bottom w:val="single" w:sz="4" w:space="0" w:color="auto"/>
            </w:tcBorders>
            <w:shd w:val="clear" w:color="auto" w:fill="FFFFFF"/>
          </w:tcPr>
          <w:p w14:paraId="2EC802AF" w14:textId="24BE0255" w:rsidR="00F013AA" w:rsidRPr="0046175F" w:rsidRDefault="00F013AA" w:rsidP="00B334C3">
            <w:pPr>
              <w:spacing w:line="280" w:lineRule="atLeast"/>
              <w:jc w:val="center"/>
              <w:rPr>
                <w:rFonts w:eastAsia="MS Mincho"/>
                <w:sz w:val="22"/>
              </w:rPr>
            </w:pPr>
            <w:r w:rsidRPr="0046175F">
              <w:rPr>
                <w:sz w:val="22"/>
              </w:rPr>
              <w:t>-</w:t>
            </w:r>
          </w:p>
        </w:tc>
        <w:tc>
          <w:tcPr>
            <w:tcW w:w="1417" w:type="dxa"/>
            <w:tcBorders>
              <w:top w:val="nil"/>
              <w:bottom w:val="single" w:sz="4" w:space="0" w:color="auto"/>
            </w:tcBorders>
            <w:shd w:val="clear" w:color="auto" w:fill="FFFFFF"/>
          </w:tcPr>
          <w:p w14:paraId="4A1BCC97" w14:textId="286C330C" w:rsidR="00F013AA" w:rsidRPr="0046175F" w:rsidRDefault="00F013AA" w:rsidP="00B334C3">
            <w:pPr>
              <w:spacing w:line="280" w:lineRule="atLeast"/>
              <w:jc w:val="center"/>
              <w:rPr>
                <w:rFonts w:eastAsia="MS Mincho"/>
                <w:sz w:val="22"/>
              </w:rPr>
            </w:pPr>
            <w:r w:rsidRPr="0046175F">
              <w:rPr>
                <w:sz w:val="22"/>
              </w:rPr>
              <w:t>-</w:t>
            </w:r>
          </w:p>
        </w:tc>
        <w:tc>
          <w:tcPr>
            <w:tcW w:w="1701" w:type="dxa"/>
            <w:tcBorders>
              <w:top w:val="nil"/>
              <w:bottom w:val="single" w:sz="4" w:space="0" w:color="auto"/>
            </w:tcBorders>
            <w:shd w:val="clear" w:color="auto" w:fill="FFFFFF"/>
          </w:tcPr>
          <w:p w14:paraId="27848E9B" w14:textId="59EF27BA" w:rsidR="00F013AA" w:rsidRPr="0046175F" w:rsidRDefault="00F013AA" w:rsidP="00B334C3">
            <w:pPr>
              <w:spacing w:line="280" w:lineRule="atLeast"/>
              <w:jc w:val="center"/>
              <w:rPr>
                <w:rFonts w:eastAsia="MS Mincho"/>
                <w:sz w:val="22"/>
              </w:rPr>
            </w:pPr>
            <w:r w:rsidRPr="0046175F">
              <w:rPr>
                <w:sz w:val="22"/>
              </w:rPr>
              <w:t>Rare</w:t>
            </w:r>
          </w:p>
        </w:tc>
      </w:tr>
      <w:tr w:rsidR="00886FB9" w:rsidRPr="0046175F" w14:paraId="69C9C720" w14:textId="77777777" w:rsidTr="00B334C3">
        <w:trPr>
          <w:tblHeader/>
        </w:trPr>
        <w:tc>
          <w:tcPr>
            <w:tcW w:w="9072" w:type="dxa"/>
            <w:gridSpan w:val="5"/>
            <w:tcBorders>
              <w:top w:val="single" w:sz="4" w:space="0" w:color="auto"/>
            </w:tcBorders>
            <w:shd w:val="clear" w:color="auto" w:fill="FFFFFF"/>
          </w:tcPr>
          <w:p w14:paraId="2180EB26" w14:textId="77777777" w:rsidR="00886FB9" w:rsidRPr="0046175F" w:rsidRDefault="00886FB9" w:rsidP="00B334C3">
            <w:pPr>
              <w:spacing w:line="280" w:lineRule="atLeast"/>
              <w:jc w:val="left"/>
              <w:rPr>
                <w:rFonts w:eastAsia="MS Mincho"/>
                <w:b/>
                <w:sz w:val="22"/>
              </w:rPr>
            </w:pPr>
            <w:r w:rsidRPr="0046175F">
              <w:rPr>
                <w:rFonts w:eastAsia="MS Mincho"/>
                <w:b/>
                <w:sz w:val="22"/>
              </w:rPr>
              <w:t>Respiratory, Thoracic, and Mediastinal Disorders</w:t>
            </w:r>
          </w:p>
        </w:tc>
      </w:tr>
      <w:tr w:rsidR="00C516B8" w:rsidRPr="0046175F" w14:paraId="11CA895A" w14:textId="77777777" w:rsidTr="00B334C3">
        <w:trPr>
          <w:tblHeader/>
        </w:trPr>
        <w:tc>
          <w:tcPr>
            <w:tcW w:w="3119" w:type="dxa"/>
            <w:shd w:val="clear" w:color="auto" w:fill="FFFFFF"/>
          </w:tcPr>
          <w:p w14:paraId="7CE90AE9"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Cough </w:t>
            </w:r>
          </w:p>
        </w:tc>
        <w:tc>
          <w:tcPr>
            <w:tcW w:w="1559" w:type="dxa"/>
            <w:shd w:val="clear" w:color="auto" w:fill="FFFFFF"/>
          </w:tcPr>
          <w:p w14:paraId="13548941" w14:textId="77777777" w:rsidR="00886FB9" w:rsidRPr="0046175F" w:rsidRDefault="00886FB9" w:rsidP="00B334C3">
            <w:pPr>
              <w:spacing w:line="280" w:lineRule="atLeast"/>
              <w:jc w:val="center"/>
              <w:rPr>
                <w:rFonts w:eastAsia="MS Mincho"/>
                <w:sz w:val="22"/>
              </w:rPr>
            </w:pPr>
            <w:r w:rsidRPr="0046175F">
              <w:rPr>
                <w:rFonts w:eastAsia="MS Mincho"/>
                <w:sz w:val="22"/>
              </w:rPr>
              <w:t>637 (20.7%)</w:t>
            </w:r>
          </w:p>
        </w:tc>
        <w:tc>
          <w:tcPr>
            <w:tcW w:w="1276" w:type="dxa"/>
            <w:shd w:val="clear" w:color="auto" w:fill="FFFFFF"/>
          </w:tcPr>
          <w:p w14:paraId="2D2238CA" w14:textId="77777777" w:rsidR="00886FB9" w:rsidRPr="0046175F" w:rsidRDefault="00886FB9" w:rsidP="00B334C3">
            <w:pPr>
              <w:spacing w:line="280" w:lineRule="atLeast"/>
              <w:jc w:val="center"/>
              <w:rPr>
                <w:rFonts w:eastAsia="MS Mincho"/>
                <w:sz w:val="22"/>
              </w:rPr>
            </w:pPr>
            <w:r w:rsidRPr="0046175F">
              <w:rPr>
                <w:rFonts w:eastAsia="MS Mincho"/>
                <w:sz w:val="22"/>
              </w:rPr>
              <w:t>9 (0.3%)</w:t>
            </w:r>
          </w:p>
        </w:tc>
        <w:tc>
          <w:tcPr>
            <w:tcW w:w="1417" w:type="dxa"/>
            <w:shd w:val="clear" w:color="auto" w:fill="FFFFFF"/>
          </w:tcPr>
          <w:p w14:paraId="14E95D60"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57AFE3FF"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16162706" w14:textId="77777777" w:rsidTr="00B334C3">
        <w:trPr>
          <w:tblHeader/>
        </w:trPr>
        <w:tc>
          <w:tcPr>
            <w:tcW w:w="3119" w:type="dxa"/>
            <w:shd w:val="clear" w:color="auto" w:fill="FFFFFF"/>
          </w:tcPr>
          <w:p w14:paraId="220401C3" w14:textId="394DBD6E" w:rsidR="00886FB9" w:rsidRPr="0046175F" w:rsidRDefault="00886FB9" w:rsidP="00B334C3">
            <w:pPr>
              <w:spacing w:line="280" w:lineRule="atLeast"/>
              <w:jc w:val="left"/>
              <w:rPr>
                <w:rFonts w:eastAsia="MS Mincho"/>
                <w:sz w:val="22"/>
              </w:rPr>
            </w:pPr>
            <w:r w:rsidRPr="0046175F">
              <w:rPr>
                <w:rFonts w:eastAsia="MS Mincho"/>
                <w:sz w:val="22"/>
              </w:rPr>
              <w:t>Dyspn</w:t>
            </w:r>
            <w:r w:rsidR="0079034D" w:rsidRPr="0046175F">
              <w:rPr>
                <w:rFonts w:eastAsia="MS Mincho"/>
                <w:sz w:val="22"/>
              </w:rPr>
              <w:t>o</w:t>
            </w:r>
            <w:r w:rsidRPr="0046175F">
              <w:rPr>
                <w:rFonts w:eastAsia="MS Mincho"/>
                <w:sz w:val="22"/>
              </w:rPr>
              <w:t>ea</w:t>
            </w:r>
          </w:p>
        </w:tc>
        <w:tc>
          <w:tcPr>
            <w:tcW w:w="1559" w:type="dxa"/>
            <w:shd w:val="clear" w:color="auto" w:fill="FFFFFF"/>
          </w:tcPr>
          <w:p w14:paraId="0EC454EF" w14:textId="77777777" w:rsidR="00886FB9" w:rsidRPr="0046175F" w:rsidRDefault="00886FB9" w:rsidP="00B334C3">
            <w:pPr>
              <w:spacing w:line="280" w:lineRule="atLeast"/>
              <w:jc w:val="center"/>
              <w:rPr>
                <w:rFonts w:eastAsia="MS Mincho"/>
                <w:sz w:val="22"/>
              </w:rPr>
            </w:pPr>
            <w:r w:rsidRPr="0046175F">
              <w:rPr>
                <w:rFonts w:eastAsia="MS Mincho"/>
                <w:sz w:val="22"/>
              </w:rPr>
              <w:t>635 (20.7%)</w:t>
            </w:r>
          </w:p>
        </w:tc>
        <w:tc>
          <w:tcPr>
            <w:tcW w:w="1276" w:type="dxa"/>
            <w:shd w:val="clear" w:color="auto" w:fill="FFFFFF"/>
          </w:tcPr>
          <w:p w14:paraId="1CFB060E" w14:textId="77777777" w:rsidR="00886FB9" w:rsidRPr="0046175F" w:rsidRDefault="00886FB9" w:rsidP="00B334C3">
            <w:pPr>
              <w:spacing w:line="280" w:lineRule="atLeast"/>
              <w:jc w:val="center"/>
              <w:rPr>
                <w:rFonts w:eastAsia="MS Mincho"/>
                <w:sz w:val="22"/>
              </w:rPr>
            </w:pPr>
            <w:r w:rsidRPr="0046175F">
              <w:rPr>
                <w:rFonts w:eastAsia="MS Mincho"/>
                <w:sz w:val="22"/>
              </w:rPr>
              <w:t>115 (3.7%)</w:t>
            </w:r>
          </w:p>
        </w:tc>
        <w:tc>
          <w:tcPr>
            <w:tcW w:w="1417" w:type="dxa"/>
            <w:shd w:val="clear" w:color="auto" w:fill="FFFFFF"/>
          </w:tcPr>
          <w:p w14:paraId="65240786" w14:textId="76DED755"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701" w:type="dxa"/>
            <w:shd w:val="clear" w:color="auto" w:fill="FFFFFF"/>
          </w:tcPr>
          <w:p w14:paraId="3241819D"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67EC2402" w14:textId="77777777" w:rsidTr="00B334C3">
        <w:trPr>
          <w:tblHeader/>
        </w:trPr>
        <w:tc>
          <w:tcPr>
            <w:tcW w:w="3119" w:type="dxa"/>
            <w:shd w:val="clear" w:color="auto" w:fill="FFFFFF"/>
          </w:tcPr>
          <w:p w14:paraId="6AE3D37D" w14:textId="77777777" w:rsidR="00886FB9" w:rsidRPr="0046175F" w:rsidRDefault="00886FB9" w:rsidP="00B334C3">
            <w:pPr>
              <w:spacing w:line="280" w:lineRule="atLeast"/>
              <w:jc w:val="left"/>
              <w:rPr>
                <w:rFonts w:eastAsia="MS Mincho"/>
                <w:sz w:val="22"/>
              </w:rPr>
            </w:pPr>
            <w:r w:rsidRPr="0046175F">
              <w:rPr>
                <w:rFonts w:eastAsia="MS Mincho"/>
                <w:sz w:val="22"/>
              </w:rPr>
              <w:t>Hypoxia</w:t>
            </w:r>
          </w:p>
        </w:tc>
        <w:tc>
          <w:tcPr>
            <w:tcW w:w="1559" w:type="dxa"/>
            <w:shd w:val="clear" w:color="auto" w:fill="FFFFFF"/>
          </w:tcPr>
          <w:p w14:paraId="41355919" w14:textId="77777777" w:rsidR="00886FB9" w:rsidRPr="0046175F" w:rsidRDefault="00886FB9" w:rsidP="00B334C3">
            <w:pPr>
              <w:spacing w:line="280" w:lineRule="atLeast"/>
              <w:jc w:val="center"/>
              <w:rPr>
                <w:rFonts w:eastAsia="MS Mincho"/>
                <w:sz w:val="22"/>
              </w:rPr>
            </w:pPr>
            <w:r w:rsidRPr="0046175F">
              <w:rPr>
                <w:rFonts w:eastAsia="MS Mincho"/>
                <w:sz w:val="22"/>
              </w:rPr>
              <w:t>72 (2.3%)</w:t>
            </w:r>
          </w:p>
        </w:tc>
        <w:tc>
          <w:tcPr>
            <w:tcW w:w="1276" w:type="dxa"/>
            <w:shd w:val="clear" w:color="auto" w:fill="FFFFFF"/>
          </w:tcPr>
          <w:p w14:paraId="36A7E322" w14:textId="77777777" w:rsidR="00886FB9" w:rsidRPr="0046175F" w:rsidRDefault="00886FB9" w:rsidP="00B334C3">
            <w:pPr>
              <w:spacing w:line="280" w:lineRule="atLeast"/>
              <w:jc w:val="center"/>
              <w:rPr>
                <w:rFonts w:eastAsia="MS Mincho"/>
                <w:sz w:val="22"/>
              </w:rPr>
            </w:pPr>
            <w:r w:rsidRPr="0046175F">
              <w:rPr>
                <w:rFonts w:eastAsia="MS Mincho"/>
                <w:sz w:val="22"/>
              </w:rPr>
              <w:t>35 (1.1%)</w:t>
            </w:r>
          </w:p>
        </w:tc>
        <w:tc>
          <w:tcPr>
            <w:tcW w:w="1417" w:type="dxa"/>
            <w:shd w:val="clear" w:color="auto" w:fill="FFFFFF"/>
          </w:tcPr>
          <w:p w14:paraId="61C15B07"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51CE06EA"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1DE29C74" w14:textId="77777777" w:rsidTr="00B334C3">
        <w:trPr>
          <w:tblHeader/>
        </w:trPr>
        <w:tc>
          <w:tcPr>
            <w:tcW w:w="3119" w:type="dxa"/>
            <w:shd w:val="clear" w:color="auto" w:fill="FFFFFF"/>
          </w:tcPr>
          <w:p w14:paraId="692E5B3B" w14:textId="77777777" w:rsidR="00886FB9" w:rsidRPr="0046175F" w:rsidRDefault="00886FB9" w:rsidP="00B334C3">
            <w:pPr>
              <w:spacing w:line="280" w:lineRule="atLeast"/>
              <w:jc w:val="left"/>
              <w:rPr>
                <w:rFonts w:eastAsia="MS Mincho"/>
                <w:sz w:val="22"/>
              </w:rPr>
            </w:pPr>
            <w:r w:rsidRPr="0046175F">
              <w:rPr>
                <w:rFonts w:eastAsia="MS Mincho"/>
                <w:sz w:val="22"/>
              </w:rPr>
              <w:t>Nasal congestion</w:t>
            </w:r>
          </w:p>
        </w:tc>
        <w:tc>
          <w:tcPr>
            <w:tcW w:w="1559" w:type="dxa"/>
            <w:shd w:val="clear" w:color="auto" w:fill="FFFFFF"/>
          </w:tcPr>
          <w:p w14:paraId="326EE5F6" w14:textId="77777777" w:rsidR="00886FB9" w:rsidRPr="0046175F" w:rsidRDefault="00886FB9" w:rsidP="00B334C3">
            <w:pPr>
              <w:spacing w:line="280" w:lineRule="atLeast"/>
              <w:jc w:val="center"/>
              <w:rPr>
                <w:rFonts w:eastAsia="MS Mincho"/>
                <w:sz w:val="22"/>
              </w:rPr>
            </w:pPr>
            <w:r w:rsidRPr="0046175F">
              <w:rPr>
                <w:rFonts w:eastAsia="MS Mincho"/>
                <w:sz w:val="22"/>
              </w:rPr>
              <w:t>92 (3.0%)</w:t>
            </w:r>
          </w:p>
        </w:tc>
        <w:tc>
          <w:tcPr>
            <w:tcW w:w="1276" w:type="dxa"/>
            <w:shd w:val="clear" w:color="auto" w:fill="FFFFFF"/>
          </w:tcPr>
          <w:p w14:paraId="6378EE0C"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417" w:type="dxa"/>
            <w:shd w:val="clear" w:color="auto" w:fill="FFFFFF"/>
          </w:tcPr>
          <w:p w14:paraId="315140D7"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153142F6"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C516B8" w:rsidRPr="0046175F" w14:paraId="660C3B60" w14:textId="77777777" w:rsidTr="00B334C3">
        <w:trPr>
          <w:tblHeader/>
        </w:trPr>
        <w:tc>
          <w:tcPr>
            <w:tcW w:w="3119" w:type="dxa"/>
            <w:shd w:val="clear" w:color="auto" w:fill="FFFFFF"/>
          </w:tcPr>
          <w:p w14:paraId="1998D3C0"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Pneumonitis </w:t>
            </w:r>
            <w:r w:rsidRPr="0046175F">
              <w:rPr>
                <w:rFonts w:eastAsia="MS Mincho"/>
                <w:sz w:val="22"/>
                <w:vertAlign w:val="superscript"/>
              </w:rPr>
              <w:t>l</w:t>
            </w:r>
          </w:p>
        </w:tc>
        <w:tc>
          <w:tcPr>
            <w:tcW w:w="1559" w:type="dxa"/>
            <w:shd w:val="clear" w:color="auto" w:fill="FFFFFF"/>
          </w:tcPr>
          <w:p w14:paraId="17003CC7" w14:textId="77777777" w:rsidR="00886FB9" w:rsidRPr="0046175F" w:rsidRDefault="00886FB9" w:rsidP="00B334C3">
            <w:pPr>
              <w:spacing w:line="280" w:lineRule="atLeast"/>
              <w:jc w:val="center"/>
              <w:rPr>
                <w:rFonts w:eastAsia="MS Mincho"/>
                <w:sz w:val="22"/>
              </w:rPr>
            </w:pPr>
            <w:r w:rsidRPr="0046175F">
              <w:rPr>
                <w:rFonts w:eastAsia="MS Mincho"/>
                <w:sz w:val="22"/>
              </w:rPr>
              <w:t>86 (2.8%)</w:t>
            </w:r>
          </w:p>
        </w:tc>
        <w:tc>
          <w:tcPr>
            <w:tcW w:w="1276" w:type="dxa"/>
            <w:shd w:val="clear" w:color="auto" w:fill="FFFFFF"/>
          </w:tcPr>
          <w:p w14:paraId="7F285177" w14:textId="77777777" w:rsidR="00886FB9" w:rsidRPr="0046175F" w:rsidRDefault="00886FB9" w:rsidP="00B334C3">
            <w:pPr>
              <w:spacing w:line="280" w:lineRule="atLeast"/>
              <w:jc w:val="center"/>
              <w:rPr>
                <w:rFonts w:eastAsia="MS Mincho"/>
                <w:sz w:val="22"/>
              </w:rPr>
            </w:pPr>
            <w:r w:rsidRPr="0046175F">
              <w:rPr>
                <w:rFonts w:eastAsia="MS Mincho"/>
                <w:sz w:val="22"/>
              </w:rPr>
              <w:t>27 (0.9%)</w:t>
            </w:r>
          </w:p>
        </w:tc>
        <w:tc>
          <w:tcPr>
            <w:tcW w:w="1417" w:type="dxa"/>
            <w:shd w:val="clear" w:color="auto" w:fill="FFFFFF"/>
          </w:tcPr>
          <w:p w14:paraId="48CA44C1" w14:textId="1E5758CA"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701" w:type="dxa"/>
            <w:shd w:val="clear" w:color="auto" w:fill="FFFFFF"/>
          </w:tcPr>
          <w:p w14:paraId="12BC8A24"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r w:rsidR="00F013AA" w:rsidRPr="0046175F" w14:paraId="20441DD1" w14:textId="77777777" w:rsidTr="00B334C3">
        <w:trPr>
          <w:tblHeader/>
        </w:trPr>
        <w:tc>
          <w:tcPr>
            <w:tcW w:w="3119" w:type="dxa"/>
            <w:tcBorders>
              <w:bottom w:val="single" w:sz="4" w:space="0" w:color="auto"/>
            </w:tcBorders>
            <w:shd w:val="clear" w:color="auto" w:fill="FFFFFF"/>
          </w:tcPr>
          <w:p w14:paraId="0DB4370D" w14:textId="6F4FDD1B" w:rsidR="00F013AA" w:rsidRPr="0046175F" w:rsidRDefault="00F013AA" w:rsidP="00B334C3">
            <w:pPr>
              <w:spacing w:line="280" w:lineRule="atLeast"/>
              <w:jc w:val="left"/>
              <w:rPr>
                <w:rFonts w:eastAsia="MS Mincho"/>
                <w:sz w:val="22"/>
              </w:rPr>
            </w:pPr>
            <w:proofErr w:type="spellStart"/>
            <w:r w:rsidRPr="0046175F">
              <w:rPr>
                <w:rFonts w:eastAsia="MS Mincho"/>
                <w:sz w:val="22"/>
              </w:rPr>
              <w:t>Nasopharyngitis</w:t>
            </w:r>
            <w:proofErr w:type="spellEnd"/>
            <w:r w:rsidRPr="0046175F">
              <w:rPr>
                <w:rFonts w:eastAsia="MS Mincho"/>
                <w:sz w:val="22"/>
              </w:rPr>
              <w:t xml:space="preserve"> </w:t>
            </w:r>
            <w:r w:rsidRPr="0046175F">
              <w:rPr>
                <w:rFonts w:eastAsia="MS Mincho"/>
                <w:sz w:val="22"/>
                <w:vertAlign w:val="superscript"/>
              </w:rPr>
              <w:t>s</w:t>
            </w:r>
          </w:p>
        </w:tc>
        <w:tc>
          <w:tcPr>
            <w:tcW w:w="1559" w:type="dxa"/>
            <w:tcBorders>
              <w:bottom w:val="single" w:sz="4" w:space="0" w:color="auto"/>
            </w:tcBorders>
            <w:shd w:val="clear" w:color="auto" w:fill="FFFFFF"/>
          </w:tcPr>
          <w:p w14:paraId="55B0AF82" w14:textId="65E23983" w:rsidR="00F013AA" w:rsidRPr="0046175F" w:rsidRDefault="00F013AA" w:rsidP="00B334C3">
            <w:pPr>
              <w:spacing w:line="280" w:lineRule="atLeast"/>
              <w:jc w:val="center"/>
              <w:rPr>
                <w:rFonts w:eastAsia="MS Mincho"/>
                <w:sz w:val="22"/>
              </w:rPr>
            </w:pPr>
            <w:r w:rsidRPr="0046175F">
              <w:rPr>
                <w:sz w:val="22"/>
              </w:rPr>
              <w:t>-</w:t>
            </w:r>
          </w:p>
        </w:tc>
        <w:tc>
          <w:tcPr>
            <w:tcW w:w="1276" w:type="dxa"/>
            <w:tcBorders>
              <w:bottom w:val="single" w:sz="4" w:space="0" w:color="auto"/>
            </w:tcBorders>
            <w:shd w:val="clear" w:color="auto" w:fill="FFFFFF"/>
          </w:tcPr>
          <w:p w14:paraId="7649FA7F" w14:textId="32C5353A" w:rsidR="00F013AA" w:rsidRPr="0046175F" w:rsidRDefault="00F013AA" w:rsidP="00B334C3">
            <w:pPr>
              <w:spacing w:line="280" w:lineRule="atLeast"/>
              <w:jc w:val="center"/>
              <w:rPr>
                <w:rFonts w:eastAsia="MS Mincho"/>
                <w:sz w:val="22"/>
              </w:rPr>
            </w:pPr>
            <w:r w:rsidRPr="0046175F">
              <w:rPr>
                <w:sz w:val="22"/>
              </w:rPr>
              <w:t>-</w:t>
            </w:r>
          </w:p>
        </w:tc>
        <w:tc>
          <w:tcPr>
            <w:tcW w:w="1417" w:type="dxa"/>
            <w:tcBorders>
              <w:bottom w:val="single" w:sz="4" w:space="0" w:color="auto"/>
            </w:tcBorders>
            <w:shd w:val="clear" w:color="auto" w:fill="FFFFFF"/>
          </w:tcPr>
          <w:p w14:paraId="0F1BC609" w14:textId="5297B55B" w:rsidR="00F013AA" w:rsidRPr="0046175F" w:rsidRDefault="00F013AA" w:rsidP="00B334C3">
            <w:pPr>
              <w:spacing w:line="280" w:lineRule="atLeast"/>
              <w:jc w:val="center"/>
              <w:rPr>
                <w:rFonts w:eastAsia="MS Mincho"/>
                <w:sz w:val="22"/>
              </w:rPr>
            </w:pPr>
            <w:r w:rsidRPr="0046175F">
              <w:rPr>
                <w:sz w:val="22"/>
              </w:rPr>
              <w:t>-</w:t>
            </w:r>
          </w:p>
        </w:tc>
        <w:tc>
          <w:tcPr>
            <w:tcW w:w="1701" w:type="dxa"/>
            <w:tcBorders>
              <w:bottom w:val="single" w:sz="4" w:space="0" w:color="auto"/>
            </w:tcBorders>
            <w:shd w:val="clear" w:color="auto" w:fill="FFFFFF"/>
          </w:tcPr>
          <w:p w14:paraId="37891053" w14:textId="2115423F" w:rsidR="00F013AA" w:rsidRPr="0046175F" w:rsidRDefault="00F013AA" w:rsidP="00B334C3">
            <w:pPr>
              <w:spacing w:line="280" w:lineRule="atLeast"/>
              <w:jc w:val="center"/>
              <w:rPr>
                <w:rFonts w:eastAsia="MS Mincho"/>
                <w:sz w:val="22"/>
              </w:rPr>
            </w:pPr>
            <w:r w:rsidRPr="0046175F">
              <w:rPr>
                <w:sz w:val="22"/>
              </w:rPr>
              <w:t>Common</w:t>
            </w:r>
          </w:p>
        </w:tc>
      </w:tr>
      <w:tr w:rsidR="00886FB9" w:rsidRPr="0046175F" w14:paraId="2FA1E92A" w14:textId="77777777" w:rsidTr="00B334C3">
        <w:trPr>
          <w:tblHeader/>
        </w:trPr>
        <w:tc>
          <w:tcPr>
            <w:tcW w:w="9072" w:type="dxa"/>
            <w:gridSpan w:val="5"/>
            <w:tcBorders>
              <w:top w:val="single" w:sz="4" w:space="0" w:color="auto"/>
              <w:bottom w:val="nil"/>
            </w:tcBorders>
            <w:shd w:val="clear" w:color="auto" w:fill="FFFFFF"/>
          </w:tcPr>
          <w:p w14:paraId="7E4EC9D5" w14:textId="77777777" w:rsidR="00886FB9" w:rsidRPr="0046175F" w:rsidRDefault="00886FB9" w:rsidP="00B334C3">
            <w:pPr>
              <w:spacing w:line="280" w:lineRule="atLeast"/>
              <w:jc w:val="left"/>
              <w:rPr>
                <w:rFonts w:eastAsia="MS Mincho"/>
                <w:b/>
                <w:sz w:val="22"/>
              </w:rPr>
            </w:pPr>
            <w:r w:rsidRPr="0046175F">
              <w:rPr>
                <w:rFonts w:eastAsia="MS Mincho"/>
                <w:b/>
                <w:sz w:val="22"/>
              </w:rPr>
              <w:t>Skin and Subcutaneous Tissue Disorders</w:t>
            </w:r>
          </w:p>
        </w:tc>
      </w:tr>
      <w:tr w:rsidR="00C516B8" w:rsidRPr="0046175F" w14:paraId="0D17E7FD" w14:textId="77777777" w:rsidTr="00B334C3">
        <w:trPr>
          <w:tblHeader/>
        </w:trPr>
        <w:tc>
          <w:tcPr>
            <w:tcW w:w="3119" w:type="dxa"/>
            <w:tcBorders>
              <w:top w:val="nil"/>
              <w:bottom w:val="nil"/>
            </w:tcBorders>
            <w:shd w:val="clear" w:color="auto" w:fill="FFFFFF"/>
          </w:tcPr>
          <w:p w14:paraId="717AC29A" w14:textId="77777777" w:rsidR="00886FB9" w:rsidRPr="0046175F" w:rsidRDefault="00886FB9" w:rsidP="00B334C3">
            <w:pPr>
              <w:spacing w:line="280" w:lineRule="atLeast"/>
              <w:jc w:val="left"/>
              <w:rPr>
                <w:rFonts w:eastAsia="MS Mincho"/>
                <w:sz w:val="22"/>
              </w:rPr>
            </w:pPr>
            <w:r w:rsidRPr="0046175F">
              <w:rPr>
                <w:rFonts w:eastAsia="MS Mincho"/>
                <w:sz w:val="22"/>
              </w:rPr>
              <w:t xml:space="preserve">Rash </w:t>
            </w:r>
            <w:r w:rsidRPr="0046175F">
              <w:rPr>
                <w:rFonts w:eastAsia="MS Mincho"/>
                <w:sz w:val="22"/>
                <w:vertAlign w:val="superscript"/>
              </w:rPr>
              <w:t>m</w:t>
            </w:r>
          </w:p>
        </w:tc>
        <w:tc>
          <w:tcPr>
            <w:tcW w:w="1559" w:type="dxa"/>
            <w:tcBorders>
              <w:top w:val="nil"/>
              <w:bottom w:val="nil"/>
            </w:tcBorders>
            <w:shd w:val="clear" w:color="auto" w:fill="FFFFFF"/>
          </w:tcPr>
          <w:p w14:paraId="0D887FB1" w14:textId="77777777" w:rsidR="00886FB9" w:rsidRPr="0046175F" w:rsidRDefault="00886FB9" w:rsidP="00B334C3">
            <w:pPr>
              <w:spacing w:line="280" w:lineRule="atLeast"/>
              <w:jc w:val="center"/>
              <w:rPr>
                <w:rFonts w:eastAsia="MS Mincho"/>
                <w:sz w:val="22"/>
              </w:rPr>
            </w:pPr>
            <w:r w:rsidRPr="0046175F">
              <w:rPr>
                <w:rFonts w:eastAsia="MS Mincho"/>
                <w:sz w:val="22"/>
              </w:rPr>
              <w:t>590 (19.2%)</w:t>
            </w:r>
          </w:p>
        </w:tc>
        <w:tc>
          <w:tcPr>
            <w:tcW w:w="1276" w:type="dxa"/>
            <w:tcBorders>
              <w:top w:val="nil"/>
              <w:bottom w:val="nil"/>
            </w:tcBorders>
            <w:shd w:val="clear" w:color="auto" w:fill="FFFFFF"/>
          </w:tcPr>
          <w:p w14:paraId="48975296" w14:textId="77777777" w:rsidR="00886FB9" w:rsidRPr="0046175F" w:rsidRDefault="00886FB9" w:rsidP="00B334C3">
            <w:pPr>
              <w:spacing w:line="280" w:lineRule="atLeast"/>
              <w:jc w:val="center"/>
              <w:rPr>
                <w:rFonts w:eastAsia="MS Mincho"/>
                <w:sz w:val="22"/>
              </w:rPr>
            </w:pPr>
            <w:r w:rsidRPr="0046175F">
              <w:rPr>
                <w:rFonts w:eastAsia="MS Mincho"/>
                <w:sz w:val="22"/>
              </w:rPr>
              <w:t>33 (1.1%)</w:t>
            </w:r>
          </w:p>
        </w:tc>
        <w:tc>
          <w:tcPr>
            <w:tcW w:w="1417" w:type="dxa"/>
            <w:tcBorders>
              <w:top w:val="nil"/>
              <w:bottom w:val="nil"/>
            </w:tcBorders>
            <w:shd w:val="clear" w:color="auto" w:fill="FFFFFF"/>
          </w:tcPr>
          <w:p w14:paraId="7048218D" w14:textId="0784911B" w:rsidR="00886FB9" w:rsidRPr="0046175F" w:rsidRDefault="00886FB9" w:rsidP="00B334C3">
            <w:pPr>
              <w:spacing w:line="280" w:lineRule="atLeast"/>
              <w:jc w:val="center"/>
              <w:rPr>
                <w:rFonts w:eastAsia="MS Mincho"/>
                <w:sz w:val="22"/>
              </w:rPr>
            </w:pPr>
            <w:r w:rsidRPr="0046175F">
              <w:rPr>
                <w:rFonts w:eastAsia="MS Mincho"/>
                <w:sz w:val="22"/>
              </w:rPr>
              <w:t>1 (&lt;</w:t>
            </w:r>
            <w:r w:rsidR="00D96DDB" w:rsidRPr="0046175F">
              <w:rPr>
                <w:rFonts w:eastAsia="MS Mincho"/>
                <w:sz w:val="22"/>
              </w:rPr>
              <w:t xml:space="preserve"> </w:t>
            </w:r>
            <w:r w:rsidRPr="0046175F">
              <w:rPr>
                <w:rFonts w:eastAsia="MS Mincho"/>
                <w:sz w:val="22"/>
              </w:rPr>
              <w:t>0.1%)</w:t>
            </w:r>
          </w:p>
        </w:tc>
        <w:tc>
          <w:tcPr>
            <w:tcW w:w="1701" w:type="dxa"/>
            <w:tcBorders>
              <w:top w:val="nil"/>
              <w:bottom w:val="nil"/>
            </w:tcBorders>
            <w:shd w:val="clear" w:color="auto" w:fill="FFFFFF"/>
          </w:tcPr>
          <w:p w14:paraId="1A3C0EFE"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C516B8" w:rsidRPr="0046175F" w14:paraId="4E39E958" w14:textId="77777777" w:rsidTr="00B334C3">
        <w:trPr>
          <w:tblHeader/>
        </w:trPr>
        <w:tc>
          <w:tcPr>
            <w:tcW w:w="3119" w:type="dxa"/>
            <w:tcBorders>
              <w:top w:val="nil"/>
              <w:bottom w:val="single" w:sz="4" w:space="0" w:color="auto"/>
            </w:tcBorders>
            <w:shd w:val="clear" w:color="auto" w:fill="FFFFFF"/>
          </w:tcPr>
          <w:p w14:paraId="692B93D9" w14:textId="77777777" w:rsidR="00886FB9" w:rsidRPr="0046175F" w:rsidRDefault="00886FB9" w:rsidP="00B334C3">
            <w:pPr>
              <w:spacing w:line="280" w:lineRule="atLeast"/>
              <w:jc w:val="left"/>
              <w:rPr>
                <w:rFonts w:eastAsia="MS Mincho"/>
                <w:sz w:val="22"/>
              </w:rPr>
            </w:pPr>
            <w:r w:rsidRPr="0046175F">
              <w:rPr>
                <w:rFonts w:eastAsia="MS Mincho"/>
                <w:sz w:val="22"/>
              </w:rPr>
              <w:t>Pruritus</w:t>
            </w:r>
          </w:p>
        </w:tc>
        <w:tc>
          <w:tcPr>
            <w:tcW w:w="1559" w:type="dxa"/>
            <w:tcBorders>
              <w:top w:val="nil"/>
              <w:bottom w:val="single" w:sz="4" w:space="0" w:color="auto"/>
            </w:tcBorders>
            <w:shd w:val="clear" w:color="auto" w:fill="FFFFFF"/>
          </w:tcPr>
          <w:p w14:paraId="47D3DBDA" w14:textId="77777777" w:rsidR="00886FB9" w:rsidRPr="0046175F" w:rsidRDefault="00886FB9" w:rsidP="00B334C3">
            <w:pPr>
              <w:spacing w:line="280" w:lineRule="atLeast"/>
              <w:jc w:val="center"/>
              <w:rPr>
                <w:rFonts w:eastAsia="MS Mincho"/>
                <w:sz w:val="22"/>
              </w:rPr>
            </w:pPr>
            <w:r w:rsidRPr="0046175F">
              <w:rPr>
                <w:rFonts w:eastAsia="MS Mincho"/>
                <w:sz w:val="22"/>
              </w:rPr>
              <w:t>385 (12.5%)</w:t>
            </w:r>
          </w:p>
        </w:tc>
        <w:tc>
          <w:tcPr>
            <w:tcW w:w="1276" w:type="dxa"/>
            <w:tcBorders>
              <w:top w:val="nil"/>
              <w:bottom w:val="single" w:sz="4" w:space="0" w:color="auto"/>
            </w:tcBorders>
            <w:shd w:val="clear" w:color="auto" w:fill="FFFFFF"/>
          </w:tcPr>
          <w:p w14:paraId="25A602E1" w14:textId="77777777" w:rsidR="00886FB9" w:rsidRPr="0046175F" w:rsidRDefault="00886FB9" w:rsidP="00B334C3">
            <w:pPr>
              <w:spacing w:line="280" w:lineRule="atLeast"/>
              <w:jc w:val="center"/>
              <w:rPr>
                <w:rFonts w:eastAsia="MS Mincho"/>
                <w:sz w:val="22"/>
              </w:rPr>
            </w:pPr>
            <w:r w:rsidRPr="0046175F">
              <w:rPr>
                <w:rFonts w:eastAsia="MS Mincho"/>
                <w:sz w:val="22"/>
              </w:rPr>
              <w:t>7 (0.2%)</w:t>
            </w:r>
          </w:p>
        </w:tc>
        <w:tc>
          <w:tcPr>
            <w:tcW w:w="1417" w:type="dxa"/>
            <w:tcBorders>
              <w:top w:val="nil"/>
              <w:bottom w:val="single" w:sz="4" w:space="0" w:color="auto"/>
            </w:tcBorders>
            <w:shd w:val="clear" w:color="auto" w:fill="FFFFFF"/>
          </w:tcPr>
          <w:p w14:paraId="6CC92C8E"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tcBorders>
              <w:top w:val="nil"/>
              <w:bottom w:val="single" w:sz="4" w:space="0" w:color="auto"/>
            </w:tcBorders>
            <w:shd w:val="clear" w:color="auto" w:fill="FFFFFF"/>
          </w:tcPr>
          <w:p w14:paraId="7CBF33FA" w14:textId="77777777" w:rsidR="00886FB9" w:rsidRPr="0046175F" w:rsidRDefault="00886FB9" w:rsidP="00B334C3">
            <w:pPr>
              <w:spacing w:line="280" w:lineRule="atLeast"/>
              <w:jc w:val="center"/>
              <w:rPr>
                <w:rFonts w:eastAsia="MS Mincho"/>
                <w:sz w:val="22"/>
              </w:rPr>
            </w:pPr>
            <w:r w:rsidRPr="0046175F">
              <w:rPr>
                <w:rFonts w:eastAsia="MS Mincho"/>
                <w:sz w:val="22"/>
              </w:rPr>
              <w:t>Very Common</w:t>
            </w:r>
          </w:p>
        </w:tc>
      </w:tr>
      <w:tr w:rsidR="00886FB9" w:rsidRPr="0046175F" w14:paraId="527A23A2" w14:textId="77777777" w:rsidTr="00B334C3">
        <w:trPr>
          <w:tblHeader/>
        </w:trPr>
        <w:tc>
          <w:tcPr>
            <w:tcW w:w="9072" w:type="dxa"/>
            <w:gridSpan w:val="5"/>
            <w:tcBorders>
              <w:top w:val="single" w:sz="4" w:space="0" w:color="auto"/>
            </w:tcBorders>
            <w:shd w:val="clear" w:color="auto" w:fill="FFFFFF"/>
          </w:tcPr>
          <w:p w14:paraId="1EB9A19F" w14:textId="77777777" w:rsidR="00886FB9" w:rsidRPr="0046175F" w:rsidRDefault="00886FB9" w:rsidP="00B334C3">
            <w:pPr>
              <w:spacing w:line="280" w:lineRule="atLeast"/>
              <w:jc w:val="left"/>
              <w:rPr>
                <w:rFonts w:eastAsia="MS Mincho"/>
                <w:b/>
                <w:sz w:val="22"/>
              </w:rPr>
            </w:pPr>
            <w:r w:rsidRPr="0046175F">
              <w:rPr>
                <w:rFonts w:eastAsia="MS Mincho"/>
                <w:b/>
                <w:sz w:val="22"/>
              </w:rPr>
              <w:t>Vascular Disorders</w:t>
            </w:r>
          </w:p>
        </w:tc>
      </w:tr>
      <w:tr w:rsidR="00C516B8" w:rsidRPr="0046175F" w14:paraId="1FD682EC" w14:textId="77777777" w:rsidTr="00B334C3">
        <w:trPr>
          <w:tblHeader/>
        </w:trPr>
        <w:tc>
          <w:tcPr>
            <w:tcW w:w="3119" w:type="dxa"/>
            <w:shd w:val="clear" w:color="auto" w:fill="FFFFFF"/>
          </w:tcPr>
          <w:p w14:paraId="32B5D3A5" w14:textId="77777777" w:rsidR="00886FB9" w:rsidRPr="0046175F" w:rsidRDefault="00886FB9" w:rsidP="00B334C3">
            <w:pPr>
              <w:spacing w:line="280" w:lineRule="atLeast"/>
              <w:jc w:val="left"/>
              <w:rPr>
                <w:rFonts w:eastAsia="MS Mincho"/>
                <w:sz w:val="22"/>
              </w:rPr>
            </w:pPr>
            <w:r w:rsidRPr="0046175F">
              <w:rPr>
                <w:rFonts w:eastAsia="MS Mincho"/>
                <w:sz w:val="22"/>
              </w:rPr>
              <w:t>Hypotension</w:t>
            </w:r>
          </w:p>
        </w:tc>
        <w:tc>
          <w:tcPr>
            <w:tcW w:w="1559" w:type="dxa"/>
            <w:shd w:val="clear" w:color="auto" w:fill="FFFFFF"/>
          </w:tcPr>
          <w:p w14:paraId="048539F6" w14:textId="77777777" w:rsidR="00886FB9" w:rsidRPr="0046175F" w:rsidRDefault="00886FB9" w:rsidP="00B334C3">
            <w:pPr>
              <w:spacing w:line="280" w:lineRule="atLeast"/>
              <w:jc w:val="center"/>
              <w:rPr>
                <w:rFonts w:eastAsia="MS Mincho"/>
                <w:sz w:val="22"/>
              </w:rPr>
            </w:pPr>
            <w:r w:rsidRPr="0046175F">
              <w:rPr>
                <w:rFonts w:eastAsia="MS Mincho"/>
                <w:sz w:val="22"/>
              </w:rPr>
              <w:t>102 (3.3%)</w:t>
            </w:r>
          </w:p>
        </w:tc>
        <w:tc>
          <w:tcPr>
            <w:tcW w:w="1276" w:type="dxa"/>
            <w:shd w:val="clear" w:color="auto" w:fill="FFFFFF"/>
          </w:tcPr>
          <w:p w14:paraId="060D3DC1" w14:textId="77777777" w:rsidR="00886FB9" w:rsidRPr="0046175F" w:rsidRDefault="00886FB9" w:rsidP="00B334C3">
            <w:pPr>
              <w:spacing w:line="280" w:lineRule="atLeast"/>
              <w:jc w:val="center"/>
              <w:rPr>
                <w:rFonts w:eastAsia="MS Mincho"/>
                <w:sz w:val="22"/>
              </w:rPr>
            </w:pPr>
            <w:r w:rsidRPr="0046175F">
              <w:rPr>
                <w:rFonts w:eastAsia="MS Mincho"/>
                <w:sz w:val="22"/>
              </w:rPr>
              <w:t>20 (0.7%)</w:t>
            </w:r>
          </w:p>
        </w:tc>
        <w:tc>
          <w:tcPr>
            <w:tcW w:w="1417" w:type="dxa"/>
            <w:shd w:val="clear" w:color="auto" w:fill="FFFFFF"/>
          </w:tcPr>
          <w:p w14:paraId="4506CF1C" w14:textId="77777777" w:rsidR="00886FB9" w:rsidRPr="0046175F" w:rsidRDefault="00886FB9" w:rsidP="00B334C3">
            <w:pPr>
              <w:spacing w:line="280" w:lineRule="atLeast"/>
              <w:jc w:val="center"/>
              <w:rPr>
                <w:rFonts w:eastAsia="MS Mincho"/>
                <w:sz w:val="22"/>
              </w:rPr>
            </w:pPr>
            <w:r w:rsidRPr="0046175F">
              <w:rPr>
                <w:rFonts w:eastAsia="MS Mincho"/>
                <w:sz w:val="22"/>
              </w:rPr>
              <w:t>0 (0%)</w:t>
            </w:r>
          </w:p>
        </w:tc>
        <w:tc>
          <w:tcPr>
            <w:tcW w:w="1701" w:type="dxa"/>
            <w:shd w:val="clear" w:color="auto" w:fill="FFFFFF"/>
          </w:tcPr>
          <w:p w14:paraId="31442F47" w14:textId="77777777" w:rsidR="00886FB9" w:rsidRPr="0046175F" w:rsidRDefault="00886FB9" w:rsidP="00B334C3">
            <w:pPr>
              <w:spacing w:line="280" w:lineRule="atLeast"/>
              <w:jc w:val="center"/>
              <w:rPr>
                <w:rFonts w:eastAsia="MS Mincho"/>
                <w:sz w:val="22"/>
              </w:rPr>
            </w:pPr>
            <w:r w:rsidRPr="0046175F">
              <w:rPr>
                <w:rFonts w:eastAsia="MS Mincho"/>
                <w:sz w:val="22"/>
              </w:rPr>
              <w:t>Common</w:t>
            </w:r>
          </w:p>
        </w:tc>
      </w:tr>
    </w:tbl>
    <w:p w14:paraId="03696032"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Reported in studies outside the pooled dataset. The frequency is based on the program-wide exposure</w:t>
      </w:r>
      <w:r w:rsidRPr="0046175F">
        <w:rPr>
          <w:rFonts w:cs="Arial"/>
          <w:sz w:val="20"/>
          <w:szCs w:val="20"/>
          <w:shd w:val="clear" w:color="auto" w:fill="FFFFFF"/>
        </w:rPr>
        <w:t>.</w:t>
      </w:r>
    </w:p>
    <w:p w14:paraId="7C9C0413"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 xml:space="preserve">Includes reports of hypothyroidism, blood thyroid stimulating hormone increased, thyroiditis, blood thyroid stimulating hormone decreased, myxoedema, thyroid function test abnormal, thyroiditis acute, thyroxine decreased, autoimmune hypothyroidism, </w:t>
      </w:r>
      <w:proofErr w:type="spellStart"/>
      <w:r w:rsidRPr="0046175F">
        <w:rPr>
          <w:sz w:val="20"/>
          <w:szCs w:val="20"/>
        </w:rPr>
        <w:t>euthyroid</w:t>
      </w:r>
      <w:proofErr w:type="spellEnd"/>
      <w:r w:rsidRPr="0046175F">
        <w:rPr>
          <w:sz w:val="20"/>
          <w:szCs w:val="20"/>
        </w:rPr>
        <w:t xml:space="preserve"> sick syndrome</w:t>
      </w:r>
    </w:p>
    <w:p w14:paraId="085549A9"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 xml:space="preserve">Includes reports of hyperthyroidism, endocrine </w:t>
      </w:r>
      <w:proofErr w:type="spellStart"/>
      <w:r w:rsidRPr="0046175F">
        <w:rPr>
          <w:sz w:val="20"/>
          <w:szCs w:val="20"/>
        </w:rPr>
        <w:t>ophthalmopathy</w:t>
      </w:r>
      <w:proofErr w:type="spellEnd"/>
      <w:r w:rsidRPr="0046175F">
        <w:rPr>
          <w:sz w:val="20"/>
          <w:szCs w:val="20"/>
        </w:rPr>
        <w:t xml:space="preserve">, </w:t>
      </w:r>
      <w:proofErr w:type="spellStart"/>
      <w:r w:rsidRPr="0046175F">
        <w:rPr>
          <w:sz w:val="20"/>
          <w:szCs w:val="20"/>
        </w:rPr>
        <w:t>exophthalmus</w:t>
      </w:r>
      <w:proofErr w:type="spellEnd"/>
    </w:p>
    <w:p w14:paraId="4AF79C81"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Includes reports of adrenal insufficiency, primary adrenal insufficiency</w:t>
      </w:r>
    </w:p>
    <w:p w14:paraId="183BDEFA"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Includes reports of diabetes mellitus, type 1 diabetes mellitus, diabetic ketoacidosis and ketoacidosis</w:t>
      </w:r>
    </w:p>
    <w:p w14:paraId="4BE5D5B1"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Includes reports of colitis, autoimmune colitis, colitis ischaemic, colitis microscopic, colitis ulcerative</w:t>
      </w:r>
    </w:p>
    <w:p w14:paraId="4B43BBF8" w14:textId="09360D5C"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Includes reports of pancreatitis, pancreatitis acute, lipase</w:t>
      </w:r>
      <w:r w:rsidR="00893835" w:rsidRPr="0046175F">
        <w:rPr>
          <w:sz w:val="20"/>
          <w:szCs w:val="20"/>
        </w:rPr>
        <w:t xml:space="preserve"> increased, </w:t>
      </w:r>
      <w:r w:rsidRPr="0046175F">
        <w:rPr>
          <w:sz w:val="20"/>
          <w:szCs w:val="20"/>
        </w:rPr>
        <w:t>amylase increased</w:t>
      </w:r>
    </w:p>
    <w:p w14:paraId="008EFCAD" w14:textId="4B53EA99"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rFonts w:cs="Arial"/>
          <w:sz w:val="20"/>
          <w:szCs w:val="20"/>
        </w:rPr>
        <w:t>inc</w:t>
      </w:r>
      <w:r w:rsidR="00893835" w:rsidRPr="0046175F">
        <w:rPr>
          <w:rFonts w:cs="Arial"/>
          <w:sz w:val="20"/>
          <w:szCs w:val="20"/>
        </w:rPr>
        <w:t xml:space="preserve">ludes infusion related reaction, </w:t>
      </w:r>
      <w:r w:rsidRPr="0046175F">
        <w:rPr>
          <w:rFonts w:cs="Arial"/>
          <w:sz w:val="20"/>
          <w:szCs w:val="20"/>
        </w:rPr>
        <w:t>cytokine release syndrome</w:t>
      </w:r>
    </w:p>
    <w:p w14:paraId="08803BB0" w14:textId="6BA134D5"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 xml:space="preserve">Includes reports of ascites, autoimmune hepatitis, hepatocellular injury, hepatitis, hepatitis acute, hepatotoxicity, liver disorder, drug-induced liver injury, hepatic failure, hepatic steatosis, hepatic lesion, </w:t>
      </w:r>
      <w:r w:rsidR="00893835" w:rsidRPr="0046175F">
        <w:rPr>
          <w:sz w:val="20"/>
          <w:szCs w:val="20"/>
        </w:rPr>
        <w:t>o</w:t>
      </w:r>
      <w:r w:rsidRPr="0046175F">
        <w:rPr>
          <w:sz w:val="20"/>
          <w:szCs w:val="20"/>
        </w:rPr>
        <w:t>esophageal varices h</w:t>
      </w:r>
      <w:r w:rsidR="00893835" w:rsidRPr="0046175F">
        <w:rPr>
          <w:sz w:val="20"/>
          <w:szCs w:val="20"/>
        </w:rPr>
        <w:t>a</w:t>
      </w:r>
      <w:r w:rsidRPr="0046175F">
        <w:rPr>
          <w:sz w:val="20"/>
          <w:szCs w:val="20"/>
        </w:rPr>
        <w:t xml:space="preserve">emorrhage, varices </w:t>
      </w:r>
      <w:r w:rsidR="00893835" w:rsidRPr="0046175F">
        <w:rPr>
          <w:sz w:val="20"/>
          <w:szCs w:val="20"/>
        </w:rPr>
        <w:t>o</w:t>
      </w:r>
      <w:r w:rsidRPr="0046175F">
        <w:rPr>
          <w:sz w:val="20"/>
          <w:szCs w:val="20"/>
        </w:rPr>
        <w:t>esophageal</w:t>
      </w:r>
    </w:p>
    <w:p w14:paraId="3A7E8350" w14:textId="169FC314"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rFonts w:eastAsia="MS Mincho" w:cs="Arial"/>
          <w:sz w:val="20"/>
          <w:szCs w:val="20"/>
          <w:vertAlign w:val="superscript"/>
          <w:lang w:val="en-GB"/>
        </w:rPr>
      </w:pPr>
      <w:r w:rsidRPr="0046175F">
        <w:rPr>
          <w:rFonts w:eastAsia="MS Mincho" w:cs="Arial"/>
          <w:sz w:val="20"/>
          <w:szCs w:val="20"/>
          <w:lang w:val="en-GB"/>
        </w:rPr>
        <w:t>Includes rep</w:t>
      </w:r>
      <w:r w:rsidR="00893835" w:rsidRPr="0046175F">
        <w:rPr>
          <w:rFonts w:eastAsia="MS Mincho" w:cs="Arial"/>
          <w:sz w:val="20"/>
          <w:szCs w:val="20"/>
          <w:lang w:val="en-GB"/>
        </w:rPr>
        <w:t xml:space="preserve">orts of </w:t>
      </w:r>
      <w:proofErr w:type="spellStart"/>
      <w:r w:rsidR="00893835" w:rsidRPr="0046175F">
        <w:rPr>
          <w:rFonts w:eastAsia="MS Mincho" w:cs="Arial"/>
          <w:sz w:val="20"/>
          <w:szCs w:val="20"/>
          <w:lang w:val="en-GB"/>
        </w:rPr>
        <w:t>Guillain-Barré</w:t>
      </w:r>
      <w:proofErr w:type="spellEnd"/>
      <w:r w:rsidR="00893835" w:rsidRPr="0046175F">
        <w:rPr>
          <w:rFonts w:eastAsia="MS Mincho" w:cs="Arial"/>
          <w:sz w:val="20"/>
          <w:szCs w:val="20"/>
          <w:lang w:val="en-GB"/>
        </w:rPr>
        <w:t xml:space="preserve"> syndrome, </w:t>
      </w:r>
      <w:r w:rsidRPr="0046175F">
        <w:rPr>
          <w:rFonts w:eastAsia="MS Mincho" w:cs="Arial"/>
          <w:sz w:val="20"/>
          <w:szCs w:val="20"/>
          <w:lang w:val="en-GB"/>
        </w:rPr>
        <w:t>demyelinating polyneuropathy</w:t>
      </w:r>
      <w:r w:rsidRPr="0046175F">
        <w:rPr>
          <w:rFonts w:eastAsia="MS Mincho" w:cs="Arial"/>
          <w:sz w:val="20"/>
          <w:szCs w:val="20"/>
          <w:vertAlign w:val="superscript"/>
          <w:lang w:val="en-GB"/>
        </w:rPr>
        <w:t xml:space="preserve"> </w:t>
      </w:r>
    </w:p>
    <w:p w14:paraId="22807822"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Includes reports</w:t>
      </w:r>
      <w:r w:rsidRPr="0046175F">
        <w:rPr>
          <w:rFonts w:eastAsia="MS Mincho" w:cs="Arial"/>
          <w:sz w:val="20"/>
          <w:szCs w:val="20"/>
          <w:lang w:val="en-GB"/>
        </w:rPr>
        <w:t xml:space="preserve"> </w:t>
      </w:r>
      <w:r w:rsidRPr="0046175F">
        <w:rPr>
          <w:sz w:val="20"/>
          <w:szCs w:val="20"/>
        </w:rPr>
        <w:t>of encephalitis, meningitis, photophobia</w:t>
      </w:r>
      <w:r w:rsidRPr="0046175F">
        <w:rPr>
          <w:rFonts w:cs="Arial"/>
          <w:strike/>
          <w:sz w:val="20"/>
          <w:szCs w:val="20"/>
          <w:vertAlign w:val="superscript"/>
        </w:rPr>
        <w:t xml:space="preserve"> </w:t>
      </w:r>
    </w:p>
    <w:p w14:paraId="358D66E6" w14:textId="77777777" w:rsidR="00886FB9" w:rsidRPr="0046175F" w:rsidRDefault="00886FB9" w:rsidP="00886FB9">
      <w:pPr>
        <w:pStyle w:val="ListParagraph"/>
        <w:keepNext/>
        <w:numPr>
          <w:ilvl w:val="0"/>
          <w:numId w:val="34"/>
        </w:numPr>
        <w:autoSpaceDE w:val="0"/>
        <w:autoSpaceDN w:val="0"/>
        <w:adjustRightInd w:val="0"/>
        <w:ind w:left="180" w:hanging="180"/>
        <w:contextualSpacing w:val="0"/>
        <w:jc w:val="left"/>
        <w:rPr>
          <w:sz w:val="20"/>
          <w:szCs w:val="20"/>
        </w:rPr>
      </w:pPr>
      <w:r w:rsidRPr="0046175F">
        <w:rPr>
          <w:sz w:val="20"/>
          <w:szCs w:val="20"/>
        </w:rPr>
        <w:t xml:space="preserve">Includes reports of pneumonitis, lung infiltration, bronchiolitis, interstitial lung disease, radiation pneumonitis. </w:t>
      </w:r>
    </w:p>
    <w:p w14:paraId="0CB16863" w14:textId="77777777" w:rsidR="00886FB9" w:rsidRPr="0046175F" w:rsidRDefault="00886FB9" w:rsidP="00886FB9">
      <w:pPr>
        <w:pStyle w:val="ListParagraph"/>
        <w:keepNext/>
        <w:numPr>
          <w:ilvl w:val="0"/>
          <w:numId w:val="34"/>
        </w:numPr>
        <w:ind w:left="180" w:hanging="180"/>
        <w:contextualSpacing w:val="0"/>
        <w:jc w:val="left"/>
        <w:rPr>
          <w:sz w:val="20"/>
          <w:szCs w:val="20"/>
        </w:rPr>
      </w:pPr>
      <w:r w:rsidRPr="0046175F">
        <w:rPr>
          <w:sz w:val="20"/>
          <w:szCs w:val="20"/>
        </w:rPr>
        <w:t>I</w:t>
      </w:r>
      <w:r w:rsidRPr="0046175F">
        <w:rPr>
          <w:rFonts w:cs="Arial"/>
          <w:sz w:val="20"/>
          <w:szCs w:val="20"/>
        </w:rPr>
        <w:t xml:space="preserve">ncludes reports of </w:t>
      </w:r>
      <w:r w:rsidRPr="0046175F">
        <w:rPr>
          <w:sz w:val="20"/>
          <w:szCs w:val="20"/>
          <w:lang w:val="en-GB"/>
        </w:rPr>
        <w:t xml:space="preserve">rash, rash </w:t>
      </w:r>
      <w:proofErr w:type="spellStart"/>
      <w:r w:rsidRPr="0046175F">
        <w:rPr>
          <w:sz w:val="20"/>
          <w:szCs w:val="20"/>
          <w:lang w:val="en-GB"/>
        </w:rPr>
        <w:t>maculo-papular</w:t>
      </w:r>
      <w:proofErr w:type="spellEnd"/>
      <w:r w:rsidRPr="0046175F">
        <w:rPr>
          <w:sz w:val="20"/>
          <w:szCs w:val="20"/>
          <w:lang w:val="en-GB"/>
        </w:rPr>
        <w:t xml:space="preserve">, erythema, rash pruritic, dermatitis acneiform, eczema, dermatitis, rash erythematous, rash macular, rash popular, skin ulcer, folliculitis, skin exfoliation, erythema </w:t>
      </w:r>
      <w:proofErr w:type="spellStart"/>
      <w:r w:rsidRPr="0046175F">
        <w:rPr>
          <w:sz w:val="20"/>
          <w:szCs w:val="20"/>
          <w:lang w:val="en-GB"/>
        </w:rPr>
        <w:t>multiforme</w:t>
      </w:r>
      <w:proofErr w:type="spellEnd"/>
      <w:r w:rsidRPr="0046175F">
        <w:rPr>
          <w:sz w:val="20"/>
          <w:szCs w:val="20"/>
          <w:lang w:val="en-GB"/>
        </w:rPr>
        <w:t xml:space="preserve">, rash pustular, dermatitis bullous, acne, furuncle, palmar-plantar </w:t>
      </w:r>
      <w:proofErr w:type="spellStart"/>
      <w:r w:rsidRPr="0046175F">
        <w:rPr>
          <w:sz w:val="20"/>
          <w:szCs w:val="20"/>
          <w:lang w:val="en-GB"/>
        </w:rPr>
        <w:t>erythrodysaesthesia</w:t>
      </w:r>
      <w:proofErr w:type="spellEnd"/>
      <w:r w:rsidRPr="0046175F">
        <w:rPr>
          <w:sz w:val="20"/>
          <w:szCs w:val="20"/>
          <w:lang w:val="en-GB"/>
        </w:rPr>
        <w:t xml:space="preserve"> syndrome, </w:t>
      </w:r>
      <w:proofErr w:type="spellStart"/>
      <w:r w:rsidRPr="0046175F">
        <w:rPr>
          <w:sz w:val="20"/>
          <w:szCs w:val="20"/>
          <w:lang w:val="en-GB"/>
        </w:rPr>
        <w:t>seborrhoeic</w:t>
      </w:r>
      <w:proofErr w:type="spellEnd"/>
      <w:r w:rsidRPr="0046175F">
        <w:rPr>
          <w:sz w:val="20"/>
          <w:szCs w:val="20"/>
          <w:lang w:val="en-GB"/>
        </w:rPr>
        <w:t xml:space="preserve"> dermatitis, dermatitis allergic, drug eruption, rash generalised, erythema of eyelid, skin toxicity, toxic epidermal necrolysis, toxic skin eruption, dermatitis </w:t>
      </w:r>
      <w:proofErr w:type="spellStart"/>
      <w:r w:rsidRPr="0046175F">
        <w:rPr>
          <w:sz w:val="20"/>
          <w:szCs w:val="20"/>
          <w:lang w:val="en-GB"/>
        </w:rPr>
        <w:t>exfoliative</w:t>
      </w:r>
      <w:proofErr w:type="spellEnd"/>
      <w:r w:rsidRPr="0046175F">
        <w:rPr>
          <w:sz w:val="20"/>
          <w:szCs w:val="20"/>
          <w:lang w:val="en-GB"/>
        </w:rPr>
        <w:t xml:space="preserve">, </w:t>
      </w:r>
      <w:proofErr w:type="spellStart"/>
      <w:r w:rsidRPr="0046175F">
        <w:rPr>
          <w:sz w:val="20"/>
          <w:szCs w:val="20"/>
          <w:lang w:val="en-GB"/>
        </w:rPr>
        <w:t>exfoliative</w:t>
      </w:r>
      <w:proofErr w:type="spellEnd"/>
      <w:r w:rsidRPr="0046175F">
        <w:rPr>
          <w:sz w:val="20"/>
          <w:szCs w:val="20"/>
          <w:lang w:val="en-GB"/>
        </w:rPr>
        <w:t xml:space="preserve"> rash, eyelid rash, generalised erythema, rash </w:t>
      </w:r>
      <w:proofErr w:type="spellStart"/>
      <w:r w:rsidRPr="0046175F">
        <w:rPr>
          <w:sz w:val="20"/>
          <w:szCs w:val="20"/>
          <w:lang w:val="en-GB"/>
        </w:rPr>
        <w:t>papulosquamous</w:t>
      </w:r>
      <w:proofErr w:type="spellEnd"/>
      <w:r w:rsidRPr="0046175F">
        <w:rPr>
          <w:sz w:val="20"/>
          <w:szCs w:val="20"/>
          <w:lang w:val="en-GB"/>
        </w:rPr>
        <w:t>, rash vesicular</w:t>
      </w:r>
    </w:p>
    <w:p w14:paraId="0CFE67D9" w14:textId="77777777" w:rsidR="00886FB9" w:rsidRPr="0046175F" w:rsidRDefault="00886FB9" w:rsidP="00886FB9">
      <w:pPr>
        <w:pStyle w:val="ListParagraph"/>
        <w:keepNext/>
        <w:numPr>
          <w:ilvl w:val="0"/>
          <w:numId w:val="34"/>
        </w:numPr>
        <w:ind w:left="180" w:hanging="180"/>
        <w:contextualSpacing w:val="0"/>
        <w:jc w:val="left"/>
        <w:rPr>
          <w:sz w:val="20"/>
          <w:szCs w:val="20"/>
        </w:rPr>
      </w:pPr>
      <w:r w:rsidRPr="0046175F">
        <w:rPr>
          <w:rFonts w:cs="Arial"/>
          <w:sz w:val="20"/>
          <w:szCs w:val="20"/>
        </w:rPr>
        <w:t xml:space="preserve">Includes reports of thrombocytopenia and platelet count decreased </w:t>
      </w:r>
    </w:p>
    <w:p w14:paraId="16E2A70F" w14:textId="39A9564B" w:rsidR="00886FB9" w:rsidRPr="0046175F" w:rsidRDefault="00886FB9" w:rsidP="00886FB9">
      <w:pPr>
        <w:pStyle w:val="ListParagraph"/>
        <w:keepNext/>
        <w:numPr>
          <w:ilvl w:val="0"/>
          <w:numId w:val="34"/>
        </w:numPr>
        <w:ind w:left="180" w:hanging="180"/>
        <w:contextualSpacing w:val="0"/>
        <w:jc w:val="left"/>
        <w:rPr>
          <w:sz w:val="20"/>
          <w:szCs w:val="20"/>
        </w:rPr>
      </w:pPr>
      <w:r w:rsidRPr="0046175F">
        <w:rPr>
          <w:rFonts w:cs="Arial"/>
          <w:sz w:val="20"/>
          <w:szCs w:val="20"/>
        </w:rPr>
        <w:t>Includes reports of diarrh</w:t>
      </w:r>
      <w:r w:rsidR="00893835" w:rsidRPr="0046175F">
        <w:rPr>
          <w:rFonts w:cs="Arial"/>
          <w:sz w:val="20"/>
          <w:szCs w:val="20"/>
        </w:rPr>
        <w:t>o</w:t>
      </w:r>
      <w:r w:rsidRPr="0046175F">
        <w:rPr>
          <w:rFonts w:cs="Arial"/>
          <w:sz w:val="20"/>
          <w:szCs w:val="20"/>
        </w:rPr>
        <w:t xml:space="preserve">ea, frequent bowel movements, and gastrointestinal </w:t>
      </w:r>
      <w:proofErr w:type="spellStart"/>
      <w:r w:rsidRPr="0046175F">
        <w:rPr>
          <w:rFonts w:cs="Arial"/>
          <w:sz w:val="20"/>
          <w:szCs w:val="20"/>
        </w:rPr>
        <w:t>hypermotility</w:t>
      </w:r>
      <w:proofErr w:type="spellEnd"/>
    </w:p>
    <w:p w14:paraId="102F98E8" w14:textId="77777777" w:rsidR="00886FB9" w:rsidRPr="0046175F" w:rsidRDefault="00886FB9" w:rsidP="00886FB9">
      <w:pPr>
        <w:pStyle w:val="ListParagraph"/>
        <w:keepNext/>
        <w:numPr>
          <w:ilvl w:val="0"/>
          <w:numId w:val="34"/>
        </w:numPr>
        <w:ind w:left="180" w:hanging="180"/>
        <w:contextualSpacing w:val="0"/>
        <w:jc w:val="left"/>
        <w:rPr>
          <w:sz w:val="20"/>
          <w:szCs w:val="20"/>
        </w:rPr>
      </w:pPr>
      <w:r w:rsidRPr="0046175F">
        <w:rPr>
          <w:rFonts w:cs="Arial"/>
          <w:sz w:val="20"/>
          <w:szCs w:val="20"/>
        </w:rPr>
        <w:t xml:space="preserve">Includes reports of urinary tract infection, cystitis, pyelonephritis, Escherichia urinary tract infection, urinary tract infection bacterial, kidney infection, pyelonephritis acute, urinary tract infection fungal, urinary tract infection </w:t>
      </w:r>
      <w:proofErr w:type="spellStart"/>
      <w:r w:rsidRPr="0046175F">
        <w:rPr>
          <w:rFonts w:cs="Arial"/>
          <w:sz w:val="20"/>
          <w:szCs w:val="20"/>
        </w:rPr>
        <w:t>pseudomonal</w:t>
      </w:r>
      <w:proofErr w:type="spellEnd"/>
    </w:p>
    <w:p w14:paraId="34E87A3B" w14:textId="77777777" w:rsidR="00C516B8" w:rsidRPr="0046175F" w:rsidRDefault="00C516B8" w:rsidP="00C516B8">
      <w:pPr>
        <w:rPr>
          <w:sz w:val="20"/>
          <w:szCs w:val="20"/>
        </w:rPr>
      </w:pPr>
      <w:r w:rsidRPr="0046175F">
        <w:rPr>
          <w:sz w:val="20"/>
          <w:szCs w:val="20"/>
          <w:vertAlign w:val="superscript"/>
        </w:rPr>
        <w:t>r.</w:t>
      </w:r>
      <w:r w:rsidRPr="0046175F">
        <w:rPr>
          <w:sz w:val="20"/>
          <w:szCs w:val="20"/>
        </w:rPr>
        <w:t xml:space="preserve"> Includes reports of oropharyngeal pain, oropharyngeal discomfort, throat irritation</w:t>
      </w:r>
    </w:p>
    <w:p w14:paraId="55A5FD0D" w14:textId="32B999BA" w:rsidR="00C516B8" w:rsidRPr="0046175F" w:rsidRDefault="00C516B8" w:rsidP="00C516B8">
      <w:pPr>
        <w:rPr>
          <w:sz w:val="20"/>
          <w:szCs w:val="20"/>
        </w:rPr>
      </w:pPr>
      <w:r w:rsidRPr="0046175F">
        <w:rPr>
          <w:sz w:val="20"/>
          <w:szCs w:val="20"/>
          <w:vertAlign w:val="superscript"/>
        </w:rPr>
        <w:t>s.</w:t>
      </w:r>
      <w:r w:rsidRPr="0046175F">
        <w:rPr>
          <w:sz w:val="20"/>
          <w:szCs w:val="20"/>
        </w:rPr>
        <w:t xml:space="preserve"> The frequency is based on a larger pooled dataset.</w:t>
      </w:r>
    </w:p>
    <w:p w14:paraId="02A1E903" w14:textId="19A85A76" w:rsidR="00D05E12" w:rsidRPr="0046175F" w:rsidRDefault="00C516B8" w:rsidP="00B334C3">
      <w:pPr>
        <w:rPr>
          <w:sz w:val="20"/>
          <w:szCs w:val="20"/>
        </w:rPr>
      </w:pPr>
      <w:r w:rsidRPr="0046175F">
        <w:rPr>
          <w:sz w:val="20"/>
          <w:szCs w:val="20"/>
          <w:vertAlign w:val="superscript"/>
        </w:rPr>
        <w:t>t.</w:t>
      </w:r>
      <w:r w:rsidRPr="0046175F">
        <w:rPr>
          <w:sz w:val="20"/>
          <w:szCs w:val="20"/>
        </w:rPr>
        <w:t xml:space="preserve"> Includes reports of nephritis, Henoch-</w:t>
      </w:r>
      <w:proofErr w:type="spellStart"/>
      <w:r w:rsidRPr="0046175F">
        <w:rPr>
          <w:sz w:val="20"/>
          <w:szCs w:val="20"/>
        </w:rPr>
        <w:t>Scholein</w:t>
      </w:r>
      <w:proofErr w:type="spellEnd"/>
      <w:r w:rsidRPr="0046175F">
        <w:rPr>
          <w:sz w:val="20"/>
          <w:szCs w:val="20"/>
        </w:rPr>
        <w:t xml:space="preserve"> Purpura nephritis. The frequency is based on a larger pooled dataset.</w:t>
      </w:r>
    </w:p>
    <w:p w14:paraId="6232DDC4" w14:textId="007ACF63" w:rsidR="003A1414" w:rsidRPr="00100867" w:rsidRDefault="003A1414" w:rsidP="003A1414">
      <w:pPr>
        <w:rPr>
          <w:sz w:val="20"/>
          <w:szCs w:val="20"/>
        </w:rPr>
      </w:pPr>
      <w:r w:rsidRPr="00100867">
        <w:rPr>
          <w:sz w:val="20"/>
          <w:szCs w:val="20"/>
          <w:vertAlign w:val="superscript"/>
        </w:rPr>
        <w:t xml:space="preserve">u. </w:t>
      </w:r>
      <w:r w:rsidRPr="00100867">
        <w:rPr>
          <w:sz w:val="20"/>
          <w:szCs w:val="20"/>
        </w:rPr>
        <w:t xml:space="preserve">Includes reports of myositis, rhabdomyolysis, polymyalgia </w:t>
      </w:r>
      <w:proofErr w:type="spellStart"/>
      <w:r w:rsidRPr="00100867">
        <w:rPr>
          <w:sz w:val="20"/>
          <w:szCs w:val="20"/>
        </w:rPr>
        <w:t>rheumatica</w:t>
      </w:r>
      <w:proofErr w:type="spellEnd"/>
      <w:r w:rsidRPr="00100867">
        <w:rPr>
          <w:sz w:val="20"/>
          <w:szCs w:val="20"/>
        </w:rPr>
        <w:t xml:space="preserve">, </w:t>
      </w:r>
      <w:proofErr w:type="spellStart"/>
      <w:r w:rsidRPr="00100867">
        <w:rPr>
          <w:sz w:val="20"/>
          <w:szCs w:val="20"/>
        </w:rPr>
        <w:t>dermatomyositis</w:t>
      </w:r>
      <w:proofErr w:type="spellEnd"/>
      <w:r w:rsidRPr="00100867">
        <w:rPr>
          <w:sz w:val="20"/>
          <w:szCs w:val="20"/>
        </w:rPr>
        <w:t>, and myoglobin urine present</w:t>
      </w:r>
      <w:r w:rsidRPr="0046175F">
        <w:rPr>
          <w:sz w:val="20"/>
          <w:szCs w:val="20"/>
        </w:rPr>
        <w:t xml:space="preserve">. </w:t>
      </w:r>
    </w:p>
    <w:p w14:paraId="6AA31E28" w14:textId="3247F886" w:rsidR="003A1414" w:rsidRPr="00100867" w:rsidRDefault="003A1414" w:rsidP="003A1414">
      <w:pPr>
        <w:rPr>
          <w:sz w:val="20"/>
          <w:szCs w:val="20"/>
        </w:rPr>
      </w:pPr>
      <w:r w:rsidRPr="00100867">
        <w:rPr>
          <w:sz w:val="20"/>
          <w:szCs w:val="20"/>
          <w:vertAlign w:val="superscript"/>
        </w:rPr>
        <w:t>v.</w:t>
      </w:r>
      <w:r w:rsidRPr="00100867">
        <w:rPr>
          <w:sz w:val="20"/>
          <w:szCs w:val="20"/>
        </w:rPr>
        <w:t xml:space="preserve"> Fatal cases have been reported in studies outside the pooled dataset</w:t>
      </w:r>
    </w:p>
    <w:p w14:paraId="22AAF4ED" w14:textId="77777777" w:rsidR="008A6503" w:rsidRPr="00EE7ADF" w:rsidRDefault="008A6503" w:rsidP="008A6503">
      <w:pPr>
        <w:pStyle w:val="Heading3"/>
      </w:pPr>
      <w:proofErr w:type="spellStart"/>
      <w:r w:rsidRPr="00EE7ADF">
        <w:t>Tecentriq</w:t>
      </w:r>
      <w:proofErr w:type="spellEnd"/>
      <w:r w:rsidRPr="00EE7ADF">
        <w:t xml:space="preserve"> combination therapy</w:t>
      </w:r>
    </w:p>
    <w:p w14:paraId="1382E312" w14:textId="77777777" w:rsidR="008A6503" w:rsidRPr="0066646B" w:rsidRDefault="008A6503" w:rsidP="008A6503">
      <w:pPr>
        <w:pStyle w:val="Heading4"/>
        <w:rPr>
          <w:lang w:val="en-US"/>
        </w:rPr>
      </w:pPr>
      <w:r w:rsidRPr="0066646B">
        <w:rPr>
          <w:lang w:val="en-US"/>
        </w:rPr>
        <w:t>1L non-squamous NSCLC</w:t>
      </w:r>
    </w:p>
    <w:p w14:paraId="1F4DDB25" w14:textId="7FA3BB25" w:rsidR="008A6503" w:rsidRPr="0066646B" w:rsidRDefault="008A6503" w:rsidP="008A6503">
      <w:pPr>
        <w:rPr>
          <w:lang w:val="en-US"/>
        </w:rPr>
      </w:pPr>
      <w:r w:rsidRPr="0066646B">
        <w:rPr>
          <w:lang w:val="en-US"/>
        </w:rPr>
        <w:t xml:space="preserve">The safety of </w:t>
      </w:r>
      <w:proofErr w:type="spellStart"/>
      <w:r w:rsidRPr="0066646B">
        <w:rPr>
          <w:lang w:val="en-US"/>
        </w:rPr>
        <w:t>Tecentriq</w:t>
      </w:r>
      <w:proofErr w:type="spellEnd"/>
      <w:r w:rsidRPr="0066646B">
        <w:rPr>
          <w:lang w:val="en-US"/>
        </w:rPr>
        <w:t xml:space="preserve"> in combination with paclitaxel and carboplatin, with or without bevacizumab, is based on 793 patients with metastatic non-squamous NSCLC</w:t>
      </w:r>
      <w:r w:rsidR="00E201B1">
        <w:rPr>
          <w:lang w:val="en-US"/>
        </w:rPr>
        <w:t xml:space="preserve"> in study </w:t>
      </w:r>
      <w:r w:rsidR="00E201B1" w:rsidRPr="00E201B1">
        <w:rPr>
          <w:lang w:val="en-US"/>
        </w:rPr>
        <w:t xml:space="preserve">GO29436 </w:t>
      </w:r>
      <w:r w:rsidR="00E201B1">
        <w:rPr>
          <w:lang w:val="en-US"/>
        </w:rPr>
        <w:t>(</w:t>
      </w:r>
      <w:r w:rsidR="00E201B1" w:rsidRPr="00E201B1">
        <w:rPr>
          <w:lang w:val="en-US"/>
        </w:rPr>
        <w:t>IMpower150</w:t>
      </w:r>
      <w:r w:rsidR="00E201B1">
        <w:rPr>
          <w:lang w:val="en-US"/>
        </w:rPr>
        <w:t>)</w:t>
      </w:r>
      <w:r w:rsidRPr="0066646B">
        <w:rPr>
          <w:lang w:val="en-US"/>
        </w:rPr>
        <w:t xml:space="preserve">. </w:t>
      </w:r>
      <w:r w:rsidRPr="0066646B">
        <w:rPr>
          <w:lang w:val="en-US"/>
        </w:rPr>
        <w:lastRenderedPageBreak/>
        <w:t xml:space="preserve">Table </w:t>
      </w:r>
      <w:r w:rsidR="00031EC1">
        <w:rPr>
          <w:lang w:val="en-US"/>
        </w:rPr>
        <w:t>3</w:t>
      </w:r>
      <w:r w:rsidRPr="0066646B">
        <w:rPr>
          <w:lang w:val="en-US"/>
        </w:rPr>
        <w:t xml:space="preserve"> </w:t>
      </w:r>
      <w:proofErr w:type="spellStart"/>
      <w:r w:rsidRPr="0066646B">
        <w:rPr>
          <w:lang w:val="en-US"/>
        </w:rPr>
        <w:t>summarises</w:t>
      </w:r>
      <w:proofErr w:type="spellEnd"/>
      <w:r w:rsidRPr="0066646B">
        <w:rPr>
          <w:lang w:val="en-US"/>
        </w:rPr>
        <w:t xml:space="preserve"> the additional ADRs associated with the use of </w:t>
      </w:r>
      <w:proofErr w:type="spellStart"/>
      <w:r w:rsidRPr="0066646B">
        <w:rPr>
          <w:lang w:val="en-US"/>
        </w:rPr>
        <w:t>Tecentriq</w:t>
      </w:r>
      <w:proofErr w:type="spellEnd"/>
      <w:r w:rsidRPr="0066646B">
        <w:rPr>
          <w:lang w:val="en-US"/>
        </w:rPr>
        <w:t xml:space="preserve"> in combination with paclitaxel and carboplatin, with or without bevacizumab. ADRs with a clinically relevant difference when compared to monotherapy (refer to Table 2) are also presented.</w:t>
      </w:r>
    </w:p>
    <w:p w14:paraId="08DCD75D" w14:textId="77777777" w:rsidR="008A6503" w:rsidRPr="0066646B" w:rsidRDefault="008A6503" w:rsidP="008A6503">
      <w:pPr>
        <w:rPr>
          <w:lang w:val="en-US"/>
        </w:rPr>
      </w:pPr>
    </w:p>
    <w:p w14:paraId="1B3EB1C0" w14:textId="528B92FF" w:rsidR="008A6503" w:rsidRPr="0066646B" w:rsidRDefault="008A6503" w:rsidP="008A6503">
      <w:pPr>
        <w:rPr>
          <w:b/>
          <w:lang w:val="en-US"/>
        </w:rPr>
      </w:pPr>
      <w:r w:rsidRPr="0066646B">
        <w:rPr>
          <w:b/>
          <w:lang w:val="en-US"/>
        </w:rPr>
        <w:t xml:space="preserve">Table </w:t>
      </w:r>
      <w:r w:rsidR="00031EC1">
        <w:rPr>
          <w:b/>
          <w:lang w:val="en-US"/>
        </w:rPr>
        <w:t>3</w:t>
      </w:r>
      <w:r>
        <w:rPr>
          <w:b/>
          <w:lang w:val="en-US"/>
        </w:rPr>
        <w:t>.</w:t>
      </w:r>
      <w:r w:rsidRPr="0066646B">
        <w:rPr>
          <w:b/>
          <w:lang w:val="en-US"/>
        </w:rPr>
        <w:t xml:space="preserve"> Summary of adverse reactions occurring in patients treated with </w:t>
      </w:r>
      <w:proofErr w:type="spellStart"/>
      <w:r w:rsidRPr="0066646B">
        <w:rPr>
          <w:b/>
          <w:lang w:val="en-US"/>
        </w:rPr>
        <w:t>Tecentriq</w:t>
      </w:r>
      <w:proofErr w:type="spellEnd"/>
      <w:r w:rsidRPr="0066646B">
        <w:rPr>
          <w:b/>
          <w:lang w:val="en-US"/>
        </w:rPr>
        <w:t xml:space="preserve"> in combination with paclitaxel and carboplatin, with or without bevacizumab, in a clinical trial</w:t>
      </w:r>
    </w:p>
    <w:tbl>
      <w:tblPr>
        <w:tblW w:w="9361" w:type="dxa"/>
        <w:shd w:val="clear" w:color="auto" w:fill="FFFFFF"/>
        <w:tblLayout w:type="fixed"/>
        <w:tblCellMar>
          <w:left w:w="0" w:type="dxa"/>
          <w:right w:w="0" w:type="dxa"/>
        </w:tblCellMar>
        <w:tblLook w:val="04A0" w:firstRow="1" w:lastRow="0" w:firstColumn="1" w:lastColumn="0" w:noHBand="0" w:noVBand="1"/>
      </w:tblPr>
      <w:tblGrid>
        <w:gridCol w:w="2273"/>
        <w:gridCol w:w="1276"/>
        <w:gridCol w:w="1276"/>
        <w:gridCol w:w="992"/>
        <w:gridCol w:w="1276"/>
        <w:gridCol w:w="1134"/>
        <w:gridCol w:w="1134"/>
      </w:tblGrid>
      <w:tr w:rsidR="00693BBC" w:rsidRPr="00F07FDB" w14:paraId="5C3992F5" w14:textId="77777777" w:rsidTr="00364F3A">
        <w:trPr>
          <w:trHeight w:val="690"/>
          <w:tblHeader/>
        </w:trPr>
        <w:tc>
          <w:tcPr>
            <w:tcW w:w="2273" w:type="dxa"/>
            <w:tcBorders>
              <w:top w:val="single" w:sz="4" w:space="0" w:color="auto"/>
              <w:left w:val="single" w:sz="4" w:space="0" w:color="auto"/>
            </w:tcBorders>
            <w:shd w:val="clear" w:color="auto" w:fill="FFFFFF"/>
            <w:hideMark/>
          </w:tcPr>
          <w:p w14:paraId="5F9D52BD" w14:textId="3917ED6A" w:rsidR="008A6503" w:rsidRPr="00EC2A6B" w:rsidRDefault="00151F34" w:rsidP="00364F3A">
            <w:pPr>
              <w:jc w:val="center"/>
              <w:rPr>
                <w:rFonts w:eastAsia="Times New Roman"/>
                <w:b/>
                <w:sz w:val="22"/>
                <w:lang w:val="en-US" w:eastAsia="en-US"/>
              </w:rPr>
            </w:pPr>
            <w:r w:rsidRPr="00EC2A6B">
              <w:rPr>
                <w:rFonts w:eastAsia="Times New Roman"/>
                <w:b/>
                <w:bCs/>
                <w:sz w:val="22"/>
                <w:lang w:val="en-US" w:eastAsia="en-US"/>
              </w:rPr>
              <w:t>System Organ Class/</w:t>
            </w:r>
            <w:r w:rsidR="008A6503" w:rsidRPr="00EC2A6B">
              <w:rPr>
                <w:rFonts w:eastAsia="Times New Roman"/>
                <w:b/>
                <w:sz w:val="22"/>
                <w:lang w:val="en-US" w:eastAsia="en-US"/>
              </w:rPr>
              <w:t>ADR (MedDRA</w:t>
            </w:r>
            <w:r w:rsidRPr="00EC2A6B">
              <w:rPr>
                <w:rFonts w:eastAsia="Times New Roman"/>
                <w:b/>
                <w:sz w:val="22"/>
                <w:lang w:val="en-US" w:eastAsia="en-US"/>
              </w:rPr>
              <w:t xml:space="preserve"> </w:t>
            </w:r>
            <w:r w:rsidRPr="00EC2A6B">
              <w:rPr>
                <w:b/>
                <w:sz w:val="22"/>
              </w:rPr>
              <w:t>preferred term</w:t>
            </w:r>
            <w:r w:rsidR="008A6503" w:rsidRPr="00EC2A6B">
              <w:rPr>
                <w:rFonts w:eastAsia="Times New Roman"/>
                <w:b/>
                <w:sz w:val="22"/>
                <w:lang w:val="en-US" w:eastAsia="en-US"/>
              </w:rPr>
              <w:t>)</w:t>
            </w:r>
          </w:p>
        </w:tc>
        <w:tc>
          <w:tcPr>
            <w:tcW w:w="2552" w:type="dxa"/>
            <w:gridSpan w:val="2"/>
            <w:tcBorders>
              <w:top w:val="single" w:sz="4" w:space="0" w:color="auto"/>
              <w:bottom w:val="single" w:sz="4" w:space="0" w:color="auto"/>
            </w:tcBorders>
            <w:shd w:val="clear" w:color="auto" w:fill="FFFFFF"/>
            <w:tcMar>
              <w:top w:w="0" w:type="dxa"/>
              <w:left w:w="108" w:type="dxa"/>
              <w:bottom w:w="0" w:type="dxa"/>
              <w:right w:w="108" w:type="dxa"/>
            </w:tcMar>
            <w:hideMark/>
          </w:tcPr>
          <w:p w14:paraId="317BF90C" w14:textId="77777777" w:rsidR="008A6503" w:rsidRPr="00EC2A6B" w:rsidRDefault="008A6503" w:rsidP="008A6503">
            <w:pPr>
              <w:jc w:val="center"/>
              <w:rPr>
                <w:rFonts w:eastAsia="Times New Roman"/>
                <w:b/>
                <w:sz w:val="22"/>
                <w:lang w:val="en-US" w:eastAsia="en-US"/>
              </w:rPr>
            </w:pPr>
            <w:proofErr w:type="spellStart"/>
            <w:r w:rsidRPr="00EC2A6B">
              <w:rPr>
                <w:rFonts w:eastAsia="Times New Roman"/>
                <w:b/>
                <w:sz w:val="22"/>
                <w:lang w:val="en-US" w:eastAsia="en-US"/>
              </w:rPr>
              <w:t>Tecentriq</w:t>
            </w:r>
            <w:proofErr w:type="spellEnd"/>
            <w:r w:rsidRPr="00EC2A6B">
              <w:rPr>
                <w:rFonts w:eastAsia="Times New Roman"/>
                <w:b/>
                <w:sz w:val="22"/>
                <w:lang w:val="en-US" w:eastAsia="en-US"/>
              </w:rPr>
              <w:t xml:space="preserve"> + bevacizumab + paclitaxel + carboplatin</w:t>
            </w:r>
          </w:p>
          <w:p w14:paraId="7C0E19C5"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(n = 393)</w:t>
            </w:r>
          </w:p>
        </w:tc>
        <w:tc>
          <w:tcPr>
            <w:tcW w:w="992" w:type="dxa"/>
            <w:tcBorders>
              <w:top w:val="single" w:sz="4" w:space="0" w:color="auto"/>
              <w:bottom w:val="single" w:sz="4" w:space="0" w:color="auto"/>
            </w:tcBorders>
            <w:shd w:val="clear" w:color="auto" w:fill="FFFFFF"/>
          </w:tcPr>
          <w:p w14:paraId="43FFA7A8"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Frequency</w:t>
            </w:r>
          </w:p>
          <w:p w14:paraId="41CFB312"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(all grades)</w:t>
            </w:r>
          </w:p>
        </w:tc>
        <w:tc>
          <w:tcPr>
            <w:tcW w:w="2410" w:type="dxa"/>
            <w:gridSpan w:val="2"/>
            <w:tcBorders>
              <w:top w:val="single" w:sz="4" w:space="0" w:color="auto"/>
              <w:bottom w:val="single" w:sz="4" w:space="0" w:color="auto"/>
            </w:tcBorders>
            <w:shd w:val="clear" w:color="auto" w:fill="FFFFFF"/>
            <w:tcMar>
              <w:top w:w="0" w:type="dxa"/>
              <w:left w:w="108" w:type="dxa"/>
              <w:bottom w:w="0" w:type="dxa"/>
              <w:right w:w="108" w:type="dxa"/>
            </w:tcMar>
            <w:hideMark/>
          </w:tcPr>
          <w:p w14:paraId="5815879D" w14:textId="77777777" w:rsidR="008A6503" w:rsidRPr="00EC2A6B" w:rsidRDefault="008A6503" w:rsidP="008A6503">
            <w:pPr>
              <w:jc w:val="center"/>
              <w:rPr>
                <w:rFonts w:eastAsia="Times New Roman"/>
                <w:b/>
                <w:sz w:val="22"/>
                <w:lang w:val="en-US" w:eastAsia="en-US"/>
              </w:rPr>
            </w:pPr>
            <w:proofErr w:type="spellStart"/>
            <w:r w:rsidRPr="00EC2A6B">
              <w:rPr>
                <w:rFonts w:eastAsia="Times New Roman"/>
                <w:b/>
                <w:sz w:val="22"/>
                <w:lang w:val="en-US" w:eastAsia="en-US"/>
              </w:rPr>
              <w:t>Tecentriq</w:t>
            </w:r>
            <w:proofErr w:type="spellEnd"/>
            <w:r w:rsidRPr="00EC2A6B">
              <w:rPr>
                <w:rFonts w:eastAsia="Times New Roman"/>
                <w:b/>
                <w:sz w:val="22"/>
                <w:lang w:val="en-US" w:eastAsia="en-US"/>
              </w:rPr>
              <w:t xml:space="preserve"> + paclitaxel + carboplatin</w:t>
            </w:r>
          </w:p>
          <w:p w14:paraId="4D007637"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(n = 400)</w:t>
            </w:r>
          </w:p>
        </w:tc>
        <w:tc>
          <w:tcPr>
            <w:tcW w:w="1134" w:type="dxa"/>
            <w:tcBorders>
              <w:top w:val="single" w:sz="4" w:space="0" w:color="auto"/>
              <w:bottom w:val="single" w:sz="4" w:space="0" w:color="auto"/>
              <w:right w:val="single" w:sz="4" w:space="0" w:color="auto"/>
            </w:tcBorders>
            <w:shd w:val="clear" w:color="auto" w:fill="FFFFFF"/>
            <w:hideMark/>
          </w:tcPr>
          <w:p w14:paraId="25C3F034"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Frequency</w:t>
            </w:r>
          </w:p>
          <w:p w14:paraId="68E2B4A8" w14:textId="77777777" w:rsidR="008A6503" w:rsidRPr="00EC2A6B" w:rsidRDefault="008A6503" w:rsidP="008A6503">
            <w:pPr>
              <w:jc w:val="center"/>
              <w:rPr>
                <w:rFonts w:eastAsia="Times New Roman"/>
                <w:b/>
                <w:sz w:val="22"/>
                <w:lang w:val="en-US" w:eastAsia="en-US"/>
              </w:rPr>
            </w:pPr>
            <w:r w:rsidRPr="00EC2A6B">
              <w:rPr>
                <w:rFonts w:eastAsia="Times New Roman"/>
                <w:b/>
                <w:sz w:val="22"/>
                <w:lang w:val="en-US" w:eastAsia="en-US"/>
              </w:rPr>
              <w:t>(all grades)</w:t>
            </w:r>
          </w:p>
        </w:tc>
      </w:tr>
      <w:tr w:rsidR="00364F3A" w:rsidRPr="00F07FDB" w14:paraId="799CC0A7" w14:textId="77777777" w:rsidTr="00364F3A">
        <w:trPr>
          <w:trHeight w:val="365"/>
          <w:tblHeader/>
        </w:trPr>
        <w:tc>
          <w:tcPr>
            <w:tcW w:w="2273" w:type="dxa"/>
            <w:tcBorders>
              <w:left w:val="single" w:sz="4" w:space="0" w:color="auto"/>
              <w:bottom w:val="single" w:sz="4" w:space="0" w:color="auto"/>
            </w:tcBorders>
            <w:shd w:val="clear" w:color="auto" w:fill="FFFFFF"/>
            <w:tcMar>
              <w:top w:w="0" w:type="dxa"/>
              <w:left w:w="108" w:type="dxa"/>
              <w:bottom w:w="0" w:type="dxa"/>
              <w:right w:w="108" w:type="dxa"/>
            </w:tcMar>
            <w:hideMark/>
          </w:tcPr>
          <w:p w14:paraId="27C7997F" w14:textId="1F4E6627" w:rsidR="008A6503" w:rsidRPr="00EC2A6B" w:rsidRDefault="008A6503" w:rsidP="008A6503">
            <w:pPr>
              <w:jc w:val="center"/>
              <w:rPr>
                <w:rFonts w:eastAsia="Times New Roman"/>
                <w:b/>
                <w:sz w:val="22"/>
                <w:lang w:val="en-US" w:eastAsia="en-US"/>
              </w:rPr>
            </w:pPr>
          </w:p>
        </w:tc>
        <w:tc>
          <w:tcPr>
            <w:tcW w:w="1276" w:type="dxa"/>
            <w:tcBorders>
              <w:top w:val="single" w:sz="4" w:space="0" w:color="auto"/>
              <w:bottom w:val="single" w:sz="4" w:space="0" w:color="auto"/>
            </w:tcBorders>
            <w:shd w:val="clear" w:color="auto" w:fill="FFFFFF"/>
            <w:tcMar>
              <w:top w:w="0" w:type="dxa"/>
              <w:left w:w="108" w:type="dxa"/>
              <w:bottom w:w="0" w:type="dxa"/>
              <w:right w:w="108" w:type="dxa"/>
            </w:tcMar>
            <w:hideMark/>
          </w:tcPr>
          <w:p w14:paraId="2F58647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All Grades (%)</w:t>
            </w:r>
          </w:p>
        </w:tc>
        <w:tc>
          <w:tcPr>
            <w:tcW w:w="1276" w:type="dxa"/>
            <w:tcBorders>
              <w:top w:val="single" w:sz="4" w:space="0" w:color="auto"/>
              <w:bottom w:val="single" w:sz="4" w:space="0" w:color="auto"/>
            </w:tcBorders>
            <w:shd w:val="clear" w:color="auto" w:fill="FFFFFF"/>
            <w:tcMar>
              <w:top w:w="0" w:type="dxa"/>
              <w:left w:w="108" w:type="dxa"/>
              <w:bottom w:w="0" w:type="dxa"/>
              <w:right w:w="108" w:type="dxa"/>
            </w:tcMar>
            <w:hideMark/>
          </w:tcPr>
          <w:p w14:paraId="6D13266F"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Grade 3-4 (%)</w:t>
            </w:r>
          </w:p>
        </w:tc>
        <w:tc>
          <w:tcPr>
            <w:tcW w:w="992" w:type="dxa"/>
            <w:tcBorders>
              <w:top w:val="single" w:sz="4" w:space="0" w:color="auto"/>
              <w:bottom w:val="single" w:sz="4" w:space="0" w:color="auto"/>
            </w:tcBorders>
            <w:shd w:val="clear" w:color="auto" w:fill="FFFFFF"/>
          </w:tcPr>
          <w:p w14:paraId="12B65E2C" w14:textId="77777777" w:rsidR="008A6503" w:rsidRPr="00EC2A6B" w:rsidRDefault="008A6503" w:rsidP="008A6503">
            <w:pPr>
              <w:jc w:val="center"/>
              <w:rPr>
                <w:rFonts w:eastAsia="Times New Roman"/>
                <w:sz w:val="22"/>
                <w:lang w:val="en-US" w:eastAsia="en-US"/>
              </w:rPr>
            </w:pPr>
          </w:p>
        </w:tc>
        <w:tc>
          <w:tcPr>
            <w:tcW w:w="1276" w:type="dxa"/>
            <w:tcBorders>
              <w:top w:val="single" w:sz="4" w:space="0" w:color="auto"/>
              <w:bottom w:val="single" w:sz="4" w:space="0" w:color="auto"/>
            </w:tcBorders>
            <w:shd w:val="clear" w:color="auto" w:fill="FFFFFF"/>
            <w:tcMar>
              <w:top w:w="0" w:type="dxa"/>
              <w:left w:w="108" w:type="dxa"/>
              <w:bottom w:w="0" w:type="dxa"/>
              <w:right w:w="108" w:type="dxa"/>
            </w:tcMar>
            <w:hideMark/>
          </w:tcPr>
          <w:p w14:paraId="79477C8C"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All Grades (%)</w:t>
            </w:r>
          </w:p>
        </w:tc>
        <w:tc>
          <w:tcPr>
            <w:tcW w:w="1134" w:type="dxa"/>
            <w:tcBorders>
              <w:top w:val="single" w:sz="4" w:space="0" w:color="auto"/>
              <w:bottom w:val="single" w:sz="4" w:space="0" w:color="auto"/>
            </w:tcBorders>
            <w:shd w:val="clear" w:color="auto" w:fill="FFFFFF"/>
            <w:tcMar>
              <w:top w:w="0" w:type="dxa"/>
              <w:left w:w="108" w:type="dxa"/>
              <w:bottom w:w="0" w:type="dxa"/>
              <w:right w:w="108" w:type="dxa"/>
            </w:tcMar>
            <w:hideMark/>
          </w:tcPr>
          <w:p w14:paraId="4681FA66"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Grade 3-4 (%)</w:t>
            </w:r>
          </w:p>
        </w:tc>
        <w:tc>
          <w:tcPr>
            <w:tcW w:w="1134" w:type="dxa"/>
            <w:tcBorders>
              <w:top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6FF87F" w14:textId="77777777" w:rsidR="008A6503" w:rsidRPr="00EC2A6B" w:rsidRDefault="008A6503" w:rsidP="008A6503">
            <w:pPr>
              <w:jc w:val="center"/>
              <w:rPr>
                <w:rFonts w:eastAsia="Times New Roman"/>
                <w:sz w:val="22"/>
                <w:lang w:val="en-US" w:eastAsia="en-US"/>
              </w:rPr>
            </w:pPr>
          </w:p>
        </w:tc>
      </w:tr>
      <w:tr w:rsidR="008A6503" w:rsidRPr="00F07FDB" w14:paraId="11BDF5E2"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0D97C06E" w14:textId="6D7FCE3C" w:rsidR="008A6503" w:rsidRPr="00EC2A6B" w:rsidRDefault="00F30BF2" w:rsidP="008A6503">
            <w:pPr>
              <w:jc w:val="left"/>
              <w:rPr>
                <w:rFonts w:eastAsia="Times New Roman"/>
                <w:sz w:val="22"/>
                <w:lang w:val="en-US" w:eastAsia="en-US"/>
              </w:rPr>
            </w:pPr>
            <w:r w:rsidRPr="00EC2A6B">
              <w:rPr>
                <w:rFonts w:eastAsia="Times New Roman"/>
                <w:b/>
                <w:bCs/>
                <w:sz w:val="22"/>
                <w:lang w:val="en-US" w:eastAsia="en-US"/>
              </w:rPr>
              <w:t xml:space="preserve"> </w:t>
            </w:r>
            <w:r w:rsidR="008A6503" w:rsidRPr="00EC2A6B">
              <w:rPr>
                <w:rFonts w:eastAsia="Times New Roman"/>
                <w:b/>
                <w:bCs/>
                <w:sz w:val="22"/>
                <w:lang w:val="en-US" w:eastAsia="en-US"/>
              </w:rPr>
              <w:t>Blood and Lymphatic System Disorders</w:t>
            </w:r>
          </w:p>
        </w:tc>
      </w:tr>
      <w:tr w:rsidR="00693BBC" w:rsidRPr="00F07FDB" w14:paraId="55AA0C79"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3F8EA23D" w14:textId="77777777" w:rsidR="008A6503" w:rsidRPr="00EC2A6B" w:rsidRDefault="008A6503" w:rsidP="008A6503">
            <w:pPr>
              <w:jc w:val="left"/>
              <w:rPr>
                <w:rFonts w:eastAsia="MS Mincho"/>
                <w:sz w:val="22"/>
                <w:lang w:val="en-US" w:eastAsia="en-US"/>
              </w:rPr>
            </w:pPr>
            <w:proofErr w:type="spellStart"/>
            <w:r w:rsidRPr="00EC2A6B">
              <w:rPr>
                <w:rFonts w:eastAsia="MS Mincho"/>
                <w:sz w:val="22"/>
                <w:lang w:val="en-US" w:eastAsia="en-US"/>
              </w:rPr>
              <w:t>Anaemia</w:t>
            </w:r>
            <w:proofErr w:type="spellEnd"/>
            <w:r w:rsidRPr="00EC2A6B">
              <w:rPr>
                <w:rFonts w:eastAsia="MS Mincho"/>
                <w:sz w:val="22"/>
                <w:vertAlign w:val="superscript"/>
                <w:lang w:val="en-US" w:eastAsia="en-US"/>
              </w:rPr>
              <w:sym w:font="Symbol" w:char="F02A"/>
            </w:r>
          </w:p>
        </w:tc>
        <w:tc>
          <w:tcPr>
            <w:tcW w:w="1276" w:type="dxa"/>
            <w:shd w:val="clear" w:color="auto" w:fill="FFFFFF"/>
            <w:tcMar>
              <w:top w:w="0" w:type="dxa"/>
              <w:left w:w="108" w:type="dxa"/>
              <w:bottom w:w="0" w:type="dxa"/>
              <w:right w:w="108" w:type="dxa"/>
            </w:tcMar>
            <w:vAlign w:val="center"/>
          </w:tcPr>
          <w:p w14:paraId="5DF2CE6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112 (28.5%)</w:t>
            </w:r>
          </w:p>
        </w:tc>
        <w:tc>
          <w:tcPr>
            <w:tcW w:w="1276" w:type="dxa"/>
            <w:shd w:val="clear" w:color="auto" w:fill="FFFFFF"/>
            <w:tcMar>
              <w:top w:w="0" w:type="dxa"/>
              <w:left w:w="108" w:type="dxa"/>
              <w:bottom w:w="0" w:type="dxa"/>
              <w:right w:w="108" w:type="dxa"/>
            </w:tcMar>
            <w:vAlign w:val="center"/>
          </w:tcPr>
          <w:p w14:paraId="46E55A3A" w14:textId="5446037E"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28 (7.1%)</w:t>
            </w:r>
          </w:p>
        </w:tc>
        <w:tc>
          <w:tcPr>
            <w:tcW w:w="992" w:type="dxa"/>
            <w:shd w:val="clear" w:color="auto" w:fill="FFFFFF"/>
            <w:vAlign w:val="center"/>
          </w:tcPr>
          <w:p w14:paraId="67C332DE"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tcMar>
              <w:top w:w="0" w:type="dxa"/>
              <w:left w:w="108" w:type="dxa"/>
              <w:bottom w:w="0" w:type="dxa"/>
              <w:right w:w="108" w:type="dxa"/>
            </w:tcMar>
            <w:vAlign w:val="center"/>
          </w:tcPr>
          <w:p w14:paraId="468359A5"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144 (36.0%)</w:t>
            </w:r>
          </w:p>
        </w:tc>
        <w:tc>
          <w:tcPr>
            <w:tcW w:w="1134" w:type="dxa"/>
            <w:shd w:val="clear" w:color="auto" w:fill="FFFFFF"/>
            <w:tcMar>
              <w:top w:w="0" w:type="dxa"/>
              <w:left w:w="108" w:type="dxa"/>
              <w:bottom w:w="0" w:type="dxa"/>
              <w:right w:w="108" w:type="dxa"/>
            </w:tcMar>
            <w:vAlign w:val="center"/>
          </w:tcPr>
          <w:p w14:paraId="3812F77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40 (10.0%)</w:t>
            </w:r>
          </w:p>
        </w:tc>
        <w:tc>
          <w:tcPr>
            <w:tcW w:w="1134" w:type="dxa"/>
            <w:tcBorders>
              <w:right w:val="single" w:sz="4" w:space="0" w:color="auto"/>
            </w:tcBorders>
            <w:shd w:val="clear" w:color="auto" w:fill="FFFFFF"/>
            <w:tcMar>
              <w:top w:w="0" w:type="dxa"/>
              <w:left w:w="108" w:type="dxa"/>
              <w:bottom w:w="0" w:type="dxa"/>
              <w:right w:w="108" w:type="dxa"/>
            </w:tcMar>
            <w:vAlign w:val="center"/>
          </w:tcPr>
          <w:p w14:paraId="4AAC78FB"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r>
      <w:tr w:rsidR="00693BBC" w:rsidRPr="00F07FDB" w14:paraId="49D1050D"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77AD6F3F"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Febrile neutropenia</w:t>
            </w:r>
            <w:r w:rsidRPr="00EC2A6B">
              <w:rPr>
                <w:rFonts w:eastAsia="MS Mincho"/>
                <w:sz w:val="22"/>
                <w:vertAlign w:val="superscript"/>
                <w:lang w:val="en-US" w:eastAsia="en-US"/>
              </w:rPr>
              <w:sym w:font="Symbol" w:char="F02A"/>
            </w:r>
            <w:r w:rsidRPr="00EC2A6B">
              <w:rPr>
                <w:rFonts w:eastAsia="MS Mincho"/>
                <w:sz w:val="22"/>
                <w:vertAlign w:val="superscript"/>
                <w:lang w:val="en-US" w:eastAsia="en-US"/>
              </w:rPr>
              <w:sym w:font="Symbol" w:char="F02C"/>
            </w:r>
            <w:r w:rsidRPr="00EC2A6B">
              <w:rPr>
                <w:rFonts w:eastAsia="MS Mincho"/>
                <w:sz w:val="22"/>
                <w:vertAlign w:val="superscript"/>
                <w:lang w:val="en-US" w:eastAsia="en-US"/>
              </w:rPr>
              <w:sym w:font="Symbol" w:char="F02B"/>
            </w:r>
          </w:p>
        </w:tc>
        <w:tc>
          <w:tcPr>
            <w:tcW w:w="1276" w:type="dxa"/>
            <w:shd w:val="clear" w:color="auto" w:fill="FFFFFF"/>
            <w:tcMar>
              <w:top w:w="0" w:type="dxa"/>
              <w:left w:w="108" w:type="dxa"/>
              <w:bottom w:w="0" w:type="dxa"/>
              <w:right w:w="108" w:type="dxa"/>
            </w:tcMar>
            <w:vAlign w:val="center"/>
          </w:tcPr>
          <w:p w14:paraId="5391B64D"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40 (10.2%)</w:t>
            </w:r>
          </w:p>
        </w:tc>
        <w:tc>
          <w:tcPr>
            <w:tcW w:w="1276" w:type="dxa"/>
            <w:shd w:val="clear" w:color="auto" w:fill="FFFFFF"/>
            <w:tcMar>
              <w:top w:w="0" w:type="dxa"/>
              <w:left w:w="108" w:type="dxa"/>
              <w:bottom w:w="0" w:type="dxa"/>
              <w:right w:w="108" w:type="dxa"/>
            </w:tcMar>
            <w:vAlign w:val="center"/>
          </w:tcPr>
          <w:p w14:paraId="180B8FE7" w14:textId="00717BE8"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35 (8.9%)</w:t>
            </w:r>
          </w:p>
        </w:tc>
        <w:tc>
          <w:tcPr>
            <w:tcW w:w="992" w:type="dxa"/>
            <w:shd w:val="clear" w:color="auto" w:fill="FFFFFF"/>
            <w:vAlign w:val="center"/>
          </w:tcPr>
          <w:p w14:paraId="0E9C41ED"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tcMar>
              <w:top w:w="0" w:type="dxa"/>
              <w:left w:w="108" w:type="dxa"/>
              <w:bottom w:w="0" w:type="dxa"/>
              <w:right w:w="108" w:type="dxa"/>
            </w:tcMar>
            <w:vAlign w:val="center"/>
          </w:tcPr>
          <w:p w14:paraId="1B99CCA2" w14:textId="0AA086BC"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 xml:space="preserve">29 </w:t>
            </w:r>
            <w:r w:rsidR="00151F34" w:rsidRPr="00EC2A6B">
              <w:rPr>
                <w:rFonts w:eastAsia="Times New Roman"/>
                <w:sz w:val="22"/>
                <w:lang w:val="en-US" w:eastAsia="en-US"/>
              </w:rPr>
              <w:t xml:space="preserve"> </w:t>
            </w:r>
            <w:r w:rsidRPr="00EC2A6B">
              <w:rPr>
                <w:rFonts w:eastAsia="Times New Roman"/>
                <w:sz w:val="22"/>
                <w:lang w:val="en-US" w:eastAsia="en-US"/>
              </w:rPr>
              <w:t>(7.3%)</w:t>
            </w:r>
          </w:p>
        </w:tc>
        <w:tc>
          <w:tcPr>
            <w:tcW w:w="1134" w:type="dxa"/>
            <w:shd w:val="clear" w:color="auto" w:fill="FFFFFF"/>
            <w:tcMar>
              <w:top w:w="0" w:type="dxa"/>
              <w:left w:w="108" w:type="dxa"/>
              <w:bottom w:w="0" w:type="dxa"/>
              <w:right w:w="108" w:type="dxa"/>
            </w:tcMar>
            <w:vAlign w:val="center"/>
          </w:tcPr>
          <w:p w14:paraId="764C2AC8" w14:textId="0A2D5B1B"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26 (6.5%)</w:t>
            </w:r>
          </w:p>
        </w:tc>
        <w:tc>
          <w:tcPr>
            <w:tcW w:w="1134" w:type="dxa"/>
            <w:tcBorders>
              <w:right w:val="single" w:sz="4" w:space="0" w:color="auto"/>
            </w:tcBorders>
            <w:shd w:val="clear" w:color="auto" w:fill="FFFFFF"/>
            <w:tcMar>
              <w:top w:w="0" w:type="dxa"/>
              <w:left w:w="108" w:type="dxa"/>
              <w:bottom w:w="0" w:type="dxa"/>
              <w:right w:w="108" w:type="dxa"/>
            </w:tcMar>
            <w:vAlign w:val="center"/>
          </w:tcPr>
          <w:p w14:paraId="631222E1"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693BBC" w:rsidRPr="00F07FDB" w14:paraId="176F42C0"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72BBB277"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Neutropenia</w:t>
            </w:r>
            <w:r w:rsidRPr="00EC2A6B">
              <w:rPr>
                <w:rFonts w:eastAsia="MS Mincho"/>
                <w:sz w:val="22"/>
                <w:vertAlign w:val="superscript"/>
                <w:lang w:val="en-US" w:eastAsia="en-US"/>
              </w:rPr>
              <w:sym w:font="Symbol" w:char="F02A"/>
            </w:r>
            <w:r w:rsidRPr="00EC2A6B">
              <w:rPr>
                <w:rFonts w:eastAsia="MS Mincho"/>
                <w:sz w:val="22"/>
                <w:vertAlign w:val="superscript"/>
                <w:lang w:val="en-US" w:eastAsia="en-US"/>
              </w:rPr>
              <w:t>,+,a</w:t>
            </w:r>
          </w:p>
        </w:tc>
        <w:tc>
          <w:tcPr>
            <w:tcW w:w="1276" w:type="dxa"/>
            <w:shd w:val="clear" w:color="auto" w:fill="FFFFFF"/>
            <w:tcMar>
              <w:top w:w="0" w:type="dxa"/>
              <w:left w:w="108" w:type="dxa"/>
              <w:bottom w:w="0" w:type="dxa"/>
              <w:right w:w="108" w:type="dxa"/>
            </w:tcMar>
            <w:vAlign w:val="center"/>
          </w:tcPr>
          <w:p w14:paraId="25BA6AE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145 (36.9%)</w:t>
            </w:r>
          </w:p>
        </w:tc>
        <w:tc>
          <w:tcPr>
            <w:tcW w:w="1276" w:type="dxa"/>
            <w:shd w:val="clear" w:color="auto" w:fill="FFFFFF"/>
            <w:tcMar>
              <w:top w:w="0" w:type="dxa"/>
              <w:left w:w="108" w:type="dxa"/>
              <w:bottom w:w="0" w:type="dxa"/>
              <w:right w:w="108" w:type="dxa"/>
            </w:tcMar>
            <w:vAlign w:val="center"/>
          </w:tcPr>
          <w:p w14:paraId="7BA3FA81"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112 (28.5%)</w:t>
            </w:r>
          </w:p>
        </w:tc>
        <w:tc>
          <w:tcPr>
            <w:tcW w:w="992" w:type="dxa"/>
            <w:shd w:val="clear" w:color="auto" w:fill="FFFFFF"/>
            <w:vAlign w:val="center"/>
          </w:tcPr>
          <w:p w14:paraId="5CCE17DB"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tcMar>
              <w:top w:w="0" w:type="dxa"/>
              <w:left w:w="108" w:type="dxa"/>
              <w:bottom w:w="0" w:type="dxa"/>
              <w:right w:w="108" w:type="dxa"/>
            </w:tcMar>
            <w:vAlign w:val="center"/>
          </w:tcPr>
          <w:p w14:paraId="69760319"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113 (28.3%)</w:t>
            </w:r>
          </w:p>
        </w:tc>
        <w:tc>
          <w:tcPr>
            <w:tcW w:w="1134" w:type="dxa"/>
            <w:shd w:val="clear" w:color="auto" w:fill="FFFFFF"/>
            <w:tcMar>
              <w:top w:w="0" w:type="dxa"/>
              <w:left w:w="108" w:type="dxa"/>
              <w:bottom w:w="0" w:type="dxa"/>
              <w:right w:w="108" w:type="dxa"/>
            </w:tcMar>
            <w:vAlign w:val="center"/>
          </w:tcPr>
          <w:p w14:paraId="6F61CE6A"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80 (20.0%)</w:t>
            </w:r>
          </w:p>
        </w:tc>
        <w:tc>
          <w:tcPr>
            <w:tcW w:w="1134" w:type="dxa"/>
            <w:tcBorders>
              <w:right w:val="single" w:sz="4" w:space="0" w:color="auto"/>
            </w:tcBorders>
            <w:shd w:val="clear" w:color="auto" w:fill="FFFFFF"/>
            <w:tcMar>
              <w:top w:w="0" w:type="dxa"/>
              <w:left w:w="108" w:type="dxa"/>
              <w:bottom w:w="0" w:type="dxa"/>
              <w:right w:w="108" w:type="dxa"/>
            </w:tcMar>
            <w:vAlign w:val="center"/>
          </w:tcPr>
          <w:p w14:paraId="1638ADC6"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r>
      <w:tr w:rsidR="00364F3A" w:rsidRPr="00F07FDB" w14:paraId="58D0F4EF"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22606D9C" w14:textId="77777777" w:rsidR="008A6503" w:rsidRPr="00EC2A6B" w:rsidRDefault="008A6503" w:rsidP="008A6503">
            <w:pPr>
              <w:jc w:val="left"/>
              <w:rPr>
                <w:rFonts w:eastAsia="Times New Roman"/>
                <w:sz w:val="22"/>
                <w:lang w:val="en-US" w:eastAsia="en-US"/>
              </w:rPr>
            </w:pPr>
            <w:r w:rsidRPr="00EC2A6B">
              <w:rPr>
                <w:rFonts w:eastAsia="MS Mincho"/>
                <w:sz w:val="22"/>
                <w:lang w:val="en-US" w:eastAsia="en-US"/>
              </w:rPr>
              <w:t>Thrombocytopenia</w:t>
            </w:r>
            <w:r w:rsidRPr="00EC2A6B">
              <w:rPr>
                <w:rFonts w:eastAsia="MS Mincho"/>
                <w:sz w:val="22"/>
                <w:vertAlign w:val="superscript"/>
                <w:lang w:val="en-US" w:eastAsia="en-US"/>
              </w:rPr>
              <w:sym w:font="Symbol" w:char="F02A"/>
            </w:r>
            <w:r w:rsidRPr="00EC2A6B">
              <w:rPr>
                <w:rFonts w:eastAsia="MS Mincho"/>
                <w:sz w:val="22"/>
                <w:vertAlign w:val="superscript"/>
                <w:lang w:val="en-US" w:eastAsia="en-US"/>
              </w:rPr>
              <w:t>,‡, b</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6859B371"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103 (26.2%)</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5445D19D" w14:textId="5ABA0974"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36 (9.2%)</w:t>
            </w:r>
          </w:p>
        </w:tc>
        <w:tc>
          <w:tcPr>
            <w:tcW w:w="992" w:type="dxa"/>
            <w:tcBorders>
              <w:bottom w:val="single" w:sz="4" w:space="0" w:color="auto"/>
            </w:tcBorders>
            <w:shd w:val="clear" w:color="auto" w:fill="FFFFFF"/>
            <w:vAlign w:val="center"/>
          </w:tcPr>
          <w:p w14:paraId="15874C87"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028F9E61" w14:textId="43CCEFC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87 (21.8%)</w:t>
            </w:r>
          </w:p>
        </w:tc>
        <w:tc>
          <w:tcPr>
            <w:tcW w:w="1134" w:type="dxa"/>
            <w:tcBorders>
              <w:bottom w:val="single" w:sz="4" w:space="0" w:color="auto"/>
            </w:tcBorders>
            <w:shd w:val="clear" w:color="auto" w:fill="FFFFFF"/>
            <w:tcMar>
              <w:top w:w="0" w:type="dxa"/>
              <w:left w:w="108" w:type="dxa"/>
              <w:bottom w:w="0" w:type="dxa"/>
              <w:right w:w="108" w:type="dxa"/>
            </w:tcMar>
            <w:vAlign w:val="center"/>
          </w:tcPr>
          <w:p w14:paraId="5ABB9FB7" w14:textId="73D02574"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21 (5.3%)</w:t>
            </w:r>
          </w:p>
        </w:tc>
        <w:tc>
          <w:tcPr>
            <w:tcW w:w="1134" w:type="dxa"/>
            <w:tcBorders>
              <w:bottom w:val="single" w:sz="4" w:space="0" w:color="auto"/>
              <w:right w:val="single" w:sz="4" w:space="0" w:color="auto"/>
            </w:tcBorders>
            <w:shd w:val="clear" w:color="auto" w:fill="FFFFFF"/>
            <w:tcMar>
              <w:top w:w="0" w:type="dxa"/>
              <w:left w:w="108" w:type="dxa"/>
              <w:bottom w:w="0" w:type="dxa"/>
              <w:right w:w="108" w:type="dxa"/>
            </w:tcMar>
            <w:vAlign w:val="center"/>
          </w:tcPr>
          <w:p w14:paraId="6AEB1D53"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r>
      <w:tr w:rsidR="008A6503" w:rsidRPr="00F07FDB" w14:paraId="41AB1CC6"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6351515C" w14:textId="2382E02D" w:rsidR="008A6503" w:rsidRPr="00EC2A6B" w:rsidRDefault="00F30BF2" w:rsidP="008A6503">
            <w:pPr>
              <w:jc w:val="left"/>
              <w:rPr>
                <w:rFonts w:eastAsia="Times New Roman"/>
                <w:b/>
                <w:bCs/>
                <w:sz w:val="22"/>
                <w:lang w:val="en-US" w:eastAsia="en-US"/>
              </w:rPr>
            </w:pPr>
            <w:r w:rsidRPr="00EC2A6B">
              <w:rPr>
                <w:rFonts w:eastAsia="Times New Roman"/>
                <w:b/>
                <w:bCs/>
                <w:sz w:val="22"/>
                <w:lang w:val="en-US" w:eastAsia="en-US"/>
              </w:rPr>
              <w:t xml:space="preserve"> </w:t>
            </w:r>
            <w:r w:rsidR="008A6503" w:rsidRPr="00EC2A6B">
              <w:rPr>
                <w:rFonts w:eastAsia="Times New Roman"/>
                <w:b/>
                <w:bCs/>
                <w:sz w:val="22"/>
                <w:lang w:val="en-US" w:eastAsia="en-US"/>
              </w:rPr>
              <w:t>Endocrine Disorders</w:t>
            </w:r>
          </w:p>
        </w:tc>
      </w:tr>
      <w:tr w:rsidR="00693BBC" w:rsidRPr="00F07FDB" w14:paraId="3FD60F34"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5C7BB66A" w14:textId="77777777" w:rsidR="008A6503" w:rsidRPr="00EC2A6B" w:rsidRDefault="008A6503" w:rsidP="008A6503">
            <w:pPr>
              <w:jc w:val="left"/>
              <w:rPr>
                <w:rFonts w:eastAsia="Times New Roman"/>
                <w:sz w:val="22"/>
                <w:lang w:val="en-US" w:eastAsia="en-US"/>
              </w:rPr>
            </w:pPr>
            <w:r w:rsidRPr="00EC2A6B">
              <w:rPr>
                <w:rFonts w:eastAsia="MS Mincho"/>
                <w:sz w:val="22"/>
                <w:lang w:val="en-US" w:eastAsia="en-US"/>
              </w:rPr>
              <w:t>Hypothyroidism</w:t>
            </w:r>
            <w:r w:rsidRPr="00EC2A6B">
              <w:rPr>
                <w:rFonts w:eastAsia="MS Mincho"/>
                <w:sz w:val="22"/>
                <w:vertAlign w:val="superscript"/>
                <w:lang w:val="en-US" w:eastAsia="en-US"/>
              </w:rPr>
              <w:sym w:font="Symbol" w:char="F02A"/>
            </w:r>
            <w:r w:rsidRPr="00EC2A6B">
              <w:rPr>
                <w:rFonts w:eastAsia="MS Mincho"/>
                <w:sz w:val="22"/>
                <w:vertAlign w:val="superscript"/>
                <w:lang w:val="en-US" w:eastAsia="en-US"/>
              </w:rPr>
              <w:t>,‡, c</w:t>
            </w:r>
          </w:p>
        </w:tc>
        <w:tc>
          <w:tcPr>
            <w:tcW w:w="1276" w:type="dxa"/>
            <w:shd w:val="clear" w:color="auto" w:fill="FFFFFF"/>
            <w:tcMar>
              <w:top w:w="0" w:type="dxa"/>
              <w:left w:w="108" w:type="dxa"/>
              <w:bottom w:w="0" w:type="dxa"/>
              <w:right w:w="108" w:type="dxa"/>
            </w:tcMar>
            <w:vAlign w:val="center"/>
          </w:tcPr>
          <w:p w14:paraId="1111DC39"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50 (12.7%)</w:t>
            </w:r>
          </w:p>
        </w:tc>
        <w:tc>
          <w:tcPr>
            <w:tcW w:w="1276" w:type="dxa"/>
            <w:shd w:val="clear" w:color="auto" w:fill="FFFFFF"/>
            <w:tcMar>
              <w:top w:w="0" w:type="dxa"/>
              <w:left w:w="108" w:type="dxa"/>
              <w:bottom w:w="0" w:type="dxa"/>
              <w:right w:w="108" w:type="dxa"/>
            </w:tcMar>
            <w:vAlign w:val="center"/>
          </w:tcPr>
          <w:p w14:paraId="753A36C5" w14:textId="507D3B2A"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 (0.3%)</w:t>
            </w:r>
          </w:p>
        </w:tc>
        <w:tc>
          <w:tcPr>
            <w:tcW w:w="992" w:type="dxa"/>
            <w:shd w:val="clear" w:color="auto" w:fill="FFFFFF"/>
            <w:vAlign w:val="center"/>
          </w:tcPr>
          <w:p w14:paraId="55540905"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tcMar>
              <w:top w:w="0" w:type="dxa"/>
              <w:left w:w="108" w:type="dxa"/>
              <w:bottom w:w="0" w:type="dxa"/>
              <w:right w:w="108" w:type="dxa"/>
            </w:tcMar>
            <w:vAlign w:val="center"/>
          </w:tcPr>
          <w:p w14:paraId="13EADC8F" w14:textId="6988D03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30 (7.5%)</w:t>
            </w:r>
          </w:p>
        </w:tc>
        <w:tc>
          <w:tcPr>
            <w:tcW w:w="1134" w:type="dxa"/>
            <w:shd w:val="clear" w:color="auto" w:fill="FFFFFF"/>
            <w:tcMar>
              <w:top w:w="0" w:type="dxa"/>
              <w:left w:w="108" w:type="dxa"/>
              <w:bottom w:w="0" w:type="dxa"/>
              <w:right w:w="108" w:type="dxa"/>
            </w:tcMar>
            <w:vAlign w:val="center"/>
          </w:tcPr>
          <w:p w14:paraId="341C2853" w14:textId="6320DCA3"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 (0.3%)</w:t>
            </w:r>
          </w:p>
        </w:tc>
        <w:tc>
          <w:tcPr>
            <w:tcW w:w="1134" w:type="dxa"/>
            <w:tcBorders>
              <w:right w:val="single" w:sz="4" w:space="0" w:color="auto"/>
            </w:tcBorders>
            <w:shd w:val="clear" w:color="auto" w:fill="FFFFFF"/>
            <w:tcMar>
              <w:top w:w="0" w:type="dxa"/>
              <w:left w:w="108" w:type="dxa"/>
              <w:bottom w:w="0" w:type="dxa"/>
              <w:right w:w="108" w:type="dxa"/>
            </w:tcMar>
            <w:vAlign w:val="center"/>
          </w:tcPr>
          <w:p w14:paraId="3743D1D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693BBC" w:rsidRPr="00F07FDB" w14:paraId="27E37EA4"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12121F86" w14:textId="77777777" w:rsidR="008A6503" w:rsidRPr="00EC2A6B" w:rsidRDefault="008A6503" w:rsidP="008A6503">
            <w:pPr>
              <w:jc w:val="left"/>
              <w:rPr>
                <w:rFonts w:eastAsia="Times New Roman"/>
                <w:sz w:val="22"/>
                <w:lang w:val="en-US" w:eastAsia="en-US"/>
              </w:rPr>
            </w:pPr>
            <w:r w:rsidRPr="00EC2A6B">
              <w:rPr>
                <w:rFonts w:eastAsia="MS Mincho"/>
                <w:sz w:val="22"/>
                <w:lang w:val="en-US" w:eastAsia="en-US"/>
              </w:rPr>
              <w:t>Hyperthyroidism</w:t>
            </w:r>
            <w:r w:rsidRPr="00EC2A6B">
              <w:rPr>
                <w:rFonts w:eastAsia="MS Mincho"/>
                <w:sz w:val="22"/>
                <w:vertAlign w:val="superscript"/>
                <w:lang w:val="en-US" w:eastAsia="en-US"/>
              </w:rPr>
              <w:t>‡</w:t>
            </w:r>
          </w:p>
        </w:tc>
        <w:tc>
          <w:tcPr>
            <w:tcW w:w="1276" w:type="dxa"/>
            <w:shd w:val="clear" w:color="auto" w:fill="FFFFFF"/>
            <w:tcMar>
              <w:top w:w="0" w:type="dxa"/>
              <w:left w:w="108" w:type="dxa"/>
              <w:bottom w:w="0" w:type="dxa"/>
              <w:right w:w="108" w:type="dxa"/>
            </w:tcMar>
            <w:vAlign w:val="center"/>
          </w:tcPr>
          <w:p w14:paraId="5C502527" w14:textId="3CA8AEA1"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16 (4.1%)</w:t>
            </w:r>
          </w:p>
        </w:tc>
        <w:tc>
          <w:tcPr>
            <w:tcW w:w="1276" w:type="dxa"/>
            <w:shd w:val="clear" w:color="auto" w:fill="FFFFFF"/>
            <w:tcMar>
              <w:top w:w="0" w:type="dxa"/>
              <w:left w:w="108" w:type="dxa"/>
              <w:bottom w:w="0" w:type="dxa"/>
              <w:right w:w="108" w:type="dxa"/>
            </w:tcMar>
            <w:vAlign w:val="center"/>
          </w:tcPr>
          <w:p w14:paraId="09AE4255" w14:textId="7BD17A35"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 (0.3%)</w:t>
            </w:r>
          </w:p>
        </w:tc>
        <w:tc>
          <w:tcPr>
            <w:tcW w:w="992" w:type="dxa"/>
            <w:shd w:val="clear" w:color="auto" w:fill="FFFFFF"/>
            <w:vAlign w:val="center"/>
          </w:tcPr>
          <w:p w14:paraId="7D335F56"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c>
          <w:tcPr>
            <w:tcW w:w="1276" w:type="dxa"/>
            <w:shd w:val="clear" w:color="auto" w:fill="FFFFFF"/>
            <w:tcMar>
              <w:top w:w="0" w:type="dxa"/>
              <w:left w:w="108" w:type="dxa"/>
              <w:bottom w:w="0" w:type="dxa"/>
              <w:right w:w="108" w:type="dxa"/>
            </w:tcMar>
            <w:vAlign w:val="center"/>
          </w:tcPr>
          <w:p w14:paraId="36DD69BE" w14:textId="41B4195B"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11 (2.8%)</w:t>
            </w:r>
          </w:p>
        </w:tc>
        <w:tc>
          <w:tcPr>
            <w:tcW w:w="1134" w:type="dxa"/>
            <w:shd w:val="clear" w:color="auto" w:fill="FFFFFF"/>
            <w:tcMar>
              <w:top w:w="0" w:type="dxa"/>
              <w:left w:w="108" w:type="dxa"/>
              <w:bottom w:w="0" w:type="dxa"/>
              <w:right w:w="108" w:type="dxa"/>
            </w:tcMar>
            <w:vAlign w:val="center"/>
          </w:tcPr>
          <w:p w14:paraId="672E6F78" w14:textId="5A29DB57"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0 (0%)</w:t>
            </w:r>
          </w:p>
        </w:tc>
        <w:tc>
          <w:tcPr>
            <w:tcW w:w="1134" w:type="dxa"/>
            <w:tcBorders>
              <w:right w:val="single" w:sz="4" w:space="0" w:color="auto"/>
            </w:tcBorders>
            <w:shd w:val="clear" w:color="auto" w:fill="FFFFFF"/>
            <w:tcMar>
              <w:top w:w="0" w:type="dxa"/>
              <w:left w:w="108" w:type="dxa"/>
              <w:bottom w:w="0" w:type="dxa"/>
              <w:right w:w="108" w:type="dxa"/>
            </w:tcMar>
            <w:vAlign w:val="center"/>
          </w:tcPr>
          <w:p w14:paraId="7B773970"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364F3A" w:rsidRPr="00F07FDB" w14:paraId="1549F7B8"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5D7E2448" w14:textId="77777777" w:rsidR="008A6503" w:rsidRPr="00EC2A6B" w:rsidRDefault="008A6503" w:rsidP="008A6503">
            <w:pPr>
              <w:jc w:val="left"/>
              <w:rPr>
                <w:rFonts w:eastAsia="Times New Roman"/>
                <w:sz w:val="22"/>
                <w:lang w:val="en-US" w:eastAsia="en-US"/>
              </w:rPr>
            </w:pPr>
            <w:proofErr w:type="spellStart"/>
            <w:r w:rsidRPr="00EC2A6B">
              <w:rPr>
                <w:rFonts w:eastAsia="MS Mincho"/>
                <w:sz w:val="22"/>
                <w:lang w:val="en-US" w:eastAsia="en-US"/>
              </w:rPr>
              <w:t>Hypophysitis</w:t>
            </w:r>
            <w:proofErr w:type="spellEnd"/>
            <w:r w:rsidRPr="00EC2A6B">
              <w:rPr>
                <w:rFonts w:eastAsia="MS Mincho"/>
                <w:sz w:val="22"/>
                <w:vertAlign w:val="superscript"/>
                <w:lang w:val="en-US" w:eastAsia="en-US"/>
              </w:rPr>
              <w:t>‡</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4B42BBAB" w14:textId="65FE281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3 (0.8%)</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5A265CF8" w14:textId="2AA1FC22"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1 (0.3%)</w:t>
            </w:r>
          </w:p>
        </w:tc>
        <w:tc>
          <w:tcPr>
            <w:tcW w:w="992" w:type="dxa"/>
            <w:tcBorders>
              <w:bottom w:val="single" w:sz="4" w:space="0" w:color="auto"/>
            </w:tcBorders>
            <w:shd w:val="clear" w:color="auto" w:fill="FFFFFF"/>
            <w:vAlign w:val="center"/>
          </w:tcPr>
          <w:p w14:paraId="0CC98BBC"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Uncommon</w:t>
            </w:r>
          </w:p>
        </w:tc>
        <w:tc>
          <w:tcPr>
            <w:tcW w:w="1276" w:type="dxa"/>
            <w:tcBorders>
              <w:bottom w:val="single" w:sz="4" w:space="0" w:color="auto"/>
            </w:tcBorders>
            <w:shd w:val="clear" w:color="auto" w:fill="FFFFFF"/>
            <w:tcMar>
              <w:top w:w="0" w:type="dxa"/>
              <w:left w:w="108" w:type="dxa"/>
              <w:bottom w:w="0" w:type="dxa"/>
              <w:right w:w="108" w:type="dxa"/>
            </w:tcMar>
            <w:vAlign w:val="center"/>
          </w:tcPr>
          <w:p w14:paraId="2B026585" w14:textId="714E35FE"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0 (0%)</w:t>
            </w:r>
          </w:p>
        </w:tc>
        <w:tc>
          <w:tcPr>
            <w:tcW w:w="1134" w:type="dxa"/>
            <w:tcBorders>
              <w:bottom w:val="single" w:sz="4" w:space="0" w:color="auto"/>
            </w:tcBorders>
            <w:shd w:val="clear" w:color="auto" w:fill="FFFFFF"/>
            <w:tcMar>
              <w:top w:w="0" w:type="dxa"/>
              <w:left w:w="108" w:type="dxa"/>
              <w:bottom w:w="0" w:type="dxa"/>
              <w:right w:w="108" w:type="dxa"/>
            </w:tcMar>
            <w:vAlign w:val="center"/>
          </w:tcPr>
          <w:p w14:paraId="15FD57F7" w14:textId="0983D47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0 (0%)</w:t>
            </w:r>
          </w:p>
        </w:tc>
        <w:tc>
          <w:tcPr>
            <w:tcW w:w="1134" w:type="dxa"/>
            <w:tcBorders>
              <w:bottom w:val="single" w:sz="4" w:space="0" w:color="auto"/>
              <w:right w:val="single" w:sz="4" w:space="0" w:color="auto"/>
            </w:tcBorders>
            <w:shd w:val="clear" w:color="auto" w:fill="FFFFFF"/>
            <w:tcMar>
              <w:top w:w="0" w:type="dxa"/>
              <w:left w:w="108" w:type="dxa"/>
              <w:bottom w:w="0" w:type="dxa"/>
              <w:right w:w="108" w:type="dxa"/>
            </w:tcMar>
            <w:vAlign w:val="center"/>
          </w:tcPr>
          <w:p w14:paraId="33245E7F"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w:t>
            </w:r>
          </w:p>
        </w:tc>
      </w:tr>
      <w:tr w:rsidR="008A6503" w:rsidRPr="00F07FDB" w14:paraId="10AE9FE4"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51B10F8E" w14:textId="450F247F" w:rsidR="008A6503" w:rsidRPr="00EC2A6B" w:rsidRDefault="00F30BF2" w:rsidP="008A6503">
            <w:pPr>
              <w:jc w:val="left"/>
              <w:rPr>
                <w:rFonts w:eastAsia="Times New Roman"/>
                <w:sz w:val="22"/>
                <w:lang w:val="en-US" w:eastAsia="en-US"/>
              </w:rPr>
            </w:pPr>
            <w:r w:rsidRPr="00EC2A6B">
              <w:rPr>
                <w:rFonts w:eastAsia="Times New Roman"/>
                <w:b/>
                <w:bCs/>
                <w:sz w:val="22"/>
                <w:lang w:val="en-US" w:eastAsia="en-US"/>
              </w:rPr>
              <w:t xml:space="preserve"> </w:t>
            </w:r>
            <w:r w:rsidR="008A6503" w:rsidRPr="00EC2A6B">
              <w:rPr>
                <w:rFonts w:eastAsia="Times New Roman"/>
                <w:b/>
                <w:bCs/>
                <w:sz w:val="22"/>
                <w:lang w:val="en-US" w:eastAsia="en-US"/>
              </w:rPr>
              <w:t>Gastrointestinal Disorders</w:t>
            </w:r>
          </w:p>
        </w:tc>
      </w:tr>
      <w:tr w:rsidR="00693BBC" w:rsidRPr="00F07FDB" w14:paraId="03C2D5F0"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1638B77C"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Constipation</w:t>
            </w:r>
            <w:r w:rsidRPr="00EC2A6B">
              <w:rPr>
                <w:rFonts w:eastAsia="MS Mincho"/>
                <w:sz w:val="22"/>
                <w:vertAlign w:val="superscript"/>
                <w:lang w:val="en-US" w:eastAsia="en-US"/>
              </w:rPr>
              <w:sym w:font="Symbol" w:char="F02A"/>
            </w:r>
          </w:p>
        </w:tc>
        <w:tc>
          <w:tcPr>
            <w:tcW w:w="1276" w:type="dxa"/>
            <w:shd w:val="clear" w:color="auto" w:fill="FFFFFF"/>
            <w:vAlign w:val="center"/>
          </w:tcPr>
          <w:p w14:paraId="18E3D8BB" w14:textId="50CEB1DE"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111 (28.2%)</w:t>
            </w:r>
          </w:p>
        </w:tc>
        <w:tc>
          <w:tcPr>
            <w:tcW w:w="1276" w:type="dxa"/>
            <w:shd w:val="clear" w:color="auto" w:fill="FFFFFF"/>
            <w:vAlign w:val="center"/>
          </w:tcPr>
          <w:p w14:paraId="77FE38C0" w14:textId="6966AA69"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0 (0%)</w:t>
            </w:r>
          </w:p>
        </w:tc>
        <w:tc>
          <w:tcPr>
            <w:tcW w:w="992" w:type="dxa"/>
            <w:shd w:val="clear" w:color="auto" w:fill="FFFFFF"/>
            <w:vAlign w:val="center"/>
          </w:tcPr>
          <w:p w14:paraId="6ED40E24"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vAlign w:val="center"/>
          </w:tcPr>
          <w:p w14:paraId="582F6699" w14:textId="3E912C66"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97 (24.3%)</w:t>
            </w:r>
          </w:p>
        </w:tc>
        <w:tc>
          <w:tcPr>
            <w:tcW w:w="1134" w:type="dxa"/>
            <w:shd w:val="clear" w:color="auto" w:fill="FFFFFF"/>
            <w:vAlign w:val="center"/>
          </w:tcPr>
          <w:p w14:paraId="2D7FEE99" w14:textId="2C16D4F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2 (0.5%)</w:t>
            </w:r>
          </w:p>
        </w:tc>
        <w:tc>
          <w:tcPr>
            <w:tcW w:w="1134" w:type="dxa"/>
            <w:tcBorders>
              <w:right w:val="single" w:sz="4" w:space="0" w:color="auto"/>
            </w:tcBorders>
            <w:shd w:val="clear" w:color="auto" w:fill="FFFFFF"/>
            <w:vAlign w:val="center"/>
          </w:tcPr>
          <w:p w14:paraId="1FF13674"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r>
      <w:tr w:rsidR="00693BBC" w:rsidRPr="00F07FDB" w14:paraId="26FAACB8" w14:textId="77777777" w:rsidTr="00364F3A">
        <w:trPr>
          <w:trHeight w:val="454"/>
        </w:trPr>
        <w:tc>
          <w:tcPr>
            <w:tcW w:w="2273" w:type="dxa"/>
            <w:tcBorders>
              <w:left w:val="single" w:sz="4" w:space="0" w:color="auto"/>
            </w:tcBorders>
            <w:shd w:val="clear" w:color="auto" w:fill="FFFFFF"/>
            <w:tcMar>
              <w:top w:w="0" w:type="dxa"/>
              <w:left w:w="108" w:type="dxa"/>
              <w:bottom w:w="0" w:type="dxa"/>
              <w:right w:w="108" w:type="dxa"/>
            </w:tcMar>
            <w:vAlign w:val="center"/>
          </w:tcPr>
          <w:p w14:paraId="64960AD6"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Stomatitis</w:t>
            </w:r>
            <w:r w:rsidRPr="00EC2A6B">
              <w:rPr>
                <w:rFonts w:eastAsia="MS Mincho"/>
                <w:sz w:val="22"/>
                <w:vertAlign w:val="superscript"/>
                <w:lang w:val="en-US" w:eastAsia="en-US"/>
              </w:rPr>
              <w:sym w:font="Symbol" w:char="F02A"/>
            </w:r>
          </w:p>
        </w:tc>
        <w:tc>
          <w:tcPr>
            <w:tcW w:w="1276" w:type="dxa"/>
            <w:shd w:val="clear" w:color="auto" w:fill="FFFFFF"/>
            <w:vAlign w:val="center"/>
          </w:tcPr>
          <w:p w14:paraId="6B2AABDA" w14:textId="601CB0DB"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50 (12.7%)</w:t>
            </w:r>
          </w:p>
        </w:tc>
        <w:tc>
          <w:tcPr>
            <w:tcW w:w="1276" w:type="dxa"/>
            <w:shd w:val="clear" w:color="auto" w:fill="FFFFFF"/>
            <w:vAlign w:val="center"/>
          </w:tcPr>
          <w:p w14:paraId="5F0FAA8D" w14:textId="5A4B6E9D"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4 (1.0%)</w:t>
            </w:r>
          </w:p>
        </w:tc>
        <w:tc>
          <w:tcPr>
            <w:tcW w:w="992" w:type="dxa"/>
            <w:shd w:val="clear" w:color="auto" w:fill="FFFFFF"/>
            <w:vAlign w:val="center"/>
          </w:tcPr>
          <w:p w14:paraId="770ED3D6"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shd w:val="clear" w:color="auto" w:fill="FFFFFF"/>
            <w:vAlign w:val="center"/>
          </w:tcPr>
          <w:p w14:paraId="0EE1B92C" w14:textId="52AA8F24"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22 (5.5%)</w:t>
            </w:r>
          </w:p>
        </w:tc>
        <w:tc>
          <w:tcPr>
            <w:tcW w:w="1134" w:type="dxa"/>
            <w:shd w:val="clear" w:color="auto" w:fill="FFFFFF"/>
            <w:vAlign w:val="center"/>
          </w:tcPr>
          <w:p w14:paraId="04898D5A" w14:textId="19ADF48F"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 (0.3%)</w:t>
            </w:r>
          </w:p>
        </w:tc>
        <w:tc>
          <w:tcPr>
            <w:tcW w:w="1134" w:type="dxa"/>
            <w:tcBorders>
              <w:right w:val="single" w:sz="4" w:space="0" w:color="auto"/>
            </w:tcBorders>
            <w:shd w:val="clear" w:color="auto" w:fill="FFFFFF"/>
            <w:vAlign w:val="center"/>
          </w:tcPr>
          <w:p w14:paraId="2C006A4C"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364F3A" w:rsidRPr="00F07FDB" w14:paraId="06DC34C6"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79C0D0C7" w14:textId="77777777" w:rsidR="008A6503" w:rsidRPr="00EC2A6B" w:rsidRDefault="008A6503" w:rsidP="008A6503">
            <w:pPr>
              <w:jc w:val="left"/>
              <w:rPr>
                <w:rFonts w:eastAsia="MS Mincho"/>
                <w:sz w:val="22"/>
                <w:lang w:val="en-US" w:eastAsia="en-US"/>
              </w:rPr>
            </w:pPr>
            <w:proofErr w:type="spellStart"/>
            <w:r w:rsidRPr="00EC2A6B">
              <w:rPr>
                <w:rFonts w:eastAsia="MS Mincho"/>
                <w:sz w:val="22"/>
                <w:lang w:val="en-US" w:eastAsia="en-US"/>
              </w:rPr>
              <w:t>Pancreatitis</w:t>
            </w:r>
            <w:r w:rsidRPr="00EC2A6B">
              <w:rPr>
                <w:rFonts w:eastAsia="MS Mincho"/>
                <w:sz w:val="22"/>
                <w:vertAlign w:val="superscript"/>
                <w:lang w:val="en-US" w:eastAsia="en-US"/>
              </w:rPr>
              <w:t>‡,e</w:t>
            </w:r>
            <w:proofErr w:type="spellEnd"/>
          </w:p>
        </w:tc>
        <w:tc>
          <w:tcPr>
            <w:tcW w:w="1276" w:type="dxa"/>
            <w:tcBorders>
              <w:bottom w:val="single" w:sz="4" w:space="0" w:color="auto"/>
            </w:tcBorders>
            <w:shd w:val="clear" w:color="auto" w:fill="FFFFFF"/>
            <w:vAlign w:val="center"/>
          </w:tcPr>
          <w:p w14:paraId="75165C80"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5 (1.3%)</w:t>
            </w:r>
          </w:p>
        </w:tc>
        <w:tc>
          <w:tcPr>
            <w:tcW w:w="1276" w:type="dxa"/>
            <w:tcBorders>
              <w:bottom w:val="single" w:sz="4" w:space="0" w:color="auto"/>
            </w:tcBorders>
            <w:shd w:val="clear" w:color="auto" w:fill="FFFFFF"/>
            <w:vAlign w:val="center"/>
          </w:tcPr>
          <w:p w14:paraId="75E77E3A"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2 (0.5%)</w:t>
            </w:r>
          </w:p>
        </w:tc>
        <w:tc>
          <w:tcPr>
            <w:tcW w:w="992" w:type="dxa"/>
            <w:tcBorders>
              <w:bottom w:val="single" w:sz="4" w:space="0" w:color="auto"/>
            </w:tcBorders>
            <w:shd w:val="clear" w:color="auto" w:fill="FFFFFF"/>
            <w:vAlign w:val="center"/>
          </w:tcPr>
          <w:p w14:paraId="4CE26E4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c>
          <w:tcPr>
            <w:tcW w:w="1276" w:type="dxa"/>
            <w:tcBorders>
              <w:bottom w:val="single" w:sz="4" w:space="0" w:color="auto"/>
            </w:tcBorders>
            <w:shd w:val="clear" w:color="auto" w:fill="FFFFFF"/>
            <w:vAlign w:val="center"/>
          </w:tcPr>
          <w:p w14:paraId="25AD99B3"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2 (0.5%)</w:t>
            </w:r>
          </w:p>
        </w:tc>
        <w:tc>
          <w:tcPr>
            <w:tcW w:w="1134" w:type="dxa"/>
            <w:tcBorders>
              <w:bottom w:val="single" w:sz="4" w:space="0" w:color="auto"/>
            </w:tcBorders>
            <w:shd w:val="clear" w:color="auto" w:fill="FFFFFF"/>
            <w:vAlign w:val="center"/>
          </w:tcPr>
          <w:p w14:paraId="0FEE1DD4"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2 (0.5%)</w:t>
            </w:r>
          </w:p>
        </w:tc>
        <w:tc>
          <w:tcPr>
            <w:tcW w:w="1134" w:type="dxa"/>
            <w:tcBorders>
              <w:bottom w:val="single" w:sz="4" w:space="0" w:color="auto"/>
              <w:right w:val="single" w:sz="4" w:space="0" w:color="auto"/>
            </w:tcBorders>
            <w:shd w:val="clear" w:color="auto" w:fill="FFFFFF"/>
            <w:vAlign w:val="center"/>
          </w:tcPr>
          <w:p w14:paraId="3CFB1187"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Uncommon</w:t>
            </w:r>
          </w:p>
        </w:tc>
      </w:tr>
      <w:tr w:rsidR="008A6503" w:rsidRPr="00F07FDB" w14:paraId="04E3BE75"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48E14368" w14:textId="75A374F4" w:rsidR="008A6503" w:rsidRPr="00EC2A6B" w:rsidRDefault="00F30BF2" w:rsidP="008A6503">
            <w:pPr>
              <w:jc w:val="left"/>
              <w:rPr>
                <w:rFonts w:eastAsia="Times New Roman"/>
                <w:b/>
                <w:sz w:val="22"/>
                <w:lang w:val="en-US" w:eastAsia="en-US"/>
              </w:rPr>
            </w:pPr>
            <w:r w:rsidRPr="00EC2A6B">
              <w:rPr>
                <w:rFonts w:eastAsia="Times New Roman"/>
                <w:b/>
                <w:sz w:val="22"/>
                <w:lang w:val="en-US" w:eastAsia="en-US"/>
              </w:rPr>
              <w:t xml:space="preserve"> </w:t>
            </w:r>
            <w:r w:rsidR="008A6503" w:rsidRPr="00EC2A6B">
              <w:rPr>
                <w:rFonts w:eastAsia="Times New Roman"/>
                <w:b/>
                <w:sz w:val="22"/>
                <w:lang w:val="en-US" w:eastAsia="en-US"/>
              </w:rPr>
              <w:t>Metabolism and Nutrition Disorders</w:t>
            </w:r>
          </w:p>
        </w:tc>
      </w:tr>
      <w:tr w:rsidR="00364F3A" w:rsidRPr="00F07FDB" w14:paraId="0DE0685A"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300E4188"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Hypomagnesemia</w:t>
            </w:r>
            <w:r w:rsidRPr="00EC2A6B">
              <w:rPr>
                <w:rFonts w:eastAsia="MS Mincho"/>
                <w:sz w:val="22"/>
                <w:vertAlign w:val="superscript"/>
                <w:lang w:val="en-US" w:eastAsia="en-US"/>
              </w:rPr>
              <w:sym w:font="Symbol" w:char="F02A"/>
            </w:r>
          </w:p>
        </w:tc>
        <w:tc>
          <w:tcPr>
            <w:tcW w:w="1276" w:type="dxa"/>
            <w:tcBorders>
              <w:bottom w:val="single" w:sz="4" w:space="0" w:color="auto"/>
            </w:tcBorders>
            <w:shd w:val="clear" w:color="auto" w:fill="FFFFFF"/>
            <w:vAlign w:val="center"/>
          </w:tcPr>
          <w:p w14:paraId="2DF4CCA2" w14:textId="5FD4ADAF"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51 (13.0%)</w:t>
            </w:r>
          </w:p>
        </w:tc>
        <w:tc>
          <w:tcPr>
            <w:tcW w:w="1276" w:type="dxa"/>
            <w:tcBorders>
              <w:bottom w:val="single" w:sz="4" w:space="0" w:color="auto"/>
            </w:tcBorders>
            <w:shd w:val="clear" w:color="auto" w:fill="FFFFFF"/>
            <w:vAlign w:val="center"/>
          </w:tcPr>
          <w:p w14:paraId="235B2E9B" w14:textId="1BE16DE6"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 (0.3%)</w:t>
            </w:r>
          </w:p>
        </w:tc>
        <w:tc>
          <w:tcPr>
            <w:tcW w:w="992" w:type="dxa"/>
            <w:tcBorders>
              <w:bottom w:val="single" w:sz="4" w:space="0" w:color="auto"/>
            </w:tcBorders>
            <w:shd w:val="clear" w:color="auto" w:fill="FFFFFF"/>
            <w:vAlign w:val="center"/>
          </w:tcPr>
          <w:p w14:paraId="7C17BC48"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tcBorders>
              <w:bottom w:val="single" w:sz="4" w:space="0" w:color="auto"/>
            </w:tcBorders>
            <w:shd w:val="clear" w:color="auto" w:fill="FFFFFF"/>
            <w:vAlign w:val="center"/>
          </w:tcPr>
          <w:p w14:paraId="359F1D67" w14:textId="109A35A9"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35 (8.8%)</w:t>
            </w:r>
          </w:p>
        </w:tc>
        <w:tc>
          <w:tcPr>
            <w:tcW w:w="1134" w:type="dxa"/>
            <w:tcBorders>
              <w:bottom w:val="single" w:sz="4" w:space="0" w:color="auto"/>
            </w:tcBorders>
            <w:shd w:val="clear" w:color="auto" w:fill="FFFFFF"/>
            <w:vAlign w:val="center"/>
          </w:tcPr>
          <w:p w14:paraId="3437CD03" w14:textId="6917A63D"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 (0.3%)</w:t>
            </w:r>
          </w:p>
        </w:tc>
        <w:tc>
          <w:tcPr>
            <w:tcW w:w="1134" w:type="dxa"/>
            <w:tcBorders>
              <w:bottom w:val="single" w:sz="4" w:space="0" w:color="auto"/>
              <w:right w:val="single" w:sz="4" w:space="0" w:color="auto"/>
            </w:tcBorders>
            <w:shd w:val="clear" w:color="auto" w:fill="FFFFFF"/>
            <w:vAlign w:val="center"/>
          </w:tcPr>
          <w:p w14:paraId="5BC0C8B3"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8A6503" w:rsidRPr="00F07FDB" w14:paraId="00C4A0C1"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750FF8B1" w14:textId="13D4D082" w:rsidR="008A6503" w:rsidRPr="00EC2A6B" w:rsidRDefault="00F30BF2" w:rsidP="008A6503">
            <w:pPr>
              <w:jc w:val="left"/>
              <w:rPr>
                <w:rFonts w:eastAsia="Times New Roman"/>
                <w:b/>
                <w:sz w:val="22"/>
                <w:lang w:val="en-US" w:eastAsia="en-US"/>
              </w:rPr>
            </w:pPr>
            <w:r w:rsidRPr="00EC2A6B">
              <w:rPr>
                <w:rFonts w:eastAsia="Times New Roman"/>
                <w:b/>
                <w:sz w:val="22"/>
                <w:lang w:val="en-US" w:eastAsia="en-US"/>
              </w:rPr>
              <w:t xml:space="preserve"> </w:t>
            </w:r>
            <w:r w:rsidR="008A6503" w:rsidRPr="00EC2A6B">
              <w:rPr>
                <w:rFonts w:eastAsia="Times New Roman"/>
                <w:b/>
                <w:sz w:val="22"/>
                <w:lang w:val="en-US" w:eastAsia="en-US"/>
              </w:rPr>
              <w:t>Musculoskeletal and Connective Tissue Disorders</w:t>
            </w:r>
          </w:p>
        </w:tc>
      </w:tr>
      <w:tr w:rsidR="00364F3A" w:rsidRPr="00F07FDB" w14:paraId="227510A4"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1257C8BC" w14:textId="77777777" w:rsidR="008A6503" w:rsidRPr="00EC2A6B" w:rsidRDefault="008A6503" w:rsidP="008A6503">
            <w:pPr>
              <w:jc w:val="left"/>
              <w:rPr>
                <w:rFonts w:eastAsia="Times New Roman"/>
                <w:sz w:val="22"/>
                <w:lang w:val="en-US" w:eastAsia="en-US"/>
              </w:rPr>
            </w:pPr>
            <w:r w:rsidRPr="00EC2A6B">
              <w:rPr>
                <w:rFonts w:eastAsia="MS Mincho"/>
                <w:sz w:val="22"/>
                <w:lang w:val="en-US" w:eastAsia="en-US"/>
              </w:rPr>
              <w:t>Musculoskeletal pain</w:t>
            </w:r>
            <w:r w:rsidRPr="00EC2A6B">
              <w:rPr>
                <w:rFonts w:eastAsia="MS Mincho"/>
                <w:sz w:val="22"/>
                <w:vertAlign w:val="superscript"/>
                <w:lang w:val="en-US" w:eastAsia="en-US"/>
              </w:rPr>
              <w:t>‡</w:t>
            </w:r>
          </w:p>
        </w:tc>
        <w:tc>
          <w:tcPr>
            <w:tcW w:w="1276" w:type="dxa"/>
            <w:tcBorders>
              <w:bottom w:val="single" w:sz="4" w:space="0" w:color="auto"/>
            </w:tcBorders>
            <w:shd w:val="clear" w:color="auto" w:fill="FFFFFF"/>
            <w:vAlign w:val="center"/>
          </w:tcPr>
          <w:p w14:paraId="4CBC85C0" w14:textId="59CD0F1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41 (10.4%)</w:t>
            </w:r>
          </w:p>
        </w:tc>
        <w:tc>
          <w:tcPr>
            <w:tcW w:w="1276" w:type="dxa"/>
            <w:tcBorders>
              <w:bottom w:val="single" w:sz="4" w:space="0" w:color="auto"/>
            </w:tcBorders>
            <w:shd w:val="clear" w:color="auto" w:fill="FFFFFF"/>
            <w:vAlign w:val="center"/>
          </w:tcPr>
          <w:p w14:paraId="7763F797" w14:textId="07C095C2"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1 (0.3%)</w:t>
            </w:r>
          </w:p>
        </w:tc>
        <w:tc>
          <w:tcPr>
            <w:tcW w:w="992" w:type="dxa"/>
            <w:tcBorders>
              <w:bottom w:val="single" w:sz="4" w:space="0" w:color="auto"/>
            </w:tcBorders>
            <w:shd w:val="clear" w:color="auto" w:fill="FFFFFF"/>
            <w:vAlign w:val="center"/>
          </w:tcPr>
          <w:p w14:paraId="511E6679"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c>
          <w:tcPr>
            <w:tcW w:w="1276" w:type="dxa"/>
            <w:tcBorders>
              <w:bottom w:val="single" w:sz="4" w:space="0" w:color="auto"/>
            </w:tcBorders>
            <w:shd w:val="clear" w:color="auto" w:fill="FFFFFF"/>
            <w:vAlign w:val="center"/>
          </w:tcPr>
          <w:p w14:paraId="164E0B4C" w14:textId="0920C493"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30 (7.5%)</w:t>
            </w:r>
          </w:p>
        </w:tc>
        <w:tc>
          <w:tcPr>
            <w:tcW w:w="1134" w:type="dxa"/>
            <w:tcBorders>
              <w:bottom w:val="single" w:sz="4" w:space="0" w:color="auto"/>
            </w:tcBorders>
            <w:shd w:val="clear" w:color="auto" w:fill="FFFFFF"/>
            <w:vAlign w:val="center"/>
          </w:tcPr>
          <w:p w14:paraId="4B142632" w14:textId="41F92EFA" w:rsidR="008A6503" w:rsidRPr="00EC2A6B" w:rsidRDefault="008A6503" w:rsidP="00364F3A">
            <w:pPr>
              <w:jc w:val="center"/>
              <w:rPr>
                <w:rFonts w:eastAsia="Times New Roman"/>
                <w:sz w:val="22"/>
                <w:lang w:val="en-US" w:eastAsia="en-US"/>
              </w:rPr>
            </w:pPr>
            <w:r w:rsidRPr="00EC2A6B">
              <w:rPr>
                <w:rFonts w:eastAsia="Times New Roman"/>
                <w:sz w:val="22"/>
                <w:lang w:val="en-US" w:eastAsia="en-US"/>
              </w:rPr>
              <w:t>4 (1.0%)</w:t>
            </w:r>
          </w:p>
        </w:tc>
        <w:tc>
          <w:tcPr>
            <w:tcW w:w="1134" w:type="dxa"/>
            <w:tcBorders>
              <w:bottom w:val="single" w:sz="4" w:space="0" w:color="auto"/>
              <w:right w:val="single" w:sz="4" w:space="0" w:color="auto"/>
            </w:tcBorders>
            <w:shd w:val="clear" w:color="auto" w:fill="FFFFFF"/>
            <w:vAlign w:val="center"/>
          </w:tcPr>
          <w:p w14:paraId="5F0A1FDB"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Common</w:t>
            </w:r>
          </w:p>
        </w:tc>
      </w:tr>
      <w:tr w:rsidR="008A6503" w:rsidRPr="00F07FDB" w14:paraId="6F7210FE" w14:textId="77777777" w:rsidTr="00364F3A">
        <w:trPr>
          <w:trHeight w:val="454"/>
        </w:trPr>
        <w:tc>
          <w:tcPr>
            <w:tcW w:w="9361" w:type="dxa"/>
            <w:gridSpan w:val="7"/>
            <w:tcBorders>
              <w:top w:val="single" w:sz="4" w:space="0" w:color="auto"/>
              <w:left w:val="single" w:sz="4" w:space="0" w:color="auto"/>
              <w:right w:val="single" w:sz="4" w:space="0" w:color="auto"/>
            </w:tcBorders>
            <w:shd w:val="clear" w:color="auto" w:fill="FFFFFF"/>
            <w:vAlign w:val="center"/>
          </w:tcPr>
          <w:p w14:paraId="000C35A1" w14:textId="4585999E" w:rsidR="008A6503" w:rsidRPr="00EC2A6B" w:rsidRDefault="00F30BF2" w:rsidP="008A6503">
            <w:pPr>
              <w:jc w:val="left"/>
              <w:rPr>
                <w:rFonts w:eastAsia="Times New Roman"/>
                <w:b/>
                <w:sz w:val="22"/>
                <w:lang w:val="en-US" w:eastAsia="en-US"/>
              </w:rPr>
            </w:pPr>
            <w:r w:rsidRPr="00EC2A6B">
              <w:rPr>
                <w:rFonts w:eastAsia="Times New Roman"/>
                <w:b/>
                <w:sz w:val="22"/>
                <w:lang w:val="en-US" w:eastAsia="en-US"/>
              </w:rPr>
              <w:t xml:space="preserve"> </w:t>
            </w:r>
            <w:r w:rsidR="008A6503" w:rsidRPr="00EC2A6B">
              <w:rPr>
                <w:rFonts w:eastAsia="Times New Roman"/>
                <w:b/>
                <w:sz w:val="22"/>
                <w:lang w:val="en-US" w:eastAsia="en-US"/>
              </w:rPr>
              <w:t>Nervous System Disorders</w:t>
            </w:r>
          </w:p>
        </w:tc>
      </w:tr>
      <w:tr w:rsidR="00364F3A" w:rsidRPr="00F07FDB" w14:paraId="69F324BE" w14:textId="77777777" w:rsidTr="00364F3A">
        <w:trPr>
          <w:trHeight w:val="454"/>
        </w:trPr>
        <w:tc>
          <w:tcPr>
            <w:tcW w:w="2273" w:type="dxa"/>
            <w:tcBorders>
              <w:left w:val="single" w:sz="4" w:space="0" w:color="auto"/>
              <w:bottom w:val="single" w:sz="4" w:space="0" w:color="auto"/>
            </w:tcBorders>
            <w:shd w:val="clear" w:color="auto" w:fill="FFFFFF"/>
            <w:tcMar>
              <w:top w:w="0" w:type="dxa"/>
              <w:left w:w="108" w:type="dxa"/>
              <w:bottom w:w="0" w:type="dxa"/>
              <w:right w:w="108" w:type="dxa"/>
            </w:tcMar>
            <w:vAlign w:val="center"/>
          </w:tcPr>
          <w:p w14:paraId="0602C043" w14:textId="77777777" w:rsidR="008A6503" w:rsidRPr="00EC2A6B" w:rsidRDefault="008A6503" w:rsidP="008A6503">
            <w:pPr>
              <w:jc w:val="left"/>
              <w:rPr>
                <w:rFonts w:eastAsia="MS Mincho"/>
                <w:sz w:val="22"/>
                <w:lang w:val="en-US" w:eastAsia="en-US"/>
              </w:rPr>
            </w:pPr>
            <w:r w:rsidRPr="00EC2A6B">
              <w:rPr>
                <w:rFonts w:eastAsia="MS Mincho"/>
                <w:sz w:val="22"/>
                <w:lang w:val="en-US" w:eastAsia="en-US"/>
              </w:rPr>
              <w:t>Peripheral neuropathy</w:t>
            </w:r>
            <w:r w:rsidRPr="00EC2A6B">
              <w:rPr>
                <w:rFonts w:eastAsia="MS Mincho"/>
                <w:sz w:val="22"/>
                <w:vertAlign w:val="superscript"/>
                <w:lang w:val="en-US" w:eastAsia="en-US"/>
              </w:rPr>
              <w:sym w:font="Symbol" w:char="F02A"/>
            </w:r>
            <w:r w:rsidRPr="00EC2A6B">
              <w:rPr>
                <w:rFonts w:eastAsia="MS Mincho"/>
                <w:sz w:val="22"/>
                <w:lang w:val="en-US" w:eastAsia="en-US"/>
              </w:rPr>
              <w:t>,</w:t>
            </w:r>
            <w:r w:rsidRPr="00EC2A6B">
              <w:rPr>
                <w:rFonts w:eastAsia="MS Mincho"/>
                <w:sz w:val="22"/>
                <w:vertAlign w:val="superscript"/>
                <w:lang w:val="en-US" w:eastAsia="en-US"/>
              </w:rPr>
              <w:t>d</w:t>
            </w:r>
          </w:p>
        </w:tc>
        <w:tc>
          <w:tcPr>
            <w:tcW w:w="1276" w:type="dxa"/>
            <w:tcBorders>
              <w:bottom w:val="single" w:sz="4" w:space="0" w:color="auto"/>
            </w:tcBorders>
            <w:shd w:val="clear" w:color="auto" w:fill="FFFFFF"/>
            <w:vAlign w:val="center"/>
          </w:tcPr>
          <w:p w14:paraId="32967F51" w14:textId="4985F1DC" w:rsidR="008A6503" w:rsidRPr="00EC2A6B" w:rsidRDefault="008A6503" w:rsidP="00364F3A">
            <w:pPr>
              <w:jc w:val="center"/>
              <w:rPr>
                <w:rFonts w:eastAsia="MS Mincho"/>
                <w:sz w:val="22"/>
                <w:lang w:val="en-US" w:eastAsia="en-US"/>
              </w:rPr>
            </w:pPr>
            <w:r w:rsidRPr="00EC2A6B">
              <w:rPr>
                <w:rFonts w:eastAsia="MS Mincho"/>
                <w:sz w:val="22"/>
                <w:lang w:val="en-US" w:eastAsia="en-US"/>
              </w:rPr>
              <w:t>170 (43.3%)</w:t>
            </w:r>
          </w:p>
        </w:tc>
        <w:tc>
          <w:tcPr>
            <w:tcW w:w="1276" w:type="dxa"/>
            <w:tcBorders>
              <w:bottom w:val="single" w:sz="4" w:space="0" w:color="auto"/>
            </w:tcBorders>
            <w:shd w:val="clear" w:color="auto" w:fill="FFFFFF"/>
            <w:vAlign w:val="center"/>
          </w:tcPr>
          <w:p w14:paraId="529F0A03" w14:textId="4FB2BE3A" w:rsidR="008A6503" w:rsidRPr="00EC2A6B" w:rsidRDefault="008A6503" w:rsidP="00364F3A">
            <w:pPr>
              <w:jc w:val="center"/>
              <w:rPr>
                <w:rFonts w:eastAsia="MS Mincho"/>
                <w:sz w:val="22"/>
                <w:lang w:val="en-US" w:eastAsia="en-US"/>
              </w:rPr>
            </w:pPr>
            <w:r w:rsidRPr="00EC2A6B">
              <w:rPr>
                <w:rFonts w:eastAsia="MS Mincho"/>
                <w:sz w:val="22"/>
                <w:lang w:val="en-US" w:eastAsia="en-US"/>
              </w:rPr>
              <w:t>14 (3.6%)</w:t>
            </w:r>
          </w:p>
        </w:tc>
        <w:tc>
          <w:tcPr>
            <w:tcW w:w="992" w:type="dxa"/>
            <w:tcBorders>
              <w:bottom w:val="single" w:sz="4" w:space="0" w:color="auto"/>
            </w:tcBorders>
            <w:shd w:val="clear" w:color="auto" w:fill="FFFFFF"/>
            <w:vAlign w:val="center"/>
          </w:tcPr>
          <w:p w14:paraId="3A4FE8C9" w14:textId="77777777" w:rsidR="008A6503" w:rsidRPr="00EC2A6B" w:rsidRDefault="008A6503" w:rsidP="008A6503">
            <w:pPr>
              <w:jc w:val="center"/>
              <w:rPr>
                <w:rFonts w:eastAsia="MS Mincho"/>
                <w:sz w:val="22"/>
                <w:lang w:val="en-US" w:eastAsia="en-US"/>
              </w:rPr>
            </w:pPr>
            <w:r w:rsidRPr="00EC2A6B">
              <w:rPr>
                <w:rFonts w:eastAsia="Times New Roman"/>
                <w:sz w:val="22"/>
                <w:lang w:val="en-US" w:eastAsia="en-US"/>
              </w:rPr>
              <w:t>Very common</w:t>
            </w:r>
          </w:p>
        </w:tc>
        <w:tc>
          <w:tcPr>
            <w:tcW w:w="1276" w:type="dxa"/>
            <w:tcBorders>
              <w:bottom w:val="single" w:sz="4" w:space="0" w:color="auto"/>
            </w:tcBorders>
            <w:shd w:val="clear" w:color="auto" w:fill="FFFFFF"/>
            <w:vAlign w:val="center"/>
          </w:tcPr>
          <w:p w14:paraId="26A23CBD" w14:textId="7C7C174F" w:rsidR="008A6503" w:rsidRPr="00EC2A6B" w:rsidRDefault="008A6503" w:rsidP="00364F3A">
            <w:pPr>
              <w:jc w:val="center"/>
              <w:rPr>
                <w:rFonts w:eastAsia="MS Mincho"/>
                <w:sz w:val="22"/>
                <w:lang w:val="en-US" w:eastAsia="en-US"/>
              </w:rPr>
            </w:pPr>
            <w:r w:rsidRPr="00EC2A6B">
              <w:rPr>
                <w:rFonts w:eastAsia="MS Mincho"/>
                <w:sz w:val="22"/>
                <w:lang w:val="en-US" w:eastAsia="en-US"/>
              </w:rPr>
              <w:t>166 (41.5%)</w:t>
            </w:r>
          </w:p>
        </w:tc>
        <w:tc>
          <w:tcPr>
            <w:tcW w:w="1134" w:type="dxa"/>
            <w:tcBorders>
              <w:bottom w:val="single" w:sz="4" w:space="0" w:color="auto"/>
            </w:tcBorders>
            <w:shd w:val="clear" w:color="auto" w:fill="FFFFFF"/>
            <w:vAlign w:val="center"/>
          </w:tcPr>
          <w:p w14:paraId="3900F0B5" w14:textId="099B6E76" w:rsidR="008A6503" w:rsidRPr="00EC2A6B" w:rsidRDefault="008A6503" w:rsidP="00364F3A">
            <w:pPr>
              <w:jc w:val="center"/>
              <w:rPr>
                <w:rFonts w:eastAsia="MS Mincho"/>
                <w:sz w:val="22"/>
                <w:lang w:val="en-US" w:eastAsia="en-US"/>
              </w:rPr>
            </w:pPr>
            <w:r w:rsidRPr="00EC2A6B">
              <w:rPr>
                <w:rFonts w:eastAsia="MS Mincho"/>
                <w:sz w:val="22"/>
                <w:lang w:val="en-US" w:eastAsia="en-US"/>
              </w:rPr>
              <w:t>11</w:t>
            </w:r>
            <w:r w:rsidR="00693BBC" w:rsidRPr="00EC2A6B">
              <w:rPr>
                <w:rFonts w:eastAsia="MS Mincho"/>
                <w:sz w:val="22"/>
                <w:lang w:val="en-US" w:eastAsia="en-US"/>
              </w:rPr>
              <w:t xml:space="preserve"> </w:t>
            </w:r>
            <w:r w:rsidRPr="00EC2A6B">
              <w:rPr>
                <w:rFonts w:eastAsia="MS Mincho"/>
                <w:sz w:val="22"/>
                <w:lang w:val="en-US" w:eastAsia="en-US"/>
              </w:rPr>
              <w:t>(2.8%)</w:t>
            </w:r>
          </w:p>
        </w:tc>
        <w:tc>
          <w:tcPr>
            <w:tcW w:w="1134" w:type="dxa"/>
            <w:tcBorders>
              <w:bottom w:val="single" w:sz="4" w:space="0" w:color="auto"/>
              <w:right w:val="single" w:sz="4" w:space="0" w:color="auto"/>
            </w:tcBorders>
            <w:shd w:val="clear" w:color="auto" w:fill="FFFFFF"/>
            <w:vAlign w:val="center"/>
          </w:tcPr>
          <w:p w14:paraId="741F259E" w14:textId="77777777" w:rsidR="008A6503" w:rsidRPr="00EC2A6B" w:rsidRDefault="008A6503" w:rsidP="008A6503">
            <w:pPr>
              <w:jc w:val="center"/>
              <w:rPr>
                <w:rFonts w:eastAsia="Times New Roman"/>
                <w:sz w:val="22"/>
                <w:lang w:val="en-US" w:eastAsia="en-US"/>
              </w:rPr>
            </w:pPr>
            <w:r w:rsidRPr="00EC2A6B">
              <w:rPr>
                <w:rFonts w:eastAsia="Times New Roman"/>
                <w:sz w:val="22"/>
                <w:lang w:val="en-US" w:eastAsia="en-US"/>
              </w:rPr>
              <w:t>Very common</w:t>
            </w:r>
          </w:p>
        </w:tc>
      </w:tr>
    </w:tbl>
    <w:p w14:paraId="2527D7D0" w14:textId="30614653" w:rsidR="00693BBC" w:rsidRPr="00364F3A" w:rsidRDefault="00693BBC" w:rsidP="00364F3A">
      <w:pPr>
        <w:rPr>
          <w:sz w:val="20"/>
          <w:szCs w:val="20"/>
          <w:lang w:val="en-US"/>
        </w:rPr>
      </w:pPr>
      <w:r w:rsidRPr="00364F3A">
        <w:rPr>
          <w:sz w:val="20"/>
          <w:szCs w:val="20"/>
          <w:lang w:val="en-US"/>
        </w:rPr>
        <w:t>* ADR occurring at a frequency ≥ 5% (All grades) or ≥ 2% (Grades 3 - 4) compared to the control arm (bevacizumab, paclitaxel and carboplatin</w:t>
      </w:r>
    </w:p>
    <w:p w14:paraId="048F15D7" w14:textId="18CC8317" w:rsidR="00693BBC" w:rsidRPr="00364F3A" w:rsidRDefault="00693BBC" w:rsidP="00364F3A">
      <w:pPr>
        <w:rPr>
          <w:sz w:val="20"/>
          <w:szCs w:val="20"/>
          <w:lang w:val="en-US"/>
        </w:rPr>
      </w:pPr>
      <w:r w:rsidRPr="00364F3A">
        <w:rPr>
          <w:sz w:val="20"/>
          <w:szCs w:val="20"/>
          <w:vertAlign w:val="superscript"/>
          <w:lang w:val="en-US"/>
        </w:rPr>
        <w:t>+</w:t>
      </w:r>
      <w:r w:rsidRPr="00364F3A">
        <w:rPr>
          <w:sz w:val="20"/>
          <w:szCs w:val="20"/>
          <w:lang w:val="en-US"/>
        </w:rPr>
        <w:t xml:space="preserve"> </w:t>
      </w:r>
      <w:r w:rsidRPr="00364F3A">
        <w:rPr>
          <w:rFonts w:hint="eastAsia"/>
          <w:sz w:val="20"/>
          <w:szCs w:val="20"/>
          <w:lang w:val="en-US"/>
        </w:rPr>
        <w:t xml:space="preserve">Fatal cases of febrile neutropenia have been observed when </w:t>
      </w:r>
      <w:proofErr w:type="spellStart"/>
      <w:r w:rsidRPr="00364F3A">
        <w:rPr>
          <w:rFonts w:hint="eastAsia"/>
          <w:sz w:val="20"/>
          <w:szCs w:val="20"/>
          <w:lang w:val="en-US"/>
        </w:rPr>
        <w:t>Tecentriq</w:t>
      </w:r>
      <w:proofErr w:type="spellEnd"/>
      <w:r w:rsidRPr="00364F3A">
        <w:rPr>
          <w:rFonts w:hint="eastAsia"/>
          <w:sz w:val="20"/>
          <w:szCs w:val="20"/>
          <w:lang w:val="en-US"/>
        </w:rPr>
        <w:t xml:space="preserve"> is given in combination with bevacizumab, paclitaxel and carboplatin</w:t>
      </w:r>
    </w:p>
    <w:p w14:paraId="00459354" w14:textId="2DAF717D" w:rsidR="00693BBC" w:rsidRPr="00364F3A" w:rsidRDefault="00693BBC" w:rsidP="00364F3A">
      <w:pPr>
        <w:rPr>
          <w:sz w:val="20"/>
          <w:szCs w:val="20"/>
          <w:lang w:val="en-US"/>
        </w:rPr>
      </w:pPr>
      <w:r w:rsidRPr="00364F3A">
        <w:rPr>
          <w:rFonts w:hint="eastAsia"/>
          <w:sz w:val="20"/>
          <w:szCs w:val="20"/>
          <w:lang w:val="en-US"/>
        </w:rPr>
        <w:t>‡</w:t>
      </w:r>
      <w:r w:rsidRPr="00364F3A">
        <w:rPr>
          <w:sz w:val="20"/>
          <w:szCs w:val="20"/>
          <w:lang w:val="en-US"/>
        </w:rPr>
        <w:t xml:space="preserve"> Observed rate in the combination represents a clinically relevant difference in comparison to </w:t>
      </w:r>
      <w:proofErr w:type="spellStart"/>
      <w:r w:rsidRPr="00364F3A">
        <w:rPr>
          <w:sz w:val="20"/>
          <w:szCs w:val="20"/>
          <w:lang w:val="en-US"/>
        </w:rPr>
        <w:t>Tecentriq</w:t>
      </w:r>
      <w:proofErr w:type="spellEnd"/>
      <w:r w:rsidR="002712E6">
        <w:rPr>
          <w:sz w:val="20"/>
          <w:szCs w:val="20"/>
          <w:lang w:val="en-US"/>
        </w:rPr>
        <w:t xml:space="preserve"> </w:t>
      </w:r>
      <w:r w:rsidRPr="00364F3A">
        <w:rPr>
          <w:sz w:val="20"/>
          <w:szCs w:val="20"/>
          <w:lang w:val="en-US"/>
        </w:rPr>
        <w:t>monotherapy</w:t>
      </w:r>
    </w:p>
    <w:p w14:paraId="0831B62A" w14:textId="537775D6" w:rsidR="00693BBC" w:rsidRPr="00364F3A" w:rsidRDefault="00693BBC" w:rsidP="00364F3A">
      <w:pPr>
        <w:rPr>
          <w:sz w:val="20"/>
          <w:szCs w:val="20"/>
          <w:lang w:val="en-US"/>
        </w:rPr>
      </w:pPr>
      <w:r w:rsidRPr="00364F3A">
        <w:rPr>
          <w:sz w:val="20"/>
          <w:szCs w:val="20"/>
          <w:lang w:val="en-US"/>
        </w:rPr>
        <w:lastRenderedPageBreak/>
        <w:t>a. Includes reports of neutropenia, neutrophil count decreased, febrile neutropenia, neutropenic sepsis</w:t>
      </w:r>
    </w:p>
    <w:p w14:paraId="76262905" w14:textId="647B706E" w:rsidR="00693BBC" w:rsidRPr="00364F3A" w:rsidRDefault="00693BBC" w:rsidP="00364F3A">
      <w:pPr>
        <w:rPr>
          <w:sz w:val="20"/>
          <w:szCs w:val="20"/>
          <w:lang w:val="en-US"/>
        </w:rPr>
      </w:pPr>
      <w:r w:rsidRPr="00364F3A">
        <w:rPr>
          <w:sz w:val="20"/>
          <w:szCs w:val="20"/>
          <w:lang w:val="en-US"/>
        </w:rPr>
        <w:t>b. Includes reports of thrombocytopenia and platelet count decreased</w:t>
      </w:r>
    </w:p>
    <w:p w14:paraId="3100A323" w14:textId="049EF4FC" w:rsidR="00693BBC" w:rsidRPr="00364F3A" w:rsidRDefault="00693BBC" w:rsidP="00364F3A">
      <w:pPr>
        <w:rPr>
          <w:sz w:val="20"/>
          <w:szCs w:val="20"/>
          <w:lang w:val="en-US"/>
        </w:rPr>
      </w:pPr>
      <w:r w:rsidRPr="00364F3A">
        <w:rPr>
          <w:sz w:val="20"/>
          <w:szCs w:val="20"/>
          <w:lang w:val="en-US"/>
        </w:rPr>
        <w:t xml:space="preserve">c. Includes reports of hypothyroidism, blood thyroid stimulating hormone increased, blood thyroid stimulating hormone decreased, autoimmune thyroiditis, </w:t>
      </w:r>
      <w:proofErr w:type="spellStart"/>
      <w:r w:rsidRPr="00364F3A">
        <w:rPr>
          <w:sz w:val="20"/>
          <w:szCs w:val="20"/>
          <w:lang w:val="en-US"/>
        </w:rPr>
        <w:t>goitre</w:t>
      </w:r>
      <w:proofErr w:type="spellEnd"/>
      <w:r w:rsidRPr="00364F3A">
        <w:rPr>
          <w:sz w:val="20"/>
          <w:szCs w:val="20"/>
          <w:lang w:val="en-US"/>
        </w:rPr>
        <w:t>, thyroiditis, thyroxine free decreased, tri−iodothyronine free decreased</w:t>
      </w:r>
    </w:p>
    <w:p w14:paraId="007F49DD" w14:textId="652028C2" w:rsidR="00693BBC" w:rsidRPr="00364F3A" w:rsidRDefault="00693BBC" w:rsidP="00364F3A">
      <w:pPr>
        <w:rPr>
          <w:sz w:val="20"/>
          <w:szCs w:val="20"/>
          <w:lang w:val="en-US"/>
        </w:rPr>
      </w:pPr>
      <w:r w:rsidRPr="00364F3A">
        <w:rPr>
          <w:sz w:val="20"/>
          <w:szCs w:val="20"/>
          <w:lang w:val="en-US"/>
        </w:rPr>
        <w:t xml:space="preserve">d. Includes reports of neuropathy peripheral, peripheral sensory neuropathy, polyneuropathy, herpes zoster, peripheral motor neuropathy, neuralgic </w:t>
      </w:r>
      <w:proofErr w:type="spellStart"/>
      <w:r w:rsidRPr="00364F3A">
        <w:rPr>
          <w:sz w:val="20"/>
          <w:szCs w:val="20"/>
          <w:lang w:val="en-US"/>
        </w:rPr>
        <w:t>amyotrophy</w:t>
      </w:r>
      <w:proofErr w:type="spellEnd"/>
      <w:r w:rsidRPr="00364F3A">
        <w:rPr>
          <w:sz w:val="20"/>
          <w:szCs w:val="20"/>
          <w:lang w:val="en-US"/>
        </w:rPr>
        <w:t>, peripheral sensorimotor neuropathy, toxic neuropathy</w:t>
      </w:r>
    </w:p>
    <w:p w14:paraId="2B57080B" w14:textId="61E3A952" w:rsidR="008A6503" w:rsidRPr="00364F3A" w:rsidRDefault="00693BBC" w:rsidP="00364F3A">
      <w:pPr>
        <w:rPr>
          <w:sz w:val="20"/>
          <w:szCs w:val="20"/>
          <w:lang w:val="en-US"/>
        </w:rPr>
      </w:pPr>
      <w:r w:rsidRPr="00364F3A">
        <w:rPr>
          <w:sz w:val="20"/>
          <w:szCs w:val="20"/>
          <w:lang w:val="en-US"/>
        </w:rPr>
        <w:t>e. Includes reports of pancreatitis, pancreatitis acute, lipase increased and amylase increased</w:t>
      </w:r>
    </w:p>
    <w:p w14:paraId="382D1601" w14:textId="77777777" w:rsidR="00693BBC" w:rsidRDefault="00693BBC" w:rsidP="00364F3A">
      <w:pPr>
        <w:rPr>
          <w:lang w:val="en-US"/>
        </w:rPr>
      </w:pPr>
    </w:p>
    <w:p w14:paraId="08BA6F8B" w14:textId="4ADF7A93" w:rsidR="00E201B1" w:rsidRDefault="00E201B1" w:rsidP="00364F3A">
      <w:pPr>
        <w:rPr>
          <w:lang w:val="en-US"/>
        </w:rPr>
      </w:pPr>
      <w:r w:rsidRPr="00E201B1">
        <w:rPr>
          <w:lang w:val="en-US"/>
        </w:rPr>
        <w:t xml:space="preserve">In GO29436, </w:t>
      </w:r>
      <w:r w:rsidRPr="00364F3A">
        <w:t xml:space="preserve">an overall higher frequency of adverse events was observed in the four-drug regimen of </w:t>
      </w:r>
      <w:proofErr w:type="spellStart"/>
      <w:r w:rsidRPr="00364F3A">
        <w:t>Tecentriq</w:t>
      </w:r>
      <w:proofErr w:type="spellEnd"/>
      <w:r w:rsidRPr="00364F3A">
        <w:t xml:space="preserve">, bevacizumab, paclitaxel, and carboplatin compared to </w:t>
      </w:r>
      <w:proofErr w:type="spellStart"/>
      <w:r w:rsidRPr="00364F3A">
        <w:t>Tecentriq</w:t>
      </w:r>
      <w:proofErr w:type="spellEnd"/>
      <w:r w:rsidRPr="00364F3A">
        <w:t xml:space="preserve">, paclitaxel and carboplatin, including Grade 3 and 4 events (63.6% compared to 57.5%), Grade 5 events (6.1% compared to 2.5%), adverse events of special interest to </w:t>
      </w:r>
      <w:proofErr w:type="spellStart"/>
      <w:r w:rsidR="0044229B">
        <w:t>Tecentriq</w:t>
      </w:r>
      <w:proofErr w:type="spellEnd"/>
      <w:r w:rsidRPr="00364F3A">
        <w:t xml:space="preserve"> (52.4% compared to 48.0%), as well as adverse events leading to withdrawal of any study treatment (33.8% compared to 13.3%). Nausea, diarrhoea, stomatitis, fatigue, pyrexia, mucosal inflammation, decreased appetite, weight decreased, hypertension and proteinuria were reported higher (</w:t>
      </w:r>
      <w:r>
        <w:t>≥</w:t>
      </w:r>
      <w:r>
        <w:rPr>
          <w:rFonts w:hint="eastAsia"/>
        </w:rPr>
        <w:t xml:space="preserve"> </w:t>
      </w:r>
      <w:r w:rsidRPr="00364F3A">
        <w:t xml:space="preserve">5% difference) in patients receiving </w:t>
      </w:r>
      <w:proofErr w:type="spellStart"/>
      <w:r w:rsidR="0044229B">
        <w:t>Tecentriq</w:t>
      </w:r>
      <w:proofErr w:type="spellEnd"/>
      <w:r w:rsidRPr="00364F3A">
        <w:t xml:space="preserve"> in combination with bevacizumab, paclitaxel and carboplatin. Other clinically significant adverse events which were observed more frequently in the </w:t>
      </w:r>
      <w:proofErr w:type="spellStart"/>
      <w:r w:rsidR="0044229B">
        <w:t>Tecentriq</w:t>
      </w:r>
      <w:proofErr w:type="spellEnd"/>
      <w:r w:rsidRPr="00364F3A">
        <w:t>, bevacizumab, paclitaxel, and carboplatin arm were epistaxis, haemoptysis, cerebrovascular</w:t>
      </w:r>
      <w:r w:rsidRPr="00E201B1">
        <w:rPr>
          <w:lang w:val="en-US"/>
        </w:rPr>
        <w:t xml:space="preserve"> accident, including fatal events.</w:t>
      </w:r>
    </w:p>
    <w:p w14:paraId="7A6E3E07" w14:textId="2BB728DA" w:rsidR="006452D8" w:rsidRDefault="006452D8" w:rsidP="00364F3A">
      <w:pPr>
        <w:rPr>
          <w:lang w:val="en-US"/>
        </w:rPr>
      </w:pPr>
    </w:p>
    <w:p w14:paraId="3328BAAB" w14:textId="77777777" w:rsidR="006452D8" w:rsidRPr="006452D8" w:rsidRDefault="006452D8" w:rsidP="006452D8">
      <w:pPr>
        <w:rPr>
          <w:i/>
        </w:rPr>
      </w:pPr>
      <w:r w:rsidRPr="006452D8">
        <w:rPr>
          <w:i/>
        </w:rPr>
        <w:t>1L non-squamous NSCLC</w:t>
      </w:r>
    </w:p>
    <w:p w14:paraId="3C8E0C56" w14:textId="77777777" w:rsidR="006452D8" w:rsidRPr="006452D8" w:rsidRDefault="006452D8" w:rsidP="006452D8">
      <w:r w:rsidRPr="006452D8">
        <w:t xml:space="preserve">Table 4 summarises the additional ADRs associated with the use of </w:t>
      </w:r>
      <w:proofErr w:type="spellStart"/>
      <w:r w:rsidRPr="006452D8">
        <w:t>Tecentriq</w:t>
      </w:r>
      <w:proofErr w:type="spellEnd"/>
      <w:r w:rsidRPr="006452D8">
        <w:t xml:space="preserve"> in combination with carboplatin and nab-paclitaxel. ADRs with a clinically relevant difference when compared to monotherapy (refer to Table 2) are also presented. </w:t>
      </w:r>
    </w:p>
    <w:p w14:paraId="2CA6F270" w14:textId="2E02E07D" w:rsidR="006452D8" w:rsidRDefault="006452D8" w:rsidP="00364F3A"/>
    <w:p w14:paraId="7AC41AED" w14:textId="77777777" w:rsidR="006452D8" w:rsidRPr="006452D8" w:rsidRDefault="006452D8" w:rsidP="006452D8">
      <w:pPr>
        <w:rPr>
          <w:b/>
        </w:rPr>
      </w:pPr>
      <w:r w:rsidRPr="006452D8">
        <w:rPr>
          <w:b/>
        </w:rPr>
        <w:t xml:space="preserve">Table 4. Summary of adverse reactions occurring in patients treated with </w:t>
      </w:r>
      <w:proofErr w:type="spellStart"/>
      <w:r w:rsidRPr="006452D8">
        <w:rPr>
          <w:b/>
        </w:rPr>
        <w:t>Tecentriq</w:t>
      </w:r>
      <w:proofErr w:type="spellEnd"/>
      <w:r w:rsidRPr="006452D8">
        <w:rPr>
          <w:b/>
        </w:rPr>
        <w:t xml:space="preserve"> in combination with carboplatin and nab-paclitaxel in GO29537 (IMpower130)</w:t>
      </w:r>
    </w:p>
    <w:tbl>
      <w:tblPr>
        <w:tblW w:w="8928" w:type="dxa"/>
        <w:shd w:val="clear" w:color="auto" w:fill="FFFFFF"/>
        <w:tblLayout w:type="fixed"/>
        <w:tblLook w:val="00A0" w:firstRow="1" w:lastRow="0" w:firstColumn="1" w:lastColumn="0" w:noHBand="0" w:noVBand="0"/>
      </w:tblPr>
      <w:tblGrid>
        <w:gridCol w:w="2917"/>
        <w:gridCol w:w="1359"/>
        <w:gridCol w:w="85"/>
        <w:gridCol w:w="1341"/>
        <w:gridCol w:w="1494"/>
        <w:gridCol w:w="1732"/>
      </w:tblGrid>
      <w:tr w:rsidR="006452D8" w:rsidRPr="006452D8" w14:paraId="61D8C20A" w14:textId="77777777" w:rsidTr="006452D8">
        <w:trPr>
          <w:tblHeader/>
        </w:trPr>
        <w:tc>
          <w:tcPr>
            <w:tcW w:w="2917" w:type="dxa"/>
            <w:vMerge w:val="restart"/>
            <w:tcBorders>
              <w:top w:val="single" w:sz="4" w:space="0" w:color="auto"/>
              <w:left w:val="single" w:sz="4" w:space="0" w:color="auto"/>
            </w:tcBorders>
            <w:shd w:val="clear" w:color="auto" w:fill="FFFFFF"/>
            <w:vAlign w:val="bottom"/>
          </w:tcPr>
          <w:p w14:paraId="796EBD82" w14:textId="77777777" w:rsidR="006452D8" w:rsidRPr="006452D8" w:rsidRDefault="006452D8" w:rsidP="006452D8">
            <w:pPr>
              <w:rPr>
                <w:b/>
              </w:rPr>
            </w:pPr>
            <w:r w:rsidRPr="006452D8">
              <w:rPr>
                <w:b/>
              </w:rPr>
              <w:t>System Order Class/</w:t>
            </w:r>
            <w:r w:rsidRPr="006452D8">
              <w:rPr>
                <w:b/>
              </w:rPr>
              <w:br/>
              <w:t>ADR (MedDRA Preferred Term)</w:t>
            </w:r>
          </w:p>
        </w:tc>
        <w:tc>
          <w:tcPr>
            <w:tcW w:w="6011" w:type="dxa"/>
            <w:gridSpan w:val="5"/>
            <w:tcBorders>
              <w:top w:val="single" w:sz="4" w:space="0" w:color="auto"/>
              <w:bottom w:val="single" w:sz="4" w:space="0" w:color="auto"/>
              <w:right w:val="single" w:sz="4" w:space="0" w:color="auto"/>
            </w:tcBorders>
            <w:shd w:val="clear" w:color="auto" w:fill="FFFFFF"/>
            <w:vAlign w:val="bottom"/>
          </w:tcPr>
          <w:p w14:paraId="286911B3" w14:textId="77777777" w:rsidR="006452D8" w:rsidRPr="006452D8" w:rsidRDefault="006452D8" w:rsidP="006452D8">
            <w:pPr>
              <w:rPr>
                <w:b/>
              </w:rPr>
            </w:pPr>
            <w:proofErr w:type="spellStart"/>
            <w:r w:rsidRPr="006452D8">
              <w:rPr>
                <w:b/>
              </w:rPr>
              <w:t>Tecentriq</w:t>
            </w:r>
            <w:proofErr w:type="spellEnd"/>
            <w:r w:rsidRPr="006452D8">
              <w:rPr>
                <w:b/>
              </w:rPr>
              <w:t xml:space="preserve"> (n = 473)</w:t>
            </w:r>
          </w:p>
        </w:tc>
      </w:tr>
      <w:tr w:rsidR="006452D8" w:rsidRPr="006452D8" w14:paraId="1F93FDD0" w14:textId="77777777" w:rsidTr="006452D8">
        <w:trPr>
          <w:tblHeader/>
        </w:trPr>
        <w:tc>
          <w:tcPr>
            <w:tcW w:w="2917" w:type="dxa"/>
            <w:vMerge/>
            <w:tcBorders>
              <w:left w:val="single" w:sz="4" w:space="0" w:color="auto"/>
              <w:bottom w:val="single" w:sz="4" w:space="0" w:color="auto"/>
            </w:tcBorders>
            <w:shd w:val="clear" w:color="auto" w:fill="FFFFFF"/>
            <w:vAlign w:val="bottom"/>
          </w:tcPr>
          <w:p w14:paraId="5398D472" w14:textId="77777777" w:rsidR="006452D8" w:rsidRPr="006452D8" w:rsidRDefault="006452D8" w:rsidP="006452D8">
            <w:pPr>
              <w:rPr>
                <w:b/>
              </w:rPr>
            </w:pPr>
          </w:p>
        </w:tc>
        <w:tc>
          <w:tcPr>
            <w:tcW w:w="1444" w:type="dxa"/>
            <w:gridSpan w:val="2"/>
            <w:tcBorders>
              <w:top w:val="single" w:sz="4" w:space="0" w:color="auto"/>
              <w:bottom w:val="single" w:sz="4" w:space="0" w:color="auto"/>
            </w:tcBorders>
            <w:shd w:val="clear" w:color="auto" w:fill="FFFFFF"/>
          </w:tcPr>
          <w:p w14:paraId="291AF8F3" w14:textId="77777777" w:rsidR="006452D8" w:rsidRPr="006452D8" w:rsidRDefault="006452D8" w:rsidP="006452D8">
            <w:pPr>
              <w:rPr>
                <w:b/>
              </w:rPr>
            </w:pPr>
            <w:r w:rsidRPr="006452D8">
              <w:rPr>
                <w:b/>
              </w:rPr>
              <w:t>All Grades (%)</w:t>
            </w:r>
          </w:p>
        </w:tc>
        <w:tc>
          <w:tcPr>
            <w:tcW w:w="1341" w:type="dxa"/>
            <w:tcBorders>
              <w:top w:val="single" w:sz="4" w:space="0" w:color="auto"/>
              <w:bottom w:val="single" w:sz="4" w:space="0" w:color="auto"/>
            </w:tcBorders>
            <w:shd w:val="clear" w:color="auto" w:fill="FFFFFF"/>
          </w:tcPr>
          <w:p w14:paraId="0ACD4C76" w14:textId="77777777" w:rsidR="006452D8" w:rsidRPr="006452D8" w:rsidRDefault="006452D8" w:rsidP="006452D8">
            <w:pPr>
              <w:rPr>
                <w:b/>
              </w:rPr>
            </w:pPr>
            <w:r w:rsidRPr="006452D8">
              <w:rPr>
                <w:b/>
              </w:rPr>
              <w:t>Grade 3 - 4 (%)</w:t>
            </w:r>
          </w:p>
        </w:tc>
        <w:tc>
          <w:tcPr>
            <w:tcW w:w="1494" w:type="dxa"/>
            <w:tcBorders>
              <w:top w:val="single" w:sz="4" w:space="0" w:color="auto"/>
              <w:bottom w:val="single" w:sz="4" w:space="0" w:color="auto"/>
            </w:tcBorders>
            <w:shd w:val="clear" w:color="auto" w:fill="FFFFFF"/>
          </w:tcPr>
          <w:p w14:paraId="00FAF79B" w14:textId="77777777" w:rsidR="006452D8" w:rsidRPr="006452D8" w:rsidRDefault="006452D8" w:rsidP="006452D8">
            <w:pPr>
              <w:rPr>
                <w:b/>
              </w:rPr>
            </w:pPr>
            <w:r w:rsidRPr="006452D8">
              <w:rPr>
                <w:b/>
              </w:rPr>
              <w:t>Grade 5 (%)</w:t>
            </w:r>
          </w:p>
        </w:tc>
        <w:tc>
          <w:tcPr>
            <w:tcW w:w="1732" w:type="dxa"/>
            <w:tcBorders>
              <w:top w:val="single" w:sz="4" w:space="0" w:color="auto"/>
              <w:bottom w:val="single" w:sz="4" w:space="0" w:color="auto"/>
              <w:right w:val="single" w:sz="4" w:space="0" w:color="auto"/>
            </w:tcBorders>
            <w:shd w:val="clear" w:color="auto" w:fill="FFFFFF"/>
          </w:tcPr>
          <w:p w14:paraId="36F99348" w14:textId="77777777" w:rsidR="006452D8" w:rsidRPr="006452D8" w:rsidRDefault="006452D8" w:rsidP="006452D8">
            <w:pPr>
              <w:rPr>
                <w:b/>
              </w:rPr>
            </w:pPr>
            <w:r w:rsidRPr="006452D8">
              <w:rPr>
                <w:b/>
              </w:rPr>
              <w:t>Frequency (All Grades)</w:t>
            </w:r>
          </w:p>
        </w:tc>
      </w:tr>
      <w:tr w:rsidR="006452D8" w:rsidRPr="006452D8" w14:paraId="1B8C2CA7" w14:textId="77777777" w:rsidTr="006452D8">
        <w:tc>
          <w:tcPr>
            <w:tcW w:w="2917" w:type="dxa"/>
            <w:tcBorders>
              <w:top w:val="single" w:sz="4" w:space="0" w:color="auto"/>
              <w:left w:val="single" w:sz="4" w:space="0" w:color="auto"/>
            </w:tcBorders>
            <w:shd w:val="clear" w:color="auto" w:fill="FFFFFF"/>
            <w:vAlign w:val="bottom"/>
          </w:tcPr>
          <w:p w14:paraId="0B7CCC8A" w14:textId="77777777" w:rsidR="006452D8" w:rsidRPr="006452D8" w:rsidRDefault="006452D8" w:rsidP="006452D8">
            <w:r w:rsidRPr="006452D8">
              <w:rPr>
                <w:b/>
              </w:rPr>
              <w:t>Blood and Lymphatic System Disorders</w:t>
            </w:r>
          </w:p>
        </w:tc>
        <w:tc>
          <w:tcPr>
            <w:tcW w:w="1444" w:type="dxa"/>
            <w:gridSpan w:val="2"/>
            <w:tcBorders>
              <w:top w:val="single" w:sz="4" w:space="0" w:color="auto"/>
            </w:tcBorders>
            <w:shd w:val="clear" w:color="auto" w:fill="FFFFFF"/>
            <w:vAlign w:val="bottom"/>
          </w:tcPr>
          <w:p w14:paraId="4DBF718B" w14:textId="77777777" w:rsidR="006452D8" w:rsidRPr="006452D8" w:rsidRDefault="006452D8" w:rsidP="006452D8"/>
        </w:tc>
        <w:tc>
          <w:tcPr>
            <w:tcW w:w="1341" w:type="dxa"/>
            <w:tcBorders>
              <w:top w:val="single" w:sz="4" w:space="0" w:color="auto"/>
            </w:tcBorders>
            <w:shd w:val="clear" w:color="auto" w:fill="FFFFFF"/>
            <w:vAlign w:val="bottom"/>
          </w:tcPr>
          <w:p w14:paraId="4473D02A" w14:textId="77777777" w:rsidR="006452D8" w:rsidRPr="006452D8" w:rsidRDefault="006452D8" w:rsidP="006452D8"/>
        </w:tc>
        <w:tc>
          <w:tcPr>
            <w:tcW w:w="1494" w:type="dxa"/>
            <w:tcBorders>
              <w:top w:val="single" w:sz="4" w:space="0" w:color="auto"/>
            </w:tcBorders>
            <w:shd w:val="clear" w:color="auto" w:fill="FFFFFF"/>
            <w:vAlign w:val="bottom"/>
          </w:tcPr>
          <w:p w14:paraId="2A05BFF7"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39A21F01" w14:textId="77777777" w:rsidR="006452D8" w:rsidRPr="006452D8" w:rsidRDefault="006452D8" w:rsidP="006452D8"/>
        </w:tc>
      </w:tr>
      <w:tr w:rsidR="006452D8" w:rsidRPr="006452D8" w14:paraId="75BDE9D4" w14:textId="77777777" w:rsidTr="006452D8">
        <w:tc>
          <w:tcPr>
            <w:tcW w:w="2917" w:type="dxa"/>
            <w:tcBorders>
              <w:left w:val="single" w:sz="4" w:space="0" w:color="auto"/>
              <w:bottom w:val="single" w:sz="4" w:space="0" w:color="auto"/>
            </w:tcBorders>
            <w:shd w:val="clear" w:color="auto" w:fill="FFFFFF"/>
            <w:vAlign w:val="bottom"/>
          </w:tcPr>
          <w:p w14:paraId="6B99BA7D" w14:textId="77777777" w:rsidR="006452D8" w:rsidRPr="006452D8" w:rsidRDefault="006452D8" w:rsidP="006452D8">
            <w:pPr>
              <w:rPr>
                <w:b/>
              </w:rPr>
            </w:pPr>
            <w:r w:rsidRPr="006452D8">
              <w:t xml:space="preserve">Thrombocytopenia </w:t>
            </w:r>
            <w:r w:rsidRPr="006452D8">
              <w:rPr>
                <w:vertAlign w:val="superscript"/>
              </w:rPr>
              <w:t>a ‡</w:t>
            </w:r>
          </w:p>
        </w:tc>
        <w:tc>
          <w:tcPr>
            <w:tcW w:w="1444" w:type="dxa"/>
            <w:gridSpan w:val="2"/>
            <w:tcBorders>
              <w:bottom w:val="single" w:sz="4" w:space="0" w:color="auto"/>
            </w:tcBorders>
            <w:shd w:val="clear" w:color="auto" w:fill="FFFFFF"/>
            <w:vAlign w:val="bottom"/>
          </w:tcPr>
          <w:p w14:paraId="0394339E" w14:textId="77777777" w:rsidR="006452D8" w:rsidRPr="006452D8" w:rsidRDefault="006452D8" w:rsidP="006452D8">
            <w:r w:rsidRPr="006452D8">
              <w:t>227 (48.0%)</w:t>
            </w:r>
          </w:p>
        </w:tc>
        <w:tc>
          <w:tcPr>
            <w:tcW w:w="1341" w:type="dxa"/>
            <w:tcBorders>
              <w:bottom w:val="single" w:sz="4" w:space="0" w:color="auto"/>
            </w:tcBorders>
            <w:shd w:val="clear" w:color="auto" w:fill="FFFFFF"/>
            <w:vAlign w:val="bottom"/>
          </w:tcPr>
          <w:p w14:paraId="678CDE95" w14:textId="77777777" w:rsidR="006452D8" w:rsidRPr="006452D8" w:rsidRDefault="006452D8" w:rsidP="006452D8">
            <w:r w:rsidRPr="006452D8">
              <w:t>82 (17.3%)</w:t>
            </w:r>
          </w:p>
        </w:tc>
        <w:tc>
          <w:tcPr>
            <w:tcW w:w="1494" w:type="dxa"/>
            <w:tcBorders>
              <w:bottom w:val="single" w:sz="4" w:space="0" w:color="auto"/>
            </w:tcBorders>
            <w:shd w:val="clear" w:color="auto" w:fill="FFFFFF"/>
            <w:vAlign w:val="bottom"/>
          </w:tcPr>
          <w:p w14:paraId="2243DE16"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20ABB14F" w14:textId="77777777" w:rsidR="006452D8" w:rsidRPr="006452D8" w:rsidRDefault="006452D8" w:rsidP="006452D8">
            <w:r w:rsidRPr="006452D8">
              <w:t>Very common</w:t>
            </w:r>
          </w:p>
        </w:tc>
      </w:tr>
      <w:tr w:rsidR="006452D8" w:rsidRPr="006452D8" w14:paraId="4E625978" w14:textId="77777777" w:rsidTr="006452D8">
        <w:tc>
          <w:tcPr>
            <w:tcW w:w="2917" w:type="dxa"/>
            <w:tcBorders>
              <w:top w:val="single" w:sz="4" w:space="0" w:color="auto"/>
              <w:left w:val="single" w:sz="4" w:space="0" w:color="auto"/>
            </w:tcBorders>
            <w:shd w:val="clear" w:color="auto" w:fill="FFFFFF"/>
            <w:vAlign w:val="bottom"/>
          </w:tcPr>
          <w:p w14:paraId="11C06AD2" w14:textId="77777777" w:rsidR="006452D8" w:rsidRPr="006452D8" w:rsidRDefault="006452D8" w:rsidP="006452D8">
            <w:r w:rsidRPr="006452D8">
              <w:rPr>
                <w:b/>
              </w:rPr>
              <w:t>Endocrine Disorders</w:t>
            </w:r>
            <w:r w:rsidRPr="006452D8">
              <w:t xml:space="preserve"> </w:t>
            </w:r>
          </w:p>
        </w:tc>
        <w:tc>
          <w:tcPr>
            <w:tcW w:w="1444" w:type="dxa"/>
            <w:gridSpan w:val="2"/>
            <w:tcBorders>
              <w:top w:val="single" w:sz="4" w:space="0" w:color="auto"/>
            </w:tcBorders>
            <w:shd w:val="clear" w:color="auto" w:fill="FFFFFF"/>
            <w:vAlign w:val="bottom"/>
          </w:tcPr>
          <w:p w14:paraId="1DCEB70F" w14:textId="77777777" w:rsidR="006452D8" w:rsidRPr="006452D8" w:rsidRDefault="006452D8" w:rsidP="006452D8"/>
        </w:tc>
        <w:tc>
          <w:tcPr>
            <w:tcW w:w="1341" w:type="dxa"/>
            <w:tcBorders>
              <w:top w:val="single" w:sz="4" w:space="0" w:color="auto"/>
            </w:tcBorders>
            <w:shd w:val="clear" w:color="auto" w:fill="FFFFFF"/>
            <w:vAlign w:val="bottom"/>
          </w:tcPr>
          <w:p w14:paraId="1E5179D7" w14:textId="77777777" w:rsidR="006452D8" w:rsidRPr="006452D8" w:rsidRDefault="006452D8" w:rsidP="006452D8"/>
        </w:tc>
        <w:tc>
          <w:tcPr>
            <w:tcW w:w="1494" w:type="dxa"/>
            <w:tcBorders>
              <w:top w:val="single" w:sz="4" w:space="0" w:color="auto"/>
            </w:tcBorders>
            <w:shd w:val="clear" w:color="auto" w:fill="FFFFFF"/>
            <w:vAlign w:val="bottom"/>
          </w:tcPr>
          <w:p w14:paraId="36BBFA35"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647A9992" w14:textId="77777777" w:rsidR="006452D8" w:rsidRPr="006452D8" w:rsidRDefault="006452D8" w:rsidP="006452D8"/>
        </w:tc>
      </w:tr>
      <w:tr w:rsidR="006452D8" w:rsidRPr="006452D8" w14:paraId="0A98B8FF" w14:textId="77777777" w:rsidTr="006452D8">
        <w:tc>
          <w:tcPr>
            <w:tcW w:w="2917" w:type="dxa"/>
            <w:tcBorders>
              <w:left w:val="single" w:sz="4" w:space="0" w:color="auto"/>
            </w:tcBorders>
            <w:shd w:val="clear" w:color="auto" w:fill="FFFFFF"/>
            <w:vAlign w:val="bottom"/>
          </w:tcPr>
          <w:p w14:paraId="2E0F2BDC" w14:textId="77777777" w:rsidR="006452D8" w:rsidRPr="006452D8" w:rsidRDefault="006452D8" w:rsidP="006452D8">
            <w:proofErr w:type="spellStart"/>
            <w:r w:rsidRPr="006452D8">
              <w:t>Hypophysitis</w:t>
            </w:r>
            <w:proofErr w:type="spellEnd"/>
            <w:r w:rsidRPr="006452D8">
              <w:t xml:space="preserve"> </w:t>
            </w:r>
            <w:r w:rsidRPr="006452D8">
              <w:rPr>
                <w:vertAlign w:val="superscript"/>
              </w:rPr>
              <w:t>‡</w:t>
            </w:r>
          </w:p>
        </w:tc>
        <w:tc>
          <w:tcPr>
            <w:tcW w:w="1444" w:type="dxa"/>
            <w:gridSpan w:val="2"/>
            <w:shd w:val="clear" w:color="auto" w:fill="FFFFFF"/>
            <w:vAlign w:val="bottom"/>
          </w:tcPr>
          <w:p w14:paraId="1712538B" w14:textId="77777777" w:rsidR="006452D8" w:rsidRPr="006452D8" w:rsidRDefault="006452D8" w:rsidP="006452D8">
            <w:r w:rsidRPr="006452D8">
              <w:t>2 (0.4%)</w:t>
            </w:r>
          </w:p>
        </w:tc>
        <w:tc>
          <w:tcPr>
            <w:tcW w:w="1341" w:type="dxa"/>
            <w:shd w:val="clear" w:color="auto" w:fill="FFFFFF"/>
            <w:vAlign w:val="bottom"/>
          </w:tcPr>
          <w:p w14:paraId="351BACF3" w14:textId="77777777" w:rsidR="006452D8" w:rsidRPr="006452D8" w:rsidRDefault="006452D8" w:rsidP="006452D8">
            <w:r w:rsidRPr="006452D8">
              <w:t>0 (0%)</w:t>
            </w:r>
          </w:p>
        </w:tc>
        <w:tc>
          <w:tcPr>
            <w:tcW w:w="1494" w:type="dxa"/>
            <w:shd w:val="clear" w:color="auto" w:fill="FFFFFF"/>
            <w:vAlign w:val="bottom"/>
          </w:tcPr>
          <w:p w14:paraId="01C6BBA0"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40189855" w14:textId="77777777" w:rsidR="006452D8" w:rsidRPr="006452D8" w:rsidRDefault="006452D8" w:rsidP="006452D8">
            <w:r w:rsidRPr="006452D8">
              <w:t>Uncommon</w:t>
            </w:r>
          </w:p>
        </w:tc>
      </w:tr>
      <w:tr w:rsidR="006452D8" w:rsidRPr="006452D8" w14:paraId="476D47B3" w14:textId="77777777" w:rsidTr="006452D8">
        <w:tc>
          <w:tcPr>
            <w:tcW w:w="2917" w:type="dxa"/>
            <w:tcBorders>
              <w:left w:val="single" w:sz="4" w:space="0" w:color="auto"/>
            </w:tcBorders>
            <w:shd w:val="clear" w:color="auto" w:fill="FFFFFF"/>
            <w:vAlign w:val="bottom"/>
          </w:tcPr>
          <w:p w14:paraId="1FFDB706" w14:textId="77777777" w:rsidR="006452D8" w:rsidRPr="006452D8" w:rsidRDefault="006452D8" w:rsidP="006452D8">
            <w:r w:rsidRPr="006452D8">
              <w:t xml:space="preserve">Hypothyroidism </w:t>
            </w:r>
            <w:r w:rsidRPr="006452D8">
              <w:rPr>
                <w:vertAlign w:val="superscript"/>
              </w:rPr>
              <w:t>b ‡</w:t>
            </w:r>
          </w:p>
        </w:tc>
        <w:tc>
          <w:tcPr>
            <w:tcW w:w="1444" w:type="dxa"/>
            <w:gridSpan w:val="2"/>
            <w:shd w:val="clear" w:color="auto" w:fill="FFFFFF"/>
            <w:vAlign w:val="bottom"/>
          </w:tcPr>
          <w:p w14:paraId="63633758" w14:textId="77777777" w:rsidR="006452D8" w:rsidRPr="006452D8" w:rsidRDefault="006452D8" w:rsidP="006452D8">
            <w:r w:rsidRPr="006452D8">
              <w:t>70 (14.8%)</w:t>
            </w:r>
          </w:p>
        </w:tc>
        <w:tc>
          <w:tcPr>
            <w:tcW w:w="1341" w:type="dxa"/>
            <w:shd w:val="clear" w:color="auto" w:fill="FFFFFF"/>
            <w:vAlign w:val="bottom"/>
          </w:tcPr>
          <w:p w14:paraId="704F26D3" w14:textId="77777777" w:rsidR="006452D8" w:rsidRPr="006452D8" w:rsidRDefault="006452D8" w:rsidP="006452D8">
            <w:r w:rsidRPr="006452D8">
              <w:t>3 (0.6%)</w:t>
            </w:r>
          </w:p>
        </w:tc>
        <w:tc>
          <w:tcPr>
            <w:tcW w:w="1494" w:type="dxa"/>
            <w:shd w:val="clear" w:color="auto" w:fill="FFFFFF"/>
            <w:vAlign w:val="bottom"/>
          </w:tcPr>
          <w:p w14:paraId="27915029"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0CBCF0C4" w14:textId="77777777" w:rsidR="006452D8" w:rsidRPr="006452D8" w:rsidRDefault="006452D8" w:rsidP="006452D8">
            <w:r w:rsidRPr="006452D8">
              <w:t>Very common</w:t>
            </w:r>
          </w:p>
        </w:tc>
      </w:tr>
      <w:tr w:rsidR="006452D8" w:rsidRPr="006452D8" w14:paraId="6E803595" w14:textId="77777777" w:rsidTr="006452D8">
        <w:tc>
          <w:tcPr>
            <w:tcW w:w="2917" w:type="dxa"/>
            <w:tcBorders>
              <w:left w:val="single" w:sz="4" w:space="0" w:color="auto"/>
              <w:bottom w:val="single" w:sz="4" w:space="0" w:color="auto"/>
            </w:tcBorders>
            <w:shd w:val="clear" w:color="auto" w:fill="FFFFFF"/>
            <w:vAlign w:val="bottom"/>
          </w:tcPr>
          <w:p w14:paraId="46647638" w14:textId="77777777" w:rsidR="006452D8" w:rsidRPr="006452D8" w:rsidRDefault="006452D8" w:rsidP="006452D8">
            <w:r w:rsidRPr="006452D8">
              <w:t xml:space="preserve">Adrenal insufficiency </w:t>
            </w:r>
            <w:r w:rsidRPr="006452D8">
              <w:rPr>
                <w:vertAlign w:val="superscript"/>
              </w:rPr>
              <w:t>c ‡</w:t>
            </w:r>
          </w:p>
        </w:tc>
        <w:tc>
          <w:tcPr>
            <w:tcW w:w="1444" w:type="dxa"/>
            <w:gridSpan w:val="2"/>
            <w:tcBorders>
              <w:bottom w:val="single" w:sz="4" w:space="0" w:color="auto"/>
            </w:tcBorders>
            <w:shd w:val="clear" w:color="auto" w:fill="FFFFFF"/>
            <w:vAlign w:val="bottom"/>
          </w:tcPr>
          <w:p w14:paraId="1718142B" w14:textId="77777777" w:rsidR="006452D8" w:rsidRPr="006452D8" w:rsidRDefault="006452D8" w:rsidP="006452D8">
            <w:r w:rsidRPr="006452D8">
              <w:t>7 (1.5%)</w:t>
            </w:r>
          </w:p>
        </w:tc>
        <w:tc>
          <w:tcPr>
            <w:tcW w:w="1341" w:type="dxa"/>
            <w:tcBorders>
              <w:bottom w:val="single" w:sz="4" w:space="0" w:color="auto"/>
            </w:tcBorders>
            <w:shd w:val="clear" w:color="auto" w:fill="FFFFFF"/>
            <w:vAlign w:val="bottom"/>
          </w:tcPr>
          <w:p w14:paraId="11CA7696" w14:textId="77777777" w:rsidR="006452D8" w:rsidRPr="006452D8" w:rsidRDefault="006452D8" w:rsidP="006452D8">
            <w:r w:rsidRPr="006452D8">
              <w:t>0 (0%)</w:t>
            </w:r>
          </w:p>
        </w:tc>
        <w:tc>
          <w:tcPr>
            <w:tcW w:w="1494" w:type="dxa"/>
            <w:tcBorders>
              <w:bottom w:val="single" w:sz="4" w:space="0" w:color="auto"/>
            </w:tcBorders>
            <w:shd w:val="clear" w:color="auto" w:fill="FFFFFF"/>
            <w:vAlign w:val="bottom"/>
          </w:tcPr>
          <w:p w14:paraId="1F341E7A"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2D81FAD3" w14:textId="77777777" w:rsidR="006452D8" w:rsidRPr="006452D8" w:rsidRDefault="006452D8" w:rsidP="006452D8">
            <w:r w:rsidRPr="006452D8">
              <w:t>Common</w:t>
            </w:r>
          </w:p>
        </w:tc>
      </w:tr>
      <w:tr w:rsidR="006452D8" w:rsidRPr="006452D8" w14:paraId="315CFAB3" w14:textId="77777777" w:rsidTr="006452D8">
        <w:tc>
          <w:tcPr>
            <w:tcW w:w="2917" w:type="dxa"/>
            <w:tcBorders>
              <w:top w:val="single" w:sz="4" w:space="0" w:color="auto"/>
              <w:left w:val="single" w:sz="4" w:space="0" w:color="auto"/>
            </w:tcBorders>
            <w:shd w:val="clear" w:color="auto" w:fill="FFFFFF"/>
            <w:vAlign w:val="bottom"/>
          </w:tcPr>
          <w:p w14:paraId="47949987" w14:textId="77777777" w:rsidR="006452D8" w:rsidRPr="006452D8" w:rsidRDefault="006452D8" w:rsidP="006452D8">
            <w:pPr>
              <w:rPr>
                <w:b/>
              </w:rPr>
            </w:pPr>
            <w:r w:rsidRPr="006452D8">
              <w:rPr>
                <w:b/>
              </w:rPr>
              <w:t>Gastrointestinal disorders</w:t>
            </w:r>
          </w:p>
        </w:tc>
        <w:tc>
          <w:tcPr>
            <w:tcW w:w="1444" w:type="dxa"/>
            <w:gridSpan w:val="2"/>
            <w:tcBorders>
              <w:top w:val="single" w:sz="4" w:space="0" w:color="auto"/>
            </w:tcBorders>
            <w:shd w:val="clear" w:color="auto" w:fill="FFFFFF"/>
            <w:vAlign w:val="bottom"/>
          </w:tcPr>
          <w:p w14:paraId="2AD2A863" w14:textId="77777777" w:rsidR="006452D8" w:rsidRPr="006452D8" w:rsidRDefault="006452D8" w:rsidP="006452D8"/>
        </w:tc>
        <w:tc>
          <w:tcPr>
            <w:tcW w:w="1341" w:type="dxa"/>
            <w:tcBorders>
              <w:top w:val="single" w:sz="4" w:space="0" w:color="auto"/>
            </w:tcBorders>
            <w:shd w:val="clear" w:color="auto" w:fill="FFFFFF"/>
            <w:vAlign w:val="bottom"/>
          </w:tcPr>
          <w:p w14:paraId="6E92975B" w14:textId="77777777" w:rsidR="006452D8" w:rsidRPr="006452D8" w:rsidRDefault="006452D8" w:rsidP="006452D8"/>
        </w:tc>
        <w:tc>
          <w:tcPr>
            <w:tcW w:w="1494" w:type="dxa"/>
            <w:tcBorders>
              <w:top w:val="single" w:sz="4" w:space="0" w:color="auto"/>
            </w:tcBorders>
            <w:shd w:val="clear" w:color="auto" w:fill="FFFFFF"/>
            <w:vAlign w:val="bottom"/>
          </w:tcPr>
          <w:p w14:paraId="08C58382"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1C52D909" w14:textId="77777777" w:rsidR="006452D8" w:rsidRPr="006452D8" w:rsidRDefault="006452D8" w:rsidP="006452D8"/>
        </w:tc>
      </w:tr>
      <w:tr w:rsidR="006452D8" w:rsidRPr="006452D8" w14:paraId="0B893756" w14:textId="77777777" w:rsidTr="006452D8">
        <w:tc>
          <w:tcPr>
            <w:tcW w:w="2917" w:type="dxa"/>
            <w:tcBorders>
              <w:left w:val="single" w:sz="4" w:space="0" w:color="auto"/>
            </w:tcBorders>
            <w:shd w:val="clear" w:color="auto" w:fill="FFFFFF"/>
            <w:vAlign w:val="bottom"/>
          </w:tcPr>
          <w:p w14:paraId="570A62FE" w14:textId="77777777" w:rsidR="006452D8" w:rsidRPr="006452D8" w:rsidRDefault="006452D8" w:rsidP="006452D8">
            <w:r w:rsidRPr="006452D8">
              <w:t xml:space="preserve">Abdominal pain </w:t>
            </w:r>
            <w:r w:rsidRPr="006452D8">
              <w:rPr>
                <w:vertAlign w:val="superscript"/>
              </w:rPr>
              <w:t>‡</w:t>
            </w:r>
          </w:p>
        </w:tc>
        <w:tc>
          <w:tcPr>
            <w:tcW w:w="1444" w:type="dxa"/>
            <w:gridSpan w:val="2"/>
            <w:shd w:val="clear" w:color="auto" w:fill="FFFFFF"/>
            <w:vAlign w:val="bottom"/>
          </w:tcPr>
          <w:p w14:paraId="44848C6E" w14:textId="77777777" w:rsidR="006452D8" w:rsidRPr="006452D8" w:rsidRDefault="006452D8" w:rsidP="006452D8">
            <w:r w:rsidRPr="006452D8">
              <w:t>53 (11.2%)</w:t>
            </w:r>
          </w:p>
        </w:tc>
        <w:tc>
          <w:tcPr>
            <w:tcW w:w="1341" w:type="dxa"/>
            <w:shd w:val="clear" w:color="auto" w:fill="FFFFFF"/>
            <w:vAlign w:val="bottom"/>
          </w:tcPr>
          <w:p w14:paraId="2C0C2FDA" w14:textId="77777777" w:rsidR="006452D8" w:rsidRPr="006452D8" w:rsidRDefault="006452D8" w:rsidP="006452D8">
            <w:r w:rsidRPr="006452D8">
              <w:t>5 (1.1%)</w:t>
            </w:r>
          </w:p>
        </w:tc>
        <w:tc>
          <w:tcPr>
            <w:tcW w:w="1494" w:type="dxa"/>
            <w:shd w:val="clear" w:color="auto" w:fill="FFFFFF"/>
            <w:vAlign w:val="bottom"/>
          </w:tcPr>
          <w:p w14:paraId="6A949A81"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61F83EAC" w14:textId="77777777" w:rsidR="006452D8" w:rsidRPr="006452D8" w:rsidRDefault="006452D8" w:rsidP="006452D8">
            <w:r w:rsidRPr="006452D8">
              <w:t>Very common</w:t>
            </w:r>
          </w:p>
        </w:tc>
      </w:tr>
      <w:tr w:rsidR="006452D8" w:rsidRPr="006452D8" w14:paraId="6BE09969" w14:textId="77777777" w:rsidTr="006452D8">
        <w:tc>
          <w:tcPr>
            <w:tcW w:w="2917" w:type="dxa"/>
            <w:tcBorders>
              <w:left w:val="single" w:sz="4" w:space="0" w:color="auto"/>
              <w:bottom w:val="single" w:sz="4" w:space="0" w:color="auto"/>
            </w:tcBorders>
            <w:shd w:val="clear" w:color="auto" w:fill="auto"/>
            <w:vAlign w:val="bottom"/>
          </w:tcPr>
          <w:p w14:paraId="2A1C9278" w14:textId="77777777" w:rsidR="006452D8" w:rsidRPr="006452D8" w:rsidRDefault="006452D8" w:rsidP="006452D8">
            <w:r w:rsidRPr="006452D8">
              <w:t xml:space="preserve">Colitis </w:t>
            </w:r>
            <w:r w:rsidRPr="006452D8">
              <w:rPr>
                <w:vertAlign w:val="superscript"/>
              </w:rPr>
              <w:t>d</w:t>
            </w:r>
          </w:p>
        </w:tc>
        <w:tc>
          <w:tcPr>
            <w:tcW w:w="1444" w:type="dxa"/>
            <w:gridSpan w:val="2"/>
            <w:tcBorders>
              <w:bottom w:val="single" w:sz="4" w:space="0" w:color="auto"/>
            </w:tcBorders>
            <w:shd w:val="clear" w:color="auto" w:fill="auto"/>
            <w:vAlign w:val="bottom"/>
          </w:tcPr>
          <w:p w14:paraId="252BD039" w14:textId="77777777" w:rsidR="006452D8" w:rsidRPr="006452D8" w:rsidRDefault="006452D8" w:rsidP="006452D8">
            <w:r w:rsidRPr="006452D8">
              <w:t>5 (1.1%)</w:t>
            </w:r>
          </w:p>
        </w:tc>
        <w:tc>
          <w:tcPr>
            <w:tcW w:w="1341" w:type="dxa"/>
            <w:tcBorders>
              <w:bottom w:val="single" w:sz="4" w:space="0" w:color="auto"/>
            </w:tcBorders>
            <w:shd w:val="clear" w:color="auto" w:fill="auto"/>
            <w:vAlign w:val="bottom"/>
          </w:tcPr>
          <w:p w14:paraId="1CDFF140" w14:textId="77777777" w:rsidR="006452D8" w:rsidRPr="006452D8" w:rsidRDefault="006452D8" w:rsidP="006452D8">
            <w:r w:rsidRPr="006452D8">
              <w:t>5 (1.1%)</w:t>
            </w:r>
          </w:p>
        </w:tc>
        <w:tc>
          <w:tcPr>
            <w:tcW w:w="1494" w:type="dxa"/>
            <w:tcBorders>
              <w:bottom w:val="single" w:sz="4" w:space="0" w:color="auto"/>
            </w:tcBorders>
            <w:shd w:val="clear" w:color="auto" w:fill="auto"/>
            <w:vAlign w:val="bottom"/>
          </w:tcPr>
          <w:p w14:paraId="5636F638"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auto"/>
            <w:vAlign w:val="bottom"/>
          </w:tcPr>
          <w:p w14:paraId="1590B79C" w14:textId="77777777" w:rsidR="006452D8" w:rsidRPr="006452D8" w:rsidRDefault="006452D8" w:rsidP="006452D8">
            <w:r w:rsidRPr="006452D8">
              <w:t>Common</w:t>
            </w:r>
          </w:p>
        </w:tc>
      </w:tr>
      <w:tr w:rsidR="006452D8" w:rsidRPr="006452D8" w14:paraId="34898F7D" w14:textId="77777777" w:rsidTr="006452D8">
        <w:tc>
          <w:tcPr>
            <w:tcW w:w="2917" w:type="dxa"/>
            <w:tcBorders>
              <w:top w:val="single" w:sz="4" w:space="0" w:color="auto"/>
              <w:left w:val="single" w:sz="4" w:space="0" w:color="auto"/>
            </w:tcBorders>
            <w:shd w:val="clear" w:color="auto" w:fill="auto"/>
            <w:vAlign w:val="bottom"/>
          </w:tcPr>
          <w:p w14:paraId="226A44C3" w14:textId="77777777" w:rsidR="006452D8" w:rsidRPr="006452D8" w:rsidRDefault="006452D8" w:rsidP="006452D8">
            <w:r w:rsidRPr="006452D8">
              <w:rPr>
                <w:b/>
              </w:rPr>
              <w:t>Infections and Infestations</w:t>
            </w:r>
          </w:p>
        </w:tc>
        <w:tc>
          <w:tcPr>
            <w:tcW w:w="1444" w:type="dxa"/>
            <w:gridSpan w:val="2"/>
            <w:tcBorders>
              <w:top w:val="single" w:sz="4" w:space="0" w:color="auto"/>
            </w:tcBorders>
            <w:shd w:val="clear" w:color="auto" w:fill="auto"/>
            <w:vAlign w:val="bottom"/>
          </w:tcPr>
          <w:p w14:paraId="61DCAACE" w14:textId="77777777" w:rsidR="006452D8" w:rsidRPr="006452D8" w:rsidRDefault="006452D8" w:rsidP="006452D8"/>
        </w:tc>
        <w:tc>
          <w:tcPr>
            <w:tcW w:w="1341" w:type="dxa"/>
            <w:tcBorders>
              <w:top w:val="single" w:sz="4" w:space="0" w:color="auto"/>
            </w:tcBorders>
            <w:shd w:val="clear" w:color="auto" w:fill="auto"/>
            <w:vAlign w:val="bottom"/>
          </w:tcPr>
          <w:p w14:paraId="699182FD" w14:textId="77777777" w:rsidR="006452D8" w:rsidRPr="006452D8" w:rsidRDefault="006452D8" w:rsidP="006452D8"/>
        </w:tc>
        <w:tc>
          <w:tcPr>
            <w:tcW w:w="1494" w:type="dxa"/>
            <w:tcBorders>
              <w:top w:val="single" w:sz="4" w:space="0" w:color="auto"/>
            </w:tcBorders>
            <w:shd w:val="clear" w:color="auto" w:fill="auto"/>
            <w:vAlign w:val="bottom"/>
          </w:tcPr>
          <w:p w14:paraId="0E5B222B" w14:textId="77777777" w:rsidR="006452D8" w:rsidRPr="006452D8" w:rsidRDefault="006452D8" w:rsidP="006452D8"/>
        </w:tc>
        <w:tc>
          <w:tcPr>
            <w:tcW w:w="1732" w:type="dxa"/>
            <w:tcBorders>
              <w:top w:val="single" w:sz="4" w:space="0" w:color="auto"/>
              <w:right w:val="single" w:sz="4" w:space="0" w:color="auto"/>
            </w:tcBorders>
            <w:shd w:val="clear" w:color="auto" w:fill="auto"/>
            <w:vAlign w:val="bottom"/>
          </w:tcPr>
          <w:p w14:paraId="593A8191" w14:textId="77777777" w:rsidR="006452D8" w:rsidRPr="006452D8" w:rsidRDefault="006452D8" w:rsidP="006452D8"/>
        </w:tc>
      </w:tr>
      <w:tr w:rsidR="006452D8" w:rsidRPr="006452D8" w14:paraId="737A9C11" w14:textId="77777777" w:rsidTr="006452D8">
        <w:tc>
          <w:tcPr>
            <w:tcW w:w="2917" w:type="dxa"/>
            <w:tcBorders>
              <w:left w:val="single" w:sz="4" w:space="0" w:color="auto"/>
            </w:tcBorders>
            <w:shd w:val="clear" w:color="auto" w:fill="FFFFFF"/>
            <w:vAlign w:val="bottom"/>
          </w:tcPr>
          <w:p w14:paraId="1C5272E6" w14:textId="77777777" w:rsidR="006452D8" w:rsidRPr="006452D8" w:rsidRDefault="006452D8" w:rsidP="006452D8">
            <w:r w:rsidRPr="006452D8">
              <w:t xml:space="preserve">Lung infection </w:t>
            </w:r>
            <w:r w:rsidRPr="006452D8">
              <w:rPr>
                <w:vertAlign w:val="superscript"/>
              </w:rPr>
              <w:t>e</w:t>
            </w:r>
          </w:p>
        </w:tc>
        <w:tc>
          <w:tcPr>
            <w:tcW w:w="1444" w:type="dxa"/>
            <w:gridSpan w:val="2"/>
            <w:shd w:val="clear" w:color="auto" w:fill="FFFFFF"/>
            <w:vAlign w:val="bottom"/>
          </w:tcPr>
          <w:p w14:paraId="220E95C8" w14:textId="77777777" w:rsidR="006452D8" w:rsidRPr="006452D8" w:rsidRDefault="006452D8" w:rsidP="006452D8">
            <w:r w:rsidRPr="006452D8">
              <w:t>95 (20.1%)</w:t>
            </w:r>
          </w:p>
        </w:tc>
        <w:tc>
          <w:tcPr>
            <w:tcW w:w="1341" w:type="dxa"/>
            <w:shd w:val="clear" w:color="auto" w:fill="FFFFFF"/>
            <w:vAlign w:val="bottom"/>
          </w:tcPr>
          <w:p w14:paraId="2494E449" w14:textId="77777777" w:rsidR="006452D8" w:rsidRPr="006452D8" w:rsidRDefault="006452D8" w:rsidP="006452D8">
            <w:r w:rsidRPr="006452D8">
              <w:t>43 (9.1%)</w:t>
            </w:r>
          </w:p>
        </w:tc>
        <w:tc>
          <w:tcPr>
            <w:tcW w:w="1494" w:type="dxa"/>
            <w:shd w:val="clear" w:color="auto" w:fill="FFFFFF"/>
            <w:vAlign w:val="bottom"/>
          </w:tcPr>
          <w:p w14:paraId="7F069B0F"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3B7786C9" w14:textId="77777777" w:rsidR="006452D8" w:rsidRPr="006452D8" w:rsidRDefault="006452D8" w:rsidP="006452D8">
            <w:r w:rsidRPr="006452D8">
              <w:t>Very common</w:t>
            </w:r>
          </w:p>
        </w:tc>
      </w:tr>
      <w:tr w:rsidR="006452D8" w:rsidRPr="006452D8" w14:paraId="6C41AC39" w14:textId="77777777" w:rsidTr="006452D8">
        <w:tc>
          <w:tcPr>
            <w:tcW w:w="2917" w:type="dxa"/>
            <w:tcBorders>
              <w:left w:val="single" w:sz="4" w:space="0" w:color="auto"/>
              <w:bottom w:val="single" w:sz="4" w:space="0" w:color="auto"/>
            </w:tcBorders>
            <w:shd w:val="clear" w:color="auto" w:fill="FFFFFF"/>
            <w:vAlign w:val="bottom"/>
          </w:tcPr>
          <w:p w14:paraId="41C22A38" w14:textId="77777777" w:rsidR="006452D8" w:rsidRPr="006452D8" w:rsidRDefault="006452D8" w:rsidP="006452D8">
            <w:r w:rsidRPr="006452D8">
              <w:t xml:space="preserve">Urinary tract infection </w:t>
            </w:r>
            <w:r w:rsidRPr="006452D8">
              <w:rPr>
                <w:vertAlign w:val="superscript"/>
              </w:rPr>
              <w:t>f</w:t>
            </w:r>
          </w:p>
        </w:tc>
        <w:tc>
          <w:tcPr>
            <w:tcW w:w="1444" w:type="dxa"/>
            <w:gridSpan w:val="2"/>
            <w:tcBorders>
              <w:bottom w:val="single" w:sz="4" w:space="0" w:color="auto"/>
            </w:tcBorders>
            <w:shd w:val="clear" w:color="auto" w:fill="FFFFFF"/>
            <w:vAlign w:val="bottom"/>
          </w:tcPr>
          <w:p w14:paraId="50DA6B80" w14:textId="77777777" w:rsidR="006452D8" w:rsidRPr="006452D8" w:rsidRDefault="006452D8" w:rsidP="006452D8">
            <w:r w:rsidRPr="006452D8">
              <w:t>69 (14.6%)</w:t>
            </w:r>
          </w:p>
        </w:tc>
        <w:tc>
          <w:tcPr>
            <w:tcW w:w="1341" w:type="dxa"/>
            <w:tcBorders>
              <w:bottom w:val="single" w:sz="4" w:space="0" w:color="auto"/>
            </w:tcBorders>
            <w:shd w:val="clear" w:color="auto" w:fill="FFFFFF"/>
            <w:vAlign w:val="bottom"/>
          </w:tcPr>
          <w:p w14:paraId="665B0070" w14:textId="77777777" w:rsidR="006452D8" w:rsidRPr="006452D8" w:rsidRDefault="006452D8" w:rsidP="006452D8">
            <w:r w:rsidRPr="006452D8">
              <w:t>8 (1.7%)</w:t>
            </w:r>
          </w:p>
        </w:tc>
        <w:tc>
          <w:tcPr>
            <w:tcW w:w="1494" w:type="dxa"/>
            <w:tcBorders>
              <w:bottom w:val="single" w:sz="4" w:space="0" w:color="auto"/>
            </w:tcBorders>
            <w:shd w:val="clear" w:color="auto" w:fill="FFFFFF"/>
            <w:vAlign w:val="bottom"/>
          </w:tcPr>
          <w:p w14:paraId="4C2CBAF4"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6B0CFC8D" w14:textId="77777777" w:rsidR="006452D8" w:rsidRPr="006452D8" w:rsidRDefault="006452D8" w:rsidP="006452D8">
            <w:r w:rsidRPr="006452D8">
              <w:t>Very common</w:t>
            </w:r>
          </w:p>
        </w:tc>
      </w:tr>
      <w:tr w:rsidR="006452D8" w:rsidRPr="006452D8" w14:paraId="0B0E737B" w14:textId="77777777" w:rsidTr="006452D8">
        <w:tc>
          <w:tcPr>
            <w:tcW w:w="2917" w:type="dxa"/>
            <w:tcBorders>
              <w:top w:val="single" w:sz="4" w:space="0" w:color="auto"/>
              <w:left w:val="single" w:sz="4" w:space="0" w:color="auto"/>
            </w:tcBorders>
            <w:shd w:val="clear" w:color="auto" w:fill="FFFFFF"/>
            <w:vAlign w:val="bottom"/>
          </w:tcPr>
          <w:p w14:paraId="2E79026A" w14:textId="77777777" w:rsidR="006452D8" w:rsidRPr="006452D8" w:rsidRDefault="006452D8" w:rsidP="006452D8">
            <w:r w:rsidRPr="006452D8">
              <w:rPr>
                <w:b/>
              </w:rPr>
              <w:t>Metabolism and Nutrition Disorders</w:t>
            </w:r>
            <w:r w:rsidRPr="006452D8">
              <w:t xml:space="preserve"> </w:t>
            </w:r>
          </w:p>
        </w:tc>
        <w:tc>
          <w:tcPr>
            <w:tcW w:w="1444" w:type="dxa"/>
            <w:gridSpan w:val="2"/>
            <w:tcBorders>
              <w:top w:val="single" w:sz="4" w:space="0" w:color="auto"/>
            </w:tcBorders>
            <w:shd w:val="clear" w:color="auto" w:fill="FFFFFF"/>
            <w:vAlign w:val="bottom"/>
          </w:tcPr>
          <w:p w14:paraId="735E7226" w14:textId="77777777" w:rsidR="006452D8" w:rsidRPr="006452D8" w:rsidRDefault="006452D8" w:rsidP="006452D8"/>
        </w:tc>
        <w:tc>
          <w:tcPr>
            <w:tcW w:w="1341" w:type="dxa"/>
            <w:tcBorders>
              <w:top w:val="single" w:sz="4" w:space="0" w:color="auto"/>
            </w:tcBorders>
            <w:shd w:val="clear" w:color="auto" w:fill="FFFFFF"/>
            <w:vAlign w:val="bottom"/>
          </w:tcPr>
          <w:p w14:paraId="094E0D40" w14:textId="77777777" w:rsidR="006452D8" w:rsidRPr="006452D8" w:rsidRDefault="006452D8" w:rsidP="006452D8"/>
        </w:tc>
        <w:tc>
          <w:tcPr>
            <w:tcW w:w="1494" w:type="dxa"/>
            <w:tcBorders>
              <w:top w:val="single" w:sz="4" w:space="0" w:color="auto"/>
            </w:tcBorders>
            <w:shd w:val="clear" w:color="auto" w:fill="FFFFFF"/>
            <w:vAlign w:val="bottom"/>
          </w:tcPr>
          <w:p w14:paraId="125F0407"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622A47B9" w14:textId="77777777" w:rsidR="006452D8" w:rsidRPr="006452D8" w:rsidRDefault="006452D8" w:rsidP="006452D8"/>
        </w:tc>
      </w:tr>
      <w:tr w:rsidR="006452D8" w:rsidRPr="006452D8" w14:paraId="5A0EA397" w14:textId="77777777" w:rsidTr="006452D8">
        <w:tc>
          <w:tcPr>
            <w:tcW w:w="2917" w:type="dxa"/>
            <w:tcBorders>
              <w:left w:val="single" w:sz="4" w:space="0" w:color="auto"/>
              <w:bottom w:val="single" w:sz="4" w:space="0" w:color="auto"/>
            </w:tcBorders>
            <w:shd w:val="clear" w:color="auto" w:fill="FFFFFF"/>
            <w:vAlign w:val="bottom"/>
          </w:tcPr>
          <w:p w14:paraId="4470DF0B" w14:textId="77777777" w:rsidR="006452D8" w:rsidRPr="006452D8" w:rsidRDefault="006452D8" w:rsidP="006452D8">
            <w:proofErr w:type="spellStart"/>
            <w:r w:rsidRPr="006452D8">
              <w:t>Hypokalemia</w:t>
            </w:r>
            <w:proofErr w:type="spellEnd"/>
            <w:r w:rsidRPr="006452D8">
              <w:t xml:space="preserve"> </w:t>
            </w:r>
            <w:r w:rsidRPr="006452D8">
              <w:rPr>
                <w:vertAlign w:val="superscript"/>
              </w:rPr>
              <w:t>‡</w:t>
            </w:r>
          </w:p>
        </w:tc>
        <w:tc>
          <w:tcPr>
            <w:tcW w:w="1444" w:type="dxa"/>
            <w:gridSpan w:val="2"/>
            <w:tcBorders>
              <w:bottom w:val="single" w:sz="4" w:space="0" w:color="auto"/>
            </w:tcBorders>
            <w:shd w:val="clear" w:color="auto" w:fill="FFFFFF"/>
            <w:vAlign w:val="bottom"/>
          </w:tcPr>
          <w:p w14:paraId="39298D07" w14:textId="77777777" w:rsidR="006452D8" w:rsidRPr="006452D8" w:rsidRDefault="006452D8" w:rsidP="006452D8">
            <w:r w:rsidRPr="006452D8">
              <w:t>74 (15.6%)</w:t>
            </w:r>
          </w:p>
        </w:tc>
        <w:tc>
          <w:tcPr>
            <w:tcW w:w="1341" w:type="dxa"/>
            <w:tcBorders>
              <w:bottom w:val="single" w:sz="4" w:space="0" w:color="auto"/>
            </w:tcBorders>
            <w:shd w:val="clear" w:color="auto" w:fill="FFFFFF"/>
            <w:vAlign w:val="bottom"/>
          </w:tcPr>
          <w:p w14:paraId="0A140BD4" w14:textId="77777777" w:rsidR="006452D8" w:rsidRPr="006452D8" w:rsidRDefault="006452D8" w:rsidP="006452D8">
            <w:r w:rsidRPr="006452D8">
              <w:t>22 (4.7%)</w:t>
            </w:r>
          </w:p>
        </w:tc>
        <w:tc>
          <w:tcPr>
            <w:tcW w:w="1494" w:type="dxa"/>
            <w:tcBorders>
              <w:bottom w:val="single" w:sz="4" w:space="0" w:color="auto"/>
            </w:tcBorders>
            <w:shd w:val="clear" w:color="auto" w:fill="FFFFFF"/>
            <w:vAlign w:val="bottom"/>
          </w:tcPr>
          <w:p w14:paraId="3E168607"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0120955C" w14:textId="77777777" w:rsidR="006452D8" w:rsidRPr="006452D8" w:rsidRDefault="006452D8" w:rsidP="006452D8">
            <w:r w:rsidRPr="006452D8">
              <w:t xml:space="preserve">Very common </w:t>
            </w:r>
          </w:p>
        </w:tc>
      </w:tr>
      <w:tr w:rsidR="006452D8" w:rsidRPr="006452D8" w14:paraId="2EF1770D" w14:textId="77777777" w:rsidTr="006452D8">
        <w:trPr>
          <w:trHeight w:val="188"/>
        </w:trPr>
        <w:tc>
          <w:tcPr>
            <w:tcW w:w="2917" w:type="dxa"/>
            <w:tcBorders>
              <w:top w:val="single" w:sz="4" w:space="0" w:color="auto"/>
              <w:left w:val="single" w:sz="4" w:space="0" w:color="auto"/>
            </w:tcBorders>
            <w:shd w:val="clear" w:color="auto" w:fill="FFFFFF"/>
            <w:vAlign w:val="bottom"/>
          </w:tcPr>
          <w:p w14:paraId="7EA6C865" w14:textId="77777777" w:rsidR="006452D8" w:rsidRPr="006452D8" w:rsidRDefault="006452D8" w:rsidP="006452D8">
            <w:pPr>
              <w:rPr>
                <w:b/>
              </w:rPr>
            </w:pPr>
            <w:r w:rsidRPr="006452D8">
              <w:rPr>
                <w:b/>
              </w:rPr>
              <w:t>Musculoskeletal and Connective Tissue Disorders</w:t>
            </w:r>
          </w:p>
        </w:tc>
        <w:tc>
          <w:tcPr>
            <w:tcW w:w="1359" w:type="dxa"/>
            <w:tcBorders>
              <w:top w:val="single" w:sz="4" w:space="0" w:color="auto"/>
            </w:tcBorders>
            <w:shd w:val="clear" w:color="auto" w:fill="FFFFFF"/>
            <w:vAlign w:val="bottom"/>
          </w:tcPr>
          <w:p w14:paraId="5F62CF9D" w14:textId="77777777" w:rsidR="006452D8" w:rsidRPr="006452D8" w:rsidRDefault="006452D8" w:rsidP="006452D8"/>
        </w:tc>
        <w:tc>
          <w:tcPr>
            <w:tcW w:w="1426" w:type="dxa"/>
            <w:gridSpan w:val="2"/>
            <w:tcBorders>
              <w:top w:val="single" w:sz="4" w:space="0" w:color="auto"/>
            </w:tcBorders>
            <w:shd w:val="clear" w:color="auto" w:fill="FFFFFF"/>
            <w:vAlign w:val="bottom"/>
          </w:tcPr>
          <w:p w14:paraId="6CC39CDD" w14:textId="77777777" w:rsidR="006452D8" w:rsidRPr="006452D8" w:rsidRDefault="006452D8" w:rsidP="006452D8"/>
        </w:tc>
        <w:tc>
          <w:tcPr>
            <w:tcW w:w="1494" w:type="dxa"/>
            <w:tcBorders>
              <w:top w:val="single" w:sz="4" w:space="0" w:color="auto"/>
            </w:tcBorders>
            <w:shd w:val="clear" w:color="auto" w:fill="FFFFFF"/>
            <w:vAlign w:val="bottom"/>
          </w:tcPr>
          <w:p w14:paraId="2765BA88"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04B1AAC8" w14:textId="77777777" w:rsidR="006452D8" w:rsidRPr="006452D8" w:rsidRDefault="006452D8" w:rsidP="006452D8"/>
        </w:tc>
      </w:tr>
      <w:tr w:rsidR="006452D8" w:rsidRPr="006452D8" w14:paraId="1068CA3B" w14:textId="77777777" w:rsidTr="006452D8">
        <w:trPr>
          <w:trHeight w:val="188"/>
        </w:trPr>
        <w:tc>
          <w:tcPr>
            <w:tcW w:w="2917" w:type="dxa"/>
            <w:tcBorders>
              <w:left w:val="single" w:sz="4" w:space="0" w:color="auto"/>
              <w:bottom w:val="single" w:sz="4" w:space="0" w:color="auto"/>
            </w:tcBorders>
            <w:shd w:val="clear" w:color="auto" w:fill="FFFFFF"/>
            <w:vAlign w:val="bottom"/>
          </w:tcPr>
          <w:p w14:paraId="0070F0A3" w14:textId="77777777" w:rsidR="006452D8" w:rsidRPr="006452D8" w:rsidRDefault="006452D8" w:rsidP="006452D8">
            <w:r w:rsidRPr="006452D8">
              <w:t>Back pain</w:t>
            </w:r>
          </w:p>
        </w:tc>
        <w:tc>
          <w:tcPr>
            <w:tcW w:w="1359" w:type="dxa"/>
            <w:tcBorders>
              <w:bottom w:val="single" w:sz="4" w:space="0" w:color="auto"/>
            </w:tcBorders>
            <w:shd w:val="clear" w:color="auto" w:fill="FFFFFF"/>
            <w:vAlign w:val="bottom"/>
          </w:tcPr>
          <w:p w14:paraId="07CC5890" w14:textId="77777777" w:rsidR="006452D8" w:rsidRPr="006452D8" w:rsidRDefault="006452D8" w:rsidP="006452D8">
            <w:r w:rsidRPr="006452D8">
              <w:t>82 (17.3%)</w:t>
            </w:r>
          </w:p>
        </w:tc>
        <w:tc>
          <w:tcPr>
            <w:tcW w:w="1426" w:type="dxa"/>
            <w:gridSpan w:val="2"/>
            <w:tcBorders>
              <w:bottom w:val="single" w:sz="4" w:space="0" w:color="auto"/>
            </w:tcBorders>
            <w:shd w:val="clear" w:color="auto" w:fill="FFFFFF"/>
            <w:vAlign w:val="bottom"/>
          </w:tcPr>
          <w:p w14:paraId="456E3A65" w14:textId="77777777" w:rsidR="006452D8" w:rsidRPr="006452D8" w:rsidRDefault="006452D8" w:rsidP="006452D8">
            <w:r w:rsidRPr="006452D8">
              <w:t>8 (1.7%)</w:t>
            </w:r>
          </w:p>
        </w:tc>
        <w:tc>
          <w:tcPr>
            <w:tcW w:w="1494" w:type="dxa"/>
            <w:tcBorders>
              <w:bottom w:val="single" w:sz="4" w:space="0" w:color="auto"/>
            </w:tcBorders>
            <w:shd w:val="clear" w:color="auto" w:fill="FFFFFF"/>
            <w:vAlign w:val="bottom"/>
          </w:tcPr>
          <w:p w14:paraId="30C30EDE"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461E3875" w14:textId="77777777" w:rsidR="006452D8" w:rsidRPr="006452D8" w:rsidRDefault="006452D8" w:rsidP="006452D8">
            <w:r w:rsidRPr="006452D8">
              <w:t>Very common</w:t>
            </w:r>
          </w:p>
        </w:tc>
      </w:tr>
      <w:tr w:rsidR="006452D8" w:rsidRPr="006452D8" w14:paraId="3A5EBB75" w14:textId="77777777" w:rsidTr="006452D8">
        <w:trPr>
          <w:trHeight w:val="188"/>
        </w:trPr>
        <w:tc>
          <w:tcPr>
            <w:tcW w:w="2917" w:type="dxa"/>
            <w:tcBorders>
              <w:top w:val="single" w:sz="4" w:space="0" w:color="auto"/>
              <w:left w:val="single" w:sz="4" w:space="0" w:color="auto"/>
            </w:tcBorders>
            <w:shd w:val="clear" w:color="auto" w:fill="FFFFFF"/>
            <w:vAlign w:val="bottom"/>
          </w:tcPr>
          <w:p w14:paraId="1F22F83A" w14:textId="77777777" w:rsidR="006452D8" w:rsidRPr="006452D8" w:rsidRDefault="006452D8" w:rsidP="006452D8">
            <w:pPr>
              <w:rPr>
                <w:lang w:val="fr-CH"/>
              </w:rPr>
            </w:pPr>
            <w:proofErr w:type="spellStart"/>
            <w:r w:rsidRPr="006452D8">
              <w:rPr>
                <w:b/>
                <w:lang w:val="fr-FR"/>
              </w:rPr>
              <w:t>Nervous</w:t>
            </w:r>
            <w:proofErr w:type="spellEnd"/>
            <w:r w:rsidRPr="006452D8">
              <w:rPr>
                <w:b/>
                <w:lang w:val="fr-FR"/>
              </w:rPr>
              <w:t xml:space="preserve"> System </w:t>
            </w:r>
            <w:proofErr w:type="spellStart"/>
            <w:r w:rsidRPr="006452D8">
              <w:rPr>
                <w:b/>
                <w:lang w:val="fr-FR"/>
              </w:rPr>
              <w:t>Disorders</w:t>
            </w:r>
            <w:proofErr w:type="spellEnd"/>
          </w:p>
        </w:tc>
        <w:tc>
          <w:tcPr>
            <w:tcW w:w="1359" w:type="dxa"/>
            <w:tcBorders>
              <w:top w:val="single" w:sz="4" w:space="0" w:color="auto"/>
            </w:tcBorders>
            <w:shd w:val="clear" w:color="auto" w:fill="FFFFFF"/>
            <w:vAlign w:val="bottom"/>
          </w:tcPr>
          <w:p w14:paraId="1B9984CA" w14:textId="77777777" w:rsidR="006452D8" w:rsidRPr="006452D8" w:rsidRDefault="006452D8" w:rsidP="006452D8"/>
        </w:tc>
        <w:tc>
          <w:tcPr>
            <w:tcW w:w="1426" w:type="dxa"/>
            <w:gridSpan w:val="2"/>
            <w:tcBorders>
              <w:top w:val="single" w:sz="4" w:space="0" w:color="auto"/>
            </w:tcBorders>
            <w:shd w:val="clear" w:color="auto" w:fill="FFFFFF"/>
            <w:vAlign w:val="bottom"/>
          </w:tcPr>
          <w:p w14:paraId="6B880A4E" w14:textId="77777777" w:rsidR="006452D8" w:rsidRPr="006452D8" w:rsidRDefault="006452D8" w:rsidP="006452D8"/>
        </w:tc>
        <w:tc>
          <w:tcPr>
            <w:tcW w:w="1494" w:type="dxa"/>
            <w:tcBorders>
              <w:top w:val="single" w:sz="4" w:space="0" w:color="auto"/>
            </w:tcBorders>
            <w:shd w:val="clear" w:color="auto" w:fill="FFFFFF"/>
            <w:vAlign w:val="bottom"/>
          </w:tcPr>
          <w:p w14:paraId="5D0032C4" w14:textId="77777777" w:rsidR="006452D8" w:rsidRPr="006452D8" w:rsidRDefault="006452D8" w:rsidP="006452D8"/>
        </w:tc>
        <w:tc>
          <w:tcPr>
            <w:tcW w:w="1732" w:type="dxa"/>
            <w:tcBorders>
              <w:top w:val="single" w:sz="4" w:space="0" w:color="auto"/>
              <w:right w:val="single" w:sz="4" w:space="0" w:color="auto"/>
            </w:tcBorders>
            <w:shd w:val="clear" w:color="auto" w:fill="FFFFFF"/>
            <w:vAlign w:val="bottom"/>
          </w:tcPr>
          <w:p w14:paraId="6BA880B6" w14:textId="77777777" w:rsidR="006452D8" w:rsidRPr="006452D8" w:rsidRDefault="006452D8" w:rsidP="006452D8"/>
        </w:tc>
      </w:tr>
      <w:tr w:rsidR="006452D8" w:rsidRPr="006452D8" w14:paraId="1ADCB5AC" w14:textId="77777777" w:rsidTr="006452D8">
        <w:trPr>
          <w:trHeight w:val="309"/>
        </w:trPr>
        <w:tc>
          <w:tcPr>
            <w:tcW w:w="2917" w:type="dxa"/>
            <w:tcBorders>
              <w:left w:val="single" w:sz="4" w:space="0" w:color="auto"/>
            </w:tcBorders>
            <w:shd w:val="clear" w:color="auto" w:fill="FFFFFF"/>
            <w:vAlign w:val="bottom"/>
          </w:tcPr>
          <w:p w14:paraId="5F4A3C5D" w14:textId="77777777" w:rsidR="006452D8" w:rsidRPr="006452D8" w:rsidRDefault="006452D8" w:rsidP="006452D8">
            <w:pPr>
              <w:rPr>
                <w:lang w:val="fr-CH"/>
              </w:rPr>
            </w:pPr>
            <w:r w:rsidRPr="006452D8">
              <w:lastRenderedPageBreak/>
              <w:t>Dizziness</w:t>
            </w:r>
            <w:r w:rsidRPr="006452D8">
              <w:rPr>
                <w:vertAlign w:val="superscript"/>
              </w:rPr>
              <w:t>*</w:t>
            </w:r>
          </w:p>
        </w:tc>
        <w:tc>
          <w:tcPr>
            <w:tcW w:w="1359" w:type="dxa"/>
            <w:shd w:val="clear" w:color="auto" w:fill="FFFFFF"/>
            <w:vAlign w:val="bottom"/>
          </w:tcPr>
          <w:p w14:paraId="3DFA92DA" w14:textId="77777777" w:rsidR="006452D8" w:rsidRPr="006452D8" w:rsidRDefault="006452D8" w:rsidP="006452D8">
            <w:r w:rsidRPr="006452D8">
              <w:t>76 (16.1%)</w:t>
            </w:r>
          </w:p>
        </w:tc>
        <w:tc>
          <w:tcPr>
            <w:tcW w:w="1426" w:type="dxa"/>
            <w:gridSpan w:val="2"/>
            <w:shd w:val="clear" w:color="auto" w:fill="FFFFFF"/>
            <w:vAlign w:val="bottom"/>
          </w:tcPr>
          <w:p w14:paraId="50E09195" w14:textId="77777777" w:rsidR="006452D8" w:rsidRPr="006452D8" w:rsidRDefault="006452D8" w:rsidP="006452D8">
            <w:r w:rsidRPr="006452D8">
              <w:t>1 (0.2%)</w:t>
            </w:r>
          </w:p>
        </w:tc>
        <w:tc>
          <w:tcPr>
            <w:tcW w:w="1494" w:type="dxa"/>
            <w:shd w:val="clear" w:color="auto" w:fill="FFFFFF"/>
            <w:vAlign w:val="bottom"/>
          </w:tcPr>
          <w:p w14:paraId="523DD98B"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29CF9039" w14:textId="77777777" w:rsidR="006452D8" w:rsidRPr="006452D8" w:rsidRDefault="006452D8" w:rsidP="006452D8">
            <w:r w:rsidRPr="006452D8">
              <w:t>Very common</w:t>
            </w:r>
          </w:p>
        </w:tc>
      </w:tr>
      <w:tr w:rsidR="006452D8" w:rsidRPr="006452D8" w14:paraId="3105AC3C" w14:textId="77777777" w:rsidTr="006452D8">
        <w:tc>
          <w:tcPr>
            <w:tcW w:w="2917" w:type="dxa"/>
            <w:tcBorders>
              <w:left w:val="single" w:sz="4" w:space="0" w:color="auto"/>
            </w:tcBorders>
            <w:shd w:val="clear" w:color="auto" w:fill="FFFFFF"/>
            <w:vAlign w:val="bottom"/>
          </w:tcPr>
          <w:p w14:paraId="20324E98" w14:textId="77777777" w:rsidR="006452D8" w:rsidRPr="006452D8" w:rsidRDefault="006452D8" w:rsidP="006452D8">
            <w:proofErr w:type="spellStart"/>
            <w:r w:rsidRPr="006452D8">
              <w:t>Dysgeusia</w:t>
            </w:r>
            <w:proofErr w:type="spellEnd"/>
            <w:r w:rsidRPr="006452D8">
              <w:rPr>
                <w:vertAlign w:val="superscript"/>
              </w:rPr>
              <w:t>*</w:t>
            </w:r>
          </w:p>
        </w:tc>
        <w:tc>
          <w:tcPr>
            <w:tcW w:w="1359" w:type="dxa"/>
            <w:shd w:val="clear" w:color="auto" w:fill="FFFFFF"/>
            <w:vAlign w:val="bottom"/>
          </w:tcPr>
          <w:p w14:paraId="44FDDF28" w14:textId="77777777" w:rsidR="006452D8" w:rsidRPr="006452D8" w:rsidRDefault="006452D8" w:rsidP="006452D8">
            <w:r w:rsidRPr="006452D8">
              <w:t>57 (12.1%)</w:t>
            </w:r>
          </w:p>
        </w:tc>
        <w:tc>
          <w:tcPr>
            <w:tcW w:w="1426" w:type="dxa"/>
            <w:gridSpan w:val="2"/>
            <w:shd w:val="clear" w:color="auto" w:fill="FFFFFF"/>
            <w:vAlign w:val="bottom"/>
          </w:tcPr>
          <w:p w14:paraId="5A66D560" w14:textId="77777777" w:rsidR="006452D8" w:rsidRPr="006452D8" w:rsidRDefault="006452D8" w:rsidP="006452D8">
            <w:r w:rsidRPr="006452D8">
              <w:t>0 (0%)</w:t>
            </w:r>
          </w:p>
        </w:tc>
        <w:tc>
          <w:tcPr>
            <w:tcW w:w="1494" w:type="dxa"/>
            <w:shd w:val="clear" w:color="auto" w:fill="FFFFFF"/>
            <w:vAlign w:val="bottom"/>
          </w:tcPr>
          <w:p w14:paraId="3614A788"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516BD636" w14:textId="77777777" w:rsidR="006452D8" w:rsidRPr="006452D8" w:rsidRDefault="006452D8" w:rsidP="006452D8">
            <w:r w:rsidRPr="006452D8">
              <w:t>Very common</w:t>
            </w:r>
          </w:p>
        </w:tc>
      </w:tr>
      <w:tr w:rsidR="006452D8" w:rsidRPr="006452D8" w14:paraId="4B3CF41B" w14:textId="77777777" w:rsidTr="006452D8">
        <w:tc>
          <w:tcPr>
            <w:tcW w:w="2917" w:type="dxa"/>
            <w:tcBorders>
              <w:left w:val="single" w:sz="4" w:space="0" w:color="auto"/>
            </w:tcBorders>
            <w:shd w:val="clear" w:color="auto" w:fill="FFFFFF"/>
            <w:vAlign w:val="bottom"/>
          </w:tcPr>
          <w:p w14:paraId="41AD52BD" w14:textId="77777777" w:rsidR="006452D8" w:rsidRPr="006452D8" w:rsidRDefault="006452D8" w:rsidP="006452D8">
            <w:r w:rsidRPr="006452D8">
              <w:t>Syncope</w:t>
            </w:r>
            <w:r w:rsidRPr="006452D8">
              <w:rPr>
                <w:vertAlign w:val="superscript"/>
              </w:rPr>
              <w:t>*</w:t>
            </w:r>
          </w:p>
        </w:tc>
        <w:tc>
          <w:tcPr>
            <w:tcW w:w="1359" w:type="dxa"/>
            <w:shd w:val="clear" w:color="auto" w:fill="FFFFFF"/>
            <w:vAlign w:val="bottom"/>
          </w:tcPr>
          <w:p w14:paraId="314BE771" w14:textId="77777777" w:rsidR="006452D8" w:rsidRPr="006452D8" w:rsidRDefault="006452D8" w:rsidP="006452D8">
            <w:r w:rsidRPr="006452D8">
              <w:t>13 (2.7%)</w:t>
            </w:r>
          </w:p>
        </w:tc>
        <w:tc>
          <w:tcPr>
            <w:tcW w:w="1426" w:type="dxa"/>
            <w:gridSpan w:val="2"/>
            <w:shd w:val="clear" w:color="auto" w:fill="FFFFFF"/>
            <w:vAlign w:val="bottom"/>
          </w:tcPr>
          <w:p w14:paraId="47FA982B" w14:textId="77777777" w:rsidR="006452D8" w:rsidRPr="006452D8" w:rsidRDefault="006452D8" w:rsidP="006452D8">
            <w:r w:rsidRPr="006452D8">
              <w:t>13 (2.7%)</w:t>
            </w:r>
          </w:p>
        </w:tc>
        <w:tc>
          <w:tcPr>
            <w:tcW w:w="1494" w:type="dxa"/>
            <w:shd w:val="clear" w:color="auto" w:fill="FFFFFF"/>
            <w:vAlign w:val="bottom"/>
          </w:tcPr>
          <w:p w14:paraId="73AC7359" w14:textId="77777777" w:rsidR="006452D8" w:rsidRPr="006452D8" w:rsidRDefault="006452D8" w:rsidP="006452D8">
            <w:r w:rsidRPr="006452D8">
              <w:t>0 (0%)</w:t>
            </w:r>
          </w:p>
        </w:tc>
        <w:tc>
          <w:tcPr>
            <w:tcW w:w="1732" w:type="dxa"/>
            <w:tcBorders>
              <w:right w:val="single" w:sz="4" w:space="0" w:color="auto"/>
            </w:tcBorders>
            <w:shd w:val="clear" w:color="auto" w:fill="FFFFFF"/>
            <w:vAlign w:val="bottom"/>
          </w:tcPr>
          <w:p w14:paraId="39D21358" w14:textId="77777777" w:rsidR="006452D8" w:rsidRPr="006452D8" w:rsidRDefault="006452D8" w:rsidP="006452D8">
            <w:r w:rsidRPr="006452D8">
              <w:t>Common</w:t>
            </w:r>
          </w:p>
        </w:tc>
      </w:tr>
      <w:tr w:rsidR="006452D8" w:rsidRPr="006452D8" w14:paraId="42D71376" w14:textId="77777777" w:rsidTr="006452D8">
        <w:tc>
          <w:tcPr>
            <w:tcW w:w="2917" w:type="dxa"/>
            <w:tcBorders>
              <w:left w:val="single" w:sz="4" w:space="0" w:color="auto"/>
              <w:bottom w:val="single" w:sz="4" w:space="0" w:color="auto"/>
            </w:tcBorders>
            <w:shd w:val="clear" w:color="auto" w:fill="FFFFFF"/>
            <w:vAlign w:val="bottom"/>
          </w:tcPr>
          <w:p w14:paraId="7C6D812D" w14:textId="77777777" w:rsidR="006452D8" w:rsidRPr="006452D8" w:rsidRDefault="006452D8" w:rsidP="006452D8">
            <w:proofErr w:type="spellStart"/>
            <w:r w:rsidRPr="006452D8">
              <w:t>Noninfective</w:t>
            </w:r>
            <w:proofErr w:type="spellEnd"/>
            <w:r w:rsidRPr="006452D8">
              <w:t xml:space="preserve"> encephalitis </w:t>
            </w:r>
            <w:r w:rsidRPr="006452D8">
              <w:rPr>
                <w:vertAlign w:val="superscript"/>
              </w:rPr>
              <w:t>g ‡</w:t>
            </w:r>
          </w:p>
        </w:tc>
        <w:tc>
          <w:tcPr>
            <w:tcW w:w="1359" w:type="dxa"/>
            <w:tcBorders>
              <w:bottom w:val="single" w:sz="4" w:space="0" w:color="auto"/>
            </w:tcBorders>
            <w:shd w:val="clear" w:color="auto" w:fill="FFFFFF"/>
            <w:vAlign w:val="bottom"/>
          </w:tcPr>
          <w:p w14:paraId="1001A598" w14:textId="77777777" w:rsidR="006452D8" w:rsidRPr="006452D8" w:rsidRDefault="006452D8" w:rsidP="006452D8">
            <w:r w:rsidRPr="006452D8">
              <w:t>1 (0.2%)</w:t>
            </w:r>
          </w:p>
        </w:tc>
        <w:tc>
          <w:tcPr>
            <w:tcW w:w="1426" w:type="dxa"/>
            <w:gridSpan w:val="2"/>
            <w:tcBorders>
              <w:bottom w:val="single" w:sz="4" w:space="0" w:color="auto"/>
            </w:tcBorders>
            <w:shd w:val="clear" w:color="auto" w:fill="FFFFFF"/>
            <w:vAlign w:val="bottom"/>
          </w:tcPr>
          <w:p w14:paraId="2A3A70A4" w14:textId="77777777" w:rsidR="006452D8" w:rsidRPr="006452D8" w:rsidRDefault="006452D8" w:rsidP="006452D8">
            <w:r w:rsidRPr="006452D8">
              <w:t>1 (0.2%)</w:t>
            </w:r>
          </w:p>
        </w:tc>
        <w:tc>
          <w:tcPr>
            <w:tcW w:w="1494" w:type="dxa"/>
            <w:tcBorders>
              <w:bottom w:val="single" w:sz="4" w:space="0" w:color="auto"/>
            </w:tcBorders>
            <w:shd w:val="clear" w:color="auto" w:fill="FFFFFF"/>
            <w:vAlign w:val="bottom"/>
          </w:tcPr>
          <w:p w14:paraId="1F0014CD" w14:textId="77777777" w:rsidR="006452D8" w:rsidRPr="006452D8" w:rsidRDefault="006452D8" w:rsidP="006452D8">
            <w:r w:rsidRPr="006452D8">
              <w:t>0 (0%)</w:t>
            </w:r>
          </w:p>
        </w:tc>
        <w:tc>
          <w:tcPr>
            <w:tcW w:w="1732" w:type="dxa"/>
            <w:tcBorders>
              <w:bottom w:val="single" w:sz="4" w:space="0" w:color="auto"/>
              <w:right w:val="single" w:sz="4" w:space="0" w:color="auto"/>
            </w:tcBorders>
            <w:shd w:val="clear" w:color="auto" w:fill="FFFFFF"/>
            <w:vAlign w:val="bottom"/>
          </w:tcPr>
          <w:p w14:paraId="612AD26A" w14:textId="77777777" w:rsidR="006452D8" w:rsidRPr="006452D8" w:rsidRDefault="006452D8" w:rsidP="006452D8">
            <w:r w:rsidRPr="006452D8">
              <w:t>Uncommon</w:t>
            </w:r>
          </w:p>
        </w:tc>
      </w:tr>
    </w:tbl>
    <w:p w14:paraId="1DE98826" w14:textId="77777777" w:rsidR="006452D8" w:rsidRPr="001750CE" w:rsidRDefault="006452D8" w:rsidP="006452D8">
      <w:pPr>
        <w:rPr>
          <w:sz w:val="22"/>
        </w:rPr>
      </w:pPr>
      <w:r w:rsidRPr="001750CE">
        <w:rPr>
          <w:sz w:val="22"/>
        </w:rPr>
        <w:t>* ADR occurring at a frequency ≥ 5% (all grades) or ≥ 2% (grades 3-4) compared to the control arm.</w:t>
      </w:r>
    </w:p>
    <w:p w14:paraId="2318EEC7" w14:textId="77777777" w:rsidR="006452D8" w:rsidRPr="001750CE" w:rsidRDefault="006452D8" w:rsidP="006452D8">
      <w:pPr>
        <w:rPr>
          <w:sz w:val="22"/>
        </w:rPr>
      </w:pPr>
      <w:r w:rsidRPr="001750CE">
        <w:rPr>
          <w:sz w:val="22"/>
        </w:rPr>
        <w:t xml:space="preserve">‡ Observed rate in the combination represents a clinically relevant difference in comparison to </w:t>
      </w:r>
      <w:proofErr w:type="spellStart"/>
      <w:r w:rsidRPr="001750CE">
        <w:rPr>
          <w:sz w:val="22"/>
        </w:rPr>
        <w:t>Tecentriq</w:t>
      </w:r>
      <w:proofErr w:type="spellEnd"/>
      <w:r w:rsidRPr="001750CE">
        <w:rPr>
          <w:sz w:val="22"/>
        </w:rPr>
        <w:t xml:space="preserve"> monotherapy.</w:t>
      </w:r>
    </w:p>
    <w:p w14:paraId="0E8CFB06" w14:textId="77777777" w:rsidR="006452D8" w:rsidRPr="001750CE" w:rsidRDefault="006452D8" w:rsidP="006452D8">
      <w:pPr>
        <w:rPr>
          <w:sz w:val="22"/>
        </w:rPr>
      </w:pPr>
      <w:proofErr w:type="spellStart"/>
      <w:r w:rsidRPr="001750CE">
        <w:rPr>
          <w:sz w:val="22"/>
          <w:vertAlign w:val="superscript"/>
        </w:rPr>
        <w:t>a</w:t>
      </w:r>
      <w:proofErr w:type="spellEnd"/>
      <w:r w:rsidRPr="001750CE">
        <w:rPr>
          <w:sz w:val="22"/>
        </w:rPr>
        <w:t xml:space="preserve"> Includes reports of thrombocytopenia and platelet count decreased.</w:t>
      </w:r>
    </w:p>
    <w:p w14:paraId="5186C788" w14:textId="77777777" w:rsidR="006452D8" w:rsidRPr="001750CE" w:rsidRDefault="006452D8" w:rsidP="006452D8">
      <w:pPr>
        <w:rPr>
          <w:sz w:val="22"/>
        </w:rPr>
      </w:pPr>
      <w:r w:rsidRPr="001750CE">
        <w:rPr>
          <w:sz w:val="22"/>
          <w:vertAlign w:val="superscript"/>
        </w:rPr>
        <w:t>b</w:t>
      </w:r>
      <w:r w:rsidRPr="001750CE">
        <w:rPr>
          <w:sz w:val="22"/>
        </w:rPr>
        <w:t xml:space="preserve"> Includes reports of hypothyroidism, blood thyroid stimulating hormone decreased, blood thyroid stimulating hormone increased, thyroxine free increased, autoimmune thyroiditis, blood thyroid stimulating hormone abnormal, goitre, thyroiditis, thyroxine increased, tri-</w:t>
      </w:r>
      <w:proofErr w:type="spellStart"/>
      <w:r w:rsidRPr="001750CE">
        <w:rPr>
          <w:sz w:val="22"/>
        </w:rPr>
        <w:t>iodothyronone</w:t>
      </w:r>
      <w:proofErr w:type="spellEnd"/>
      <w:r w:rsidRPr="001750CE">
        <w:rPr>
          <w:sz w:val="22"/>
        </w:rPr>
        <w:t xml:space="preserve"> abnormal, tri-iodothyronine free increased.</w:t>
      </w:r>
    </w:p>
    <w:p w14:paraId="3AA188A5" w14:textId="77777777" w:rsidR="006452D8" w:rsidRPr="001750CE" w:rsidRDefault="006452D8" w:rsidP="006452D8">
      <w:pPr>
        <w:rPr>
          <w:sz w:val="22"/>
        </w:rPr>
      </w:pPr>
      <w:r w:rsidRPr="001750CE">
        <w:rPr>
          <w:sz w:val="22"/>
          <w:vertAlign w:val="superscript"/>
        </w:rPr>
        <w:t>c</w:t>
      </w:r>
      <w:r w:rsidRPr="001750CE">
        <w:rPr>
          <w:sz w:val="22"/>
        </w:rPr>
        <w:t xml:space="preserve"> Includes reports of adrenal insufficiency, ACTH stimulation test abnormal, </w:t>
      </w:r>
      <w:proofErr w:type="spellStart"/>
      <w:r w:rsidRPr="001750CE">
        <w:rPr>
          <w:sz w:val="22"/>
        </w:rPr>
        <w:t>adrenalitis</w:t>
      </w:r>
      <w:proofErr w:type="spellEnd"/>
      <w:r w:rsidRPr="001750CE">
        <w:rPr>
          <w:sz w:val="22"/>
        </w:rPr>
        <w:t>.</w:t>
      </w:r>
    </w:p>
    <w:p w14:paraId="6203EC6B" w14:textId="77777777" w:rsidR="006452D8" w:rsidRPr="001750CE" w:rsidRDefault="006452D8" w:rsidP="006452D8">
      <w:pPr>
        <w:rPr>
          <w:sz w:val="22"/>
          <w:vertAlign w:val="superscript"/>
        </w:rPr>
      </w:pPr>
      <w:r w:rsidRPr="001750CE">
        <w:rPr>
          <w:sz w:val="22"/>
          <w:vertAlign w:val="superscript"/>
        </w:rPr>
        <w:t xml:space="preserve">d </w:t>
      </w:r>
      <w:r w:rsidRPr="001750CE">
        <w:rPr>
          <w:sz w:val="22"/>
        </w:rPr>
        <w:t>Includes colitis, autoimmune colitis</w:t>
      </w:r>
    </w:p>
    <w:p w14:paraId="4B91B3D7" w14:textId="77777777" w:rsidR="006452D8" w:rsidRPr="001750CE" w:rsidRDefault="006452D8" w:rsidP="006452D8">
      <w:pPr>
        <w:rPr>
          <w:sz w:val="22"/>
        </w:rPr>
      </w:pPr>
      <w:r w:rsidRPr="001750CE">
        <w:rPr>
          <w:sz w:val="22"/>
          <w:vertAlign w:val="superscript"/>
        </w:rPr>
        <w:t xml:space="preserve">e </w:t>
      </w:r>
      <w:r w:rsidRPr="001750CE">
        <w:rPr>
          <w:sz w:val="22"/>
        </w:rPr>
        <w:t>Includes pneumonia, bronchitis, lung infection, atypical pneumonia, infectious pleural effusion,  lower respiratory tract infection</w:t>
      </w:r>
    </w:p>
    <w:p w14:paraId="2FAD1952" w14:textId="77777777" w:rsidR="006452D8" w:rsidRPr="001750CE" w:rsidRDefault="006452D8" w:rsidP="006452D8">
      <w:pPr>
        <w:rPr>
          <w:sz w:val="22"/>
        </w:rPr>
      </w:pPr>
      <w:r w:rsidRPr="001750CE">
        <w:rPr>
          <w:sz w:val="22"/>
          <w:vertAlign w:val="superscript"/>
        </w:rPr>
        <w:t xml:space="preserve">f </w:t>
      </w:r>
      <w:r w:rsidRPr="001750CE">
        <w:rPr>
          <w:sz w:val="22"/>
        </w:rPr>
        <w:t xml:space="preserve">Includes urinary tract infection, cystitis, urinary tract infection bacterial, urinary tract infection </w:t>
      </w:r>
      <w:proofErr w:type="spellStart"/>
      <w:r w:rsidRPr="001750CE">
        <w:rPr>
          <w:sz w:val="22"/>
        </w:rPr>
        <w:t>enterococcal</w:t>
      </w:r>
      <w:proofErr w:type="spellEnd"/>
    </w:p>
    <w:p w14:paraId="1EB12CF1" w14:textId="77777777" w:rsidR="006452D8" w:rsidRPr="001750CE" w:rsidRDefault="006452D8" w:rsidP="006452D8">
      <w:pPr>
        <w:rPr>
          <w:sz w:val="22"/>
        </w:rPr>
      </w:pPr>
      <w:r w:rsidRPr="001750CE">
        <w:rPr>
          <w:sz w:val="22"/>
          <w:vertAlign w:val="superscript"/>
        </w:rPr>
        <w:t>g</w:t>
      </w:r>
      <w:r w:rsidRPr="001750CE">
        <w:rPr>
          <w:sz w:val="22"/>
        </w:rPr>
        <w:t xml:space="preserve"> Includes reports of encephalitis.</w:t>
      </w:r>
    </w:p>
    <w:p w14:paraId="3F6AD70E" w14:textId="77777777" w:rsidR="006452D8" w:rsidRPr="001750CE" w:rsidRDefault="006452D8" w:rsidP="00364F3A"/>
    <w:p w14:paraId="3A4E972D" w14:textId="3111053C" w:rsidR="00E201B1" w:rsidRDefault="00E201B1" w:rsidP="00364F3A">
      <w:pPr>
        <w:rPr>
          <w:lang w:val="en-US"/>
        </w:rPr>
      </w:pPr>
    </w:p>
    <w:p w14:paraId="47392647" w14:textId="28CD6CA2" w:rsidR="00294A2D" w:rsidRDefault="00AB5E12" w:rsidP="00294A2D">
      <w:pPr>
        <w:pStyle w:val="Heading5"/>
      </w:pPr>
      <w:r>
        <w:t xml:space="preserve">1L </w:t>
      </w:r>
      <w:r w:rsidRPr="00AB5E12">
        <w:t>extensive-stage small cell lung cancer</w:t>
      </w:r>
    </w:p>
    <w:p w14:paraId="767E3E97" w14:textId="0D6B552C" w:rsidR="00294A2D" w:rsidRDefault="00294A2D" w:rsidP="00294A2D">
      <w:r>
        <w:t xml:space="preserve">Table </w:t>
      </w:r>
      <w:r w:rsidR="006452D8">
        <w:t xml:space="preserve">5 </w:t>
      </w:r>
      <w:r>
        <w:t xml:space="preserve">summarises the additional ADRs associated with the use of </w:t>
      </w:r>
      <w:proofErr w:type="spellStart"/>
      <w:r>
        <w:t>Tecentriq</w:t>
      </w:r>
      <w:proofErr w:type="spellEnd"/>
      <w:r>
        <w:t xml:space="preserve"> in combination with carboplatin and etoposide</w:t>
      </w:r>
      <w:r w:rsidR="00AB5E12">
        <w:t xml:space="preserve"> </w:t>
      </w:r>
      <w:r w:rsidR="00AB5E12" w:rsidRPr="00AB5E12">
        <w:t>in study GO30081 (IMpower</w:t>
      </w:r>
      <w:r w:rsidR="00AB5E12">
        <w:t>133</w:t>
      </w:r>
      <w:r w:rsidR="00AB5E12" w:rsidRPr="00AB5E12">
        <w:t>)</w:t>
      </w:r>
      <w:r>
        <w:t xml:space="preserve">. ADRs with a clinically relevant difference when compared to monotherapy (refer to Table 2) are also presented. </w:t>
      </w:r>
    </w:p>
    <w:p w14:paraId="64342E06" w14:textId="77777777" w:rsidR="00294A2D" w:rsidRDefault="00294A2D" w:rsidP="00294A2D"/>
    <w:p w14:paraId="40D69018" w14:textId="69AF27D0" w:rsidR="00294A2D" w:rsidRDefault="00294A2D" w:rsidP="00294A2D">
      <w:pPr>
        <w:rPr>
          <w:b/>
        </w:rPr>
      </w:pPr>
      <w:r>
        <w:rPr>
          <w:b/>
        </w:rPr>
        <w:t xml:space="preserve">Table </w:t>
      </w:r>
      <w:r w:rsidR="006452D8">
        <w:rPr>
          <w:b/>
        </w:rPr>
        <w:t>5</w:t>
      </w:r>
      <w:r>
        <w:rPr>
          <w:b/>
        </w:rPr>
        <w:t xml:space="preserve">. Summary of adverse reactions occurring in patients treated with </w:t>
      </w:r>
      <w:proofErr w:type="spellStart"/>
      <w:r>
        <w:rPr>
          <w:b/>
        </w:rPr>
        <w:t>Tecentriq</w:t>
      </w:r>
      <w:proofErr w:type="spellEnd"/>
      <w:r>
        <w:rPr>
          <w:b/>
        </w:rPr>
        <w:t xml:space="preserve"> in combination with carboplatin and etoposide in a clinical trial</w:t>
      </w:r>
    </w:p>
    <w:tbl>
      <w:tblPr>
        <w:tblW w:w="8928" w:type="dxa"/>
        <w:shd w:val="clear" w:color="auto" w:fill="FFFFFF"/>
        <w:tblLayout w:type="fixed"/>
        <w:tblLook w:val="00A0" w:firstRow="1" w:lastRow="0" w:firstColumn="1" w:lastColumn="0" w:noHBand="0" w:noVBand="0"/>
      </w:tblPr>
      <w:tblGrid>
        <w:gridCol w:w="3227"/>
        <w:gridCol w:w="1417"/>
        <w:gridCol w:w="1560"/>
        <w:gridCol w:w="992"/>
        <w:gridCol w:w="1732"/>
      </w:tblGrid>
      <w:tr w:rsidR="00294A2D" w14:paraId="246D7844" w14:textId="77777777" w:rsidTr="0032145D">
        <w:trPr>
          <w:tblHeader/>
        </w:trPr>
        <w:tc>
          <w:tcPr>
            <w:tcW w:w="3227" w:type="dxa"/>
            <w:vMerge w:val="restart"/>
            <w:tcBorders>
              <w:top w:val="single" w:sz="4" w:space="0" w:color="auto"/>
              <w:left w:val="single" w:sz="4" w:space="0" w:color="auto"/>
              <w:bottom w:val="single" w:sz="4" w:space="0" w:color="auto"/>
              <w:right w:val="nil"/>
            </w:tcBorders>
            <w:shd w:val="clear" w:color="auto" w:fill="FFFFFF"/>
            <w:vAlign w:val="center"/>
            <w:hideMark/>
          </w:tcPr>
          <w:p w14:paraId="0262C27D" w14:textId="77777777" w:rsidR="00294A2D" w:rsidRDefault="00294A2D" w:rsidP="0032145D">
            <w:pPr>
              <w:keepNext/>
              <w:jc w:val="center"/>
              <w:rPr>
                <w:rFonts w:eastAsia="MS Mincho"/>
                <w:b/>
                <w:sz w:val="22"/>
              </w:rPr>
            </w:pPr>
            <w:r>
              <w:rPr>
                <w:rFonts w:eastAsia="MS Mincho"/>
                <w:b/>
                <w:sz w:val="22"/>
              </w:rPr>
              <w:t>System Order Class/</w:t>
            </w:r>
            <w:r>
              <w:rPr>
                <w:rFonts w:eastAsia="MS Mincho"/>
                <w:b/>
                <w:sz w:val="22"/>
              </w:rPr>
              <w:br/>
              <w:t>ADR (MedDRA Preferred Term)</w:t>
            </w:r>
          </w:p>
        </w:tc>
        <w:tc>
          <w:tcPr>
            <w:tcW w:w="5701" w:type="dxa"/>
            <w:gridSpan w:val="4"/>
            <w:tcBorders>
              <w:top w:val="single" w:sz="4" w:space="0" w:color="auto"/>
              <w:left w:val="nil"/>
              <w:bottom w:val="single" w:sz="4" w:space="0" w:color="auto"/>
              <w:right w:val="single" w:sz="4" w:space="0" w:color="auto"/>
            </w:tcBorders>
            <w:shd w:val="clear" w:color="auto" w:fill="FFFFFF"/>
            <w:vAlign w:val="center"/>
            <w:hideMark/>
          </w:tcPr>
          <w:p w14:paraId="21CBD9C1" w14:textId="77777777" w:rsidR="00294A2D" w:rsidRDefault="00294A2D" w:rsidP="0032145D">
            <w:pPr>
              <w:keepNext/>
              <w:jc w:val="center"/>
              <w:rPr>
                <w:rFonts w:eastAsia="MS Mincho"/>
                <w:b/>
                <w:sz w:val="22"/>
              </w:rPr>
            </w:pPr>
            <w:proofErr w:type="spellStart"/>
            <w:r>
              <w:rPr>
                <w:rFonts w:eastAsia="MS Mincho"/>
                <w:b/>
                <w:sz w:val="22"/>
              </w:rPr>
              <w:t>Tecentriq</w:t>
            </w:r>
            <w:proofErr w:type="spellEnd"/>
            <w:r>
              <w:rPr>
                <w:rFonts w:eastAsia="MS Mincho"/>
                <w:b/>
                <w:sz w:val="22"/>
              </w:rPr>
              <w:t xml:space="preserve"> (n = 198)</w:t>
            </w:r>
          </w:p>
        </w:tc>
      </w:tr>
      <w:tr w:rsidR="00294A2D" w14:paraId="714C1ED6" w14:textId="77777777" w:rsidTr="0032145D">
        <w:trPr>
          <w:tblHeader/>
        </w:trPr>
        <w:tc>
          <w:tcPr>
            <w:tcW w:w="3227" w:type="dxa"/>
            <w:vMerge/>
            <w:tcBorders>
              <w:top w:val="single" w:sz="4" w:space="0" w:color="auto"/>
              <w:left w:val="single" w:sz="4" w:space="0" w:color="auto"/>
              <w:bottom w:val="single" w:sz="4" w:space="0" w:color="auto"/>
              <w:right w:val="nil"/>
            </w:tcBorders>
            <w:shd w:val="clear" w:color="auto" w:fill="FFFFFF"/>
            <w:vAlign w:val="center"/>
            <w:hideMark/>
          </w:tcPr>
          <w:p w14:paraId="16AB8732" w14:textId="77777777" w:rsidR="00294A2D" w:rsidRDefault="00294A2D" w:rsidP="0032145D">
            <w:pPr>
              <w:jc w:val="left"/>
              <w:rPr>
                <w:rFonts w:eastAsia="MS Mincho"/>
                <w:b/>
                <w:sz w:val="22"/>
              </w:rPr>
            </w:pPr>
          </w:p>
        </w:tc>
        <w:tc>
          <w:tcPr>
            <w:tcW w:w="1417" w:type="dxa"/>
            <w:tcBorders>
              <w:top w:val="single" w:sz="4" w:space="0" w:color="auto"/>
              <w:left w:val="nil"/>
              <w:bottom w:val="single" w:sz="4" w:space="0" w:color="auto"/>
              <w:right w:val="nil"/>
            </w:tcBorders>
            <w:shd w:val="clear" w:color="auto" w:fill="FFFFFF"/>
            <w:vAlign w:val="center"/>
            <w:hideMark/>
          </w:tcPr>
          <w:p w14:paraId="4D6E4F5F" w14:textId="77777777" w:rsidR="00294A2D" w:rsidRDefault="00294A2D" w:rsidP="0032145D">
            <w:pPr>
              <w:keepNext/>
              <w:jc w:val="center"/>
              <w:rPr>
                <w:rFonts w:eastAsia="MS Mincho"/>
                <w:b/>
                <w:sz w:val="22"/>
              </w:rPr>
            </w:pPr>
            <w:r>
              <w:rPr>
                <w:rFonts w:eastAsia="MS Mincho"/>
                <w:b/>
                <w:sz w:val="22"/>
              </w:rPr>
              <w:t>All Grades (%)</w:t>
            </w:r>
          </w:p>
        </w:tc>
        <w:tc>
          <w:tcPr>
            <w:tcW w:w="1560" w:type="dxa"/>
            <w:tcBorders>
              <w:top w:val="single" w:sz="4" w:space="0" w:color="auto"/>
              <w:left w:val="nil"/>
              <w:bottom w:val="single" w:sz="4" w:space="0" w:color="auto"/>
              <w:right w:val="nil"/>
            </w:tcBorders>
            <w:shd w:val="clear" w:color="auto" w:fill="FFFFFF"/>
            <w:vAlign w:val="center"/>
            <w:hideMark/>
          </w:tcPr>
          <w:p w14:paraId="1BE7D0EC" w14:textId="77777777" w:rsidR="00294A2D" w:rsidRDefault="00294A2D" w:rsidP="0032145D">
            <w:pPr>
              <w:keepNext/>
              <w:jc w:val="center"/>
              <w:rPr>
                <w:rFonts w:eastAsia="MS Mincho"/>
                <w:b/>
                <w:sz w:val="22"/>
              </w:rPr>
            </w:pPr>
            <w:r>
              <w:rPr>
                <w:rFonts w:eastAsia="MS Mincho"/>
                <w:b/>
                <w:sz w:val="22"/>
              </w:rPr>
              <w:t>Grade 3 - 4 (%)</w:t>
            </w:r>
          </w:p>
        </w:tc>
        <w:tc>
          <w:tcPr>
            <w:tcW w:w="992" w:type="dxa"/>
            <w:tcBorders>
              <w:top w:val="single" w:sz="4" w:space="0" w:color="auto"/>
              <w:left w:val="nil"/>
              <w:bottom w:val="single" w:sz="4" w:space="0" w:color="auto"/>
              <w:right w:val="nil"/>
            </w:tcBorders>
            <w:shd w:val="clear" w:color="auto" w:fill="FFFFFF"/>
            <w:vAlign w:val="center"/>
            <w:hideMark/>
          </w:tcPr>
          <w:p w14:paraId="2746A64F" w14:textId="77777777" w:rsidR="00294A2D" w:rsidRDefault="00294A2D" w:rsidP="0032145D">
            <w:pPr>
              <w:keepNext/>
              <w:jc w:val="center"/>
              <w:rPr>
                <w:rFonts w:eastAsia="MS Mincho"/>
                <w:b/>
                <w:sz w:val="22"/>
              </w:rPr>
            </w:pPr>
            <w:r>
              <w:rPr>
                <w:rFonts w:eastAsia="MS Mincho"/>
                <w:b/>
                <w:sz w:val="22"/>
              </w:rPr>
              <w:t>Grade 5 (%)</w:t>
            </w:r>
          </w:p>
        </w:tc>
        <w:tc>
          <w:tcPr>
            <w:tcW w:w="1732" w:type="dxa"/>
            <w:tcBorders>
              <w:top w:val="single" w:sz="4" w:space="0" w:color="auto"/>
              <w:left w:val="nil"/>
              <w:bottom w:val="single" w:sz="4" w:space="0" w:color="auto"/>
              <w:right w:val="single" w:sz="4" w:space="0" w:color="auto"/>
            </w:tcBorders>
            <w:shd w:val="clear" w:color="auto" w:fill="FFFFFF"/>
            <w:vAlign w:val="center"/>
            <w:hideMark/>
          </w:tcPr>
          <w:p w14:paraId="5C66DD7E" w14:textId="77777777" w:rsidR="00294A2D" w:rsidRDefault="00294A2D" w:rsidP="0032145D">
            <w:pPr>
              <w:keepNext/>
              <w:jc w:val="center"/>
              <w:rPr>
                <w:rFonts w:eastAsia="MS Mincho"/>
                <w:b/>
                <w:sz w:val="22"/>
              </w:rPr>
            </w:pPr>
            <w:r>
              <w:rPr>
                <w:rFonts w:eastAsia="MS Mincho"/>
                <w:b/>
                <w:sz w:val="22"/>
              </w:rPr>
              <w:t>Frequency (All Grades)</w:t>
            </w:r>
          </w:p>
        </w:tc>
      </w:tr>
      <w:tr w:rsidR="00294A2D" w14:paraId="47EEC1A3" w14:textId="77777777" w:rsidTr="0032145D">
        <w:trPr>
          <w:trHeight w:val="428"/>
        </w:trPr>
        <w:tc>
          <w:tcPr>
            <w:tcW w:w="3227" w:type="dxa"/>
            <w:tcBorders>
              <w:top w:val="single" w:sz="4" w:space="0" w:color="auto"/>
              <w:left w:val="single" w:sz="4" w:space="0" w:color="auto"/>
              <w:bottom w:val="nil"/>
              <w:right w:val="nil"/>
            </w:tcBorders>
            <w:shd w:val="clear" w:color="auto" w:fill="FFFFFF"/>
            <w:vAlign w:val="center"/>
            <w:hideMark/>
          </w:tcPr>
          <w:p w14:paraId="1047DF72" w14:textId="77777777" w:rsidR="00294A2D" w:rsidRDefault="00294A2D" w:rsidP="0032145D">
            <w:pPr>
              <w:jc w:val="left"/>
              <w:rPr>
                <w:rFonts w:eastAsia="MS Mincho"/>
                <w:b/>
                <w:sz w:val="22"/>
              </w:rPr>
            </w:pPr>
            <w:r>
              <w:rPr>
                <w:rFonts w:eastAsia="MS Mincho"/>
                <w:b/>
                <w:sz w:val="22"/>
              </w:rPr>
              <w:t>Blood and Lymphatic System Disorders</w:t>
            </w:r>
          </w:p>
        </w:tc>
        <w:tc>
          <w:tcPr>
            <w:tcW w:w="1417" w:type="dxa"/>
            <w:tcBorders>
              <w:top w:val="single" w:sz="4" w:space="0" w:color="auto"/>
              <w:left w:val="nil"/>
              <w:bottom w:val="nil"/>
              <w:right w:val="nil"/>
            </w:tcBorders>
            <w:shd w:val="clear" w:color="auto" w:fill="FFFFFF"/>
            <w:vAlign w:val="center"/>
          </w:tcPr>
          <w:p w14:paraId="3053DAE0" w14:textId="77777777" w:rsidR="00294A2D" w:rsidRDefault="00294A2D" w:rsidP="0032145D">
            <w:pPr>
              <w:jc w:val="center"/>
              <w:rPr>
                <w:rFonts w:eastAsia="MS Mincho"/>
                <w:sz w:val="22"/>
              </w:rPr>
            </w:pPr>
          </w:p>
        </w:tc>
        <w:tc>
          <w:tcPr>
            <w:tcW w:w="1560" w:type="dxa"/>
            <w:tcBorders>
              <w:top w:val="single" w:sz="4" w:space="0" w:color="auto"/>
              <w:left w:val="nil"/>
              <w:bottom w:val="nil"/>
              <w:right w:val="nil"/>
            </w:tcBorders>
            <w:shd w:val="clear" w:color="auto" w:fill="FFFFFF"/>
            <w:vAlign w:val="center"/>
          </w:tcPr>
          <w:p w14:paraId="1C00A1A3" w14:textId="77777777" w:rsidR="00294A2D" w:rsidRDefault="00294A2D" w:rsidP="0032145D">
            <w:pPr>
              <w:jc w:val="center"/>
              <w:rPr>
                <w:rFonts w:eastAsia="MS Mincho"/>
                <w:sz w:val="22"/>
              </w:rPr>
            </w:pPr>
          </w:p>
        </w:tc>
        <w:tc>
          <w:tcPr>
            <w:tcW w:w="992" w:type="dxa"/>
            <w:tcBorders>
              <w:top w:val="single" w:sz="4" w:space="0" w:color="auto"/>
              <w:left w:val="nil"/>
              <w:bottom w:val="nil"/>
              <w:right w:val="nil"/>
            </w:tcBorders>
            <w:shd w:val="clear" w:color="auto" w:fill="FFFFFF"/>
            <w:vAlign w:val="center"/>
          </w:tcPr>
          <w:p w14:paraId="5F45B105" w14:textId="77777777" w:rsidR="00294A2D" w:rsidRDefault="00294A2D" w:rsidP="0032145D">
            <w:pPr>
              <w:jc w:val="center"/>
              <w:rPr>
                <w:rFonts w:eastAsia="MS Mincho"/>
                <w:sz w:val="22"/>
              </w:rPr>
            </w:pPr>
          </w:p>
        </w:tc>
        <w:tc>
          <w:tcPr>
            <w:tcW w:w="1732" w:type="dxa"/>
            <w:tcBorders>
              <w:top w:val="single" w:sz="4" w:space="0" w:color="auto"/>
              <w:left w:val="nil"/>
              <w:bottom w:val="nil"/>
              <w:right w:val="single" w:sz="4" w:space="0" w:color="auto"/>
            </w:tcBorders>
            <w:shd w:val="clear" w:color="auto" w:fill="FFFFFF"/>
            <w:vAlign w:val="center"/>
          </w:tcPr>
          <w:p w14:paraId="0FA4FF9C" w14:textId="77777777" w:rsidR="00294A2D" w:rsidRDefault="00294A2D" w:rsidP="0032145D">
            <w:pPr>
              <w:jc w:val="center"/>
              <w:rPr>
                <w:rFonts w:eastAsia="MS Mincho"/>
                <w:sz w:val="22"/>
              </w:rPr>
            </w:pPr>
          </w:p>
        </w:tc>
      </w:tr>
      <w:tr w:rsidR="00294A2D" w14:paraId="6508E094" w14:textId="77777777" w:rsidTr="0032145D">
        <w:trPr>
          <w:trHeight w:val="301"/>
        </w:trPr>
        <w:tc>
          <w:tcPr>
            <w:tcW w:w="3227" w:type="dxa"/>
            <w:tcBorders>
              <w:top w:val="nil"/>
              <w:left w:val="single" w:sz="4" w:space="0" w:color="auto"/>
              <w:bottom w:val="nil"/>
              <w:right w:val="nil"/>
            </w:tcBorders>
            <w:shd w:val="clear" w:color="auto" w:fill="FFFFFF"/>
            <w:vAlign w:val="center"/>
            <w:hideMark/>
          </w:tcPr>
          <w:p w14:paraId="2D876C5F" w14:textId="77777777" w:rsidR="00294A2D" w:rsidRDefault="00294A2D" w:rsidP="0032145D">
            <w:pPr>
              <w:jc w:val="left"/>
              <w:rPr>
                <w:rFonts w:eastAsia="MS Mincho"/>
                <w:b/>
                <w:sz w:val="22"/>
              </w:rPr>
            </w:pPr>
            <w:r>
              <w:t>Anaemia</w:t>
            </w:r>
            <w:r>
              <w:rPr>
                <w:vertAlign w:val="superscript"/>
              </w:rPr>
              <w:t>*</w:t>
            </w:r>
          </w:p>
        </w:tc>
        <w:tc>
          <w:tcPr>
            <w:tcW w:w="1417" w:type="dxa"/>
            <w:shd w:val="clear" w:color="auto" w:fill="FFFFFF"/>
            <w:vAlign w:val="center"/>
            <w:hideMark/>
          </w:tcPr>
          <w:p w14:paraId="3F555067" w14:textId="77777777" w:rsidR="00294A2D" w:rsidRDefault="00294A2D" w:rsidP="0032145D">
            <w:pPr>
              <w:jc w:val="center"/>
              <w:rPr>
                <w:rFonts w:eastAsia="MS Mincho"/>
                <w:sz w:val="22"/>
                <w:highlight w:val="yellow"/>
              </w:rPr>
            </w:pPr>
            <w:r>
              <w:rPr>
                <w:rFonts w:eastAsia="MS Mincho"/>
                <w:sz w:val="22"/>
              </w:rPr>
              <w:t>86 (43.4%)</w:t>
            </w:r>
          </w:p>
        </w:tc>
        <w:tc>
          <w:tcPr>
            <w:tcW w:w="1560" w:type="dxa"/>
            <w:shd w:val="clear" w:color="auto" w:fill="FFFFFF"/>
            <w:vAlign w:val="center"/>
            <w:hideMark/>
          </w:tcPr>
          <w:p w14:paraId="46FA5BBB" w14:textId="77777777" w:rsidR="00294A2D" w:rsidRDefault="00294A2D" w:rsidP="0032145D">
            <w:pPr>
              <w:jc w:val="center"/>
              <w:rPr>
                <w:rFonts w:eastAsia="MS Mincho"/>
                <w:sz w:val="22"/>
                <w:highlight w:val="yellow"/>
              </w:rPr>
            </w:pPr>
            <w:r>
              <w:rPr>
                <w:rFonts w:eastAsia="MS Mincho"/>
                <w:sz w:val="22"/>
              </w:rPr>
              <w:t>31 (15.7%)</w:t>
            </w:r>
          </w:p>
        </w:tc>
        <w:tc>
          <w:tcPr>
            <w:tcW w:w="992" w:type="dxa"/>
            <w:shd w:val="clear" w:color="auto" w:fill="FFFFFF"/>
            <w:vAlign w:val="center"/>
            <w:hideMark/>
          </w:tcPr>
          <w:p w14:paraId="0D9DE662" w14:textId="77777777" w:rsidR="00294A2D" w:rsidRDefault="00294A2D" w:rsidP="0032145D">
            <w:pPr>
              <w:jc w:val="center"/>
              <w:rPr>
                <w:rFonts w:eastAsia="MS Mincho"/>
                <w:sz w:val="22"/>
                <w:highlight w:val="yellow"/>
              </w:rPr>
            </w:pPr>
            <w:r>
              <w:rPr>
                <w:rFonts w:eastAsia="MS Mincho"/>
                <w:sz w:val="22"/>
              </w:rPr>
              <w:t>0 (0%)</w:t>
            </w:r>
          </w:p>
        </w:tc>
        <w:tc>
          <w:tcPr>
            <w:tcW w:w="1732" w:type="dxa"/>
            <w:tcBorders>
              <w:top w:val="nil"/>
              <w:left w:val="nil"/>
              <w:bottom w:val="nil"/>
              <w:right w:val="single" w:sz="4" w:space="0" w:color="auto"/>
            </w:tcBorders>
            <w:shd w:val="clear" w:color="auto" w:fill="FFFFFF"/>
            <w:vAlign w:val="center"/>
            <w:hideMark/>
          </w:tcPr>
          <w:p w14:paraId="7D9C0215" w14:textId="77777777" w:rsidR="00294A2D" w:rsidRDefault="00294A2D" w:rsidP="0032145D">
            <w:pPr>
              <w:jc w:val="center"/>
              <w:rPr>
                <w:rFonts w:eastAsia="MS Mincho"/>
                <w:sz w:val="22"/>
              </w:rPr>
            </w:pPr>
            <w:r>
              <w:t>Very common</w:t>
            </w:r>
          </w:p>
        </w:tc>
      </w:tr>
      <w:tr w:rsidR="00294A2D" w14:paraId="5C6CB87F" w14:textId="77777777" w:rsidTr="0032145D">
        <w:trPr>
          <w:trHeight w:val="427"/>
        </w:trPr>
        <w:tc>
          <w:tcPr>
            <w:tcW w:w="3227" w:type="dxa"/>
            <w:tcBorders>
              <w:top w:val="nil"/>
              <w:left w:val="single" w:sz="4" w:space="0" w:color="auto"/>
              <w:bottom w:val="single" w:sz="4" w:space="0" w:color="auto"/>
              <w:right w:val="nil"/>
            </w:tcBorders>
            <w:shd w:val="clear" w:color="auto" w:fill="FFFFFF"/>
            <w:vAlign w:val="center"/>
            <w:hideMark/>
          </w:tcPr>
          <w:p w14:paraId="209C7ED6" w14:textId="77777777" w:rsidR="00294A2D" w:rsidRDefault="00294A2D" w:rsidP="0032145D">
            <w:pPr>
              <w:jc w:val="left"/>
            </w:pPr>
            <w:r>
              <w:t>Thrombocytopenia</w:t>
            </w:r>
            <w:r>
              <w:rPr>
                <w:vertAlign w:val="superscript"/>
              </w:rPr>
              <w:t>‡, a</w:t>
            </w:r>
          </w:p>
        </w:tc>
        <w:tc>
          <w:tcPr>
            <w:tcW w:w="1417" w:type="dxa"/>
            <w:tcBorders>
              <w:top w:val="nil"/>
              <w:left w:val="nil"/>
              <w:bottom w:val="single" w:sz="4" w:space="0" w:color="auto"/>
              <w:right w:val="nil"/>
            </w:tcBorders>
            <w:shd w:val="clear" w:color="auto" w:fill="FFFFFF"/>
            <w:vAlign w:val="center"/>
            <w:hideMark/>
          </w:tcPr>
          <w:p w14:paraId="2EBA8EE4" w14:textId="77777777" w:rsidR="00294A2D" w:rsidRDefault="00294A2D" w:rsidP="0032145D">
            <w:pPr>
              <w:jc w:val="center"/>
              <w:rPr>
                <w:rFonts w:eastAsia="MS Mincho"/>
                <w:sz w:val="22"/>
              </w:rPr>
            </w:pPr>
            <w:r>
              <w:rPr>
                <w:rFonts w:eastAsia="MS Mincho"/>
                <w:sz w:val="22"/>
              </w:rPr>
              <w:t>56 (28.3%)</w:t>
            </w:r>
          </w:p>
        </w:tc>
        <w:tc>
          <w:tcPr>
            <w:tcW w:w="1560" w:type="dxa"/>
            <w:tcBorders>
              <w:top w:val="nil"/>
              <w:left w:val="nil"/>
              <w:bottom w:val="single" w:sz="4" w:space="0" w:color="auto"/>
              <w:right w:val="nil"/>
            </w:tcBorders>
            <w:shd w:val="clear" w:color="auto" w:fill="FFFFFF"/>
            <w:vAlign w:val="center"/>
            <w:hideMark/>
          </w:tcPr>
          <w:p w14:paraId="46088EAE" w14:textId="77777777" w:rsidR="00294A2D" w:rsidRDefault="00294A2D" w:rsidP="0032145D">
            <w:pPr>
              <w:jc w:val="center"/>
              <w:rPr>
                <w:rFonts w:eastAsia="MS Mincho"/>
                <w:sz w:val="22"/>
                <w:highlight w:val="yellow"/>
              </w:rPr>
            </w:pPr>
            <w:r>
              <w:rPr>
                <w:rFonts w:eastAsia="MS Mincho"/>
                <w:sz w:val="22"/>
              </w:rPr>
              <w:t>27 (13.6%)</w:t>
            </w:r>
          </w:p>
        </w:tc>
        <w:tc>
          <w:tcPr>
            <w:tcW w:w="992" w:type="dxa"/>
            <w:tcBorders>
              <w:top w:val="nil"/>
              <w:left w:val="nil"/>
              <w:bottom w:val="single" w:sz="4" w:space="0" w:color="auto"/>
              <w:right w:val="nil"/>
            </w:tcBorders>
            <w:shd w:val="clear" w:color="auto" w:fill="FFFFFF"/>
            <w:vAlign w:val="center"/>
            <w:hideMark/>
          </w:tcPr>
          <w:p w14:paraId="5156787C" w14:textId="77777777" w:rsidR="00294A2D" w:rsidRDefault="00294A2D" w:rsidP="0032145D">
            <w:pPr>
              <w:jc w:val="center"/>
              <w:rPr>
                <w:rFonts w:eastAsia="MS Mincho"/>
                <w:sz w:val="22"/>
                <w:highlight w:val="yellow"/>
              </w:rPr>
            </w:pPr>
            <w:r>
              <w:rPr>
                <w:rFonts w:eastAsia="MS Mincho"/>
                <w:sz w:val="22"/>
              </w:rPr>
              <w:t>0 (0%)</w:t>
            </w:r>
          </w:p>
        </w:tc>
        <w:tc>
          <w:tcPr>
            <w:tcW w:w="1732" w:type="dxa"/>
            <w:tcBorders>
              <w:top w:val="nil"/>
              <w:left w:val="nil"/>
              <w:bottom w:val="single" w:sz="4" w:space="0" w:color="auto"/>
              <w:right w:val="single" w:sz="4" w:space="0" w:color="auto"/>
            </w:tcBorders>
            <w:shd w:val="clear" w:color="auto" w:fill="FFFFFF"/>
            <w:vAlign w:val="center"/>
            <w:hideMark/>
          </w:tcPr>
          <w:p w14:paraId="7D590DA0" w14:textId="77777777" w:rsidR="00294A2D" w:rsidRDefault="00294A2D" w:rsidP="0032145D">
            <w:pPr>
              <w:jc w:val="center"/>
            </w:pPr>
            <w:r>
              <w:t>Very common</w:t>
            </w:r>
          </w:p>
        </w:tc>
      </w:tr>
      <w:tr w:rsidR="00294A2D" w14:paraId="4B60961B" w14:textId="77777777" w:rsidTr="0032145D">
        <w:trPr>
          <w:trHeight w:val="427"/>
        </w:trPr>
        <w:tc>
          <w:tcPr>
            <w:tcW w:w="3227" w:type="dxa"/>
            <w:tcBorders>
              <w:top w:val="single" w:sz="4" w:space="0" w:color="auto"/>
              <w:left w:val="single" w:sz="4" w:space="0" w:color="auto"/>
              <w:bottom w:val="nil"/>
              <w:right w:val="nil"/>
            </w:tcBorders>
            <w:shd w:val="clear" w:color="auto" w:fill="FFFFFF"/>
            <w:vAlign w:val="center"/>
            <w:hideMark/>
          </w:tcPr>
          <w:p w14:paraId="51EEC643" w14:textId="77777777" w:rsidR="00294A2D" w:rsidRDefault="00294A2D" w:rsidP="0032145D">
            <w:pPr>
              <w:rPr>
                <w:b/>
              </w:rPr>
            </w:pPr>
            <w:r>
              <w:rPr>
                <w:b/>
              </w:rPr>
              <w:t>Endocrine Disorders</w:t>
            </w:r>
          </w:p>
        </w:tc>
        <w:tc>
          <w:tcPr>
            <w:tcW w:w="1417" w:type="dxa"/>
            <w:tcBorders>
              <w:top w:val="single" w:sz="4" w:space="0" w:color="auto"/>
              <w:left w:val="nil"/>
              <w:bottom w:val="nil"/>
              <w:right w:val="nil"/>
            </w:tcBorders>
            <w:shd w:val="clear" w:color="auto" w:fill="FFFFFF"/>
            <w:vAlign w:val="center"/>
          </w:tcPr>
          <w:p w14:paraId="5038E848" w14:textId="77777777" w:rsidR="00294A2D" w:rsidRDefault="00294A2D" w:rsidP="0032145D">
            <w:pPr>
              <w:jc w:val="center"/>
              <w:rPr>
                <w:rFonts w:eastAsia="MS Mincho"/>
                <w:sz w:val="22"/>
              </w:rPr>
            </w:pPr>
          </w:p>
        </w:tc>
        <w:tc>
          <w:tcPr>
            <w:tcW w:w="1560" w:type="dxa"/>
            <w:tcBorders>
              <w:top w:val="single" w:sz="4" w:space="0" w:color="auto"/>
              <w:left w:val="nil"/>
              <w:bottom w:val="nil"/>
              <w:right w:val="nil"/>
            </w:tcBorders>
            <w:shd w:val="clear" w:color="auto" w:fill="FFFFFF"/>
            <w:vAlign w:val="center"/>
          </w:tcPr>
          <w:p w14:paraId="3233FA3C" w14:textId="77777777" w:rsidR="00294A2D" w:rsidRDefault="00294A2D" w:rsidP="0032145D">
            <w:pPr>
              <w:jc w:val="center"/>
              <w:rPr>
                <w:rFonts w:eastAsia="MS Mincho"/>
                <w:sz w:val="22"/>
              </w:rPr>
            </w:pPr>
          </w:p>
        </w:tc>
        <w:tc>
          <w:tcPr>
            <w:tcW w:w="992" w:type="dxa"/>
            <w:tcBorders>
              <w:top w:val="single" w:sz="4" w:space="0" w:color="auto"/>
              <w:left w:val="nil"/>
              <w:bottom w:val="nil"/>
              <w:right w:val="nil"/>
            </w:tcBorders>
            <w:shd w:val="clear" w:color="auto" w:fill="FFFFFF"/>
            <w:vAlign w:val="center"/>
          </w:tcPr>
          <w:p w14:paraId="0F138EBD" w14:textId="77777777" w:rsidR="00294A2D" w:rsidRDefault="00294A2D" w:rsidP="0032145D">
            <w:pPr>
              <w:jc w:val="center"/>
              <w:rPr>
                <w:rFonts w:eastAsia="MS Mincho"/>
                <w:sz w:val="22"/>
              </w:rPr>
            </w:pPr>
          </w:p>
        </w:tc>
        <w:tc>
          <w:tcPr>
            <w:tcW w:w="1732" w:type="dxa"/>
            <w:tcBorders>
              <w:top w:val="single" w:sz="4" w:space="0" w:color="auto"/>
              <w:left w:val="nil"/>
              <w:bottom w:val="nil"/>
              <w:right w:val="single" w:sz="4" w:space="0" w:color="auto"/>
            </w:tcBorders>
            <w:shd w:val="clear" w:color="auto" w:fill="FFFFFF"/>
            <w:vAlign w:val="center"/>
          </w:tcPr>
          <w:p w14:paraId="7C57B250" w14:textId="77777777" w:rsidR="00294A2D" w:rsidRDefault="00294A2D" w:rsidP="0032145D">
            <w:pPr>
              <w:jc w:val="center"/>
            </w:pPr>
          </w:p>
        </w:tc>
      </w:tr>
      <w:tr w:rsidR="00294A2D" w14:paraId="1DBB4055" w14:textId="77777777" w:rsidTr="0032145D">
        <w:trPr>
          <w:trHeight w:val="427"/>
        </w:trPr>
        <w:tc>
          <w:tcPr>
            <w:tcW w:w="3227" w:type="dxa"/>
            <w:tcBorders>
              <w:top w:val="nil"/>
              <w:left w:val="single" w:sz="4" w:space="0" w:color="auto"/>
              <w:bottom w:val="nil"/>
              <w:right w:val="nil"/>
            </w:tcBorders>
            <w:shd w:val="clear" w:color="auto" w:fill="FFFFFF"/>
            <w:vAlign w:val="center"/>
            <w:hideMark/>
          </w:tcPr>
          <w:p w14:paraId="536B6B24" w14:textId="77777777" w:rsidR="00294A2D" w:rsidRDefault="00294A2D" w:rsidP="0032145D">
            <w:pPr>
              <w:jc w:val="left"/>
            </w:pPr>
            <w:r>
              <w:t>Hypothyroidism</w:t>
            </w:r>
            <w:r>
              <w:rPr>
                <w:vertAlign w:val="superscript"/>
              </w:rPr>
              <w:t>*, ‡, b</w:t>
            </w:r>
          </w:p>
        </w:tc>
        <w:tc>
          <w:tcPr>
            <w:tcW w:w="1417" w:type="dxa"/>
            <w:shd w:val="clear" w:color="auto" w:fill="FFFFFF"/>
            <w:vAlign w:val="center"/>
            <w:hideMark/>
          </w:tcPr>
          <w:p w14:paraId="5AFA1C0B" w14:textId="77777777" w:rsidR="00294A2D" w:rsidRDefault="00294A2D" w:rsidP="0032145D">
            <w:pPr>
              <w:jc w:val="center"/>
              <w:rPr>
                <w:rFonts w:eastAsia="MS Mincho"/>
                <w:sz w:val="22"/>
              </w:rPr>
            </w:pPr>
            <w:r>
              <w:rPr>
                <w:rFonts w:eastAsia="MS Mincho"/>
                <w:sz w:val="22"/>
              </w:rPr>
              <w:t>25 (12.6%)</w:t>
            </w:r>
          </w:p>
        </w:tc>
        <w:tc>
          <w:tcPr>
            <w:tcW w:w="1560" w:type="dxa"/>
            <w:shd w:val="clear" w:color="auto" w:fill="FFFFFF"/>
            <w:vAlign w:val="center"/>
            <w:hideMark/>
          </w:tcPr>
          <w:p w14:paraId="4812B547" w14:textId="77777777" w:rsidR="00294A2D" w:rsidRDefault="00294A2D" w:rsidP="0032145D">
            <w:pPr>
              <w:jc w:val="center"/>
              <w:rPr>
                <w:rFonts w:eastAsia="MS Mincho"/>
                <w:sz w:val="22"/>
              </w:rPr>
            </w:pPr>
            <w:r>
              <w:rPr>
                <w:rFonts w:eastAsia="MS Mincho"/>
                <w:sz w:val="22"/>
              </w:rPr>
              <w:t>0 (0%)</w:t>
            </w:r>
          </w:p>
        </w:tc>
        <w:tc>
          <w:tcPr>
            <w:tcW w:w="992" w:type="dxa"/>
            <w:shd w:val="clear" w:color="auto" w:fill="FFFFFF"/>
            <w:vAlign w:val="center"/>
            <w:hideMark/>
          </w:tcPr>
          <w:p w14:paraId="10C1321F" w14:textId="77777777" w:rsidR="00294A2D" w:rsidRDefault="00294A2D" w:rsidP="0032145D">
            <w:pPr>
              <w:jc w:val="center"/>
              <w:rPr>
                <w:rFonts w:eastAsia="MS Mincho"/>
                <w:sz w:val="22"/>
              </w:rPr>
            </w:pPr>
            <w:r>
              <w:rPr>
                <w:rFonts w:eastAsia="MS Mincho"/>
                <w:sz w:val="22"/>
              </w:rPr>
              <w:t>0 (0%)</w:t>
            </w:r>
          </w:p>
        </w:tc>
        <w:tc>
          <w:tcPr>
            <w:tcW w:w="1732" w:type="dxa"/>
            <w:tcBorders>
              <w:top w:val="nil"/>
              <w:left w:val="nil"/>
              <w:bottom w:val="nil"/>
              <w:right w:val="single" w:sz="4" w:space="0" w:color="auto"/>
            </w:tcBorders>
            <w:shd w:val="clear" w:color="auto" w:fill="FFFFFF"/>
            <w:vAlign w:val="center"/>
            <w:hideMark/>
          </w:tcPr>
          <w:p w14:paraId="5EAC941F" w14:textId="77777777" w:rsidR="00294A2D" w:rsidRDefault="00294A2D" w:rsidP="0032145D">
            <w:pPr>
              <w:jc w:val="center"/>
            </w:pPr>
            <w:r>
              <w:t>Very common</w:t>
            </w:r>
          </w:p>
        </w:tc>
      </w:tr>
      <w:tr w:rsidR="00294A2D" w14:paraId="0423F013" w14:textId="77777777" w:rsidTr="0032145D">
        <w:trPr>
          <w:trHeight w:val="427"/>
        </w:trPr>
        <w:tc>
          <w:tcPr>
            <w:tcW w:w="3227" w:type="dxa"/>
            <w:tcBorders>
              <w:top w:val="nil"/>
              <w:left w:val="single" w:sz="4" w:space="0" w:color="auto"/>
              <w:bottom w:val="single" w:sz="4" w:space="0" w:color="auto"/>
              <w:right w:val="nil"/>
            </w:tcBorders>
            <w:shd w:val="clear" w:color="auto" w:fill="FFFFFF"/>
            <w:vAlign w:val="center"/>
            <w:hideMark/>
          </w:tcPr>
          <w:p w14:paraId="339FB2E7" w14:textId="77777777" w:rsidR="00294A2D" w:rsidRDefault="00294A2D" w:rsidP="0032145D">
            <w:pPr>
              <w:jc w:val="left"/>
            </w:pPr>
            <w:proofErr w:type="spellStart"/>
            <w:r>
              <w:t>Hypophysitis</w:t>
            </w:r>
            <w:proofErr w:type="spellEnd"/>
            <w:r>
              <w:rPr>
                <w:vertAlign w:val="superscript"/>
              </w:rPr>
              <w:t>‡, c</w:t>
            </w:r>
          </w:p>
        </w:tc>
        <w:tc>
          <w:tcPr>
            <w:tcW w:w="1417" w:type="dxa"/>
            <w:tcBorders>
              <w:top w:val="nil"/>
              <w:left w:val="nil"/>
              <w:bottom w:val="single" w:sz="4" w:space="0" w:color="auto"/>
              <w:right w:val="nil"/>
            </w:tcBorders>
            <w:shd w:val="clear" w:color="auto" w:fill="FFFFFF"/>
            <w:vAlign w:val="center"/>
            <w:hideMark/>
          </w:tcPr>
          <w:p w14:paraId="109F2056" w14:textId="77777777" w:rsidR="00294A2D" w:rsidRDefault="00294A2D" w:rsidP="0032145D">
            <w:pPr>
              <w:jc w:val="center"/>
              <w:rPr>
                <w:rFonts w:eastAsia="MS Mincho"/>
                <w:sz w:val="22"/>
              </w:rPr>
            </w:pPr>
            <w:r>
              <w:rPr>
                <w:rFonts w:eastAsia="MS Mincho"/>
                <w:sz w:val="22"/>
              </w:rPr>
              <w:t>1 ( 0.5%)</w:t>
            </w:r>
          </w:p>
        </w:tc>
        <w:tc>
          <w:tcPr>
            <w:tcW w:w="1560" w:type="dxa"/>
            <w:tcBorders>
              <w:top w:val="nil"/>
              <w:left w:val="nil"/>
              <w:bottom w:val="single" w:sz="4" w:space="0" w:color="auto"/>
              <w:right w:val="nil"/>
            </w:tcBorders>
            <w:shd w:val="clear" w:color="auto" w:fill="FFFFFF"/>
            <w:vAlign w:val="center"/>
            <w:hideMark/>
          </w:tcPr>
          <w:p w14:paraId="43A8439B" w14:textId="77777777" w:rsidR="00294A2D" w:rsidRDefault="00294A2D" w:rsidP="0032145D">
            <w:pPr>
              <w:jc w:val="center"/>
              <w:rPr>
                <w:rFonts w:eastAsia="MS Mincho"/>
                <w:sz w:val="22"/>
              </w:rPr>
            </w:pPr>
            <w:r>
              <w:rPr>
                <w:rFonts w:eastAsia="MS Mincho"/>
                <w:sz w:val="22"/>
              </w:rPr>
              <w:t>0 (0%)</w:t>
            </w:r>
          </w:p>
        </w:tc>
        <w:tc>
          <w:tcPr>
            <w:tcW w:w="992" w:type="dxa"/>
            <w:tcBorders>
              <w:top w:val="nil"/>
              <w:left w:val="nil"/>
              <w:bottom w:val="single" w:sz="4" w:space="0" w:color="auto"/>
              <w:right w:val="nil"/>
            </w:tcBorders>
            <w:shd w:val="clear" w:color="auto" w:fill="FFFFFF"/>
            <w:vAlign w:val="center"/>
            <w:hideMark/>
          </w:tcPr>
          <w:p w14:paraId="29366C46" w14:textId="77777777" w:rsidR="00294A2D" w:rsidRDefault="00294A2D" w:rsidP="0032145D">
            <w:pPr>
              <w:jc w:val="center"/>
              <w:rPr>
                <w:rFonts w:eastAsia="MS Mincho"/>
                <w:sz w:val="22"/>
              </w:rPr>
            </w:pPr>
            <w:r>
              <w:rPr>
                <w:rFonts w:eastAsia="MS Mincho"/>
                <w:sz w:val="22"/>
              </w:rPr>
              <w:t>0 (0%)</w:t>
            </w:r>
          </w:p>
        </w:tc>
        <w:tc>
          <w:tcPr>
            <w:tcW w:w="1732" w:type="dxa"/>
            <w:tcBorders>
              <w:top w:val="nil"/>
              <w:left w:val="nil"/>
              <w:bottom w:val="single" w:sz="4" w:space="0" w:color="auto"/>
              <w:right w:val="single" w:sz="4" w:space="0" w:color="auto"/>
            </w:tcBorders>
            <w:shd w:val="clear" w:color="auto" w:fill="FFFFFF"/>
            <w:vAlign w:val="center"/>
            <w:hideMark/>
          </w:tcPr>
          <w:p w14:paraId="27E4808A" w14:textId="77777777" w:rsidR="00294A2D" w:rsidRDefault="00294A2D" w:rsidP="0032145D">
            <w:pPr>
              <w:jc w:val="center"/>
            </w:pPr>
            <w:r>
              <w:t>Uncommon</w:t>
            </w:r>
          </w:p>
        </w:tc>
      </w:tr>
    </w:tbl>
    <w:p w14:paraId="3193E01A" w14:textId="77777777" w:rsidR="00294A2D" w:rsidRDefault="00294A2D" w:rsidP="00294A2D">
      <w:pPr>
        <w:rPr>
          <w:sz w:val="22"/>
        </w:rPr>
      </w:pPr>
      <w:r>
        <w:rPr>
          <w:sz w:val="22"/>
        </w:rPr>
        <w:t xml:space="preserve">* ADR occurring at a frequency ≥ 5% (All grades) or ≥ 2% (Grades 3-4) compared to the control arm. </w:t>
      </w:r>
    </w:p>
    <w:p w14:paraId="11090C55" w14:textId="77777777" w:rsidR="00294A2D" w:rsidRDefault="00294A2D" w:rsidP="00294A2D">
      <w:pPr>
        <w:rPr>
          <w:sz w:val="22"/>
        </w:rPr>
      </w:pPr>
      <w:r>
        <w:rPr>
          <w:sz w:val="22"/>
        </w:rPr>
        <w:t xml:space="preserve">‡ Observed rate in the combination represents a clinically relevant difference in comparison to </w:t>
      </w:r>
      <w:proofErr w:type="spellStart"/>
      <w:r>
        <w:rPr>
          <w:sz w:val="22"/>
        </w:rPr>
        <w:t>Tecentriq</w:t>
      </w:r>
      <w:proofErr w:type="spellEnd"/>
      <w:r>
        <w:rPr>
          <w:sz w:val="22"/>
        </w:rPr>
        <w:t xml:space="preserve"> monotherapy. </w:t>
      </w:r>
    </w:p>
    <w:p w14:paraId="232AC5EA" w14:textId="77777777" w:rsidR="00294A2D" w:rsidRDefault="00294A2D" w:rsidP="00294A2D">
      <w:pPr>
        <w:rPr>
          <w:sz w:val="22"/>
        </w:rPr>
      </w:pPr>
      <w:proofErr w:type="spellStart"/>
      <w:r>
        <w:rPr>
          <w:sz w:val="22"/>
          <w:vertAlign w:val="superscript"/>
        </w:rPr>
        <w:t>a</w:t>
      </w:r>
      <w:proofErr w:type="spellEnd"/>
      <w:r>
        <w:rPr>
          <w:sz w:val="22"/>
        </w:rPr>
        <w:t xml:space="preserve"> Includes reports of thrombocytopenia and platelet count decreased.</w:t>
      </w:r>
    </w:p>
    <w:p w14:paraId="3AF75BDA" w14:textId="77777777" w:rsidR="00294A2D" w:rsidRDefault="00294A2D" w:rsidP="00294A2D">
      <w:pPr>
        <w:rPr>
          <w:sz w:val="22"/>
        </w:rPr>
      </w:pPr>
      <w:r>
        <w:rPr>
          <w:sz w:val="22"/>
          <w:vertAlign w:val="superscript"/>
        </w:rPr>
        <w:t>b</w:t>
      </w:r>
      <w:r>
        <w:rPr>
          <w:sz w:val="22"/>
        </w:rPr>
        <w:t xml:space="preserve"> Includes reports of hypothyroidism, blood thyroid stimulating hormone increased, blood thyroid stimulating, hormone decreased, autoimmune thyroiditis, thyroiditis, thyroxine free increased, tri−iodothyronine free increased.</w:t>
      </w:r>
    </w:p>
    <w:p w14:paraId="3E8B9CBA" w14:textId="77777777" w:rsidR="00294A2D" w:rsidRPr="001F3EFC" w:rsidRDefault="00294A2D" w:rsidP="00294A2D">
      <w:r>
        <w:rPr>
          <w:sz w:val="22"/>
          <w:vertAlign w:val="superscript"/>
        </w:rPr>
        <w:t>c</w:t>
      </w:r>
      <w:r>
        <w:rPr>
          <w:sz w:val="22"/>
        </w:rPr>
        <w:t xml:space="preserve"> Includes report of temperature regulation disorder</w:t>
      </w:r>
    </w:p>
    <w:p w14:paraId="792DE5F3" w14:textId="77777777" w:rsidR="00294A2D" w:rsidRPr="00E569AD" w:rsidRDefault="00294A2D" w:rsidP="00364F3A"/>
    <w:p w14:paraId="541F0D36" w14:textId="362E8045" w:rsidR="000E7DB1" w:rsidRPr="000E7DB1" w:rsidRDefault="000E7DB1" w:rsidP="000E7DB1">
      <w:pPr>
        <w:rPr>
          <w:lang w:val="en-US"/>
        </w:rPr>
      </w:pPr>
      <w:r w:rsidRPr="000E7DB1">
        <w:rPr>
          <w:lang w:val="en-US"/>
        </w:rPr>
        <w:lastRenderedPageBreak/>
        <w:t xml:space="preserve">One patient in the </w:t>
      </w:r>
      <w:proofErr w:type="spellStart"/>
      <w:r w:rsidRPr="000E7DB1">
        <w:rPr>
          <w:lang w:val="en-US"/>
        </w:rPr>
        <w:t>Tecentriq</w:t>
      </w:r>
      <w:proofErr w:type="spellEnd"/>
      <w:r w:rsidRPr="000E7DB1">
        <w:rPr>
          <w:lang w:val="en-US"/>
        </w:rPr>
        <w:t xml:space="preserve"> combination arm experienced Grade 3 anaphylaxis and discontinued </w:t>
      </w:r>
      <w:proofErr w:type="spellStart"/>
      <w:r w:rsidRPr="000E7DB1">
        <w:rPr>
          <w:lang w:val="en-US"/>
        </w:rPr>
        <w:t>Tecentriq</w:t>
      </w:r>
      <w:proofErr w:type="spellEnd"/>
      <w:r w:rsidRPr="000E7DB1">
        <w:rPr>
          <w:lang w:val="en-US"/>
        </w:rPr>
        <w:t xml:space="preserve"> treatment.</w:t>
      </w:r>
    </w:p>
    <w:p w14:paraId="24852019" w14:textId="185D802A" w:rsidR="000E7DB1" w:rsidRDefault="000E7DB1" w:rsidP="000E7DB1">
      <w:pPr>
        <w:rPr>
          <w:lang w:val="en-US"/>
        </w:rPr>
      </w:pPr>
    </w:p>
    <w:p w14:paraId="2C8FC9AF" w14:textId="77777777" w:rsidR="00033423" w:rsidRDefault="00033423" w:rsidP="00033423">
      <w:pPr>
        <w:spacing w:before="181"/>
        <w:ind w:left="118"/>
        <w:rPr>
          <w:i/>
        </w:rPr>
      </w:pPr>
      <w:r>
        <w:rPr>
          <w:i/>
          <w:u w:val="single"/>
        </w:rPr>
        <w:t>1L TNBC</w:t>
      </w:r>
    </w:p>
    <w:p w14:paraId="2339126C" w14:textId="7F97448E" w:rsidR="00033423" w:rsidRDefault="00033423" w:rsidP="00033423">
      <w:pPr>
        <w:pStyle w:val="BodyText"/>
        <w:spacing w:before="60"/>
        <w:ind w:right="418"/>
      </w:pPr>
      <w:r>
        <w:t xml:space="preserve">Table </w:t>
      </w:r>
      <w:r w:rsidR="006452D8">
        <w:t xml:space="preserve">6 </w:t>
      </w:r>
      <w:r>
        <w:t xml:space="preserve">summarises the additional ADRs associated with the use of </w:t>
      </w:r>
      <w:proofErr w:type="spellStart"/>
      <w:r>
        <w:t>Tecentriq</w:t>
      </w:r>
      <w:proofErr w:type="spellEnd"/>
      <w:r>
        <w:t xml:space="preserve"> in patients with TNBC in combination with nab-paclitaxel</w:t>
      </w:r>
      <w:r w:rsidR="007C6F6E">
        <w:t xml:space="preserve"> in study WO29522 (IMpassion130)</w:t>
      </w:r>
    </w:p>
    <w:p w14:paraId="5F847686" w14:textId="77777777" w:rsidR="00033423" w:rsidRDefault="00033423" w:rsidP="00033423">
      <w:pPr>
        <w:pStyle w:val="BodyText"/>
        <w:spacing w:before="4"/>
      </w:pPr>
    </w:p>
    <w:p w14:paraId="77C3E2D8" w14:textId="692DEE4D" w:rsidR="00033423" w:rsidRDefault="00033423" w:rsidP="00033423">
      <w:pPr>
        <w:pStyle w:val="Heading2"/>
        <w:ind w:right="420"/>
        <w:jc w:val="both"/>
      </w:pPr>
      <w:r>
        <w:t xml:space="preserve">Table </w:t>
      </w:r>
      <w:r w:rsidR="006452D8">
        <w:t>6</w:t>
      </w:r>
      <w:r>
        <w:t xml:space="preserve">: Summary of adverse reactions occurring in patients treated with </w:t>
      </w:r>
      <w:proofErr w:type="spellStart"/>
      <w:r>
        <w:t>Tecentriq</w:t>
      </w:r>
      <w:proofErr w:type="spellEnd"/>
      <w:r>
        <w:t xml:space="preserve"> in combination with nab-paclitaxel</w:t>
      </w:r>
    </w:p>
    <w:p w14:paraId="30E27573" w14:textId="77777777" w:rsidR="00033423" w:rsidRDefault="00033423" w:rsidP="00033423">
      <w:pPr>
        <w:pStyle w:val="BodyText"/>
        <w:spacing w:before="6"/>
        <w:rPr>
          <w:b/>
          <w:sz w:val="10"/>
        </w:rPr>
      </w:pPr>
    </w:p>
    <w:tbl>
      <w:tblPr>
        <w:tblW w:w="0" w:type="auto"/>
        <w:tblInd w:w="123" w:type="dxa"/>
        <w:tblLayout w:type="fixed"/>
        <w:tblCellMar>
          <w:left w:w="0" w:type="dxa"/>
          <w:right w:w="0" w:type="dxa"/>
        </w:tblCellMar>
        <w:tblLook w:val="01E0" w:firstRow="1" w:lastRow="1" w:firstColumn="1" w:lastColumn="1" w:noHBand="0" w:noVBand="0"/>
      </w:tblPr>
      <w:tblGrid>
        <w:gridCol w:w="2919"/>
        <w:gridCol w:w="1428"/>
        <w:gridCol w:w="1364"/>
        <w:gridCol w:w="1491"/>
        <w:gridCol w:w="1731"/>
      </w:tblGrid>
      <w:tr w:rsidR="00033423" w14:paraId="30D27E64" w14:textId="77777777" w:rsidTr="007C6E1C">
        <w:trPr>
          <w:trHeight w:val="299"/>
        </w:trPr>
        <w:tc>
          <w:tcPr>
            <w:tcW w:w="2919" w:type="dxa"/>
            <w:vMerge w:val="restart"/>
            <w:tcBorders>
              <w:top w:val="single" w:sz="4" w:space="0" w:color="000000"/>
              <w:left w:val="single" w:sz="4" w:space="0" w:color="000000"/>
              <w:bottom w:val="single" w:sz="4" w:space="0" w:color="000000"/>
            </w:tcBorders>
          </w:tcPr>
          <w:p w14:paraId="7AC095B7" w14:textId="77777777" w:rsidR="00033423" w:rsidRDefault="00033423" w:rsidP="007C6E1C">
            <w:pPr>
              <w:pStyle w:val="TableParagraph"/>
              <w:spacing w:before="56"/>
              <w:ind w:left="218" w:right="215" w:firstLine="1"/>
              <w:jc w:val="center"/>
              <w:rPr>
                <w:b/>
              </w:rPr>
            </w:pPr>
            <w:r>
              <w:rPr>
                <w:b/>
              </w:rPr>
              <w:t>System Organ Class/ ADR (MedDRA</w:t>
            </w:r>
            <w:r>
              <w:rPr>
                <w:b/>
                <w:spacing w:val="-9"/>
              </w:rPr>
              <w:t xml:space="preserve"> </w:t>
            </w:r>
            <w:r>
              <w:rPr>
                <w:b/>
              </w:rPr>
              <w:t>Preferred Term)</w:t>
            </w:r>
          </w:p>
        </w:tc>
        <w:tc>
          <w:tcPr>
            <w:tcW w:w="6014" w:type="dxa"/>
            <w:gridSpan w:val="4"/>
            <w:tcBorders>
              <w:top w:val="single" w:sz="4" w:space="0" w:color="000000"/>
              <w:bottom w:val="single" w:sz="4" w:space="0" w:color="000000"/>
              <w:right w:val="single" w:sz="4" w:space="0" w:color="000000"/>
            </w:tcBorders>
          </w:tcPr>
          <w:p w14:paraId="493C7E9F" w14:textId="77777777" w:rsidR="00033423" w:rsidRDefault="00033423" w:rsidP="007C6E1C">
            <w:pPr>
              <w:pStyle w:val="TableParagraph"/>
              <w:spacing w:line="251" w:lineRule="exact"/>
              <w:ind w:left="2084" w:right="2078"/>
              <w:jc w:val="center"/>
              <w:rPr>
                <w:b/>
              </w:rPr>
            </w:pPr>
            <w:proofErr w:type="spellStart"/>
            <w:r>
              <w:rPr>
                <w:b/>
              </w:rPr>
              <w:t>Tecentriq</w:t>
            </w:r>
            <w:proofErr w:type="spellEnd"/>
            <w:r>
              <w:rPr>
                <w:b/>
              </w:rPr>
              <w:t xml:space="preserve"> (n = 452)</w:t>
            </w:r>
          </w:p>
        </w:tc>
      </w:tr>
      <w:tr w:rsidR="00033423" w14:paraId="70FB8886" w14:textId="77777777" w:rsidTr="007C6E1C">
        <w:trPr>
          <w:trHeight w:val="553"/>
        </w:trPr>
        <w:tc>
          <w:tcPr>
            <w:tcW w:w="2919" w:type="dxa"/>
            <w:vMerge/>
            <w:tcBorders>
              <w:top w:val="nil"/>
              <w:left w:val="single" w:sz="4" w:space="0" w:color="000000"/>
              <w:bottom w:val="single" w:sz="4" w:space="0" w:color="000000"/>
            </w:tcBorders>
          </w:tcPr>
          <w:p w14:paraId="164799FF" w14:textId="77777777" w:rsidR="00033423" w:rsidRDefault="00033423" w:rsidP="007C6E1C">
            <w:pPr>
              <w:rPr>
                <w:sz w:val="2"/>
                <w:szCs w:val="2"/>
              </w:rPr>
            </w:pPr>
          </w:p>
        </w:tc>
        <w:tc>
          <w:tcPr>
            <w:tcW w:w="1428" w:type="dxa"/>
            <w:tcBorders>
              <w:top w:val="single" w:sz="4" w:space="0" w:color="000000"/>
              <w:bottom w:val="single" w:sz="4" w:space="0" w:color="000000"/>
            </w:tcBorders>
          </w:tcPr>
          <w:p w14:paraId="53EB930B" w14:textId="77777777" w:rsidR="00033423" w:rsidRDefault="00033423" w:rsidP="007C6E1C">
            <w:pPr>
              <w:pStyle w:val="TableParagraph"/>
              <w:ind w:left="539" w:right="175" w:hanging="327"/>
              <w:rPr>
                <w:b/>
              </w:rPr>
            </w:pPr>
            <w:r>
              <w:rPr>
                <w:b/>
              </w:rPr>
              <w:t>All Grades (%)</w:t>
            </w:r>
          </w:p>
        </w:tc>
        <w:tc>
          <w:tcPr>
            <w:tcW w:w="1364" w:type="dxa"/>
            <w:tcBorders>
              <w:top w:val="single" w:sz="4" w:space="0" w:color="000000"/>
              <w:bottom w:val="single" w:sz="4" w:space="0" w:color="000000"/>
            </w:tcBorders>
          </w:tcPr>
          <w:p w14:paraId="0F74EACF" w14:textId="77777777" w:rsidR="00033423" w:rsidRDefault="00033423" w:rsidP="007C6E1C">
            <w:pPr>
              <w:pStyle w:val="TableParagraph"/>
              <w:ind w:left="506" w:right="126" w:hanging="346"/>
              <w:rPr>
                <w:b/>
              </w:rPr>
            </w:pPr>
            <w:r>
              <w:rPr>
                <w:b/>
              </w:rPr>
              <w:t>Grade 3 - 4 (%)</w:t>
            </w:r>
          </w:p>
        </w:tc>
        <w:tc>
          <w:tcPr>
            <w:tcW w:w="1491" w:type="dxa"/>
            <w:tcBorders>
              <w:top w:val="single" w:sz="4" w:space="0" w:color="000000"/>
              <w:bottom w:val="single" w:sz="4" w:space="0" w:color="000000"/>
            </w:tcBorders>
          </w:tcPr>
          <w:p w14:paraId="1360CA90" w14:textId="77777777" w:rsidR="00033423" w:rsidRDefault="00033423" w:rsidP="007C6E1C">
            <w:pPr>
              <w:pStyle w:val="TableParagraph"/>
              <w:spacing w:line="251" w:lineRule="exact"/>
              <w:ind w:left="132" w:right="132"/>
              <w:jc w:val="center"/>
              <w:rPr>
                <w:b/>
              </w:rPr>
            </w:pPr>
            <w:r>
              <w:rPr>
                <w:b/>
              </w:rPr>
              <w:t>Grade 5 (%)</w:t>
            </w:r>
          </w:p>
        </w:tc>
        <w:tc>
          <w:tcPr>
            <w:tcW w:w="1731" w:type="dxa"/>
            <w:tcBorders>
              <w:top w:val="single" w:sz="4" w:space="0" w:color="000000"/>
              <w:bottom w:val="single" w:sz="4" w:space="0" w:color="000000"/>
              <w:right w:val="single" w:sz="4" w:space="0" w:color="000000"/>
            </w:tcBorders>
          </w:tcPr>
          <w:p w14:paraId="0347B51B" w14:textId="77777777" w:rsidR="00033423" w:rsidRDefault="00033423" w:rsidP="007C6E1C">
            <w:pPr>
              <w:pStyle w:val="TableParagraph"/>
              <w:ind w:left="486" w:right="138" w:hanging="330"/>
              <w:rPr>
                <w:b/>
              </w:rPr>
            </w:pPr>
            <w:r>
              <w:rPr>
                <w:b/>
              </w:rPr>
              <w:t>Frequency (All Grades)</w:t>
            </w:r>
          </w:p>
        </w:tc>
      </w:tr>
      <w:tr w:rsidR="00033423" w14:paraId="123FE5ED" w14:textId="77777777" w:rsidTr="007C6E1C">
        <w:trPr>
          <w:trHeight w:val="856"/>
        </w:trPr>
        <w:tc>
          <w:tcPr>
            <w:tcW w:w="4347" w:type="dxa"/>
            <w:gridSpan w:val="2"/>
            <w:tcBorders>
              <w:top w:val="single" w:sz="4" w:space="0" w:color="000000"/>
              <w:left w:val="single" w:sz="4" w:space="0" w:color="000000"/>
              <w:bottom w:val="single" w:sz="4" w:space="0" w:color="000000"/>
            </w:tcBorders>
          </w:tcPr>
          <w:p w14:paraId="7CB173F7" w14:textId="77777777" w:rsidR="00033423" w:rsidRDefault="00033423" w:rsidP="007C6E1C">
            <w:pPr>
              <w:pStyle w:val="TableParagraph"/>
              <w:spacing w:before="126"/>
              <w:ind w:left="107"/>
              <w:rPr>
                <w:b/>
              </w:rPr>
            </w:pPr>
            <w:r>
              <w:rPr>
                <w:b/>
              </w:rPr>
              <w:t>Blood and Lymphatic System Disorders</w:t>
            </w:r>
          </w:p>
          <w:p w14:paraId="3EBAC23E" w14:textId="77777777" w:rsidR="00033423" w:rsidRDefault="00033423" w:rsidP="007C6E1C">
            <w:pPr>
              <w:pStyle w:val="TableParagraph"/>
              <w:tabs>
                <w:tab w:val="left" w:pos="3086"/>
              </w:tabs>
              <w:spacing w:before="164"/>
              <w:ind w:left="107"/>
            </w:pPr>
            <w:r>
              <w:t>Neutropenia</w:t>
            </w:r>
            <w:r>
              <w:rPr>
                <w:position w:val="8"/>
                <w:sz w:val="14"/>
              </w:rPr>
              <w:t>*a</w:t>
            </w:r>
            <w:r>
              <w:rPr>
                <w:position w:val="8"/>
                <w:sz w:val="14"/>
              </w:rPr>
              <w:tab/>
            </w:r>
            <w:r>
              <w:t>145</w:t>
            </w:r>
            <w:r>
              <w:rPr>
                <w:spacing w:val="-1"/>
              </w:rPr>
              <w:t xml:space="preserve"> </w:t>
            </w:r>
            <w:r>
              <w:t>(32.1%)</w:t>
            </w:r>
          </w:p>
        </w:tc>
        <w:tc>
          <w:tcPr>
            <w:tcW w:w="1364" w:type="dxa"/>
            <w:tcBorders>
              <w:top w:val="single" w:sz="4" w:space="0" w:color="000000"/>
              <w:bottom w:val="single" w:sz="4" w:space="0" w:color="000000"/>
            </w:tcBorders>
          </w:tcPr>
          <w:p w14:paraId="1DBA9393" w14:textId="77777777" w:rsidR="00033423" w:rsidRDefault="00033423" w:rsidP="007C6E1C">
            <w:pPr>
              <w:pStyle w:val="TableParagraph"/>
              <w:rPr>
                <w:b/>
                <w:sz w:val="24"/>
              </w:rPr>
            </w:pPr>
          </w:p>
          <w:p w14:paraId="19BC3A15" w14:textId="77777777" w:rsidR="00033423" w:rsidRDefault="00033423" w:rsidP="007C6E1C">
            <w:pPr>
              <w:pStyle w:val="TableParagraph"/>
              <w:spacing w:before="7"/>
              <w:rPr>
                <w:b/>
                <w:sz w:val="23"/>
              </w:rPr>
            </w:pPr>
          </w:p>
          <w:p w14:paraId="650CFCA3" w14:textId="77777777" w:rsidR="00033423" w:rsidRDefault="00033423" w:rsidP="007C6E1C">
            <w:pPr>
              <w:pStyle w:val="TableParagraph"/>
              <w:spacing w:before="1"/>
              <w:ind w:left="174" w:right="160"/>
              <w:jc w:val="center"/>
            </w:pPr>
            <w:r>
              <w:t>60 (13.3%)</w:t>
            </w:r>
          </w:p>
        </w:tc>
        <w:tc>
          <w:tcPr>
            <w:tcW w:w="1491" w:type="dxa"/>
            <w:tcBorders>
              <w:top w:val="single" w:sz="4" w:space="0" w:color="000000"/>
              <w:bottom w:val="single" w:sz="4" w:space="0" w:color="000000"/>
            </w:tcBorders>
          </w:tcPr>
          <w:p w14:paraId="3E44DE38" w14:textId="77777777" w:rsidR="00033423" w:rsidRDefault="00033423" w:rsidP="007C6E1C">
            <w:pPr>
              <w:pStyle w:val="TableParagraph"/>
              <w:rPr>
                <w:b/>
                <w:sz w:val="24"/>
              </w:rPr>
            </w:pPr>
          </w:p>
          <w:p w14:paraId="730DDE7C" w14:textId="77777777" w:rsidR="00033423" w:rsidRDefault="00033423" w:rsidP="007C6E1C">
            <w:pPr>
              <w:pStyle w:val="TableParagraph"/>
              <w:spacing w:before="7"/>
              <w:rPr>
                <w:b/>
                <w:sz w:val="23"/>
              </w:rPr>
            </w:pPr>
          </w:p>
          <w:p w14:paraId="761D3A92" w14:textId="77777777" w:rsidR="00033423" w:rsidRDefault="00033423" w:rsidP="007C6E1C">
            <w:pPr>
              <w:pStyle w:val="TableParagraph"/>
              <w:spacing w:before="1"/>
              <w:ind w:left="132" w:right="132"/>
              <w:jc w:val="center"/>
            </w:pPr>
            <w:r>
              <w:t>0 (0%)</w:t>
            </w:r>
          </w:p>
        </w:tc>
        <w:tc>
          <w:tcPr>
            <w:tcW w:w="1731" w:type="dxa"/>
            <w:tcBorders>
              <w:top w:val="single" w:sz="4" w:space="0" w:color="000000"/>
              <w:bottom w:val="single" w:sz="4" w:space="0" w:color="000000"/>
              <w:right w:val="single" w:sz="4" w:space="0" w:color="000000"/>
            </w:tcBorders>
          </w:tcPr>
          <w:p w14:paraId="5A5CF93C" w14:textId="77777777" w:rsidR="00033423" w:rsidRDefault="00033423" w:rsidP="007C6E1C">
            <w:pPr>
              <w:pStyle w:val="TableParagraph"/>
              <w:rPr>
                <w:b/>
                <w:sz w:val="24"/>
              </w:rPr>
            </w:pPr>
          </w:p>
          <w:p w14:paraId="3BD258ED" w14:textId="77777777" w:rsidR="00033423" w:rsidRDefault="00033423" w:rsidP="007C6E1C">
            <w:pPr>
              <w:pStyle w:val="TableParagraph"/>
              <w:spacing w:before="7"/>
              <w:rPr>
                <w:b/>
                <w:sz w:val="23"/>
              </w:rPr>
            </w:pPr>
          </w:p>
          <w:p w14:paraId="0FAA45AE" w14:textId="77777777" w:rsidR="00033423" w:rsidRDefault="00033423" w:rsidP="007C6E1C">
            <w:pPr>
              <w:pStyle w:val="TableParagraph"/>
              <w:spacing w:before="1"/>
              <w:ind w:left="187" w:right="184"/>
              <w:jc w:val="center"/>
            </w:pPr>
            <w:r>
              <w:t>Very Common</w:t>
            </w:r>
          </w:p>
        </w:tc>
      </w:tr>
      <w:tr w:rsidR="00033423" w14:paraId="7CDDF1F6" w14:textId="77777777" w:rsidTr="007C6E1C">
        <w:trPr>
          <w:trHeight w:val="477"/>
        </w:trPr>
        <w:tc>
          <w:tcPr>
            <w:tcW w:w="2919" w:type="dxa"/>
            <w:tcBorders>
              <w:top w:val="single" w:sz="4" w:space="0" w:color="000000"/>
              <w:left w:val="single" w:sz="4" w:space="0" w:color="000000"/>
            </w:tcBorders>
          </w:tcPr>
          <w:p w14:paraId="3864740A" w14:textId="77777777" w:rsidR="00033423" w:rsidRDefault="00033423" w:rsidP="007C6E1C">
            <w:pPr>
              <w:pStyle w:val="TableParagraph"/>
              <w:spacing w:before="154"/>
              <w:ind w:left="107"/>
              <w:rPr>
                <w:b/>
              </w:rPr>
            </w:pPr>
            <w:r>
              <w:rPr>
                <w:b/>
              </w:rPr>
              <w:t>Endocrine Disorders</w:t>
            </w:r>
          </w:p>
        </w:tc>
        <w:tc>
          <w:tcPr>
            <w:tcW w:w="1428" w:type="dxa"/>
            <w:tcBorders>
              <w:top w:val="single" w:sz="4" w:space="0" w:color="000000"/>
            </w:tcBorders>
          </w:tcPr>
          <w:p w14:paraId="00C46D4B" w14:textId="77777777" w:rsidR="00033423" w:rsidRDefault="00033423" w:rsidP="007C6E1C">
            <w:pPr>
              <w:pStyle w:val="TableParagraph"/>
            </w:pPr>
          </w:p>
        </w:tc>
        <w:tc>
          <w:tcPr>
            <w:tcW w:w="1364" w:type="dxa"/>
            <w:tcBorders>
              <w:top w:val="single" w:sz="4" w:space="0" w:color="000000"/>
            </w:tcBorders>
          </w:tcPr>
          <w:p w14:paraId="0AA17891" w14:textId="77777777" w:rsidR="00033423" w:rsidRDefault="00033423" w:rsidP="007C6E1C">
            <w:pPr>
              <w:pStyle w:val="TableParagraph"/>
            </w:pPr>
          </w:p>
        </w:tc>
        <w:tc>
          <w:tcPr>
            <w:tcW w:w="1491" w:type="dxa"/>
            <w:tcBorders>
              <w:top w:val="single" w:sz="4" w:space="0" w:color="000000"/>
            </w:tcBorders>
          </w:tcPr>
          <w:p w14:paraId="6F9B0D7E" w14:textId="77777777" w:rsidR="00033423" w:rsidRDefault="00033423" w:rsidP="007C6E1C">
            <w:pPr>
              <w:pStyle w:val="TableParagraph"/>
            </w:pPr>
          </w:p>
        </w:tc>
        <w:tc>
          <w:tcPr>
            <w:tcW w:w="1731" w:type="dxa"/>
            <w:tcBorders>
              <w:top w:val="single" w:sz="4" w:space="0" w:color="000000"/>
              <w:right w:val="single" w:sz="4" w:space="0" w:color="000000"/>
            </w:tcBorders>
          </w:tcPr>
          <w:p w14:paraId="2A6196AB" w14:textId="77777777" w:rsidR="00033423" w:rsidRDefault="00033423" w:rsidP="007C6E1C">
            <w:pPr>
              <w:pStyle w:val="TableParagraph"/>
            </w:pPr>
          </w:p>
        </w:tc>
      </w:tr>
      <w:tr w:rsidR="00033423" w14:paraId="288BC1A7" w14:textId="77777777" w:rsidTr="005E7160">
        <w:trPr>
          <w:trHeight w:val="414"/>
        </w:trPr>
        <w:tc>
          <w:tcPr>
            <w:tcW w:w="2919" w:type="dxa"/>
            <w:tcBorders>
              <w:left w:val="single" w:sz="4" w:space="0" w:color="000000"/>
              <w:bottom w:val="single" w:sz="4" w:space="0" w:color="000000"/>
            </w:tcBorders>
          </w:tcPr>
          <w:p w14:paraId="69987462" w14:textId="77777777" w:rsidR="00033423" w:rsidRDefault="00033423" w:rsidP="007C6E1C">
            <w:pPr>
              <w:pStyle w:val="TableParagraph"/>
              <w:spacing w:before="62"/>
              <w:ind w:left="107"/>
              <w:rPr>
                <w:sz w:val="14"/>
              </w:rPr>
            </w:pPr>
            <w:r>
              <w:t>Hypothyroidism</w:t>
            </w:r>
            <w:r>
              <w:rPr>
                <w:position w:val="8"/>
                <w:sz w:val="14"/>
              </w:rPr>
              <w:t>‡c</w:t>
            </w:r>
          </w:p>
        </w:tc>
        <w:tc>
          <w:tcPr>
            <w:tcW w:w="1428" w:type="dxa"/>
            <w:tcBorders>
              <w:bottom w:val="single" w:sz="4" w:space="0" w:color="000000"/>
            </w:tcBorders>
          </w:tcPr>
          <w:p w14:paraId="18B5C3EC" w14:textId="77777777" w:rsidR="00033423" w:rsidRDefault="00033423" w:rsidP="007C6E1C">
            <w:pPr>
              <w:pStyle w:val="TableParagraph"/>
              <w:spacing w:before="68"/>
              <w:ind w:left="155" w:right="133"/>
              <w:jc w:val="center"/>
            </w:pPr>
            <w:r>
              <w:t>78 (17.3%)</w:t>
            </w:r>
          </w:p>
        </w:tc>
        <w:tc>
          <w:tcPr>
            <w:tcW w:w="1364" w:type="dxa"/>
            <w:tcBorders>
              <w:bottom w:val="single" w:sz="4" w:space="0" w:color="000000"/>
            </w:tcBorders>
          </w:tcPr>
          <w:p w14:paraId="1029F2EE" w14:textId="77777777" w:rsidR="00033423" w:rsidRDefault="00033423" w:rsidP="007C6E1C">
            <w:pPr>
              <w:pStyle w:val="TableParagraph"/>
              <w:spacing w:before="68"/>
              <w:ind w:left="174" w:right="160"/>
              <w:jc w:val="center"/>
            </w:pPr>
            <w:r>
              <w:t>0 (0%)</w:t>
            </w:r>
          </w:p>
        </w:tc>
        <w:tc>
          <w:tcPr>
            <w:tcW w:w="1491" w:type="dxa"/>
            <w:tcBorders>
              <w:bottom w:val="single" w:sz="4" w:space="0" w:color="000000"/>
            </w:tcBorders>
          </w:tcPr>
          <w:p w14:paraId="34593ECC" w14:textId="77777777" w:rsidR="00033423" w:rsidRDefault="00033423" w:rsidP="007C6E1C">
            <w:pPr>
              <w:pStyle w:val="TableParagraph"/>
              <w:spacing w:before="68"/>
              <w:ind w:left="132" w:right="132"/>
              <w:jc w:val="center"/>
            </w:pPr>
            <w:r>
              <w:t>0 (0%)</w:t>
            </w:r>
          </w:p>
        </w:tc>
        <w:tc>
          <w:tcPr>
            <w:tcW w:w="1731" w:type="dxa"/>
            <w:tcBorders>
              <w:bottom w:val="single" w:sz="4" w:space="0" w:color="000000"/>
              <w:right w:val="single" w:sz="4" w:space="0" w:color="000000"/>
            </w:tcBorders>
          </w:tcPr>
          <w:p w14:paraId="5ECAE3A3" w14:textId="77777777" w:rsidR="00033423" w:rsidRDefault="00033423" w:rsidP="007C6E1C">
            <w:pPr>
              <w:pStyle w:val="TableParagraph"/>
              <w:spacing w:before="68"/>
              <w:ind w:left="187" w:right="184"/>
              <w:jc w:val="center"/>
            </w:pPr>
            <w:r>
              <w:t>Very Common</w:t>
            </w:r>
          </w:p>
        </w:tc>
      </w:tr>
      <w:tr w:rsidR="00033423" w14:paraId="250DFF07" w14:textId="77777777" w:rsidTr="005E7160">
        <w:trPr>
          <w:trHeight w:val="423"/>
        </w:trPr>
        <w:tc>
          <w:tcPr>
            <w:tcW w:w="2919" w:type="dxa"/>
            <w:tcBorders>
              <w:top w:val="single" w:sz="4" w:space="0" w:color="000000"/>
              <w:left w:val="single" w:sz="4" w:space="0" w:color="000000"/>
            </w:tcBorders>
          </w:tcPr>
          <w:p w14:paraId="1490EA8E" w14:textId="77777777" w:rsidR="00033423" w:rsidRDefault="00033423" w:rsidP="007C6E1C">
            <w:pPr>
              <w:pStyle w:val="TableParagraph"/>
              <w:spacing w:before="85"/>
              <w:ind w:left="107"/>
              <w:rPr>
                <w:b/>
              </w:rPr>
            </w:pPr>
            <w:r>
              <w:rPr>
                <w:b/>
              </w:rPr>
              <w:t>Gastrointestinal Disorders</w:t>
            </w:r>
          </w:p>
        </w:tc>
        <w:tc>
          <w:tcPr>
            <w:tcW w:w="1428" w:type="dxa"/>
            <w:tcBorders>
              <w:top w:val="single" w:sz="4" w:space="0" w:color="000000"/>
            </w:tcBorders>
          </w:tcPr>
          <w:p w14:paraId="1682F69F" w14:textId="77777777" w:rsidR="00033423" w:rsidRDefault="00033423" w:rsidP="007C6E1C">
            <w:pPr>
              <w:pStyle w:val="TableParagraph"/>
            </w:pPr>
          </w:p>
        </w:tc>
        <w:tc>
          <w:tcPr>
            <w:tcW w:w="1364" w:type="dxa"/>
            <w:tcBorders>
              <w:top w:val="single" w:sz="4" w:space="0" w:color="000000"/>
            </w:tcBorders>
          </w:tcPr>
          <w:p w14:paraId="393BEB9B" w14:textId="77777777" w:rsidR="00033423" w:rsidRDefault="00033423" w:rsidP="007C6E1C">
            <w:pPr>
              <w:pStyle w:val="TableParagraph"/>
            </w:pPr>
          </w:p>
        </w:tc>
        <w:tc>
          <w:tcPr>
            <w:tcW w:w="1491" w:type="dxa"/>
            <w:tcBorders>
              <w:top w:val="single" w:sz="4" w:space="0" w:color="000000"/>
            </w:tcBorders>
          </w:tcPr>
          <w:p w14:paraId="4ACA7BD7" w14:textId="77777777" w:rsidR="00033423" w:rsidRDefault="00033423" w:rsidP="007C6E1C">
            <w:pPr>
              <w:pStyle w:val="TableParagraph"/>
            </w:pPr>
          </w:p>
        </w:tc>
        <w:tc>
          <w:tcPr>
            <w:tcW w:w="1731" w:type="dxa"/>
            <w:tcBorders>
              <w:top w:val="single" w:sz="4" w:space="0" w:color="000000"/>
              <w:right w:val="single" w:sz="4" w:space="0" w:color="000000"/>
            </w:tcBorders>
          </w:tcPr>
          <w:p w14:paraId="54FDBB79" w14:textId="77777777" w:rsidR="00033423" w:rsidRDefault="00033423" w:rsidP="007C6E1C">
            <w:pPr>
              <w:pStyle w:val="TableParagraph"/>
            </w:pPr>
          </w:p>
        </w:tc>
      </w:tr>
      <w:tr w:rsidR="00033423" w14:paraId="74D63FBD" w14:textId="77777777" w:rsidTr="007C6E1C">
        <w:trPr>
          <w:trHeight w:val="424"/>
        </w:trPr>
        <w:tc>
          <w:tcPr>
            <w:tcW w:w="2919" w:type="dxa"/>
            <w:tcBorders>
              <w:left w:val="single" w:sz="4" w:space="0" w:color="000000"/>
            </w:tcBorders>
          </w:tcPr>
          <w:p w14:paraId="24FD82DD" w14:textId="77777777" w:rsidR="00033423" w:rsidRDefault="00033423" w:rsidP="007C6E1C">
            <w:pPr>
              <w:pStyle w:val="TableParagraph"/>
              <w:spacing w:before="78"/>
              <w:ind w:left="107"/>
              <w:rPr>
                <w:sz w:val="14"/>
              </w:rPr>
            </w:pPr>
            <w:r>
              <w:t>Abdominal pain</w:t>
            </w:r>
            <w:r>
              <w:rPr>
                <w:position w:val="8"/>
                <w:sz w:val="14"/>
              </w:rPr>
              <w:t>‡</w:t>
            </w:r>
          </w:p>
        </w:tc>
        <w:tc>
          <w:tcPr>
            <w:tcW w:w="1428" w:type="dxa"/>
          </w:tcPr>
          <w:p w14:paraId="2C923187" w14:textId="77777777" w:rsidR="00033423" w:rsidRDefault="00033423" w:rsidP="007C6E1C">
            <w:pPr>
              <w:pStyle w:val="TableParagraph"/>
              <w:spacing w:before="83"/>
              <w:ind w:left="155" w:right="133"/>
              <w:jc w:val="center"/>
            </w:pPr>
            <w:r>
              <w:t>46 (10.2%)</w:t>
            </w:r>
          </w:p>
        </w:tc>
        <w:tc>
          <w:tcPr>
            <w:tcW w:w="1364" w:type="dxa"/>
          </w:tcPr>
          <w:p w14:paraId="7F82C854" w14:textId="77777777" w:rsidR="00033423" w:rsidRDefault="00033423" w:rsidP="007C6E1C">
            <w:pPr>
              <w:pStyle w:val="TableParagraph"/>
              <w:spacing w:before="83"/>
              <w:ind w:left="174" w:right="158"/>
              <w:jc w:val="center"/>
            </w:pPr>
            <w:r>
              <w:t>2 (0.4%)</w:t>
            </w:r>
          </w:p>
        </w:tc>
        <w:tc>
          <w:tcPr>
            <w:tcW w:w="1491" w:type="dxa"/>
          </w:tcPr>
          <w:p w14:paraId="574C38DF" w14:textId="77777777" w:rsidR="00033423" w:rsidRDefault="00033423" w:rsidP="007C6E1C">
            <w:pPr>
              <w:pStyle w:val="TableParagraph"/>
              <w:spacing w:before="83"/>
              <w:ind w:left="132" w:right="132"/>
              <w:jc w:val="center"/>
            </w:pPr>
            <w:r>
              <w:t>0 (0%)</w:t>
            </w:r>
          </w:p>
        </w:tc>
        <w:tc>
          <w:tcPr>
            <w:tcW w:w="1731" w:type="dxa"/>
            <w:tcBorders>
              <w:right w:val="single" w:sz="4" w:space="0" w:color="000000"/>
            </w:tcBorders>
          </w:tcPr>
          <w:p w14:paraId="222EB4AE" w14:textId="77777777" w:rsidR="00033423" w:rsidRDefault="00033423" w:rsidP="007C6E1C">
            <w:pPr>
              <w:pStyle w:val="TableParagraph"/>
              <w:spacing w:before="83"/>
              <w:ind w:left="187" w:right="184"/>
              <w:jc w:val="center"/>
            </w:pPr>
            <w:r>
              <w:t>Very Common</w:t>
            </w:r>
          </w:p>
        </w:tc>
      </w:tr>
      <w:tr w:rsidR="00033423" w14:paraId="2546D614" w14:textId="77777777" w:rsidTr="007C6E1C">
        <w:trPr>
          <w:trHeight w:val="419"/>
        </w:trPr>
        <w:tc>
          <w:tcPr>
            <w:tcW w:w="2919" w:type="dxa"/>
            <w:tcBorders>
              <w:left w:val="single" w:sz="4" w:space="0" w:color="000000"/>
            </w:tcBorders>
          </w:tcPr>
          <w:p w14:paraId="5A582F44" w14:textId="77777777" w:rsidR="00033423" w:rsidRDefault="00033423" w:rsidP="007C6E1C">
            <w:pPr>
              <w:pStyle w:val="TableParagraph"/>
              <w:spacing w:before="80"/>
              <w:ind w:left="107"/>
              <w:rPr>
                <w:sz w:val="14"/>
              </w:rPr>
            </w:pPr>
            <w:r>
              <w:t>Colitis</w:t>
            </w:r>
            <w:r>
              <w:rPr>
                <w:position w:val="8"/>
                <w:sz w:val="14"/>
              </w:rPr>
              <w:t>‡e</w:t>
            </w:r>
          </w:p>
        </w:tc>
        <w:tc>
          <w:tcPr>
            <w:tcW w:w="1428" w:type="dxa"/>
          </w:tcPr>
          <w:p w14:paraId="041A3C6B" w14:textId="77777777" w:rsidR="00033423" w:rsidRDefault="00033423" w:rsidP="007C6E1C">
            <w:pPr>
              <w:pStyle w:val="TableParagraph"/>
              <w:spacing w:before="86"/>
              <w:ind w:left="153" w:right="133"/>
              <w:jc w:val="center"/>
            </w:pPr>
            <w:r>
              <w:t>5 (1.1%)</w:t>
            </w:r>
          </w:p>
        </w:tc>
        <w:tc>
          <w:tcPr>
            <w:tcW w:w="1364" w:type="dxa"/>
          </w:tcPr>
          <w:p w14:paraId="7D8C79E2" w14:textId="77777777" w:rsidR="00033423" w:rsidRDefault="00033423" w:rsidP="007C6E1C">
            <w:pPr>
              <w:pStyle w:val="TableParagraph"/>
              <w:spacing w:before="86"/>
              <w:ind w:left="174" w:right="158"/>
              <w:jc w:val="center"/>
            </w:pPr>
            <w:r>
              <w:t>1 (0.2%)</w:t>
            </w:r>
          </w:p>
        </w:tc>
        <w:tc>
          <w:tcPr>
            <w:tcW w:w="1491" w:type="dxa"/>
          </w:tcPr>
          <w:p w14:paraId="112CC8F8" w14:textId="77777777" w:rsidR="00033423" w:rsidRDefault="00033423" w:rsidP="007C6E1C">
            <w:pPr>
              <w:pStyle w:val="TableParagraph"/>
              <w:spacing w:before="86"/>
              <w:ind w:left="132" w:right="132"/>
              <w:jc w:val="center"/>
            </w:pPr>
            <w:r>
              <w:t>0 (0%)</w:t>
            </w:r>
          </w:p>
        </w:tc>
        <w:tc>
          <w:tcPr>
            <w:tcW w:w="1731" w:type="dxa"/>
            <w:tcBorders>
              <w:right w:val="single" w:sz="4" w:space="0" w:color="000000"/>
            </w:tcBorders>
          </w:tcPr>
          <w:p w14:paraId="7E267AED" w14:textId="77777777" w:rsidR="00033423" w:rsidRDefault="00033423" w:rsidP="007C6E1C">
            <w:pPr>
              <w:pStyle w:val="TableParagraph"/>
              <w:spacing w:before="86"/>
              <w:ind w:left="185" w:right="184"/>
              <w:jc w:val="center"/>
            </w:pPr>
            <w:r>
              <w:t>Common</w:t>
            </w:r>
          </w:p>
        </w:tc>
      </w:tr>
      <w:tr w:rsidR="00033423" w14:paraId="20C72C79" w14:textId="77777777" w:rsidTr="007C6E1C">
        <w:trPr>
          <w:trHeight w:val="399"/>
        </w:trPr>
        <w:tc>
          <w:tcPr>
            <w:tcW w:w="2919" w:type="dxa"/>
            <w:tcBorders>
              <w:left w:val="single" w:sz="4" w:space="0" w:color="000000"/>
              <w:bottom w:val="single" w:sz="4" w:space="0" w:color="000000"/>
            </w:tcBorders>
          </w:tcPr>
          <w:p w14:paraId="298F7A09" w14:textId="77777777" w:rsidR="00033423" w:rsidRDefault="00033423" w:rsidP="007C6E1C">
            <w:pPr>
              <w:pStyle w:val="TableParagraph"/>
              <w:spacing w:before="70"/>
              <w:ind w:left="107"/>
              <w:rPr>
                <w:sz w:val="14"/>
              </w:rPr>
            </w:pPr>
            <w:r>
              <w:rPr>
                <w:sz w:val="24"/>
              </w:rPr>
              <w:t>Amylase increased</w:t>
            </w:r>
            <w:r>
              <w:rPr>
                <w:position w:val="8"/>
                <w:sz w:val="14"/>
              </w:rPr>
              <w:t>‡</w:t>
            </w:r>
          </w:p>
        </w:tc>
        <w:tc>
          <w:tcPr>
            <w:tcW w:w="1428" w:type="dxa"/>
            <w:tcBorders>
              <w:bottom w:val="single" w:sz="4" w:space="0" w:color="000000"/>
            </w:tcBorders>
          </w:tcPr>
          <w:p w14:paraId="00496AAA" w14:textId="77777777" w:rsidR="00033423" w:rsidRDefault="00033423" w:rsidP="007C6E1C">
            <w:pPr>
              <w:pStyle w:val="TableParagraph"/>
              <w:spacing w:before="93"/>
              <w:ind w:left="153" w:right="133"/>
              <w:jc w:val="center"/>
            </w:pPr>
            <w:r>
              <w:t>1 (0.2%)</w:t>
            </w:r>
          </w:p>
        </w:tc>
        <w:tc>
          <w:tcPr>
            <w:tcW w:w="1364" w:type="dxa"/>
            <w:tcBorders>
              <w:bottom w:val="single" w:sz="4" w:space="0" w:color="000000"/>
            </w:tcBorders>
          </w:tcPr>
          <w:p w14:paraId="1B8DA280" w14:textId="77777777" w:rsidR="00033423" w:rsidRDefault="00033423" w:rsidP="007C6E1C">
            <w:pPr>
              <w:pStyle w:val="TableParagraph"/>
              <w:spacing w:before="93"/>
              <w:ind w:left="174" w:right="160"/>
              <w:jc w:val="center"/>
            </w:pPr>
            <w:r>
              <w:t>0 (0%)</w:t>
            </w:r>
          </w:p>
        </w:tc>
        <w:tc>
          <w:tcPr>
            <w:tcW w:w="1491" w:type="dxa"/>
            <w:tcBorders>
              <w:bottom w:val="single" w:sz="4" w:space="0" w:color="000000"/>
            </w:tcBorders>
          </w:tcPr>
          <w:p w14:paraId="239FB875" w14:textId="77777777" w:rsidR="00033423" w:rsidRDefault="00033423" w:rsidP="007C6E1C">
            <w:pPr>
              <w:pStyle w:val="TableParagraph"/>
              <w:spacing w:before="93"/>
              <w:ind w:left="132" w:right="132"/>
              <w:jc w:val="center"/>
            </w:pPr>
            <w:r>
              <w:t>0 (0%)</w:t>
            </w:r>
          </w:p>
        </w:tc>
        <w:tc>
          <w:tcPr>
            <w:tcW w:w="1731" w:type="dxa"/>
            <w:tcBorders>
              <w:bottom w:val="single" w:sz="4" w:space="0" w:color="000000"/>
              <w:right w:val="single" w:sz="4" w:space="0" w:color="000000"/>
            </w:tcBorders>
          </w:tcPr>
          <w:p w14:paraId="41742BF5" w14:textId="77777777" w:rsidR="00033423" w:rsidRDefault="00033423" w:rsidP="007C6E1C">
            <w:pPr>
              <w:pStyle w:val="TableParagraph"/>
              <w:spacing w:before="93"/>
              <w:ind w:left="184" w:right="184"/>
              <w:jc w:val="center"/>
            </w:pPr>
            <w:r>
              <w:t>Uncommon</w:t>
            </w:r>
          </w:p>
        </w:tc>
      </w:tr>
      <w:tr w:rsidR="00033423" w14:paraId="0EB86D64" w14:textId="77777777" w:rsidTr="007C6E1C">
        <w:trPr>
          <w:trHeight w:val="465"/>
        </w:trPr>
        <w:tc>
          <w:tcPr>
            <w:tcW w:w="2919" w:type="dxa"/>
            <w:tcBorders>
              <w:top w:val="single" w:sz="4" w:space="0" w:color="000000"/>
              <w:left w:val="single" w:sz="4" w:space="0" w:color="000000"/>
            </w:tcBorders>
          </w:tcPr>
          <w:p w14:paraId="1401E8F7" w14:textId="77777777" w:rsidR="00033423" w:rsidRDefault="00033423" w:rsidP="007C6E1C">
            <w:pPr>
              <w:pStyle w:val="TableParagraph"/>
              <w:spacing w:before="126"/>
              <w:ind w:left="107"/>
              <w:rPr>
                <w:b/>
              </w:rPr>
            </w:pPr>
            <w:r>
              <w:rPr>
                <w:b/>
              </w:rPr>
              <w:t>Hepatobiliary Disorders</w:t>
            </w:r>
          </w:p>
        </w:tc>
        <w:tc>
          <w:tcPr>
            <w:tcW w:w="1428" w:type="dxa"/>
            <w:tcBorders>
              <w:top w:val="single" w:sz="4" w:space="0" w:color="000000"/>
            </w:tcBorders>
          </w:tcPr>
          <w:p w14:paraId="2852F864" w14:textId="77777777" w:rsidR="00033423" w:rsidRDefault="00033423" w:rsidP="007C6E1C">
            <w:pPr>
              <w:pStyle w:val="TableParagraph"/>
            </w:pPr>
          </w:p>
        </w:tc>
        <w:tc>
          <w:tcPr>
            <w:tcW w:w="1364" w:type="dxa"/>
            <w:tcBorders>
              <w:top w:val="single" w:sz="4" w:space="0" w:color="000000"/>
            </w:tcBorders>
          </w:tcPr>
          <w:p w14:paraId="120FD1B3" w14:textId="77777777" w:rsidR="00033423" w:rsidRDefault="00033423" w:rsidP="007C6E1C">
            <w:pPr>
              <w:pStyle w:val="TableParagraph"/>
            </w:pPr>
          </w:p>
        </w:tc>
        <w:tc>
          <w:tcPr>
            <w:tcW w:w="1491" w:type="dxa"/>
            <w:tcBorders>
              <w:top w:val="single" w:sz="4" w:space="0" w:color="000000"/>
            </w:tcBorders>
          </w:tcPr>
          <w:p w14:paraId="03EC6A71" w14:textId="77777777" w:rsidR="00033423" w:rsidRDefault="00033423" w:rsidP="007C6E1C">
            <w:pPr>
              <w:pStyle w:val="TableParagraph"/>
            </w:pPr>
          </w:p>
        </w:tc>
        <w:tc>
          <w:tcPr>
            <w:tcW w:w="1731" w:type="dxa"/>
            <w:tcBorders>
              <w:top w:val="single" w:sz="4" w:space="0" w:color="000000"/>
              <w:right w:val="single" w:sz="4" w:space="0" w:color="000000"/>
            </w:tcBorders>
          </w:tcPr>
          <w:p w14:paraId="1FBC1D30" w14:textId="77777777" w:rsidR="00033423" w:rsidRDefault="00033423" w:rsidP="007C6E1C">
            <w:pPr>
              <w:pStyle w:val="TableParagraph"/>
            </w:pPr>
          </w:p>
        </w:tc>
      </w:tr>
      <w:tr w:rsidR="00033423" w14:paraId="2A24A305" w14:textId="77777777" w:rsidTr="007C6E1C">
        <w:trPr>
          <w:trHeight w:val="424"/>
        </w:trPr>
        <w:tc>
          <w:tcPr>
            <w:tcW w:w="2919" w:type="dxa"/>
            <w:tcBorders>
              <w:left w:val="single" w:sz="4" w:space="0" w:color="000000"/>
            </w:tcBorders>
          </w:tcPr>
          <w:p w14:paraId="54495C96" w14:textId="77777777" w:rsidR="00033423" w:rsidRDefault="00033423" w:rsidP="007C6E1C">
            <w:pPr>
              <w:pStyle w:val="TableParagraph"/>
              <w:spacing w:before="78"/>
              <w:ind w:left="107"/>
              <w:rPr>
                <w:sz w:val="14"/>
              </w:rPr>
            </w:pPr>
            <w:r>
              <w:t>ALT increased</w:t>
            </w:r>
            <w:r>
              <w:rPr>
                <w:position w:val="8"/>
                <w:sz w:val="14"/>
              </w:rPr>
              <w:t>‡</w:t>
            </w:r>
          </w:p>
        </w:tc>
        <w:tc>
          <w:tcPr>
            <w:tcW w:w="1428" w:type="dxa"/>
          </w:tcPr>
          <w:p w14:paraId="1D71B65E" w14:textId="77777777" w:rsidR="00033423" w:rsidRDefault="00033423" w:rsidP="007C6E1C">
            <w:pPr>
              <w:pStyle w:val="TableParagraph"/>
              <w:spacing w:before="83"/>
              <w:ind w:left="155" w:right="133"/>
              <w:jc w:val="center"/>
            </w:pPr>
            <w:r>
              <w:t>47 (10.4%)</w:t>
            </w:r>
          </w:p>
        </w:tc>
        <w:tc>
          <w:tcPr>
            <w:tcW w:w="1364" w:type="dxa"/>
          </w:tcPr>
          <w:p w14:paraId="2E6DFFC1" w14:textId="77777777" w:rsidR="00033423" w:rsidRDefault="00033423" w:rsidP="007C6E1C">
            <w:pPr>
              <w:pStyle w:val="TableParagraph"/>
              <w:spacing w:before="83"/>
              <w:ind w:left="174" w:right="158"/>
              <w:jc w:val="center"/>
            </w:pPr>
            <w:r>
              <w:t>8 (1.8%)</w:t>
            </w:r>
          </w:p>
        </w:tc>
        <w:tc>
          <w:tcPr>
            <w:tcW w:w="1491" w:type="dxa"/>
          </w:tcPr>
          <w:p w14:paraId="4CF94D27" w14:textId="77777777" w:rsidR="00033423" w:rsidRDefault="00033423" w:rsidP="007C6E1C">
            <w:pPr>
              <w:pStyle w:val="TableParagraph"/>
              <w:spacing w:before="83"/>
              <w:ind w:left="132" w:right="132"/>
              <w:jc w:val="center"/>
            </w:pPr>
            <w:r>
              <w:t>0 (0%)</w:t>
            </w:r>
          </w:p>
        </w:tc>
        <w:tc>
          <w:tcPr>
            <w:tcW w:w="1731" w:type="dxa"/>
            <w:tcBorders>
              <w:right w:val="single" w:sz="4" w:space="0" w:color="000000"/>
            </w:tcBorders>
          </w:tcPr>
          <w:p w14:paraId="1311BA4C" w14:textId="77777777" w:rsidR="00033423" w:rsidRDefault="00033423" w:rsidP="007C6E1C">
            <w:pPr>
              <w:pStyle w:val="TableParagraph"/>
              <w:spacing w:before="83"/>
              <w:ind w:left="187" w:right="184"/>
              <w:jc w:val="center"/>
            </w:pPr>
            <w:r>
              <w:t>Very Common</w:t>
            </w:r>
          </w:p>
        </w:tc>
      </w:tr>
      <w:tr w:rsidR="00033423" w14:paraId="01A69EF6" w14:textId="77777777" w:rsidTr="007C6E1C">
        <w:trPr>
          <w:trHeight w:val="391"/>
        </w:trPr>
        <w:tc>
          <w:tcPr>
            <w:tcW w:w="2919" w:type="dxa"/>
            <w:tcBorders>
              <w:left w:val="single" w:sz="4" w:space="0" w:color="000000"/>
              <w:bottom w:val="single" w:sz="4" w:space="0" w:color="000000"/>
            </w:tcBorders>
          </w:tcPr>
          <w:p w14:paraId="5A8EAD23" w14:textId="77777777" w:rsidR="00033423" w:rsidRDefault="00033423" w:rsidP="007C6E1C">
            <w:pPr>
              <w:pStyle w:val="TableParagraph"/>
              <w:spacing w:before="80"/>
              <w:ind w:left="107"/>
              <w:rPr>
                <w:sz w:val="14"/>
              </w:rPr>
            </w:pPr>
            <w:r>
              <w:t>Hepatitis</w:t>
            </w:r>
            <w:r>
              <w:rPr>
                <w:position w:val="8"/>
                <w:sz w:val="14"/>
              </w:rPr>
              <w:t>d</w:t>
            </w:r>
          </w:p>
        </w:tc>
        <w:tc>
          <w:tcPr>
            <w:tcW w:w="1428" w:type="dxa"/>
            <w:tcBorders>
              <w:bottom w:val="single" w:sz="4" w:space="0" w:color="000000"/>
            </w:tcBorders>
          </w:tcPr>
          <w:p w14:paraId="2E950C01" w14:textId="77777777" w:rsidR="00033423" w:rsidRDefault="00033423" w:rsidP="007C6E1C">
            <w:pPr>
              <w:pStyle w:val="TableParagraph"/>
              <w:spacing w:before="86"/>
              <w:ind w:left="153" w:right="133"/>
              <w:jc w:val="center"/>
            </w:pPr>
            <w:r>
              <w:t>10 (2.2%)</w:t>
            </w:r>
          </w:p>
        </w:tc>
        <w:tc>
          <w:tcPr>
            <w:tcW w:w="1364" w:type="dxa"/>
            <w:tcBorders>
              <w:bottom w:val="single" w:sz="4" w:space="0" w:color="000000"/>
            </w:tcBorders>
          </w:tcPr>
          <w:p w14:paraId="26FA589C" w14:textId="77777777" w:rsidR="00033423" w:rsidRDefault="00033423" w:rsidP="007C6E1C">
            <w:pPr>
              <w:pStyle w:val="TableParagraph"/>
              <w:spacing w:before="86"/>
              <w:ind w:left="174" w:right="158"/>
              <w:jc w:val="center"/>
            </w:pPr>
            <w:r>
              <w:t>6 (1.3%)</w:t>
            </w:r>
          </w:p>
        </w:tc>
        <w:tc>
          <w:tcPr>
            <w:tcW w:w="1491" w:type="dxa"/>
            <w:tcBorders>
              <w:bottom w:val="single" w:sz="4" w:space="0" w:color="000000"/>
            </w:tcBorders>
          </w:tcPr>
          <w:p w14:paraId="6D260EC5" w14:textId="77777777" w:rsidR="00033423" w:rsidRDefault="00033423" w:rsidP="007C6E1C">
            <w:pPr>
              <w:pStyle w:val="TableParagraph"/>
              <w:spacing w:before="86"/>
              <w:ind w:left="129" w:right="132"/>
              <w:jc w:val="center"/>
            </w:pPr>
            <w:r>
              <w:t>1 (0.2%)</w:t>
            </w:r>
          </w:p>
        </w:tc>
        <w:tc>
          <w:tcPr>
            <w:tcW w:w="1731" w:type="dxa"/>
            <w:tcBorders>
              <w:bottom w:val="single" w:sz="4" w:space="0" w:color="000000"/>
              <w:right w:val="single" w:sz="4" w:space="0" w:color="000000"/>
            </w:tcBorders>
          </w:tcPr>
          <w:p w14:paraId="68117AF3" w14:textId="77777777" w:rsidR="00033423" w:rsidRDefault="00033423" w:rsidP="007C6E1C">
            <w:pPr>
              <w:pStyle w:val="TableParagraph"/>
              <w:spacing w:before="86"/>
              <w:ind w:left="185" w:right="184"/>
              <w:jc w:val="center"/>
            </w:pPr>
            <w:r>
              <w:t>Common</w:t>
            </w:r>
          </w:p>
        </w:tc>
      </w:tr>
      <w:tr w:rsidR="00033423" w14:paraId="4A60B126" w14:textId="77777777" w:rsidTr="007C6E1C">
        <w:trPr>
          <w:trHeight w:val="1281"/>
        </w:trPr>
        <w:tc>
          <w:tcPr>
            <w:tcW w:w="2919" w:type="dxa"/>
            <w:tcBorders>
              <w:top w:val="single" w:sz="4" w:space="0" w:color="000000"/>
              <w:left w:val="single" w:sz="4" w:space="0" w:color="000000"/>
              <w:bottom w:val="single" w:sz="4" w:space="0" w:color="000000"/>
            </w:tcBorders>
          </w:tcPr>
          <w:p w14:paraId="702CFF4F" w14:textId="77777777" w:rsidR="00033423" w:rsidRDefault="00033423" w:rsidP="007C6E1C">
            <w:pPr>
              <w:pStyle w:val="TableParagraph"/>
              <w:spacing w:before="125"/>
              <w:ind w:left="107"/>
              <w:rPr>
                <w:b/>
              </w:rPr>
            </w:pPr>
            <w:r>
              <w:rPr>
                <w:b/>
              </w:rPr>
              <w:t>Nervous System Disorders</w:t>
            </w:r>
          </w:p>
          <w:p w14:paraId="094B5F88" w14:textId="77777777" w:rsidR="00033423" w:rsidRPr="00C8212B" w:rsidRDefault="00033423" w:rsidP="007C6E1C">
            <w:pPr>
              <w:pStyle w:val="TableParagraph"/>
              <w:spacing w:before="33" w:line="428" w:lineRule="exact"/>
              <w:ind w:left="107" w:right="698"/>
              <w:rPr>
                <w:sz w:val="14"/>
                <w:lang w:val="fr-FR"/>
              </w:rPr>
            </w:pPr>
            <w:proofErr w:type="spellStart"/>
            <w:r w:rsidRPr="00C8212B">
              <w:rPr>
                <w:lang w:val="fr-FR"/>
              </w:rPr>
              <w:t>Photophobia</w:t>
            </w:r>
            <w:proofErr w:type="spellEnd"/>
            <w:r w:rsidRPr="00C8212B">
              <w:rPr>
                <w:position w:val="8"/>
                <w:sz w:val="14"/>
                <w:lang w:val="fr-FR"/>
              </w:rPr>
              <w:t xml:space="preserve">‡F </w:t>
            </w:r>
            <w:proofErr w:type="spellStart"/>
            <w:r w:rsidRPr="00C8212B">
              <w:rPr>
                <w:lang w:val="fr-FR"/>
              </w:rPr>
              <w:t>Peripheral</w:t>
            </w:r>
            <w:proofErr w:type="spellEnd"/>
            <w:r w:rsidRPr="00C8212B">
              <w:rPr>
                <w:lang w:val="fr-FR"/>
              </w:rPr>
              <w:t xml:space="preserve"> </w:t>
            </w:r>
            <w:proofErr w:type="spellStart"/>
            <w:r w:rsidRPr="00C8212B">
              <w:rPr>
                <w:lang w:val="fr-FR"/>
              </w:rPr>
              <w:t>neuropathy</w:t>
            </w:r>
            <w:proofErr w:type="spellEnd"/>
            <w:r w:rsidRPr="00C8212B">
              <w:rPr>
                <w:position w:val="8"/>
                <w:sz w:val="14"/>
                <w:lang w:val="fr-FR"/>
              </w:rPr>
              <w:t>*b</w:t>
            </w:r>
          </w:p>
        </w:tc>
        <w:tc>
          <w:tcPr>
            <w:tcW w:w="1428" w:type="dxa"/>
            <w:tcBorders>
              <w:top w:val="single" w:sz="4" w:space="0" w:color="000000"/>
              <w:bottom w:val="single" w:sz="4" w:space="0" w:color="000000"/>
            </w:tcBorders>
          </w:tcPr>
          <w:p w14:paraId="2B9C9DBA" w14:textId="77777777" w:rsidR="00033423" w:rsidRPr="00C8212B" w:rsidRDefault="00033423" w:rsidP="007C6E1C">
            <w:pPr>
              <w:pStyle w:val="TableParagraph"/>
              <w:rPr>
                <w:b/>
                <w:sz w:val="24"/>
                <w:lang w:val="fr-FR"/>
              </w:rPr>
            </w:pPr>
          </w:p>
          <w:p w14:paraId="325BC0B0" w14:textId="77777777" w:rsidR="00033423" w:rsidRPr="00C8212B" w:rsidRDefault="00033423" w:rsidP="007C6E1C">
            <w:pPr>
              <w:pStyle w:val="TableParagraph"/>
              <w:spacing w:before="7"/>
              <w:rPr>
                <w:b/>
                <w:sz w:val="23"/>
                <w:lang w:val="fr-FR"/>
              </w:rPr>
            </w:pPr>
          </w:p>
          <w:p w14:paraId="04FBEACB" w14:textId="77777777" w:rsidR="00033423" w:rsidRDefault="00033423" w:rsidP="007C6E1C">
            <w:pPr>
              <w:pStyle w:val="TableParagraph"/>
              <w:ind w:left="153" w:right="133"/>
              <w:jc w:val="center"/>
            </w:pPr>
            <w:r>
              <w:t>5 (1.1%)</w:t>
            </w:r>
          </w:p>
          <w:p w14:paraId="4F6B32D4" w14:textId="77777777" w:rsidR="00033423" w:rsidRDefault="00033423" w:rsidP="007C6E1C">
            <w:pPr>
              <w:pStyle w:val="TableParagraph"/>
              <w:spacing w:before="174"/>
              <w:ind w:left="155" w:right="133"/>
              <w:jc w:val="center"/>
            </w:pPr>
            <w:r>
              <w:t>192 (42.5%)</w:t>
            </w:r>
          </w:p>
        </w:tc>
        <w:tc>
          <w:tcPr>
            <w:tcW w:w="1364" w:type="dxa"/>
            <w:tcBorders>
              <w:top w:val="single" w:sz="4" w:space="0" w:color="000000"/>
              <w:bottom w:val="single" w:sz="4" w:space="0" w:color="000000"/>
            </w:tcBorders>
          </w:tcPr>
          <w:p w14:paraId="5E89DAFC" w14:textId="77777777" w:rsidR="00033423" w:rsidRDefault="00033423" w:rsidP="007C6E1C">
            <w:pPr>
              <w:pStyle w:val="TableParagraph"/>
              <w:rPr>
                <w:b/>
                <w:sz w:val="24"/>
              </w:rPr>
            </w:pPr>
          </w:p>
          <w:p w14:paraId="69A2EBEE" w14:textId="77777777" w:rsidR="00033423" w:rsidRDefault="00033423" w:rsidP="007C6E1C">
            <w:pPr>
              <w:pStyle w:val="TableParagraph"/>
              <w:spacing w:before="7"/>
              <w:rPr>
                <w:b/>
                <w:sz w:val="23"/>
              </w:rPr>
            </w:pPr>
          </w:p>
          <w:p w14:paraId="2A42095D" w14:textId="77777777" w:rsidR="00033423" w:rsidRDefault="00033423" w:rsidP="007C6E1C">
            <w:pPr>
              <w:pStyle w:val="TableParagraph"/>
              <w:ind w:left="174" w:right="160"/>
              <w:jc w:val="center"/>
            </w:pPr>
            <w:r>
              <w:t>0 (0%)</w:t>
            </w:r>
          </w:p>
          <w:p w14:paraId="426E10F2" w14:textId="77777777" w:rsidR="00033423" w:rsidRDefault="00033423" w:rsidP="007C6E1C">
            <w:pPr>
              <w:pStyle w:val="TableParagraph"/>
              <w:spacing w:before="174"/>
              <w:ind w:left="174" w:right="158"/>
              <w:jc w:val="center"/>
            </w:pPr>
            <w:r>
              <w:t>42 (9.3%)</w:t>
            </w:r>
          </w:p>
        </w:tc>
        <w:tc>
          <w:tcPr>
            <w:tcW w:w="1491" w:type="dxa"/>
            <w:tcBorders>
              <w:top w:val="single" w:sz="4" w:space="0" w:color="000000"/>
              <w:bottom w:val="single" w:sz="4" w:space="0" w:color="000000"/>
            </w:tcBorders>
          </w:tcPr>
          <w:p w14:paraId="138CFDCA" w14:textId="77777777" w:rsidR="00033423" w:rsidRDefault="00033423" w:rsidP="007C6E1C">
            <w:pPr>
              <w:pStyle w:val="TableParagraph"/>
              <w:rPr>
                <w:b/>
                <w:sz w:val="24"/>
              </w:rPr>
            </w:pPr>
          </w:p>
          <w:p w14:paraId="22F0FB1D" w14:textId="77777777" w:rsidR="00033423" w:rsidRDefault="00033423" w:rsidP="007C6E1C">
            <w:pPr>
              <w:pStyle w:val="TableParagraph"/>
              <w:spacing w:before="7"/>
              <w:rPr>
                <w:b/>
                <w:sz w:val="23"/>
              </w:rPr>
            </w:pPr>
          </w:p>
          <w:p w14:paraId="11DE3B04" w14:textId="77777777" w:rsidR="00033423" w:rsidRDefault="00033423" w:rsidP="007C6E1C">
            <w:pPr>
              <w:pStyle w:val="TableParagraph"/>
              <w:ind w:left="441"/>
            </w:pPr>
            <w:r>
              <w:t>0 (0%)</w:t>
            </w:r>
          </w:p>
          <w:p w14:paraId="158AB3C4" w14:textId="77777777" w:rsidR="00033423" w:rsidRDefault="00033423" w:rsidP="007C6E1C">
            <w:pPr>
              <w:pStyle w:val="TableParagraph"/>
              <w:spacing w:before="174"/>
              <w:ind w:left="441"/>
            </w:pPr>
            <w:r>
              <w:t>0 (0%)</w:t>
            </w:r>
          </w:p>
        </w:tc>
        <w:tc>
          <w:tcPr>
            <w:tcW w:w="1731" w:type="dxa"/>
            <w:tcBorders>
              <w:top w:val="single" w:sz="4" w:space="0" w:color="000000"/>
              <w:bottom w:val="single" w:sz="4" w:space="0" w:color="000000"/>
              <w:right w:val="single" w:sz="4" w:space="0" w:color="000000"/>
            </w:tcBorders>
          </w:tcPr>
          <w:p w14:paraId="051F193C" w14:textId="77777777" w:rsidR="00033423" w:rsidRDefault="00033423" w:rsidP="007C6E1C">
            <w:pPr>
              <w:pStyle w:val="TableParagraph"/>
              <w:spacing w:before="1"/>
              <w:rPr>
                <w:b/>
                <w:sz w:val="33"/>
              </w:rPr>
            </w:pPr>
          </w:p>
          <w:p w14:paraId="1517BAA9" w14:textId="77777777" w:rsidR="00033423" w:rsidRDefault="00033423" w:rsidP="007C6E1C">
            <w:pPr>
              <w:pStyle w:val="TableParagraph"/>
              <w:spacing w:line="420" w:lineRule="atLeast"/>
              <w:ind w:left="208" w:right="184" w:firstLine="247"/>
            </w:pPr>
            <w:r>
              <w:t>Common Very Common</w:t>
            </w:r>
          </w:p>
        </w:tc>
      </w:tr>
      <w:tr w:rsidR="00033423" w14:paraId="7E6CDF0F" w14:textId="77777777" w:rsidTr="001761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4"/>
        </w:trPr>
        <w:tc>
          <w:tcPr>
            <w:tcW w:w="5711" w:type="dxa"/>
            <w:gridSpan w:val="3"/>
            <w:tcBorders>
              <w:right w:val="nil"/>
            </w:tcBorders>
          </w:tcPr>
          <w:p w14:paraId="743A44DE" w14:textId="77777777" w:rsidR="00033423" w:rsidRDefault="00033423" w:rsidP="007C6E1C">
            <w:pPr>
              <w:pStyle w:val="TableParagraph"/>
              <w:spacing w:line="251" w:lineRule="exact"/>
              <w:ind w:left="107"/>
              <w:rPr>
                <w:b/>
              </w:rPr>
            </w:pPr>
            <w:r>
              <w:rPr>
                <w:b/>
              </w:rPr>
              <w:t>Respiratory, Thoracic, and Mediastinal Disorders</w:t>
            </w:r>
          </w:p>
          <w:p w14:paraId="7A70EBBC" w14:textId="77777777" w:rsidR="00033423" w:rsidRDefault="00033423" w:rsidP="007C6E1C">
            <w:pPr>
              <w:pStyle w:val="TableParagraph"/>
              <w:spacing w:before="6"/>
              <w:rPr>
                <w:b/>
                <w:sz w:val="25"/>
              </w:rPr>
            </w:pPr>
          </w:p>
          <w:p w14:paraId="59108B7F" w14:textId="77777777" w:rsidR="00033423" w:rsidRDefault="00033423" w:rsidP="007C6E1C">
            <w:pPr>
              <w:pStyle w:val="TableParagraph"/>
              <w:tabs>
                <w:tab w:val="left" w:pos="3089"/>
                <w:tab w:val="left" w:pos="4728"/>
              </w:tabs>
              <w:ind w:left="107"/>
            </w:pPr>
            <w:r>
              <w:t>Cough</w:t>
            </w:r>
            <w:r>
              <w:tab/>
              <w:t>112</w:t>
            </w:r>
            <w:r>
              <w:rPr>
                <w:spacing w:val="-1"/>
              </w:rPr>
              <w:t xml:space="preserve"> </w:t>
            </w:r>
            <w:r>
              <w:t>(24.8%)</w:t>
            </w:r>
            <w:r>
              <w:tab/>
              <w:t>0</w:t>
            </w:r>
            <w:r>
              <w:rPr>
                <w:spacing w:val="-1"/>
              </w:rPr>
              <w:t xml:space="preserve"> </w:t>
            </w:r>
            <w:r>
              <w:t>(0%)</w:t>
            </w:r>
          </w:p>
        </w:tc>
        <w:tc>
          <w:tcPr>
            <w:tcW w:w="1491" w:type="dxa"/>
            <w:tcBorders>
              <w:left w:val="nil"/>
              <w:right w:val="nil"/>
            </w:tcBorders>
          </w:tcPr>
          <w:p w14:paraId="6AC47F3F" w14:textId="77777777" w:rsidR="00033423" w:rsidRDefault="00033423" w:rsidP="007C6E1C">
            <w:pPr>
              <w:pStyle w:val="TableParagraph"/>
              <w:rPr>
                <w:b/>
                <w:sz w:val="24"/>
              </w:rPr>
            </w:pPr>
          </w:p>
          <w:p w14:paraId="0F52743F" w14:textId="77777777" w:rsidR="00033423" w:rsidRDefault="00033423" w:rsidP="007C6E1C">
            <w:pPr>
              <w:pStyle w:val="TableParagraph"/>
              <w:spacing w:before="4"/>
              <w:rPr>
                <w:b/>
                <w:sz w:val="23"/>
              </w:rPr>
            </w:pPr>
          </w:p>
          <w:p w14:paraId="69425EFD" w14:textId="77777777" w:rsidR="00033423" w:rsidRDefault="00033423" w:rsidP="007C6E1C">
            <w:pPr>
              <w:pStyle w:val="TableParagraph"/>
              <w:ind w:left="133" w:right="131"/>
              <w:jc w:val="center"/>
            </w:pPr>
            <w:r>
              <w:t>0 (0%)</w:t>
            </w:r>
          </w:p>
        </w:tc>
        <w:tc>
          <w:tcPr>
            <w:tcW w:w="1731" w:type="dxa"/>
            <w:tcBorders>
              <w:left w:val="nil"/>
            </w:tcBorders>
          </w:tcPr>
          <w:p w14:paraId="32430267" w14:textId="77777777" w:rsidR="00033423" w:rsidRDefault="00033423" w:rsidP="007C6E1C">
            <w:pPr>
              <w:pStyle w:val="TableParagraph"/>
              <w:rPr>
                <w:b/>
                <w:sz w:val="24"/>
              </w:rPr>
            </w:pPr>
          </w:p>
          <w:p w14:paraId="4FBFF1DF" w14:textId="77777777" w:rsidR="00033423" w:rsidRDefault="00033423" w:rsidP="007C6E1C">
            <w:pPr>
              <w:pStyle w:val="TableParagraph"/>
              <w:spacing w:before="4"/>
              <w:rPr>
                <w:b/>
                <w:sz w:val="23"/>
              </w:rPr>
            </w:pPr>
          </w:p>
          <w:p w14:paraId="11AEEAA8" w14:textId="77777777" w:rsidR="00033423" w:rsidRDefault="00033423" w:rsidP="007C6E1C">
            <w:pPr>
              <w:pStyle w:val="TableParagraph"/>
              <w:ind w:left="190" w:right="180"/>
              <w:jc w:val="center"/>
            </w:pPr>
            <w:r>
              <w:t>Very Common</w:t>
            </w:r>
          </w:p>
        </w:tc>
      </w:tr>
      <w:tr w:rsidR="00033423" w14:paraId="2D5D6049" w14:textId="77777777" w:rsidTr="001761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6"/>
        </w:trPr>
        <w:tc>
          <w:tcPr>
            <w:tcW w:w="5711" w:type="dxa"/>
            <w:gridSpan w:val="3"/>
            <w:tcBorders>
              <w:right w:val="nil"/>
            </w:tcBorders>
          </w:tcPr>
          <w:p w14:paraId="31B62CD9" w14:textId="77777777" w:rsidR="00033423" w:rsidRDefault="00033423" w:rsidP="007C6E1C">
            <w:pPr>
              <w:pStyle w:val="TableParagraph"/>
              <w:spacing w:before="122"/>
              <w:ind w:left="107"/>
              <w:rPr>
                <w:b/>
              </w:rPr>
            </w:pPr>
            <w:r>
              <w:rPr>
                <w:b/>
              </w:rPr>
              <w:t>Skin and Subcutaneous Tissue Disorders</w:t>
            </w:r>
          </w:p>
          <w:p w14:paraId="34E357FA" w14:textId="77777777" w:rsidR="00033423" w:rsidRDefault="00033423" w:rsidP="007C6E1C">
            <w:pPr>
              <w:pStyle w:val="TableParagraph"/>
              <w:tabs>
                <w:tab w:val="left" w:pos="3144"/>
                <w:tab w:val="left" w:pos="4728"/>
              </w:tabs>
              <w:spacing w:before="164"/>
              <w:ind w:left="107"/>
            </w:pPr>
            <w:proofErr w:type="spellStart"/>
            <w:r>
              <w:t>Pruritis</w:t>
            </w:r>
            <w:proofErr w:type="spellEnd"/>
            <w:r>
              <w:rPr>
                <w:position w:val="8"/>
                <w:sz w:val="14"/>
              </w:rPr>
              <w:t>‡</w:t>
            </w:r>
            <w:r>
              <w:rPr>
                <w:position w:val="8"/>
                <w:sz w:val="14"/>
              </w:rPr>
              <w:tab/>
            </w:r>
            <w:r>
              <w:t>62</w:t>
            </w:r>
            <w:r>
              <w:rPr>
                <w:spacing w:val="-1"/>
              </w:rPr>
              <w:t xml:space="preserve"> </w:t>
            </w:r>
            <w:r>
              <w:t>(13.7%)</w:t>
            </w:r>
            <w:r>
              <w:tab/>
              <w:t>0</w:t>
            </w:r>
            <w:r>
              <w:rPr>
                <w:spacing w:val="-1"/>
              </w:rPr>
              <w:t xml:space="preserve"> </w:t>
            </w:r>
            <w:r>
              <w:t>(0%)</w:t>
            </w:r>
          </w:p>
        </w:tc>
        <w:tc>
          <w:tcPr>
            <w:tcW w:w="1491" w:type="dxa"/>
            <w:tcBorders>
              <w:left w:val="nil"/>
              <w:right w:val="nil"/>
            </w:tcBorders>
          </w:tcPr>
          <w:p w14:paraId="10B2CED1" w14:textId="77777777" w:rsidR="00033423" w:rsidRDefault="00033423" w:rsidP="007C6E1C">
            <w:pPr>
              <w:pStyle w:val="TableParagraph"/>
              <w:rPr>
                <w:b/>
                <w:sz w:val="24"/>
              </w:rPr>
            </w:pPr>
          </w:p>
          <w:p w14:paraId="36B4D5DC" w14:textId="77777777" w:rsidR="00033423" w:rsidRDefault="00033423" w:rsidP="007C6E1C">
            <w:pPr>
              <w:pStyle w:val="TableParagraph"/>
              <w:spacing w:before="4"/>
              <w:rPr>
                <w:b/>
                <w:sz w:val="23"/>
              </w:rPr>
            </w:pPr>
          </w:p>
          <w:p w14:paraId="527D19A9" w14:textId="77777777" w:rsidR="00033423" w:rsidRDefault="00033423" w:rsidP="007C6E1C">
            <w:pPr>
              <w:pStyle w:val="TableParagraph"/>
              <w:ind w:left="133" w:right="131"/>
              <w:jc w:val="center"/>
            </w:pPr>
            <w:r>
              <w:t>0 (0%)</w:t>
            </w:r>
          </w:p>
        </w:tc>
        <w:tc>
          <w:tcPr>
            <w:tcW w:w="1731" w:type="dxa"/>
            <w:tcBorders>
              <w:left w:val="nil"/>
            </w:tcBorders>
          </w:tcPr>
          <w:p w14:paraId="244E3FD6" w14:textId="77777777" w:rsidR="00033423" w:rsidRDefault="00033423" w:rsidP="007C6E1C">
            <w:pPr>
              <w:pStyle w:val="TableParagraph"/>
              <w:rPr>
                <w:b/>
                <w:sz w:val="24"/>
              </w:rPr>
            </w:pPr>
          </w:p>
          <w:p w14:paraId="68F3CD9B" w14:textId="77777777" w:rsidR="00033423" w:rsidRDefault="00033423" w:rsidP="007C6E1C">
            <w:pPr>
              <w:pStyle w:val="TableParagraph"/>
              <w:spacing w:before="4"/>
              <w:rPr>
                <w:b/>
                <w:sz w:val="23"/>
              </w:rPr>
            </w:pPr>
          </w:p>
          <w:p w14:paraId="6C239D7B" w14:textId="77777777" w:rsidR="00033423" w:rsidRDefault="00033423" w:rsidP="007C6E1C">
            <w:pPr>
              <w:pStyle w:val="TableParagraph"/>
              <w:ind w:left="190" w:right="180"/>
              <w:jc w:val="center"/>
            </w:pPr>
            <w:r>
              <w:t>Very Common</w:t>
            </w:r>
          </w:p>
        </w:tc>
      </w:tr>
    </w:tbl>
    <w:p w14:paraId="724399DF" w14:textId="77777777" w:rsidR="00033423" w:rsidRDefault="00033423" w:rsidP="00033423">
      <w:pPr>
        <w:spacing w:line="218" w:lineRule="exact"/>
        <w:ind w:left="118"/>
        <w:rPr>
          <w:sz w:val="20"/>
        </w:rPr>
      </w:pPr>
      <w:r>
        <w:rPr>
          <w:position w:val="7"/>
          <w:sz w:val="13"/>
        </w:rPr>
        <w:t xml:space="preserve">* </w:t>
      </w:r>
      <w:r>
        <w:rPr>
          <w:sz w:val="20"/>
        </w:rPr>
        <w:t>ADR occurring at a frequency ≥ 5% (All grades) or ≥ 2% (Grades 3-4) compared to the control arm</w:t>
      </w:r>
    </w:p>
    <w:p w14:paraId="2672F98C" w14:textId="77777777" w:rsidR="00033423" w:rsidRDefault="00033423" w:rsidP="00033423">
      <w:pPr>
        <w:ind w:left="118" w:right="1150"/>
        <w:rPr>
          <w:sz w:val="20"/>
        </w:rPr>
      </w:pPr>
      <w:r>
        <w:rPr>
          <w:position w:val="7"/>
          <w:sz w:val="13"/>
        </w:rPr>
        <w:t xml:space="preserve">‡ </w:t>
      </w:r>
      <w:r>
        <w:rPr>
          <w:sz w:val="20"/>
        </w:rPr>
        <w:t xml:space="preserve">Observed rate in the combination represents a clinically relevant difference in comparison to </w:t>
      </w:r>
      <w:proofErr w:type="spellStart"/>
      <w:r>
        <w:rPr>
          <w:sz w:val="20"/>
        </w:rPr>
        <w:t>Tecentriq</w:t>
      </w:r>
      <w:proofErr w:type="spellEnd"/>
      <w:r>
        <w:rPr>
          <w:sz w:val="20"/>
        </w:rPr>
        <w:t xml:space="preserve"> monotherapy</w:t>
      </w:r>
    </w:p>
    <w:p w14:paraId="23DC3B50" w14:textId="77777777" w:rsidR="00033423" w:rsidRDefault="00033423" w:rsidP="00033423">
      <w:pPr>
        <w:spacing w:line="229" w:lineRule="exact"/>
        <w:ind w:left="118"/>
        <w:rPr>
          <w:sz w:val="20"/>
        </w:rPr>
      </w:pPr>
      <w:proofErr w:type="spellStart"/>
      <w:r>
        <w:rPr>
          <w:position w:val="7"/>
          <w:sz w:val="13"/>
        </w:rPr>
        <w:t>a</w:t>
      </w:r>
      <w:proofErr w:type="spellEnd"/>
      <w:r>
        <w:rPr>
          <w:position w:val="7"/>
          <w:sz w:val="13"/>
        </w:rPr>
        <w:t xml:space="preserve"> </w:t>
      </w:r>
      <w:r>
        <w:rPr>
          <w:sz w:val="20"/>
        </w:rPr>
        <w:t>Includes reports of neutrophil count decreased, febrile neutropenia, neutropenic sepsis</w:t>
      </w:r>
    </w:p>
    <w:p w14:paraId="52DC4287" w14:textId="77777777" w:rsidR="00033423" w:rsidRDefault="00033423" w:rsidP="00033423">
      <w:pPr>
        <w:ind w:left="118" w:right="460"/>
        <w:rPr>
          <w:sz w:val="20"/>
        </w:rPr>
      </w:pPr>
      <w:r>
        <w:rPr>
          <w:position w:val="7"/>
          <w:sz w:val="13"/>
        </w:rPr>
        <w:t xml:space="preserve">b </w:t>
      </w:r>
      <w:r>
        <w:rPr>
          <w:sz w:val="20"/>
        </w:rPr>
        <w:t>Includes reports of peripheral sensory neuropathy, polyneuropathy, herpes zoster, peripheral motor neuropathy, toxic neuropathy</w:t>
      </w:r>
    </w:p>
    <w:p w14:paraId="66F12668" w14:textId="77777777" w:rsidR="00033423" w:rsidRDefault="00033423" w:rsidP="00033423">
      <w:pPr>
        <w:ind w:left="118" w:right="633"/>
        <w:rPr>
          <w:sz w:val="20"/>
        </w:rPr>
      </w:pPr>
      <w:r>
        <w:rPr>
          <w:position w:val="7"/>
          <w:sz w:val="13"/>
        </w:rPr>
        <w:lastRenderedPageBreak/>
        <w:t xml:space="preserve">c </w:t>
      </w:r>
      <w:r>
        <w:rPr>
          <w:sz w:val="20"/>
        </w:rPr>
        <w:t>Includes reports of blood thyroid stimulating hormone increased, autoimmune thyroiditis, thyroiditis, blood thyroid stimulating hormone decreased, goitre, thyroid function test abnormal, thyroxine decreased, thyroxine free increased</w:t>
      </w:r>
    </w:p>
    <w:p w14:paraId="4C5B5D2A" w14:textId="77777777" w:rsidR="00033423" w:rsidRDefault="00033423" w:rsidP="00033423">
      <w:pPr>
        <w:ind w:left="118" w:right="549"/>
        <w:rPr>
          <w:sz w:val="20"/>
        </w:rPr>
      </w:pPr>
      <w:r>
        <w:rPr>
          <w:position w:val="7"/>
          <w:sz w:val="13"/>
        </w:rPr>
        <w:t xml:space="preserve">d </w:t>
      </w:r>
      <w:r>
        <w:rPr>
          <w:sz w:val="20"/>
        </w:rPr>
        <w:t>Includes reports of autoimmune hepatitis, hepatotoxicity, hepatic failure, hepatitis toxic and immune mediated hepatitis</w:t>
      </w:r>
    </w:p>
    <w:p w14:paraId="6811F7FC" w14:textId="77777777" w:rsidR="00033423" w:rsidRDefault="00033423" w:rsidP="00033423">
      <w:pPr>
        <w:spacing w:line="228" w:lineRule="exact"/>
        <w:ind w:left="118"/>
        <w:rPr>
          <w:sz w:val="20"/>
        </w:rPr>
      </w:pPr>
      <w:r>
        <w:rPr>
          <w:position w:val="7"/>
          <w:sz w:val="13"/>
        </w:rPr>
        <w:t xml:space="preserve">e </w:t>
      </w:r>
      <w:r>
        <w:rPr>
          <w:sz w:val="20"/>
        </w:rPr>
        <w:t>Includes colitis ulcerative</w:t>
      </w:r>
    </w:p>
    <w:p w14:paraId="146375B0" w14:textId="77777777" w:rsidR="00033423" w:rsidRDefault="00033423" w:rsidP="00033423">
      <w:pPr>
        <w:spacing w:line="231" w:lineRule="exact"/>
        <w:ind w:left="118"/>
        <w:rPr>
          <w:sz w:val="20"/>
        </w:rPr>
      </w:pPr>
      <w:r>
        <w:rPr>
          <w:position w:val="7"/>
          <w:sz w:val="13"/>
        </w:rPr>
        <w:t xml:space="preserve">f </w:t>
      </w:r>
      <w:r>
        <w:rPr>
          <w:sz w:val="20"/>
        </w:rPr>
        <w:t>Non-infective meningitis SMQ (narrow) identified only reports of photophobia</w:t>
      </w:r>
    </w:p>
    <w:p w14:paraId="560A7AE9" w14:textId="18F19A8A" w:rsidR="00033423" w:rsidRPr="00033423" w:rsidRDefault="00033423" w:rsidP="000E7DB1"/>
    <w:p w14:paraId="07C2588F" w14:textId="77777777" w:rsidR="00033423" w:rsidRPr="000E7DB1" w:rsidRDefault="00033423" w:rsidP="000E7DB1">
      <w:pPr>
        <w:rPr>
          <w:lang w:val="en-US"/>
        </w:rPr>
      </w:pPr>
    </w:p>
    <w:p w14:paraId="1199E3DA" w14:textId="2D5294B1" w:rsidR="005465C1" w:rsidRDefault="005465C1" w:rsidP="00E569AD">
      <w:pPr>
        <w:pStyle w:val="Heading5"/>
        <w:rPr>
          <w:lang w:val="en-US"/>
        </w:rPr>
      </w:pPr>
      <w:r>
        <w:rPr>
          <w:lang w:val="en-US"/>
        </w:rPr>
        <w:t xml:space="preserve">Other clinical trials of </w:t>
      </w:r>
      <w:proofErr w:type="spellStart"/>
      <w:r>
        <w:rPr>
          <w:lang w:val="en-US"/>
        </w:rPr>
        <w:t>Tecentriq</w:t>
      </w:r>
      <w:proofErr w:type="spellEnd"/>
      <w:r>
        <w:rPr>
          <w:lang w:val="en-US"/>
        </w:rPr>
        <w:t xml:space="preserve"> </w:t>
      </w:r>
      <w:r w:rsidR="000E153D">
        <w:rPr>
          <w:lang w:val="en-US"/>
        </w:rPr>
        <w:t xml:space="preserve">in </w:t>
      </w:r>
      <w:r>
        <w:rPr>
          <w:lang w:val="en-US"/>
        </w:rPr>
        <w:t>combination therapy</w:t>
      </w:r>
    </w:p>
    <w:p w14:paraId="07E71E3D" w14:textId="13B1E67D" w:rsidR="007E0995" w:rsidRPr="007E0995" w:rsidRDefault="007E0995" w:rsidP="00364F3A">
      <w:pPr>
        <w:rPr>
          <w:lang w:val="en-US"/>
        </w:rPr>
      </w:pPr>
      <w:r w:rsidRPr="007E0995">
        <w:rPr>
          <w:lang w:val="en-US"/>
        </w:rPr>
        <w:t xml:space="preserve">The following list includes additional ADRs identified in other clinical trials associated with the use of </w:t>
      </w:r>
      <w:proofErr w:type="spellStart"/>
      <w:r w:rsidRPr="007E0995">
        <w:rPr>
          <w:lang w:val="en-US"/>
        </w:rPr>
        <w:t>Tecentriq</w:t>
      </w:r>
      <w:proofErr w:type="spellEnd"/>
      <w:r w:rsidRPr="007E0995">
        <w:rPr>
          <w:lang w:val="en-US"/>
        </w:rPr>
        <w:t xml:space="preserve"> in combination therapy and not reported in monotherapy trials:</w:t>
      </w:r>
    </w:p>
    <w:p w14:paraId="5F84021A" w14:textId="2209CC07" w:rsidR="00E201B1" w:rsidRDefault="00E201B1" w:rsidP="00364F3A">
      <w:pPr>
        <w:rPr>
          <w:lang w:val="en-US"/>
        </w:rPr>
      </w:pPr>
      <w:r w:rsidRPr="00364F3A">
        <w:rPr>
          <w:i/>
          <w:lang w:val="en-US"/>
        </w:rPr>
        <w:t>Blood and Lymphatic System Disorders</w:t>
      </w:r>
      <w:r>
        <w:rPr>
          <w:lang w:val="en-US"/>
        </w:rPr>
        <w:t xml:space="preserve">: </w:t>
      </w:r>
      <w:proofErr w:type="spellStart"/>
      <w:r w:rsidR="00157600">
        <w:rPr>
          <w:lang w:val="en-US"/>
        </w:rPr>
        <w:t>l</w:t>
      </w:r>
      <w:r w:rsidRPr="00E201B1">
        <w:rPr>
          <w:rFonts w:hint="eastAsia"/>
          <w:lang w:val="en-US"/>
        </w:rPr>
        <w:t>ympho</w:t>
      </w:r>
      <w:r w:rsidR="006452D8">
        <w:rPr>
          <w:lang w:val="en-US"/>
        </w:rPr>
        <w:t>penia</w:t>
      </w:r>
      <w:proofErr w:type="spellEnd"/>
      <w:r w:rsidR="00F93303">
        <w:rPr>
          <w:lang w:val="en-US"/>
        </w:rPr>
        <w:t xml:space="preserve"> </w:t>
      </w:r>
      <w:r>
        <w:rPr>
          <w:lang w:val="en-US"/>
        </w:rPr>
        <w:t>(c</w:t>
      </w:r>
      <w:r w:rsidRPr="00E201B1">
        <w:rPr>
          <w:rFonts w:hint="eastAsia"/>
          <w:lang w:val="en-US"/>
        </w:rPr>
        <w:t>ommon</w:t>
      </w:r>
      <w:r>
        <w:rPr>
          <w:lang w:val="en-US"/>
        </w:rPr>
        <w:t>)</w:t>
      </w:r>
      <w:r w:rsidR="00837238">
        <w:rPr>
          <w:lang w:val="en-US"/>
        </w:rPr>
        <w:t>, leuc</w:t>
      </w:r>
      <w:r w:rsidR="006452D8">
        <w:rPr>
          <w:lang w:val="en-US"/>
        </w:rPr>
        <w:t>openia (very common)</w:t>
      </w:r>
    </w:p>
    <w:p w14:paraId="73BC4C72" w14:textId="6C325D36" w:rsidR="00E201B1" w:rsidRDefault="00157600" w:rsidP="00364F3A">
      <w:pPr>
        <w:rPr>
          <w:lang w:val="en-US"/>
        </w:rPr>
      </w:pPr>
      <w:r w:rsidRPr="00364F3A">
        <w:rPr>
          <w:i/>
          <w:lang w:val="en-US"/>
        </w:rPr>
        <w:t>General Disorders and Administration:</w:t>
      </w:r>
      <w:r>
        <w:rPr>
          <w:lang w:val="en-US"/>
        </w:rPr>
        <w:t xml:space="preserve"> h</w:t>
      </w:r>
      <w:r w:rsidRPr="00157600">
        <w:rPr>
          <w:rFonts w:hint="eastAsia"/>
          <w:lang w:val="en-US"/>
        </w:rPr>
        <w:t>eadache</w:t>
      </w:r>
      <w:r>
        <w:rPr>
          <w:rFonts w:hint="eastAsia"/>
          <w:lang w:val="en-US"/>
        </w:rPr>
        <w:t xml:space="preserve"> </w:t>
      </w:r>
      <w:r>
        <w:rPr>
          <w:lang w:val="en-US"/>
        </w:rPr>
        <w:t>(v</w:t>
      </w:r>
      <w:r w:rsidRPr="00157600">
        <w:rPr>
          <w:rFonts w:hint="eastAsia"/>
          <w:lang w:val="en-US"/>
        </w:rPr>
        <w:t xml:space="preserve">ery </w:t>
      </w:r>
      <w:r>
        <w:rPr>
          <w:lang w:val="en-US"/>
        </w:rPr>
        <w:t>c</w:t>
      </w:r>
      <w:r w:rsidRPr="00157600">
        <w:rPr>
          <w:rFonts w:hint="eastAsia"/>
          <w:lang w:val="en-US"/>
        </w:rPr>
        <w:t>ommon</w:t>
      </w:r>
      <w:r>
        <w:rPr>
          <w:lang w:val="en-US"/>
        </w:rPr>
        <w:t>)</w:t>
      </w:r>
    </w:p>
    <w:p w14:paraId="632EDCFF" w14:textId="44086158" w:rsidR="006452D8" w:rsidRDefault="006452D8" w:rsidP="00364F3A">
      <w:pPr>
        <w:rPr>
          <w:lang w:val="en-US"/>
        </w:rPr>
      </w:pPr>
      <w:r w:rsidRPr="001750CE">
        <w:rPr>
          <w:i/>
          <w:lang w:val="en-US"/>
        </w:rPr>
        <w:t>Investigations:</w:t>
      </w:r>
      <w:r>
        <w:rPr>
          <w:lang w:val="en-US"/>
        </w:rPr>
        <w:t xml:space="preserve"> blood alkaline phosphatase increased (common), blood creatinine increased (common)</w:t>
      </w:r>
    </w:p>
    <w:p w14:paraId="1998A456" w14:textId="104E184B" w:rsidR="00157600" w:rsidRDefault="00157600" w:rsidP="00364F3A">
      <w:pPr>
        <w:rPr>
          <w:lang w:val="en-US"/>
        </w:rPr>
      </w:pPr>
      <w:r w:rsidRPr="00364F3A">
        <w:rPr>
          <w:i/>
          <w:lang w:val="en-US"/>
        </w:rPr>
        <w:t>Renal and Urinary Disorders</w:t>
      </w:r>
      <w:r>
        <w:rPr>
          <w:lang w:val="en-US"/>
        </w:rPr>
        <w:t>: p</w:t>
      </w:r>
      <w:r w:rsidRPr="00157600">
        <w:rPr>
          <w:rFonts w:hint="eastAsia"/>
          <w:lang w:val="en-US"/>
        </w:rPr>
        <w:t>roteinuria</w:t>
      </w:r>
      <w:r>
        <w:rPr>
          <w:lang w:val="en-US"/>
        </w:rPr>
        <w:t xml:space="preserve"> (c</w:t>
      </w:r>
      <w:r w:rsidRPr="00157600">
        <w:rPr>
          <w:lang w:val="en-US"/>
        </w:rPr>
        <w:t>ommon</w:t>
      </w:r>
      <w:r>
        <w:rPr>
          <w:lang w:val="en-US"/>
        </w:rPr>
        <w:t>)</w:t>
      </w:r>
    </w:p>
    <w:p w14:paraId="120874BC" w14:textId="34D63BE1" w:rsidR="007E0995" w:rsidRDefault="00157600" w:rsidP="007E0995">
      <w:pPr>
        <w:rPr>
          <w:lang w:val="en-US"/>
        </w:rPr>
      </w:pPr>
      <w:r w:rsidRPr="00364F3A">
        <w:rPr>
          <w:i/>
          <w:lang w:val="en-US"/>
        </w:rPr>
        <w:t>Respiratory, Thoracic and Mediastinal Disorders</w:t>
      </w:r>
      <w:r>
        <w:rPr>
          <w:lang w:val="en-US"/>
        </w:rPr>
        <w:t>: d</w:t>
      </w:r>
      <w:r w:rsidRPr="00157600">
        <w:rPr>
          <w:lang w:val="en-US"/>
        </w:rPr>
        <w:t xml:space="preserve">ysphonia </w:t>
      </w:r>
      <w:r>
        <w:rPr>
          <w:lang w:val="en-US"/>
        </w:rPr>
        <w:t>(c</w:t>
      </w:r>
      <w:r w:rsidRPr="00157600">
        <w:rPr>
          <w:lang w:val="en-US"/>
        </w:rPr>
        <w:t>ommon</w:t>
      </w:r>
      <w:r>
        <w:rPr>
          <w:lang w:val="en-US"/>
        </w:rPr>
        <w:t>)</w:t>
      </w:r>
    </w:p>
    <w:p w14:paraId="19C3F51E" w14:textId="28FAF410" w:rsidR="006452D8" w:rsidRPr="007E0995" w:rsidRDefault="006452D8" w:rsidP="007E0995">
      <w:pPr>
        <w:rPr>
          <w:lang w:val="en-US"/>
        </w:rPr>
      </w:pPr>
      <w:r w:rsidRPr="001750CE">
        <w:rPr>
          <w:i/>
          <w:lang w:val="en-US"/>
        </w:rPr>
        <w:t xml:space="preserve">Skin and </w:t>
      </w:r>
      <w:r>
        <w:rPr>
          <w:i/>
          <w:lang w:val="en-US"/>
        </w:rPr>
        <w:t>S</w:t>
      </w:r>
      <w:r w:rsidRPr="001750CE">
        <w:rPr>
          <w:i/>
          <w:lang w:val="en-US"/>
        </w:rPr>
        <w:t>ubcutaneous Tissue Disorders:</w:t>
      </w:r>
      <w:r>
        <w:rPr>
          <w:lang w:val="en-US"/>
        </w:rPr>
        <w:t xml:space="preserve"> alopecia (very common)</w:t>
      </w:r>
    </w:p>
    <w:p w14:paraId="721E821D" w14:textId="6A7BD2E8" w:rsidR="00822EEB" w:rsidRPr="0046175F" w:rsidRDefault="00822EEB" w:rsidP="00CD75CF">
      <w:pPr>
        <w:pStyle w:val="Heading3"/>
      </w:pPr>
      <w:r w:rsidRPr="0046175F">
        <w:t>Additional information for selected adverse reactions</w:t>
      </w:r>
    </w:p>
    <w:p w14:paraId="17729224" w14:textId="117565AC" w:rsidR="00822EEB" w:rsidRPr="0046175F" w:rsidRDefault="00F013AA" w:rsidP="00CD75CF">
      <w:r w:rsidRPr="0046175F">
        <w:t xml:space="preserve">The data below reflect information for significant adverse reactions for </w:t>
      </w:r>
      <w:proofErr w:type="spellStart"/>
      <w:r w:rsidRPr="0046175F">
        <w:t>Tecentriq</w:t>
      </w:r>
      <w:proofErr w:type="spellEnd"/>
      <w:r w:rsidRPr="0046175F">
        <w:t xml:space="preserve"> monotherapy. </w:t>
      </w:r>
      <w:r w:rsidR="008A6503" w:rsidRPr="007D3819">
        <w:t xml:space="preserve">Details for the significant adverse reactions for </w:t>
      </w:r>
      <w:proofErr w:type="spellStart"/>
      <w:r w:rsidR="008A6503" w:rsidRPr="007D3819">
        <w:t>Tecentriq</w:t>
      </w:r>
      <w:proofErr w:type="spellEnd"/>
      <w:r w:rsidR="008A6503" w:rsidRPr="007D3819">
        <w:t xml:space="preserve"> when given in combination are presented if clinically relevant differences were noted in comparison to </w:t>
      </w:r>
      <w:proofErr w:type="spellStart"/>
      <w:r w:rsidR="008A6503" w:rsidRPr="007D3819">
        <w:t>Tecentriq</w:t>
      </w:r>
      <w:proofErr w:type="spellEnd"/>
      <w:r w:rsidR="008A6503" w:rsidRPr="007D3819">
        <w:t xml:space="preserve"> monotherapy. </w:t>
      </w:r>
      <w:r w:rsidR="00822EEB" w:rsidRPr="0046175F">
        <w:t xml:space="preserve">See </w:t>
      </w:r>
      <w:r w:rsidR="0050482B" w:rsidRPr="0046175F">
        <w:t>section</w:t>
      </w:r>
      <w:r w:rsidR="00033423">
        <w:t>s</w:t>
      </w:r>
      <w:r w:rsidR="0050482B" w:rsidRPr="0046175F">
        <w:t xml:space="preserve"> </w:t>
      </w:r>
      <w:r w:rsidR="009C3B13" w:rsidRPr="0046175F">
        <w:rPr>
          <w:i/>
        </w:rPr>
        <w:t>4.2 Dose and method of administration</w:t>
      </w:r>
      <w:r w:rsidR="009C3B13" w:rsidRPr="0046175F">
        <w:t xml:space="preserve"> and </w:t>
      </w:r>
      <w:r w:rsidR="0050482B" w:rsidRPr="0046175F">
        <w:rPr>
          <w:i/>
        </w:rPr>
        <w:t xml:space="preserve">4.4 </w:t>
      </w:r>
      <w:r w:rsidR="00566E29" w:rsidRPr="0046175F">
        <w:rPr>
          <w:i/>
        </w:rPr>
        <w:t xml:space="preserve">Special warnings and precautions for use </w:t>
      </w:r>
      <w:r w:rsidR="00822EEB" w:rsidRPr="0046175F">
        <w:t>for management of the following:</w:t>
      </w:r>
    </w:p>
    <w:p w14:paraId="215D2F72" w14:textId="77777777" w:rsidR="00822EEB" w:rsidRPr="0046175F" w:rsidRDefault="00822EEB" w:rsidP="00CD75CF">
      <w:pPr>
        <w:pStyle w:val="Heading4"/>
      </w:pPr>
      <w:r w:rsidRPr="0046175F">
        <w:t>Immune-related pneumonitis</w:t>
      </w:r>
    </w:p>
    <w:p w14:paraId="56E9A217" w14:textId="77777777" w:rsidR="00883280" w:rsidRPr="0046175F" w:rsidRDefault="00883280" w:rsidP="00CD75CF">
      <w:r w:rsidRPr="0046175F">
        <w:t xml:space="preserve">Pneumonitis occurred in 2.8% (86/3075) of patients who received </w:t>
      </w:r>
      <w:proofErr w:type="spellStart"/>
      <w:r w:rsidRPr="0046175F">
        <w:t>Tecentriq</w:t>
      </w:r>
      <w:proofErr w:type="spellEnd"/>
      <w:r w:rsidRPr="0046175F">
        <w:t xml:space="preserve"> monotherapy. Of the 86 patients, one event was fatal. The median time to onset was 3.4 months (range: 3 days to 20.5 months). The median duration was 1.4 months (range 1 day to 21.2</w:t>
      </w:r>
      <w:r w:rsidRPr="00033423">
        <w:rPr>
          <w:vertAlign w:val="superscript"/>
        </w:rPr>
        <w:t>+</w:t>
      </w:r>
      <w:r w:rsidRPr="0046175F">
        <w:t xml:space="preserve"> months; </w:t>
      </w:r>
      <w:r w:rsidRPr="00033423">
        <w:rPr>
          <w:vertAlign w:val="superscript"/>
        </w:rPr>
        <w:t xml:space="preserve">+ </w:t>
      </w:r>
      <w:r w:rsidRPr="0046175F">
        <w:t xml:space="preserve">denotes a censored value). Pneumonitis led to discontinuation of </w:t>
      </w:r>
      <w:proofErr w:type="spellStart"/>
      <w:r w:rsidRPr="0046175F">
        <w:t>Tecentriq</w:t>
      </w:r>
      <w:proofErr w:type="spellEnd"/>
      <w:r w:rsidRPr="0046175F">
        <w:t xml:space="preserve"> in 12 (0.4%) patients. Pneumonitis requiring the use of corticosteroids occurred in 1.5% (45/3075) of patients receiving </w:t>
      </w:r>
      <w:proofErr w:type="spellStart"/>
      <w:r w:rsidRPr="0046175F">
        <w:t>Tecentriq</w:t>
      </w:r>
      <w:proofErr w:type="spellEnd"/>
      <w:r w:rsidRPr="0046175F">
        <w:t>.</w:t>
      </w:r>
    </w:p>
    <w:p w14:paraId="6FB8A98F" w14:textId="77777777" w:rsidR="00822EEB" w:rsidRPr="0046175F" w:rsidRDefault="00822EEB" w:rsidP="00550342">
      <w:pPr>
        <w:pStyle w:val="Heading4"/>
      </w:pPr>
      <w:r w:rsidRPr="0046175F">
        <w:t>Immune-related hepatitis</w:t>
      </w:r>
    </w:p>
    <w:p w14:paraId="17DDDCA3" w14:textId="77777777" w:rsidR="00883280" w:rsidRPr="0046175F" w:rsidRDefault="00883280" w:rsidP="00B334C3">
      <w:pPr>
        <w:keepNext/>
      </w:pPr>
      <w:r w:rsidRPr="0046175F">
        <w:t xml:space="preserve">Hepatitis occurred in 2.0% (62/3075) of patients who received </w:t>
      </w:r>
      <w:proofErr w:type="spellStart"/>
      <w:r w:rsidRPr="0046175F">
        <w:t>Tecentriq</w:t>
      </w:r>
      <w:proofErr w:type="spellEnd"/>
      <w:r w:rsidRPr="0046175F">
        <w:t xml:space="preserve"> monotherapy. Of the 62 patients, two events were fatal. The median time to onset was 1.5 months (range 6 days to 18.8 months). The median duration was 2.1 months (range 2 days to 22.0+ months; + denotes a censored value). Hepatitis led to discontinuation of </w:t>
      </w:r>
      <w:proofErr w:type="spellStart"/>
      <w:r w:rsidRPr="0046175F">
        <w:t>Tecentriq</w:t>
      </w:r>
      <w:proofErr w:type="spellEnd"/>
      <w:r w:rsidRPr="0046175F">
        <w:t xml:space="preserve"> in 6 (0.2%) patients. Hepatitis requiring the use of corticosteroids occurred in 0.4% (12/3075) of patients receiving </w:t>
      </w:r>
      <w:proofErr w:type="spellStart"/>
      <w:r w:rsidRPr="0046175F">
        <w:t>Tecentriq</w:t>
      </w:r>
      <w:proofErr w:type="spellEnd"/>
      <w:r w:rsidRPr="0046175F">
        <w:t xml:space="preserve">. </w:t>
      </w:r>
    </w:p>
    <w:p w14:paraId="552E2E5F" w14:textId="13A18AC1" w:rsidR="00822EEB" w:rsidRPr="0046175F" w:rsidRDefault="00822EEB" w:rsidP="00550342">
      <w:pPr>
        <w:pStyle w:val="Heading4"/>
      </w:pPr>
      <w:r w:rsidRPr="0046175F">
        <w:t>Immune-related colitis</w:t>
      </w:r>
    </w:p>
    <w:p w14:paraId="67B5E2AD" w14:textId="30D38CFD" w:rsidR="00822EEB" w:rsidRPr="0046175F" w:rsidRDefault="00883280" w:rsidP="00CD75CF">
      <w:r w:rsidRPr="0046175F">
        <w:t xml:space="preserve">Colitis occurred in 1.1% (34/3075) of patients who received </w:t>
      </w:r>
      <w:proofErr w:type="spellStart"/>
      <w:r w:rsidRPr="0046175F">
        <w:t>Tecentriq</w:t>
      </w:r>
      <w:proofErr w:type="spellEnd"/>
      <w:r w:rsidRPr="0046175F">
        <w:t>. The median time to onset was 4.7 months (range 15 days to 17.2 months). The median duration was 1.2 months (range: 3 days to 17.8</w:t>
      </w:r>
      <w:r w:rsidRPr="00033423">
        <w:rPr>
          <w:vertAlign w:val="superscript"/>
        </w:rPr>
        <w:t xml:space="preserve">+ </w:t>
      </w:r>
      <w:r w:rsidRPr="0046175F">
        <w:t xml:space="preserve">months; </w:t>
      </w:r>
      <w:r w:rsidRPr="00033423">
        <w:rPr>
          <w:vertAlign w:val="superscript"/>
        </w:rPr>
        <w:t>+</w:t>
      </w:r>
      <w:r w:rsidRPr="0046175F">
        <w:t xml:space="preserve"> denotes a censored value). Colitis led to discontinuation of </w:t>
      </w:r>
      <w:proofErr w:type="spellStart"/>
      <w:r w:rsidRPr="0046175F">
        <w:t>Tecentriq</w:t>
      </w:r>
      <w:proofErr w:type="spellEnd"/>
      <w:r w:rsidRPr="0046175F">
        <w:t xml:space="preserve"> in 8 (0.3%) patients. Colitis requiring the use of corticosteroids occurred in 0.6% (19/3075) of patients receiving </w:t>
      </w:r>
      <w:proofErr w:type="spellStart"/>
      <w:r w:rsidRPr="0046175F">
        <w:t>Tecentriq</w:t>
      </w:r>
      <w:proofErr w:type="spellEnd"/>
      <w:r w:rsidRPr="0046175F">
        <w:t xml:space="preserve">. </w:t>
      </w:r>
      <w:r w:rsidR="00AB1122" w:rsidRPr="0046175F">
        <w:t xml:space="preserve"> </w:t>
      </w:r>
    </w:p>
    <w:p w14:paraId="47C603D4" w14:textId="77777777" w:rsidR="00822EEB" w:rsidRPr="0046175F" w:rsidRDefault="00822EEB" w:rsidP="00550342">
      <w:pPr>
        <w:pStyle w:val="Heading4"/>
      </w:pPr>
      <w:r w:rsidRPr="0046175F">
        <w:t xml:space="preserve">Immune-related </w:t>
      </w:r>
      <w:proofErr w:type="spellStart"/>
      <w:r w:rsidRPr="0046175F">
        <w:t>endocrinopathies</w:t>
      </w:r>
      <w:proofErr w:type="spellEnd"/>
    </w:p>
    <w:p w14:paraId="22FCAAA4" w14:textId="1555C06C" w:rsidR="009C3B13" w:rsidRPr="0046175F" w:rsidRDefault="009C3B13" w:rsidP="00B334C3">
      <w:pPr>
        <w:pStyle w:val="Heading5"/>
      </w:pPr>
      <w:r w:rsidRPr="0046175F">
        <w:t>Thyroid disorders</w:t>
      </w:r>
    </w:p>
    <w:p w14:paraId="3A531530" w14:textId="185D2970" w:rsidR="00FA30BF" w:rsidRDefault="00883280">
      <w:r w:rsidRPr="0046175F">
        <w:t xml:space="preserve">Hypothyroidism occurred in 4.8% (149/3075) of patients who received </w:t>
      </w:r>
      <w:proofErr w:type="spellStart"/>
      <w:r w:rsidRPr="0046175F">
        <w:t>Tecentriq</w:t>
      </w:r>
      <w:proofErr w:type="spellEnd"/>
      <w:r w:rsidRPr="0046175F">
        <w:t xml:space="preserve"> monotherapy. The median time to onset was 4.9 months (range 3 days to 31.3 months). Hyperthyroidism occurred in </w:t>
      </w:r>
      <w:r w:rsidRPr="0046175F">
        <w:lastRenderedPageBreak/>
        <w:t xml:space="preserve">0.9% (28/3075) of patients who received </w:t>
      </w:r>
      <w:proofErr w:type="spellStart"/>
      <w:r w:rsidRPr="0046175F">
        <w:t>Tecentriq</w:t>
      </w:r>
      <w:proofErr w:type="spellEnd"/>
      <w:r w:rsidRPr="0046175F">
        <w:t xml:space="preserve"> monotherapy. The median time to onset was 2.1 months (range 21 days to 15.7 months). </w:t>
      </w:r>
    </w:p>
    <w:p w14:paraId="490B771E" w14:textId="5DAE43D0" w:rsidR="006452D8" w:rsidRDefault="006452D8"/>
    <w:p w14:paraId="5E71B42D" w14:textId="77777777" w:rsidR="006452D8" w:rsidRPr="006452D8" w:rsidRDefault="006452D8" w:rsidP="006452D8">
      <w:r w:rsidRPr="006452D8">
        <w:t xml:space="preserve">Hyperthyroidism occurred in 4.9% (23/473) of patients who received </w:t>
      </w:r>
      <w:proofErr w:type="spellStart"/>
      <w:r w:rsidRPr="006452D8">
        <w:t>Tecentriq</w:t>
      </w:r>
      <w:proofErr w:type="spellEnd"/>
      <w:r w:rsidRPr="006452D8">
        <w:t xml:space="preserve"> in combination with carboplatin and nab-paclitaxel. Hyperthyroidism led to discontinuation in 1 (0.2%) patient.</w:t>
      </w:r>
    </w:p>
    <w:p w14:paraId="016C7701" w14:textId="77777777" w:rsidR="006452D8" w:rsidRPr="0046175F" w:rsidRDefault="006452D8"/>
    <w:p w14:paraId="0EEAB980" w14:textId="77777777" w:rsidR="009C3B13" w:rsidRPr="0046175F" w:rsidRDefault="009C3B13" w:rsidP="00B334C3">
      <w:pPr>
        <w:pStyle w:val="Heading5"/>
      </w:pPr>
      <w:r w:rsidRPr="0046175F">
        <w:t>Adrenal insufficiency</w:t>
      </w:r>
    </w:p>
    <w:p w14:paraId="75DD7469" w14:textId="436E5FC7" w:rsidR="00FA30BF" w:rsidRDefault="00883280">
      <w:r w:rsidRPr="0046175F">
        <w:t xml:space="preserve">Adrenal insufficiency occurred in 0.4% (12/3075) of patients who received </w:t>
      </w:r>
      <w:proofErr w:type="spellStart"/>
      <w:r w:rsidRPr="0046175F">
        <w:t>Tecentriq</w:t>
      </w:r>
      <w:proofErr w:type="spellEnd"/>
      <w:r w:rsidRPr="0046175F">
        <w:t xml:space="preserve"> monotherapy. The median time to onset was 5.5 months (range: 3 days to 19 months). The median duration was 16.8 months (range: 1 day to 16.8 months). Adrenal insufficiency requiring the use of corticosteroids occurred in 0.3% (10/3075) of patients receiving </w:t>
      </w:r>
      <w:proofErr w:type="spellStart"/>
      <w:r w:rsidRPr="0046175F">
        <w:t>Tecentriq</w:t>
      </w:r>
      <w:proofErr w:type="spellEnd"/>
      <w:r w:rsidRPr="0046175F">
        <w:t xml:space="preserve">. </w:t>
      </w:r>
    </w:p>
    <w:p w14:paraId="7C5D2BC2" w14:textId="01E7F3A4" w:rsidR="006452D8" w:rsidRDefault="006452D8"/>
    <w:p w14:paraId="0D80A8D5" w14:textId="77777777" w:rsidR="006452D8" w:rsidRPr="006452D8" w:rsidRDefault="006452D8" w:rsidP="006452D8">
      <w:r w:rsidRPr="006452D8">
        <w:t xml:space="preserve">Adrenal insufficiency occurred in 1.5% (7/473) of patients who received </w:t>
      </w:r>
      <w:proofErr w:type="spellStart"/>
      <w:r w:rsidRPr="006452D8">
        <w:t>Tecentriq</w:t>
      </w:r>
      <w:proofErr w:type="spellEnd"/>
      <w:r w:rsidRPr="006452D8">
        <w:t xml:space="preserve"> in combination with carboplatin and nab-paclitaxel. Adrenal insufficiency requiring the use of corticosteroids occurred in 0.8% (4/473) of patients receiving </w:t>
      </w:r>
      <w:proofErr w:type="spellStart"/>
      <w:r w:rsidRPr="006452D8">
        <w:t>Tecentriq</w:t>
      </w:r>
      <w:proofErr w:type="spellEnd"/>
      <w:r w:rsidRPr="006452D8">
        <w:t xml:space="preserve"> in combination with carboplatin and nab-paclitaxel.</w:t>
      </w:r>
    </w:p>
    <w:p w14:paraId="3A7A946C" w14:textId="77777777" w:rsidR="006452D8" w:rsidRPr="0046175F" w:rsidRDefault="006452D8"/>
    <w:p w14:paraId="3B90A3F0" w14:textId="77777777" w:rsidR="009C3B13" w:rsidRPr="0046175F" w:rsidRDefault="009C3B13" w:rsidP="00B334C3">
      <w:pPr>
        <w:pStyle w:val="Heading5"/>
      </w:pPr>
      <w:proofErr w:type="spellStart"/>
      <w:r w:rsidRPr="0046175F">
        <w:t>Hypophysitis</w:t>
      </w:r>
      <w:proofErr w:type="spellEnd"/>
    </w:p>
    <w:p w14:paraId="00130E95" w14:textId="03DFD3A4" w:rsidR="008A6503" w:rsidRPr="0046175F" w:rsidRDefault="00883280">
      <w:proofErr w:type="spellStart"/>
      <w:r w:rsidRPr="0046175F">
        <w:t>Hypophysitis</w:t>
      </w:r>
      <w:proofErr w:type="spellEnd"/>
      <w:r w:rsidRPr="0046175F">
        <w:t xml:space="preserve"> occurred in &lt;</w:t>
      </w:r>
      <w:r w:rsidR="00D96DDB" w:rsidRPr="0046175F">
        <w:t xml:space="preserve"> </w:t>
      </w:r>
      <w:r w:rsidRPr="0046175F">
        <w:t xml:space="preserve">0.1% (1/3075) of patients who received </w:t>
      </w:r>
      <w:proofErr w:type="spellStart"/>
      <w:r w:rsidRPr="0046175F">
        <w:t>Tecentriq</w:t>
      </w:r>
      <w:proofErr w:type="spellEnd"/>
      <w:r w:rsidRPr="0046175F">
        <w:t xml:space="preserve"> monotherapy. The time to onset for this patient was 13.7 months and the patient required </w:t>
      </w:r>
      <w:r w:rsidR="00033423">
        <w:t xml:space="preserve">the </w:t>
      </w:r>
      <w:r w:rsidRPr="0046175F">
        <w:t xml:space="preserve">use of corticosteroids. </w:t>
      </w:r>
      <w:proofErr w:type="spellStart"/>
      <w:r w:rsidR="008A6503" w:rsidRPr="008A6503">
        <w:t>Hypophysitis</w:t>
      </w:r>
      <w:proofErr w:type="spellEnd"/>
      <w:r w:rsidR="008A6503" w:rsidRPr="008A6503">
        <w:t xml:space="preserve"> occurred in 0.8% (3/393) of patients who received </w:t>
      </w:r>
      <w:proofErr w:type="spellStart"/>
      <w:r w:rsidR="008A6503" w:rsidRPr="008A6503">
        <w:t>Tecentriq</w:t>
      </w:r>
      <w:proofErr w:type="spellEnd"/>
      <w:r w:rsidR="008A6503" w:rsidRPr="008A6503">
        <w:t xml:space="preserve"> with bevacizumab, paclitaxel, and carboplatin. The median time to onset was 7.7 months (range: 5.0 to 8.8 months). All three patients required the use of corticosteroids.</w:t>
      </w:r>
    </w:p>
    <w:p w14:paraId="02F19FC0" w14:textId="77777777" w:rsidR="00C51C91" w:rsidRPr="0046175F" w:rsidRDefault="00C51C91" w:rsidP="00B334C3">
      <w:pPr>
        <w:pStyle w:val="Heading5"/>
      </w:pPr>
      <w:r w:rsidRPr="0046175F">
        <w:t xml:space="preserve">Diabetes mellitus </w:t>
      </w:r>
    </w:p>
    <w:p w14:paraId="3F20E4E2" w14:textId="24FCA699" w:rsidR="00FA30BF" w:rsidRPr="0046175F" w:rsidRDefault="00883280" w:rsidP="00B334C3">
      <w:r w:rsidRPr="0046175F">
        <w:t xml:space="preserve">Diabetes mellitus occurred in 0.3% (10/3075) of patients who received </w:t>
      </w:r>
      <w:proofErr w:type="spellStart"/>
      <w:r w:rsidRPr="0046175F">
        <w:t>Tecentriq</w:t>
      </w:r>
      <w:proofErr w:type="spellEnd"/>
      <w:r w:rsidRPr="0046175F">
        <w:t xml:space="preserve"> monotherapy. The median time to onset was 3.6 months (range 3 days to 9.9 months). Diabetes mellitus led to the discontinuation of </w:t>
      </w:r>
      <w:proofErr w:type="spellStart"/>
      <w:r w:rsidRPr="0046175F">
        <w:t>Tecentriq</w:t>
      </w:r>
      <w:proofErr w:type="spellEnd"/>
      <w:r w:rsidRPr="0046175F">
        <w:t xml:space="preserve"> in 3 (&lt;</w:t>
      </w:r>
      <w:r w:rsidR="00D96DDB" w:rsidRPr="0046175F">
        <w:t xml:space="preserve"> </w:t>
      </w:r>
      <w:r w:rsidRPr="0046175F">
        <w:t xml:space="preserve">0.1%) patients. </w:t>
      </w:r>
    </w:p>
    <w:p w14:paraId="6D2901DF" w14:textId="77777777" w:rsidR="00822EEB" w:rsidRPr="0046175F" w:rsidRDefault="00822EEB">
      <w:pPr>
        <w:pStyle w:val="Heading4"/>
      </w:pPr>
      <w:r w:rsidRPr="0046175F">
        <w:t>Immune-related meningoencephalitis</w:t>
      </w:r>
    </w:p>
    <w:p w14:paraId="5939B8C7" w14:textId="2074D4F8" w:rsidR="00822EEB" w:rsidRPr="0046175F" w:rsidRDefault="00883280">
      <w:r w:rsidRPr="0046175F">
        <w:t xml:space="preserve">Meningoencephalitis occurred in 0.4% (12/3075) of patients who received </w:t>
      </w:r>
      <w:proofErr w:type="spellStart"/>
      <w:r w:rsidRPr="0046175F">
        <w:t>Tecentriq</w:t>
      </w:r>
      <w:proofErr w:type="spellEnd"/>
      <w:r w:rsidRPr="0046175F">
        <w:t xml:space="preserve"> monotherapy. The median time to onset was 15 days (range 1 day to 12.5 months). The median duration was 26 days (range 6 days to 14.5+ months; + denotes a censored value). Meningoencephalitis requiring the use of corticosteroids occurred in 0.1% (4/3075) of patients receiving </w:t>
      </w:r>
      <w:proofErr w:type="spellStart"/>
      <w:r w:rsidRPr="0046175F">
        <w:t>Tecentriq</w:t>
      </w:r>
      <w:proofErr w:type="spellEnd"/>
      <w:r w:rsidRPr="0046175F">
        <w:t xml:space="preserve"> and all four patients discontinued </w:t>
      </w:r>
      <w:proofErr w:type="spellStart"/>
      <w:r w:rsidRPr="0046175F">
        <w:t>Tecentriq</w:t>
      </w:r>
      <w:proofErr w:type="spellEnd"/>
      <w:r w:rsidRPr="0046175F">
        <w:t xml:space="preserve">. </w:t>
      </w:r>
    </w:p>
    <w:p w14:paraId="1672925F" w14:textId="77777777" w:rsidR="00822EEB" w:rsidRPr="0046175F" w:rsidRDefault="00822EEB" w:rsidP="00550342">
      <w:pPr>
        <w:pStyle w:val="Heading4"/>
      </w:pPr>
      <w:r w:rsidRPr="0046175F">
        <w:t>Immune-related neuropathies</w:t>
      </w:r>
    </w:p>
    <w:p w14:paraId="3E2B6A91" w14:textId="154B5468" w:rsidR="00D65A49" w:rsidRDefault="00883280" w:rsidP="00364F3A">
      <w:r w:rsidRPr="0046175F">
        <w:t xml:space="preserve">Neuropathies, including </w:t>
      </w:r>
      <w:proofErr w:type="spellStart"/>
      <w:r w:rsidRPr="0046175F">
        <w:t>Guillain-Barré</w:t>
      </w:r>
      <w:proofErr w:type="spellEnd"/>
      <w:r w:rsidRPr="0046175F">
        <w:t xml:space="preserve"> syndrome and demyelinating polyneuropathy, occurred in 0.2% (5/3075) of patients who received </w:t>
      </w:r>
      <w:proofErr w:type="spellStart"/>
      <w:r w:rsidRPr="0046175F">
        <w:t>Tecentriq</w:t>
      </w:r>
      <w:proofErr w:type="spellEnd"/>
      <w:r w:rsidRPr="0046175F">
        <w:t xml:space="preserve"> monotherapy. The median time to onset was 7 months (range: 18 days to 8.1 months). The median duration was 8.0 months (18 days to 8.3+ months; + denotes a censored value). </w:t>
      </w:r>
      <w:proofErr w:type="spellStart"/>
      <w:r w:rsidRPr="0046175F">
        <w:t>Guillain-Barré</w:t>
      </w:r>
      <w:proofErr w:type="spellEnd"/>
      <w:r w:rsidRPr="0046175F">
        <w:t xml:space="preserve"> syndrome led to the discontinuation of </w:t>
      </w:r>
      <w:proofErr w:type="spellStart"/>
      <w:r w:rsidRPr="0046175F">
        <w:t>Tecentriq</w:t>
      </w:r>
      <w:proofErr w:type="spellEnd"/>
      <w:r w:rsidRPr="0046175F">
        <w:t xml:space="preserve"> in 1 (&lt;</w:t>
      </w:r>
      <w:r w:rsidR="00D96DDB" w:rsidRPr="0046175F">
        <w:t xml:space="preserve"> </w:t>
      </w:r>
      <w:r w:rsidRPr="0046175F">
        <w:t xml:space="preserve">0.1%) patient. </w:t>
      </w:r>
      <w:proofErr w:type="spellStart"/>
      <w:r w:rsidRPr="0046175F">
        <w:t>Guillain-Barré</w:t>
      </w:r>
      <w:proofErr w:type="spellEnd"/>
      <w:r w:rsidRPr="0046175F">
        <w:t xml:space="preserve"> syndrome requiring the use of corticosteroids occurred in &lt;</w:t>
      </w:r>
      <w:r w:rsidR="00D96DDB" w:rsidRPr="0046175F">
        <w:t xml:space="preserve"> </w:t>
      </w:r>
      <w:r w:rsidRPr="0046175F">
        <w:t xml:space="preserve">0.1% (2/3075) of patients receiving </w:t>
      </w:r>
      <w:proofErr w:type="spellStart"/>
      <w:r w:rsidRPr="0046175F">
        <w:t>Tecentriq</w:t>
      </w:r>
      <w:proofErr w:type="spellEnd"/>
      <w:r w:rsidRPr="0046175F">
        <w:t>.</w:t>
      </w:r>
    </w:p>
    <w:p w14:paraId="18EBFCCC" w14:textId="16E7300F" w:rsidR="00822EEB" w:rsidRPr="0046175F" w:rsidRDefault="00822EEB">
      <w:pPr>
        <w:pStyle w:val="Heading4"/>
      </w:pPr>
      <w:r w:rsidRPr="0046175F">
        <w:t>Immune-related pancreatitis</w:t>
      </w:r>
    </w:p>
    <w:p w14:paraId="30031524" w14:textId="5358F443" w:rsidR="00FA30BF" w:rsidRPr="0046175F" w:rsidRDefault="00883280" w:rsidP="00364F3A">
      <w:r w:rsidRPr="0046175F">
        <w:t xml:space="preserve">Pancreatitis, including amylase increased and lipase increased, occurred in 0.5% (16/3075) of patients who received </w:t>
      </w:r>
      <w:proofErr w:type="spellStart"/>
      <w:r w:rsidRPr="0046175F">
        <w:t>Tecentriq</w:t>
      </w:r>
      <w:proofErr w:type="spellEnd"/>
      <w:r w:rsidRPr="0046175F">
        <w:t xml:space="preserve"> monotherapy. The median time to onset was 5.5 months (range: 9 days to 16.9 months). The median duration was 28 days (range 3 days to 12.0+ months; + denotes a censored value). Pancreatitis requiring the use of corticosteroids occurred in &lt;</w:t>
      </w:r>
      <w:r w:rsidR="00D96DDB" w:rsidRPr="0046175F">
        <w:t xml:space="preserve"> </w:t>
      </w:r>
      <w:r w:rsidRPr="0046175F">
        <w:t xml:space="preserve">0.1% (3/3075) of patients receiving </w:t>
      </w:r>
      <w:proofErr w:type="spellStart"/>
      <w:r w:rsidRPr="0046175F">
        <w:t>Tecentriq</w:t>
      </w:r>
      <w:proofErr w:type="spellEnd"/>
      <w:r w:rsidRPr="0046175F">
        <w:t xml:space="preserve">. </w:t>
      </w:r>
    </w:p>
    <w:p w14:paraId="5DC900B1" w14:textId="77777777" w:rsidR="00C51C91" w:rsidRPr="0046175F" w:rsidRDefault="00C51C91" w:rsidP="00C51C91">
      <w:pPr>
        <w:keepNext/>
        <w:keepLines/>
        <w:spacing w:before="120" w:after="60"/>
        <w:jc w:val="left"/>
        <w:outlineLvl w:val="3"/>
        <w:rPr>
          <w:bCs/>
          <w:i/>
          <w:iCs/>
          <w:u w:val="single"/>
        </w:rPr>
      </w:pPr>
      <w:r w:rsidRPr="0046175F">
        <w:rPr>
          <w:bCs/>
          <w:i/>
          <w:iCs/>
          <w:u w:val="single"/>
        </w:rPr>
        <w:lastRenderedPageBreak/>
        <w:t xml:space="preserve">Immune-related myocarditis </w:t>
      </w:r>
    </w:p>
    <w:p w14:paraId="4227D3DB" w14:textId="7CFE91C5" w:rsidR="003A1414" w:rsidRPr="0046175F" w:rsidRDefault="00883280" w:rsidP="00730C59">
      <w:pPr>
        <w:keepNext/>
        <w:keepLines/>
        <w:spacing w:before="120" w:after="60"/>
        <w:jc w:val="left"/>
        <w:outlineLvl w:val="3"/>
        <w:rPr>
          <w:bCs/>
          <w:iCs/>
        </w:rPr>
      </w:pPr>
      <w:r w:rsidRPr="0046175F">
        <w:rPr>
          <w:bCs/>
          <w:iCs/>
        </w:rPr>
        <w:t xml:space="preserve">Myocarditis occurred in &lt; 0.1% (2/8000) of patients across all </w:t>
      </w:r>
      <w:proofErr w:type="spellStart"/>
      <w:r w:rsidRPr="0046175F">
        <w:rPr>
          <w:bCs/>
          <w:iCs/>
        </w:rPr>
        <w:t>Tecentriq</w:t>
      </w:r>
      <w:proofErr w:type="spellEnd"/>
      <w:r w:rsidRPr="0046175F">
        <w:rPr>
          <w:bCs/>
          <w:iCs/>
        </w:rPr>
        <w:t xml:space="preserve"> clinical trials in multiple tumour types and treatment combinations. The time to onset was 18 and 33 days. Both patients required corticosteroids and discontinued </w:t>
      </w:r>
      <w:proofErr w:type="spellStart"/>
      <w:r w:rsidRPr="0046175F">
        <w:rPr>
          <w:bCs/>
          <w:iCs/>
        </w:rPr>
        <w:t>Tecentriq</w:t>
      </w:r>
      <w:proofErr w:type="spellEnd"/>
      <w:r w:rsidRPr="0046175F">
        <w:rPr>
          <w:bCs/>
          <w:iCs/>
        </w:rPr>
        <w:t>.</w:t>
      </w:r>
    </w:p>
    <w:p w14:paraId="20C3679A" w14:textId="77777777" w:rsidR="003A1414" w:rsidRPr="00C702C8" w:rsidRDefault="003A1414" w:rsidP="00100867">
      <w:pPr>
        <w:pStyle w:val="Heading4"/>
      </w:pPr>
      <w:r w:rsidRPr="00C702C8">
        <w:t>Immune-related myositis</w:t>
      </w:r>
    </w:p>
    <w:p w14:paraId="56E47255" w14:textId="4D2B377D" w:rsidR="00883280" w:rsidRPr="0046175F" w:rsidRDefault="003A1414" w:rsidP="00100867">
      <w:r w:rsidRPr="0046175F">
        <w:t xml:space="preserve">Myositis occurred in 0.4% </w:t>
      </w:r>
      <w:r w:rsidR="005B4CCD" w:rsidRPr="0046175F">
        <w:t xml:space="preserve">(12/3075) </w:t>
      </w:r>
      <w:r w:rsidRPr="0046175F">
        <w:t xml:space="preserve">of patients who received </w:t>
      </w:r>
      <w:proofErr w:type="spellStart"/>
      <w:r w:rsidRPr="0046175F">
        <w:t>Tecentriq</w:t>
      </w:r>
      <w:proofErr w:type="spellEnd"/>
      <w:r w:rsidRPr="0046175F">
        <w:t xml:space="preserve"> monotherapy. The median time to onset was 5.4 months (range: 0.7 to 11.0 months). The median duration was 3.5 months (range 0.1 to 22.6+ months, + denotes a censored value). Myositis led to discontinuation of </w:t>
      </w:r>
      <w:proofErr w:type="spellStart"/>
      <w:r w:rsidRPr="0046175F">
        <w:t>Tecentriq</w:t>
      </w:r>
      <w:proofErr w:type="spellEnd"/>
      <w:r w:rsidRPr="0046175F">
        <w:t xml:space="preserve"> in 1 (&lt; 0.1%) patient. </w:t>
      </w:r>
      <w:r w:rsidR="00E423A9" w:rsidRPr="0046175F">
        <w:t>Seven (0.2%) patients required the use of corticosteroids.</w:t>
      </w:r>
    </w:p>
    <w:p w14:paraId="2AA697BD" w14:textId="47565AC1" w:rsidR="00730C59" w:rsidRPr="0046175F" w:rsidRDefault="00730C59" w:rsidP="00730C59">
      <w:pPr>
        <w:keepNext/>
        <w:keepLines/>
        <w:spacing w:before="120" w:after="60"/>
        <w:jc w:val="left"/>
        <w:outlineLvl w:val="3"/>
        <w:rPr>
          <w:bCs/>
          <w:i/>
          <w:iCs/>
          <w:u w:val="single"/>
        </w:rPr>
      </w:pPr>
      <w:r w:rsidRPr="0046175F">
        <w:rPr>
          <w:bCs/>
          <w:i/>
          <w:iCs/>
          <w:u w:val="single"/>
        </w:rPr>
        <w:t>Immune-related nephritis</w:t>
      </w:r>
    </w:p>
    <w:p w14:paraId="77DB79B8" w14:textId="7DF229C8" w:rsidR="00730C59" w:rsidRDefault="00730C59" w:rsidP="00CD75CF">
      <w:r w:rsidRPr="0046175F">
        <w:t xml:space="preserve">Nephritis occurred in &lt; 0.1% of patients who received </w:t>
      </w:r>
      <w:proofErr w:type="spellStart"/>
      <w:r w:rsidRPr="0046175F">
        <w:t>Tecentriq</w:t>
      </w:r>
      <w:proofErr w:type="spellEnd"/>
      <w:r w:rsidRPr="0046175F">
        <w:t xml:space="preserve"> monotherapy. The median time to onset was 13.1 months (range: 9.0 to 17.5 months). The median duration was 2.8 days (range 0.5 to 9.5</w:t>
      </w:r>
      <w:r w:rsidR="00716C3A" w:rsidRPr="0046175F">
        <w:t xml:space="preserve">+ </w:t>
      </w:r>
      <w:r w:rsidRPr="0046175F">
        <w:t>months</w:t>
      </w:r>
      <w:r w:rsidR="003A1414" w:rsidRPr="0046175F">
        <w:t>, + denotes a censored value</w:t>
      </w:r>
      <w:r w:rsidRPr="0046175F">
        <w:t xml:space="preserve">). Nephritis led to discontinuation of </w:t>
      </w:r>
      <w:proofErr w:type="spellStart"/>
      <w:r w:rsidRPr="0046175F">
        <w:t>Tecentriq</w:t>
      </w:r>
      <w:proofErr w:type="spellEnd"/>
      <w:r w:rsidRPr="0046175F">
        <w:t xml:space="preserve"> in &lt; 0.1% of patients. One patient required the use of corticosteroids. (Note: These reported frequencies are based on </w:t>
      </w:r>
      <w:r w:rsidR="00A235AE" w:rsidRPr="0046175F">
        <w:t>a larger pooled dataset</w:t>
      </w:r>
      <w:r w:rsidRPr="0046175F">
        <w:t>).</w:t>
      </w:r>
      <w:r w:rsidR="00A235AE" w:rsidRPr="0046175F">
        <w:t xml:space="preserve"> </w:t>
      </w:r>
    </w:p>
    <w:p w14:paraId="04C995FB" w14:textId="77777777" w:rsidR="00954F9C" w:rsidRPr="0046175F" w:rsidRDefault="00954F9C" w:rsidP="00364F3A">
      <w:pPr>
        <w:pStyle w:val="Heading3"/>
        <w:rPr>
          <w:lang w:val="en-US"/>
        </w:rPr>
      </w:pPr>
      <w:r w:rsidRPr="0046175F">
        <w:rPr>
          <w:lang w:val="en-US"/>
        </w:rPr>
        <w:t xml:space="preserve">Immunogenicity </w:t>
      </w:r>
    </w:p>
    <w:p w14:paraId="448B6DFD" w14:textId="77777777" w:rsidR="00954F9C" w:rsidRPr="0046175F" w:rsidRDefault="00954F9C" w:rsidP="00954F9C">
      <w:pPr>
        <w:rPr>
          <w:lang w:val="en-US"/>
        </w:rPr>
      </w:pPr>
      <w:r w:rsidRPr="0046175F">
        <w:rPr>
          <w:lang w:val="en-US"/>
        </w:rPr>
        <w:t xml:space="preserve">As with all therapeutic proteins, there is a potential for immunogenicity. The detection of antibody formation is highly dependent on the sensitivity and specificity of the assay. Additionally, the observed incidence of antibody (including </w:t>
      </w:r>
      <w:proofErr w:type="spellStart"/>
      <w:r w:rsidRPr="0046175F">
        <w:rPr>
          <w:lang w:val="en-US"/>
        </w:rPr>
        <w:t>neutralising</w:t>
      </w:r>
      <w:proofErr w:type="spellEnd"/>
      <w:r w:rsidRPr="0046175F">
        <w:rPr>
          <w:lang w:val="en-US"/>
        </w:rPr>
        <w:t xml:space="preserve"> antibody) positivity in an assay may be influenced by several factors including assay methodology, sample handling, timing of sample collection, concomitant medications, and underlying disease. For these reasons, comparison of the incidence of antibodies to </w:t>
      </w:r>
      <w:proofErr w:type="spellStart"/>
      <w:r w:rsidRPr="0046175F">
        <w:rPr>
          <w:lang w:val="en-US"/>
        </w:rPr>
        <w:t>atezolizumab</w:t>
      </w:r>
      <w:proofErr w:type="spellEnd"/>
      <w:r w:rsidRPr="0046175F">
        <w:rPr>
          <w:lang w:val="en-US"/>
        </w:rPr>
        <w:t xml:space="preserve"> in the studies described </w:t>
      </w:r>
      <w:r>
        <w:rPr>
          <w:lang w:val="en-US"/>
        </w:rPr>
        <w:t>below</w:t>
      </w:r>
      <w:r w:rsidRPr="0046175F">
        <w:rPr>
          <w:lang w:val="en-US"/>
        </w:rPr>
        <w:t xml:space="preserve"> with the incidence of antibodies in other studies or to other products may be misleading. </w:t>
      </w:r>
    </w:p>
    <w:p w14:paraId="0E8F30DC" w14:textId="28F35ED9" w:rsidR="00954F9C" w:rsidRDefault="00954F9C" w:rsidP="00364F3A">
      <w:pPr>
        <w:pStyle w:val="Heading4"/>
        <w:rPr>
          <w:lang w:val="en-US"/>
        </w:rPr>
      </w:pPr>
      <w:r w:rsidRPr="00954F9C">
        <w:rPr>
          <w:lang w:val="en-US"/>
        </w:rPr>
        <w:t>GO29436 (IMpower150)</w:t>
      </w:r>
    </w:p>
    <w:p w14:paraId="67B29BC5" w14:textId="47E55802" w:rsidR="00954F9C" w:rsidRDefault="00954F9C" w:rsidP="00954F9C">
      <w:pPr>
        <w:ind w:right="107"/>
      </w:pPr>
      <w:r>
        <w:t xml:space="preserve">Among 364 ADA-evaluable patients with NSCLC who received </w:t>
      </w:r>
      <w:proofErr w:type="spellStart"/>
      <w:r>
        <w:t>Tecentriq</w:t>
      </w:r>
      <w:proofErr w:type="spellEnd"/>
      <w:r>
        <w:t xml:space="preserve"> with bevacizumab, paclitaxel and carboplatin in IMpower150, 36% (n = 132) tested positive for treatment-emergent ADA at one or more post-dose time points and 83% of these 132 patients tested ADA positive prior to receiving the second dose of </w:t>
      </w:r>
      <w:proofErr w:type="spellStart"/>
      <w:r>
        <w:t>Tecentriq</w:t>
      </w:r>
      <w:proofErr w:type="spellEnd"/>
      <w:r>
        <w:t xml:space="preserve">. The ability of these binding ADA to neutralise </w:t>
      </w:r>
      <w:proofErr w:type="spellStart"/>
      <w:r>
        <w:t>atezolizumab</w:t>
      </w:r>
      <w:proofErr w:type="spellEnd"/>
      <w:r>
        <w:t xml:space="preserve"> is unknown. Patients who tested positive for treatment-emergent ADA had lower systemic </w:t>
      </w:r>
      <w:proofErr w:type="spellStart"/>
      <w:r>
        <w:t>atezolizumab</w:t>
      </w:r>
      <w:proofErr w:type="spellEnd"/>
      <w:r>
        <w:t xml:space="preserve"> exposure as compared to patients who were ADA negative. The presence of ADA did not increase the incidence or severity of adverse reactions.</w:t>
      </w:r>
    </w:p>
    <w:p w14:paraId="08377C0D" w14:textId="77777777" w:rsidR="00954F9C" w:rsidRPr="00C702C8" w:rsidRDefault="00954F9C" w:rsidP="00364F3A">
      <w:pPr>
        <w:pStyle w:val="Heading4"/>
        <w:rPr>
          <w:lang w:val="en-US"/>
        </w:rPr>
      </w:pPr>
      <w:r w:rsidRPr="00C702C8">
        <w:rPr>
          <w:lang w:val="en-US"/>
        </w:rPr>
        <w:t>GO28915 (OAK)</w:t>
      </w:r>
    </w:p>
    <w:p w14:paraId="539EAA2E" w14:textId="67ED42EA" w:rsidR="00954F9C" w:rsidRPr="0046175F" w:rsidRDefault="00954F9C" w:rsidP="00954F9C">
      <w:pPr>
        <w:rPr>
          <w:lang w:val="en-US"/>
        </w:rPr>
      </w:pPr>
      <w:r w:rsidRPr="0046175F">
        <w:rPr>
          <w:lang w:val="en-US"/>
        </w:rPr>
        <w:t xml:space="preserve">Among 565 patients with NSCLC in OAK, 30% tested positive for treatment-emergent anti-drug antibodies (ADA) at one or more post-dose time points. The median onset time to ADA formation was 3 weeks. The ability of these binding ADA to </w:t>
      </w:r>
      <w:proofErr w:type="spellStart"/>
      <w:r w:rsidRPr="0046175F">
        <w:rPr>
          <w:lang w:val="en-US"/>
        </w:rPr>
        <w:t>neutralise</w:t>
      </w:r>
      <w:proofErr w:type="spellEnd"/>
      <w:r w:rsidRPr="0046175F">
        <w:rPr>
          <w:lang w:val="en-US"/>
        </w:rPr>
        <w:t xml:space="preserve"> </w:t>
      </w:r>
      <w:proofErr w:type="spellStart"/>
      <w:r w:rsidRPr="0046175F">
        <w:rPr>
          <w:lang w:val="en-US"/>
        </w:rPr>
        <w:t>atezolizumab</w:t>
      </w:r>
      <w:proofErr w:type="spellEnd"/>
      <w:r w:rsidRPr="0046175F">
        <w:rPr>
          <w:lang w:val="en-US"/>
        </w:rPr>
        <w:t xml:space="preserve"> is unknown. Patients who tested positive for treatment-emergent ADA also had decreased systemic </w:t>
      </w:r>
      <w:proofErr w:type="spellStart"/>
      <w:r w:rsidRPr="0046175F">
        <w:rPr>
          <w:lang w:val="en-US"/>
        </w:rPr>
        <w:t>atezolizumab</w:t>
      </w:r>
      <w:proofErr w:type="spellEnd"/>
      <w:r w:rsidRPr="0046175F">
        <w:rPr>
          <w:lang w:val="en-US"/>
        </w:rPr>
        <w:t xml:space="preserve"> </w:t>
      </w:r>
      <w:r w:rsidR="008B0ADF">
        <w:t>exposure</w:t>
      </w:r>
      <w:r w:rsidRPr="0046175F">
        <w:rPr>
          <w:lang w:val="en-US"/>
        </w:rPr>
        <w:t xml:space="preserve">. </w:t>
      </w:r>
      <w:r w:rsidR="00712634" w:rsidRPr="00EF0818">
        <w:t>Exploratory analyses showed that the subset of patients who were ADA positive by week 4 (21%; 118/560) appeared to have less efficacy (effect on overall survival) as compared to patients who tested negative for treatment-emergent ADA by week 4</w:t>
      </w:r>
      <w:r w:rsidR="00712634">
        <w:rPr>
          <w:lang w:val="en-US"/>
        </w:rPr>
        <w:t xml:space="preserve">. </w:t>
      </w:r>
      <w:r w:rsidRPr="0046175F">
        <w:rPr>
          <w:lang w:val="en-US"/>
        </w:rPr>
        <w:t>The presence of ADA did not have a clinically significant effect on the incidence or severity of adverse reactions.</w:t>
      </w:r>
    </w:p>
    <w:p w14:paraId="213C4ADB" w14:textId="77777777" w:rsidR="00954F9C" w:rsidRPr="00C702C8" w:rsidRDefault="00954F9C" w:rsidP="00364F3A">
      <w:pPr>
        <w:pStyle w:val="Heading4"/>
        <w:rPr>
          <w:lang w:val="en-US"/>
        </w:rPr>
      </w:pPr>
      <w:r w:rsidRPr="00C702C8">
        <w:rPr>
          <w:lang w:val="en-US"/>
        </w:rPr>
        <w:t>GO29293 (IMvigor210)</w:t>
      </w:r>
    </w:p>
    <w:p w14:paraId="2110823C" w14:textId="5E13C38C" w:rsidR="00954F9C" w:rsidRDefault="004D6935" w:rsidP="00954F9C">
      <w:pPr>
        <w:rPr>
          <w:lang w:val="en-US"/>
        </w:rPr>
      </w:pPr>
      <w:r w:rsidRPr="004D6935">
        <w:rPr>
          <w:lang w:val="en-US"/>
        </w:rPr>
        <w:t>Among 275 patients with urothelial carcinoma in IMvigor210 (Cohort 2), 42% tested positive for treatment-emergent ADA at one or more post-dose time points.</w:t>
      </w:r>
      <w:r>
        <w:rPr>
          <w:lang w:val="en-US"/>
        </w:rPr>
        <w:t xml:space="preserve"> </w:t>
      </w:r>
      <w:r w:rsidR="00954F9C" w:rsidRPr="0046175F">
        <w:rPr>
          <w:lang w:val="en-US"/>
        </w:rPr>
        <w:t xml:space="preserve">Among 111 patients in IMvigor210 (Cohort 1), 48% tested positive for treatment-emergent ADA at one or more post dose time points. Patients who tested positive for treatment-emergent ADA also had decreased systemic </w:t>
      </w:r>
      <w:proofErr w:type="spellStart"/>
      <w:r w:rsidR="00954F9C" w:rsidRPr="0046175F">
        <w:rPr>
          <w:lang w:val="en-US"/>
        </w:rPr>
        <w:t>atezolizumab</w:t>
      </w:r>
      <w:proofErr w:type="spellEnd"/>
      <w:r w:rsidR="00954F9C" w:rsidRPr="0046175F">
        <w:rPr>
          <w:lang w:val="en-US"/>
        </w:rPr>
        <w:t xml:space="preserve"> </w:t>
      </w:r>
      <w:r w:rsidR="00954F9C" w:rsidRPr="0046175F">
        <w:rPr>
          <w:lang w:val="en-US"/>
        </w:rPr>
        <w:lastRenderedPageBreak/>
        <w:t>exposures. The presence of ADA did not have a clinically significant effect on the incidence or severity of adverse reactions.</w:t>
      </w:r>
    </w:p>
    <w:p w14:paraId="3741B9DC" w14:textId="07001239" w:rsidR="00712634" w:rsidRDefault="00712634" w:rsidP="00954F9C">
      <w:pPr>
        <w:rPr>
          <w:lang w:val="en-US"/>
        </w:rPr>
      </w:pPr>
    </w:p>
    <w:p w14:paraId="4130C888" w14:textId="42A3940F" w:rsidR="00712634" w:rsidRPr="00EF0818" w:rsidRDefault="00712634" w:rsidP="00712634">
      <w:pPr>
        <w:pStyle w:val="BodyText"/>
        <w:spacing w:before="3"/>
        <w:rPr>
          <w:i/>
          <w:szCs w:val="24"/>
          <w:u w:val="single"/>
        </w:rPr>
      </w:pPr>
      <w:r w:rsidRPr="00EF0818">
        <w:rPr>
          <w:i/>
          <w:szCs w:val="24"/>
          <w:u w:val="single"/>
        </w:rPr>
        <w:t>WO29522</w:t>
      </w:r>
      <w:r w:rsidRPr="00EF0818">
        <w:rPr>
          <w:szCs w:val="24"/>
          <w:u w:val="single"/>
        </w:rPr>
        <w:t xml:space="preserve"> </w:t>
      </w:r>
      <w:r w:rsidR="008B0ADF" w:rsidRPr="008B0ADF">
        <w:rPr>
          <w:i/>
          <w:szCs w:val="24"/>
          <w:u w:val="single"/>
        </w:rPr>
        <w:t>IM</w:t>
      </w:r>
      <w:r w:rsidRPr="00EF0818">
        <w:rPr>
          <w:i/>
          <w:szCs w:val="24"/>
          <w:u w:val="single"/>
        </w:rPr>
        <w:t>passion130</w:t>
      </w:r>
    </w:p>
    <w:p w14:paraId="0789E45F" w14:textId="77777777" w:rsidR="00712634" w:rsidRPr="006C2645" w:rsidRDefault="00712634" w:rsidP="00712634">
      <w:pPr>
        <w:pStyle w:val="BodyText"/>
        <w:spacing w:before="3"/>
        <w:rPr>
          <w:sz w:val="21"/>
        </w:rPr>
      </w:pPr>
      <w:r w:rsidRPr="00EF0818">
        <w:rPr>
          <w:szCs w:val="24"/>
        </w:rPr>
        <w:t xml:space="preserve">Among 434 patients with TNBC in IMpassion130, 13% tested positive for treatment-emergent ADA at one or more post-dose time points. Among 178 patients in PD-L1 positive subgroup with TNBC in IMpassion130, 12% tested positive for treatment-emergent ADA at one or more post-dose time points. Patients who tested positive for treatment-emergent ADA had decreased systemic </w:t>
      </w:r>
      <w:proofErr w:type="spellStart"/>
      <w:r w:rsidRPr="00EF0818">
        <w:rPr>
          <w:szCs w:val="24"/>
        </w:rPr>
        <w:t>atezolizumab</w:t>
      </w:r>
      <w:proofErr w:type="spellEnd"/>
      <w:r w:rsidRPr="00EF0818">
        <w:rPr>
          <w:szCs w:val="24"/>
        </w:rPr>
        <w:t xml:space="preserve"> exposure. There are insufficient numbers of patients in the PD-L1 positive subgroup with ADA to determine whether ADA alters the efficacy of </w:t>
      </w:r>
      <w:proofErr w:type="spellStart"/>
      <w:r w:rsidRPr="00EF0818">
        <w:rPr>
          <w:szCs w:val="24"/>
        </w:rPr>
        <w:t>atezolizumab</w:t>
      </w:r>
      <w:proofErr w:type="spellEnd"/>
      <w:r w:rsidRPr="00EF0818">
        <w:rPr>
          <w:szCs w:val="24"/>
        </w:rPr>
        <w:t>. The presence of ADA did not have a clinically significant effect on the incidence or severity of adverse reactions</w:t>
      </w:r>
      <w:r w:rsidRPr="006C2645">
        <w:rPr>
          <w:sz w:val="21"/>
        </w:rPr>
        <w:t>.</w:t>
      </w:r>
    </w:p>
    <w:p w14:paraId="28C7BA06" w14:textId="77777777" w:rsidR="00712634" w:rsidRPr="00712634" w:rsidRDefault="00712634" w:rsidP="00954F9C"/>
    <w:p w14:paraId="379BB491" w14:textId="0334E5AB" w:rsidR="00822EEB" w:rsidRPr="0046175F" w:rsidRDefault="00822EEB" w:rsidP="00550342">
      <w:pPr>
        <w:pStyle w:val="Heading3"/>
      </w:pPr>
      <w:r w:rsidRPr="0046175F">
        <w:t xml:space="preserve">Laboratory </w:t>
      </w:r>
      <w:r w:rsidR="0078002B" w:rsidRPr="0046175F">
        <w:t>a</w:t>
      </w:r>
      <w:r w:rsidRPr="0046175F">
        <w:t>bnormalities</w:t>
      </w:r>
    </w:p>
    <w:p w14:paraId="2EF6C88E" w14:textId="1B333D4F" w:rsidR="002C7D36" w:rsidRPr="0046175F" w:rsidRDefault="00822EEB" w:rsidP="002C7D36">
      <w:pPr>
        <w:rPr>
          <w:b/>
          <w:bCs/>
          <w:i/>
        </w:rPr>
      </w:pPr>
      <w:r w:rsidRPr="0046175F">
        <w:t>All identified laboratory abnormalities were reported as ADRs.</w:t>
      </w:r>
      <w:r w:rsidR="002C7D36" w:rsidRPr="0046175F">
        <w:t xml:space="preserve"> See section</w:t>
      </w:r>
      <w:r w:rsidR="00033423">
        <w:t>s</w:t>
      </w:r>
      <w:r w:rsidR="002C7D36" w:rsidRPr="0046175F">
        <w:t xml:space="preserve"> </w:t>
      </w:r>
      <w:r w:rsidR="002C7D36" w:rsidRPr="0046175F">
        <w:rPr>
          <w:i/>
        </w:rPr>
        <w:t>Immune-related hepatitis</w:t>
      </w:r>
      <w:r w:rsidR="002C7D36" w:rsidRPr="0046175F">
        <w:t xml:space="preserve"> and </w:t>
      </w:r>
      <w:r w:rsidR="002C7D36" w:rsidRPr="0046175F">
        <w:rPr>
          <w:i/>
        </w:rPr>
        <w:t xml:space="preserve">Immune-related </w:t>
      </w:r>
      <w:proofErr w:type="spellStart"/>
      <w:r w:rsidR="002C7D36" w:rsidRPr="0046175F">
        <w:rPr>
          <w:i/>
        </w:rPr>
        <w:t>endocrinopathies</w:t>
      </w:r>
      <w:proofErr w:type="spellEnd"/>
      <w:r w:rsidR="002C7D36" w:rsidRPr="0046175F">
        <w:t xml:space="preserve"> for management of the following:</w:t>
      </w:r>
    </w:p>
    <w:p w14:paraId="4C78AAA1" w14:textId="77777777" w:rsidR="002C7D36" w:rsidRPr="0046175F" w:rsidRDefault="002C7D36" w:rsidP="002C7D36">
      <w:pPr>
        <w:pStyle w:val="ListParagraph"/>
        <w:numPr>
          <w:ilvl w:val="0"/>
          <w:numId w:val="32"/>
        </w:numPr>
        <w:rPr>
          <w:b/>
          <w:bCs/>
          <w:i/>
        </w:rPr>
      </w:pPr>
      <w:r w:rsidRPr="0046175F">
        <w:t>AST, ALT, bilirubin</w:t>
      </w:r>
    </w:p>
    <w:p w14:paraId="6B6AE8B4" w14:textId="0A58B406" w:rsidR="00822EEB" w:rsidRDefault="002C7D36" w:rsidP="002C2FD1">
      <w:pPr>
        <w:pStyle w:val="ListParagraph"/>
        <w:numPr>
          <w:ilvl w:val="0"/>
          <w:numId w:val="32"/>
        </w:numPr>
      </w:pPr>
      <w:r w:rsidRPr="0046175F">
        <w:t>thyroid function.</w:t>
      </w:r>
    </w:p>
    <w:p w14:paraId="15024937" w14:textId="77777777" w:rsidR="00033423" w:rsidRPr="00B54507" w:rsidRDefault="00033423" w:rsidP="00033423">
      <w:pPr>
        <w:pStyle w:val="Heading3"/>
        <w:rPr>
          <w:lang w:val="en-GB"/>
        </w:rPr>
      </w:pPr>
      <w:proofErr w:type="spellStart"/>
      <w:r w:rsidRPr="00B54507">
        <w:rPr>
          <w:lang w:val="en-GB"/>
        </w:rPr>
        <w:t>Postmarketing</w:t>
      </w:r>
      <w:proofErr w:type="spellEnd"/>
      <w:r w:rsidRPr="00B54507">
        <w:rPr>
          <w:lang w:val="en-GB"/>
        </w:rPr>
        <w:t xml:space="preserve"> experience</w:t>
      </w:r>
    </w:p>
    <w:p w14:paraId="07FEFD6F" w14:textId="13BF8C7D" w:rsidR="00033423" w:rsidRPr="0046175F" w:rsidRDefault="00033423" w:rsidP="00033423">
      <w:r w:rsidRPr="00261441">
        <w:rPr>
          <w:lang w:val="en-GB"/>
        </w:rPr>
        <w:t xml:space="preserve">No new adverse drug reactions have been identified from </w:t>
      </w:r>
      <w:proofErr w:type="spellStart"/>
      <w:r w:rsidRPr="00261441">
        <w:rPr>
          <w:lang w:val="en-GB"/>
        </w:rPr>
        <w:t>postmarketing</w:t>
      </w:r>
      <w:proofErr w:type="spellEnd"/>
      <w:r w:rsidRPr="00261441">
        <w:rPr>
          <w:lang w:val="en-GB"/>
        </w:rPr>
        <w:t xml:space="preserve"> experience.</w:t>
      </w:r>
    </w:p>
    <w:p w14:paraId="13AE679B" w14:textId="47DFA420" w:rsidR="00822EEB" w:rsidRPr="0046175F" w:rsidRDefault="00822EEB" w:rsidP="00550342">
      <w:pPr>
        <w:pStyle w:val="Heading3"/>
        <w:rPr>
          <w:lang w:val="en-GB"/>
        </w:rPr>
      </w:pPr>
      <w:r w:rsidRPr="0046175F">
        <w:rPr>
          <w:lang w:val="en-GB"/>
        </w:rPr>
        <w:t>Reporting of suspected adverse reactions</w:t>
      </w:r>
    </w:p>
    <w:p w14:paraId="440CC0B4" w14:textId="287BC717" w:rsidR="00822EEB" w:rsidRPr="0046175F" w:rsidRDefault="00822EEB" w:rsidP="00CD75CF">
      <w:pPr>
        <w:rPr>
          <w:color w:val="000000"/>
          <w:lang w:val="en-GB"/>
        </w:rPr>
      </w:pPr>
      <w:r w:rsidRPr="0046175F">
        <w:rPr>
          <w:color w:val="000000"/>
          <w:lang w:val="en-GB"/>
        </w:rPr>
        <w:t xml:space="preserve">Reporting suspected adverse reactions after registration of the medicinal product is important. It allows continued monitoring of the benefit-risk balance of the medicinal product. Healthcare professionals are asked to report any suspected adverse reactions at </w:t>
      </w:r>
      <w:hyperlink r:id="rId13" w:history="1">
        <w:r w:rsidR="00A5387F" w:rsidRPr="0046175F">
          <w:rPr>
            <w:rStyle w:val="Hyperlink"/>
            <w:lang w:val="en-GB"/>
          </w:rPr>
          <w:t>www.tga.gov.au/reporting-problems</w:t>
        </w:r>
      </w:hyperlink>
      <w:r w:rsidRPr="0046175F">
        <w:rPr>
          <w:color w:val="000000"/>
          <w:lang w:val="en-GB"/>
        </w:rPr>
        <w:t>.</w:t>
      </w:r>
    </w:p>
    <w:p w14:paraId="50C3C536" w14:textId="52C42587" w:rsidR="008F6CF6" w:rsidRPr="0046175F" w:rsidRDefault="008F6CF6" w:rsidP="00550342">
      <w:pPr>
        <w:pStyle w:val="Heading2"/>
        <w:rPr>
          <w:lang w:val="en-GB"/>
        </w:rPr>
      </w:pPr>
      <w:r w:rsidRPr="0046175F">
        <w:rPr>
          <w:lang w:val="en-GB"/>
        </w:rPr>
        <w:t>4.9</w:t>
      </w:r>
      <w:r w:rsidRPr="0046175F">
        <w:rPr>
          <w:lang w:val="en-GB"/>
        </w:rPr>
        <w:tab/>
      </w:r>
      <w:r w:rsidR="00994D67" w:rsidRPr="0046175F">
        <w:rPr>
          <w:lang w:val="en-GB"/>
        </w:rPr>
        <w:t>Overdose</w:t>
      </w:r>
    </w:p>
    <w:p w14:paraId="078C6139" w14:textId="77777777" w:rsidR="00822EEB" w:rsidRPr="0046175F" w:rsidRDefault="00822EEB" w:rsidP="00CD75CF">
      <w:r w:rsidRPr="0046175F">
        <w:t xml:space="preserve">There is no information on overdose with </w:t>
      </w:r>
      <w:proofErr w:type="spellStart"/>
      <w:r w:rsidRPr="0046175F">
        <w:t>Tecentriq</w:t>
      </w:r>
      <w:proofErr w:type="spellEnd"/>
      <w:r w:rsidRPr="0046175F">
        <w:t>.</w:t>
      </w:r>
    </w:p>
    <w:p w14:paraId="2F7A7D22" w14:textId="77777777" w:rsidR="00822EEB" w:rsidRPr="0046175F" w:rsidRDefault="00822EEB" w:rsidP="00CD75CF"/>
    <w:p w14:paraId="20E32DE7" w14:textId="2E3D22B2" w:rsidR="00550342" w:rsidRPr="0046175F" w:rsidRDefault="00550342" w:rsidP="00CD75CF">
      <w:r w:rsidRPr="0046175F">
        <w:t>For information on the management of overdose, contact the Poison Information Centre on 131126 (Australia).</w:t>
      </w:r>
    </w:p>
    <w:p w14:paraId="01718CE0" w14:textId="77777777" w:rsidR="008F6CF6" w:rsidRPr="0046175F" w:rsidRDefault="008F6CF6" w:rsidP="00550342">
      <w:pPr>
        <w:pStyle w:val="Heading1"/>
      </w:pPr>
      <w:r w:rsidRPr="0046175F">
        <w:t>5</w:t>
      </w:r>
      <w:r w:rsidRPr="0046175F">
        <w:tab/>
        <w:t>PHARMACOLOGICAL PROPERTIES</w:t>
      </w:r>
    </w:p>
    <w:p w14:paraId="7C362232" w14:textId="1C698F33" w:rsidR="008F6CF6" w:rsidRPr="0046175F" w:rsidRDefault="008B0DB6" w:rsidP="00550342">
      <w:pPr>
        <w:pStyle w:val="Heading2"/>
        <w:rPr>
          <w:lang w:val="en-GB"/>
        </w:rPr>
      </w:pPr>
      <w:r w:rsidRPr="0046175F">
        <w:rPr>
          <w:lang w:val="en-GB"/>
        </w:rPr>
        <w:t>5.1</w:t>
      </w:r>
      <w:r w:rsidRPr="0046175F">
        <w:rPr>
          <w:lang w:val="en-GB"/>
        </w:rPr>
        <w:tab/>
        <w:t xml:space="preserve">Pharmacodynamic properties </w:t>
      </w:r>
    </w:p>
    <w:p w14:paraId="43CADA8A" w14:textId="77777777" w:rsidR="008F6CF6" w:rsidRPr="0046175F" w:rsidRDefault="008F6CF6" w:rsidP="00550342">
      <w:pPr>
        <w:pStyle w:val="Heading3"/>
        <w:rPr>
          <w:lang w:val="en-GB"/>
        </w:rPr>
      </w:pPr>
      <w:r w:rsidRPr="0046175F">
        <w:rPr>
          <w:lang w:val="en-GB"/>
        </w:rPr>
        <w:t>Mechanism of action</w:t>
      </w:r>
    </w:p>
    <w:p w14:paraId="59C2572E" w14:textId="77777777" w:rsidR="00822EEB" w:rsidRPr="0046175F" w:rsidRDefault="00822EEB" w:rsidP="00CD75CF">
      <w:r w:rsidRPr="0046175F">
        <w:t xml:space="preserve">Binding of PD-L1 to the PD-1 and B7.1 receptors found on T cells suppresses cytotoxic T-cell activity through the inhibition of T-cell proliferation and cytokine production.  PD-L1 may be expressed on tumour cells and tumour-infiltrating immune cells, and can contribute to the inhibition of the anti-tumour immune response in the microenvironment.  </w:t>
      </w:r>
    </w:p>
    <w:p w14:paraId="0F975BA7" w14:textId="77777777" w:rsidR="00822EEB" w:rsidRPr="0046175F" w:rsidRDefault="00822EEB" w:rsidP="00CD75CF"/>
    <w:p w14:paraId="3CA3C446" w14:textId="77777777" w:rsidR="00822EEB" w:rsidRPr="0046175F" w:rsidRDefault="00822EEB" w:rsidP="00CD75CF">
      <w:proofErr w:type="spellStart"/>
      <w:r w:rsidRPr="0046175F">
        <w:t>Atezolizumab</w:t>
      </w:r>
      <w:proofErr w:type="spellEnd"/>
      <w:r w:rsidRPr="0046175F">
        <w:t xml:space="preserve"> is an Fc-engineered humanised immunoglobulin G1 (IgG1) monoclonal antibody that directly binds to PD-L1 and blocks interactions with the PD-1 and B7.1 receptors, releasing PD-L1/PD-1 pathway-mediated inhibition of the immune response, including reactivating the anti-tumour immune response. </w:t>
      </w:r>
      <w:proofErr w:type="spellStart"/>
      <w:r w:rsidRPr="0046175F">
        <w:t>Atezolizumab</w:t>
      </w:r>
      <w:proofErr w:type="spellEnd"/>
      <w:r w:rsidRPr="0046175F">
        <w:t xml:space="preserve"> leaves the PD-L2/PD-1 interaction intact, allowing PD-</w:t>
      </w:r>
      <w:r w:rsidRPr="0046175F">
        <w:lastRenderedPageBreak/>
        <w:t>L2/PD-1 mediated inhibitory signals to persist. In syngeneic mouse tumour models, blocking PD-L1 activity resulted in decreased tumour growth.</w:t>
      </w:r>
    </w:p>
    <w:p w14:paraId="582EC79C" w14:textId="77777777" w:rsidR="008F6CF6" w:rsidRPr="0046175F" w:rsidRDefault="008F6CF6" w:rsidP="00550342">
      <w:pPr>
        <w:pStyle w:val="Heading3"/>
        <w:rPr>
          <w:lang w:val="en-GB"/>
        </w:rPr>
      </w:pPr>
      <w:r w:rsidRPr="0046175F">
        <w:rPr>
          <w:lang w:val="en-GB"/>
        </w:rPr>
        <w:t>Clinical trials</w:t>
      </w:r>
    </w:p>
    <w:p w14:paraId="59C9554E" w14:textId="3352E011" w:rsidR="00741E3A" w:rsidRPr="0046175F" w:rsidRDefault="00741E3A" w:rsidP="004114B4">
      <w:pPr>
        <w:pStyle w:val="Heading4"/>
        <w:rPr>
          <w:lang w:val="en-US"/>
        </w:rPr>
      </w:pPr>
      <w:r w:rsidRPr="0046175F">
        <w:rPr>
          <w:lang w:val="en-US"/>
        </w:rPr>
        <w:t>Non-small cell lung cancer</w:t>
      </w:r>
    </w:p>
    <w:p w14:paraId="7BFFEE73" w14:textId="77777777" w:rsidR="008A6503" w:rsidRPr="0099547B" w:rsidRDefault="008A6503" w:rsidP="008A6503">
      <w:pPr>
        <w:pStyle w:val="Heading5"/>
        <w:rPr>
          <w:lang w:val="en-US"/>
        </w:rPr>
      </w:pPr>
      <w:r w:rsidRPr="006D1817">
        <w:rPr>
          <w:lang w:val="en-US"/>
        </w:rPr>
        <w:t>GO29436</w:t>
      </w:r>
    </w:p>
    <w:p w14:paraId="0BF12097" w14:textId="78D5234F" w:rsidR="002C2519" w:rsidRPr="00D122BD" w:rsidRDefault="002C2519" w:rsidP="00364F3A">
      <w:pPr>
        <w:rPr>
          <w:lang w:val="en-GB" w:eastAsia="de-DE"/>
        </w:rPr>
      </w:pPr>
      <w:r w:rsidRPr="00D122BD">
        <w:rPr>
          <w:lang w:val="en-GB" w:eastAsia="de-DE"/>
        </w:rPr>
        <w:t xml:space="preserve">A phase III, open-label, </w:t>
      </w:r>
      <w:proofErr w:type="spellStart"/>
      <w:r w:rsidRPr="00D122BD">
        <w:rPr>
          <w:lang w:val="en-GB" w:eastAsia="de-DE"/>
        </w:rPr>
        <w:t>multicenter</w:t>
      </w:r>
      <w:proofErr w:type="spellEnd"/>
      <w:r w:rsidRPr="00D122BD">
        <w:rPr>
          <w:lang w:val="en-GB" w:eastAsia="de-DE"/>
        </w:rPr>
        <w:t xml:space="preserve">, international, randomised study, </w:t>
      </w:r>
      <w:r w:rsidR="00F30BF2" w:rsidRPr="00F30BF2">
        <w:rPr>
          <w:lang w:val="en-GB" w:eastAsia="de-DE"/>
        </w:rPr>
        <w:t>GO29436</w:t>
      </w:r>
      <w:r w:rsidR="00F30BF2">
        <w:rPr>
          <w:lang w:val="en-GB" w:eastAsia="de-DE"/>
        </w:rPr>
        <w:t xml:space="preserve"> (</w:t>
      </w:r>
      <w:r w:rsidRPr="00D122BD">
        <w:rPr>
          <w:lang w:val="en-GB" w:eastAsia="de-DE"/>
        </w:rPr>
        <w:t>IMpower150</w:t>
      </w:r>
      <w:r w:rsidR="00F30BF2">
        <w:rPr>
          <w:lang w:val="en-GB" w:eastAsia="de-DE"/>
        </w:rPr>
        <w:t>)</w:t>
      </w:r>
      <w:r w:rsidRPr="00D122BD">
        <w:rPr>
          <w:lang w:val="en-GB" w:eastAsia="de-DE"/>
        </w:rPr>
        <w:t xml:space="preserve">, was conducted to evaluate the efficacy and safety of </w:t>
      </w:r>
      <w:proofErr w:type="spellStart"/>
      <w:r w:rsidR="009E3BF9">
        <w:rPr>
          <w:lang w:val="en-GB" w:eastAsia="de-DE"/>
        </w:rPr>
        <w:t>Tecentriq</w:t>
      </w:r>
      <w:proofErr w:type="spellEnd"/>
      <w:r w:rsidRPr="00D122BD">
        <w:rPr>
          <w:lang w:val="en-GB" w:eastAsia="de-DE"/>
        </w:rPr>
        <w:t xml:space="preserve"> in combination with paclitaxel and carboplatin, with or without bevacizumab, in chemotherapy-naïve patients with metastatic non-squamous NSCLC. </w:t>
      </w:r>
    </w:p>
    <w:p w14:paraId="3C7BFCB9" w14:textId="77777777" w:rsidR="002C2519" w:rsidRPr="00D122BD" w:rsidRDefault="002C2519" w:rsidP="00364F3A">
      <w:pPr>
        <w:rPr>
          <w:lang w:val="en-GB" w:eastAsia="de-DE"/>
        </w:rPr>
      </w:pPr>
    </w:p>
    <w:p w14:paraId="7B9B2410" w14:textId="15B4B8CF" w:rsidR="002C2519" w:rsidRDefault="002C2519" w:rsidP="00364F3A">
      <w:pPr>
        <w:rPr>
          <w:lang w:val="en-GB"/>
        </w:rPr>
      </w:pPr>
      <w:r w:rsidRPr="00D122BD">
        <w:rPr>
          <w:lang w:val="en-GB"/>
        </w:rPr>
        <w:t xml:space="preserve">Patients were excluded if they had history of autoimmune disease, administration of a live, attenuated vaccine within 28 days prior to randomisation, administration of systemic </w:t>
      </w:r>
      <w:proofErr w:type="spellStart"/>
      <w:r w:rsidRPr="00D122BD">
        <w:rPr>
          <w:lang w:val="en-GB"/>
        </w:rPr>
        <w:t>immunostimulatory</w:t>
      </w:r>
      <w:proofErr w:type="spellEnd"/>
      <w:r w:rsidRPr="00D122BD">
        <w:rPr>
          <w:lang w:val="en-GB"/>
        </w:rPr>
        <w:t xml:space="preserve"> agents within 4 weeks or systemic immunosuppressive medications within 2 weeks prior to randomisation, active or untreated CNS metastases, </w:t>
      </w:r>
      <w:r w:rsidRPr="00D122BD">
        <w:rPr>
          <w:rFonts w:cs="Arial"/>
          <w:lang w:val="en-GB" w:eastAsia="zh-CN"/>
        </w:rPr>
        <w:t xml:space="preserve">clear tumour infiltration into the thoracic great vessels or clear cavitation of pulmonary lesions, as seen on imaging. </w:t>
      </w:r>
      <w:r w:rsidRPr="00D122BD">
        <w:rPr>
          <w:lang w:val="en-GB"/>
        </w:rPr>
        <w:t>Tumour assessments were conducted every 6 weeks for the first 48 weeks following Cycle 1, Day 1 and then every 9 weeks thereafter. Tumour specimens were evaluated for PD-L1 expression on tumour cells (TC) and tumour</w:t>
      </w:r>
      <w:r w:rsidRPr="00D122BD">
        <w:rPr>
          <w:lang w:val="en-GB"/>
        </w:rPr>
        <w:noBreakHyphen/>
        <w:t>infiltrating immune cells (IC</w:t>
      </w:r>
      <w:r w:rsidRPr="00D122BD">
        <w:t>)</w:t>
      </w:r>
      <w:r w:rsidRPr="00D122BD">
        <w:rPr>
          <w:lang w:val="en-GB"/>
        </w:rPr>
        <w:t xml:space="preserve"> </w:t>
      </w:r>
      <w:r w:rsidR="00A10D52" w:rsidRPr="00A10D52">
        <w:rPr>
          <w:lang w:val="en-GB"/>
        </w:rPr>
        <w:t xml:space="preserve">using the VENTANA PD-L1 (SP142) </w:t>
      </w:r>
      <w:r w:rsidR="00F30BF2">
        <w:rPr>
          <w:lang w:val="en-GB"/>
        </w:rPr>
        <w:t>A</w:t>
      </w:r>
      <w:r w:rsidR="00A10D52" w:rsidRPr="00A10D52">
        <w:rPr>
          <w:lang w:val="en-GB"/>
        </w:rPr>
        <w:t xml:space="preserve">ssay </w:t>
      </w:r>
      <w:r w:rsidRPr="00D122BD">
        <w:rPr>
          <w:lang w:val="en-GB"/>
        </w:rPr>
        <w:t xml:space="preserve">and the results were used to define the PD-L1 expression subgroups for the analyses described below. </w:t>
      </w:r>
    </w:p>
    <w:p w14:paraId="576E676A" w14:textId="77777777" w:rsidR="00A10D52" w:rsidRPr="00D122BD" w:rsidRDefault="00A10D52" w:rsidP="00364F3A">
      <w:pPr>
        <w:rPr>
          <w:lang w:val="en-GB"/>
        </w:rPr>
      </w:pPr>
    </w:p>
    <w:p w14:paraId="2AED800C" w14:textId="6CE4FBF0" w:rsidR="002C2519" w:rsidRPr="00D122BD" w:rsidRDefault="00DC3A6E" w:rsidP="00364F3A">
      <w:pPr>
        <w:rPr>
          <w:lang w:val="en-GB" w:eastAsia="de-DE"/>
        </w:rPr>
      </w:pPr>
      <w:r>
        <w:rPr>
          <w:lang w:val="en-GB" w:eastAsia="de-DE"/>
        </w:rPr>
        <w:t>A total of 1</w:t>
      </w:r>
      <w:r w:rsidR="002C2519" w:rsidRPr="00D122BD">
        <w:rPr>
          <w:lang w:val="en-GB" w:eastAsia="de-DE"/>
        </w:rPr>
        <w:t xml:space="preserve">202 patients were enrolled and were randomised (1:1:1) to receive one of the treatment </w:t>
      </w:r>
      <w:r w:rsidR="002C2519" w:rsidRPr="00BB610F">
        <w:rPr>
          <w:lang w:val="en-GB" w:eastAsia="de-DE"/>
        </w:rPr>
        <w:t xml:space="preserve">regimens described in Table </w:t>
      </w:r>
      <w:r w:rsidR="003520F3">
        <w:rPr>
          <w:lang w:val="en-GB" w:eastAsia="de-DE"/>
        </w:rPr>
        <w:t>7</w:t>
      </w:r>
      <w:r w:rsidR="002C2519" w:rsidRPr="00A91197">
        <w:rPr>
          <w:lang w:val="en-GB" w:eastAsia="de-DE"/>
        </w:rPr>
        <w:t>. Randomi</w:t>
      </w:r>
      <w:r w:rsidR="00F30BF2">
        <w:rPr>
          <w:lang w:val="en-GB" w:eastAsia="de-DE"/>
        </w:rPr>
        <w:t>s</w:t>
      </w:r>
      <w:r w:rsidR="002C2519" w:rsidRPr="00A91197">
        <w:rPr>
          <w:lang w:val="en-GB" w:eastAsia="de-DE"/>
        </w:rPr>
        <w:t>ation was stratified by sex, presence of liver metastases and</w:t>
      </w:r>
      <w:r w:rsidR="002C2519" w:rsidRPr="00D122BD">
        <w:rPr>
          <w:lang w:val="en-GB" w:eastAsia="de-DE"/>
        </w:rPr>
        <w:t xml:space="preserve"> PD-L1 tumour expression </w:t>
      </w:r>
      <w:r w:rsidR="002C2519" w:rsidRPr="00D122BD">
        <w:rPr>
          <w:lang w:val="en-GB"/>
        </w:rPr>
        <w:t>on TC and IC</w:t>
      </w:r>
      <w:r w:rsidR="002C2519" w:rsidRPr="00D122BD">
        <w:rPr>
          <w:lang w:val="en-GB" w:eastAsia="de-DE"/>
        </w:rPr>
        <w:t>.</w:t>
      </w:r>
    </w:p>
    <w:p w14:paraId="7456144A" w14:textId="77777777" w:rsidR="002C2519" w:rsidRPr="00D122BD" w:rsidRDefault="002C2519" w:rsidP="002C2519">
      <w:pPr>
        <w:spacing w:line="280" w:lineRule="atLeast"/>
        <w:rPr>
          <w:lang w:val="en-GB" w:eastAsia="de-DE"/>
        </w:rPr>
      </w:pPr>
    </w:p>
    <w:p w14:paraId="2555431C" w14:textId="27A20666" w:rsidR="002C2519" w:rsidRPr="00D122BD" w:rsidRDefault="002C2519" w:rsidP="002C2519">
      <w:pPr>
        <w:keepNext/>
        <w:keepLines/>
        <w:rPr>
          <w:i/>
          <w:u w:val="single"/>
          <w:lang w:val="en-GB"/>
        </w:rPr>
      </w:pPr>
      <w:r w:rsidRPr="00BB610F">
        <w:rPr>
          <w:b/>
          <w:lang w:val="en-GB" w:eastAsia="de-DE"/>
        </w:rPr>
        <w:t xml:space="preserve">Table </w:t>
      </w:r>
      <w:r w:rsidR="003520F3">
        <w:rPr>
          <w:b/>
          <w:lang w:val="en-GB" w:eastAsia="de-DE"/>
        </w:rPr>
        <w:t>7</w:t>
      </w:r>
      <w:r w:rsidR="009E3BF9">
        <w:rPr>
          <w:b/>
          <w:lang w:val="en-GB" w:eastAsia="de-DE"/>
        </w:rPr>
        <w:t>.</w:t>
      </w:r>
      <w:r w:rsidRPr="00BB610F">
        <w:rPr>
          <w:b/>
          <w:lang w:val="en-GB" w:eastAsia="de-DE"/>
        </w:rPr>
        <w:t xml:space="preserve"> Intravenous treatment regimens (IMpower150)</w:t>
      </w:r>
      <w:r w:rsidRPr="00D122BD">
        <w:rPr>
          <w:i/>
          <w:u w:val="single"/>
          <w:lang w:val="en-GB"/>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58"/>
        <w:gridCol w:w="4680"/>
        <w:gridCol w:w="2718"/>
      </w:tblGrid>
      <w:tr w:rsidR="002C2519" w:rsidRPr="009E3BF9" w14:paraId="798908F8" w14:textId="77777777" w:rsidTr="00364F3A">
        <w:tc>
          <w:tcPr>
            <w:tcW w:w="1458" w:type="dxa"/>
            <w:tcBorders>
              <w:top w:val="single" w:sz="4" w:space="0" w:color="auto"/>
              <w:bottom w:val="single" w:sz="4" w:space="0" w:color="auto"/>
            </w:tcBorders>
          </w:tcPr>
          <w:p w14:paraId="3580D202" w14:textId="77777777" w:rsidR="002C2519" w:rsidRPr="00364F3A" w:rsidRDefault="002C2519" w:rsidP="00031EC1">
            <w:pPr>
              <w:keepNext/>
              <w:keepLines/>
              <w:spacing w:after="6"/>
              <w:jc w:val="center"/>
              <w:rPr>
                <w:b/>
                <w:sz w:val="22"/>
                <w:lang w:val="en-GB" w:eastAsia="de-DE"/>
              </w:rPr>
            </w:pPr>
            <w:r w:rsidRPr="00364F3A">
              <w:rPr>
                <w:b/>
                <w:sz w:val="22"/>
                <w:lang w:val="en-GB" w:eastAsia="de-DE"/>
              </w:rPr>
              <w:t>Treatment regimen</w:t>
            </w:r>
          </w:p>
        </w:tc>
        <w:tc>
          <w:tcPr>
            <w:tcW w:w="4680" w:type="dxa"/>
            <w:tcBorders>
              <w:top w:val="single" w:sz="4" w:space="0" w:color="auto"/>
              <w:bottom w:val="single" w:sz="4" w:space="0" w:color="auto"/>
            </w:tcBorders>
          </w:tcPr>
          <w:p w14:paraId="2A055C09" w14:textId="77777777" w:rsidR="002C2519" w:rsidRPr="00364F3A" w:rsidRDefault="002C2519" w:rsidP="00031EC1">
            <w:pPr>
              <w:keepNext/>
              <w:keepLines/>
              <w:spacing w:after="6"/>
              <w:jc w:val="center"/>
              <w:rPr>
                <w:b/>
                <w:sz w:val="22"/>
                <w:lang w:val="en-GB" w:eastAsia="de-DE"/>
              </w:rPr>
            </w:pPr>
            <w:r w:rsidRPr="00364F3A">
              <w:rPr>
                <w:b/>
                <w:sz w:val="22"/>
                <w:lang w:val="en-GB" w:eastAsia="de-DE"/>
              </w:rPr>
              <w:t>Induction</w:t>
            </w:r>
          </w:p>
          <w:p w14:paraId="2AA89FC9" w14:textId="77777777" w:rsidR="002C2519" w:rsidRPr="00364F3A" w:rsidRDefault="002C2519" w:rsidP="00031EC1">
            <w:pPr>
              <w:keepNext/>
              <w:keepLines/>
              <w:spacing w:after="6"/>
              <w:jc w:val="center"/>
              <w:rPr>
                <w:b/>
                <w:sz w:val="22"/>
                <w:lang w:val="en-GB" w:eastAsia="de-DE"/>
              </w:rPr>
            </w:pPr>
            <w:r w:rsidRPr="00364F3A">
              <w:rPr>
                <w:b/>
                <w:sz w:val="22"/>
                <w:lang w:val="en-GB" w:eastAsia="de-DE"/>
              </w:rPr>
              <w:t>(Four or Six 21-day cycles)</w:t>
            </w:r>
          </w:p>
        </w:tc>
        <w:tc>
          <w:tcPr>
            <w:tcW w:w="2718" w:type="dxa"/>
            <w:tcBorders>
              <w:top w:val="single" w:sz="4" w:space="0" w:color="auto"/>
              <w:bottom w:val="single" w:sz="4" w:space="0" w:color="auto"/>
            </w:tcBorders>
          </w:tcPr>
          <w:p w14:paraId="2206A5AF" w14:textId="77777777" w:rsidR="002C2519" w:rsidRPr="00364F3A" w:rsidRDefault="002C2519" w:rsidP="00031EC1">
            <w:pPr>
              <w:keepNext/>
              <w:keepLines/>
              <w:spacing w:after="6"/>
              <w:jc w:val="center"/>
              <w:rPr>
                <w:b/>
                <w:sz w:val="22"/>
                <w:lang w:val="en-GB" w:eastAsia="de-DE"/>
              </w:rPr>
            </w:pPr>
            <w:r w:rsidRPr="00364F3A">
              <w:rPr>
                <w:b/>
                <w:sz w:val="22"/>
                <w:lang w:val="en-GB" w:eastAsia="de-DE"/>
              </w:rPr>
              <w:t>Maintenance</w:t>
            </w:r>
          </w:p>
          <w:p w14:paraId="740EDEDF" w14:textId="77777777" w:rsidR="002C2519" w:rsidRPr="00364F3A" w:rsidRDefault="002C2519" w:rsidP="00031EC1">
            <w:pPr>
              <w:keepNext/>
              <w:keepLines/>
              <w:spacing w:after="6"/>
              <w:jc w:val="center"/>
              <w:rPr>
                <w:b/>
                <w:sz w:val="22"/>
                <w:lang w:val="en-GB" w:eastAsia="de-DE"/>
              </w:rPr>
            </w:pPr>
            <w:r w:rsidRPr="00364F3A">
              <w:rPr>
                <w:b/>
                <w:sz w:val="22"/>
                <w:lang w:val="en-GB" w:eastAsia="de-DE"/>
              </w:rPr>
              <w:t>(21-day cycles)</w:t>
            </w:r>
          </w:p>
        </w:tc>
      </w:tr>
      <w:tr w:rsidR="002C2519" w:rsidRPr="009E3BF9" w14:paraId="01FEAD1C" w14:textId="77777777" w:rsidTr="00364F3A">
        <w:tc>
          <w:tcPr>
            <w:tcW w:w="1458" w:type="dxa"/>
            <w:tcBorders>
              <w:top w:val="single" w:sz="4" w:space="0" w:color="auto"/>
            </w:tcBorders>
          </w:tcPr>
          <w:p w14:paraId="192A0AF5" w14:textId="77777777" w:rsidR="002C2519" w:rsidRPr="00364F3A" w:rsidRDefault="002C2519" w:rsidP="00031EC1">
            <w:pPr>
              <w:keepNext/>
              <w:keepLines/>
              <w:spacing w:after="6" w:line="280" w:lineRule="atLeast"/>
              <w:jc w:val="center"/>
              <w:rPr>
                <w:sz w:val="22"/>
                <w:lang w:val="en-GB" w:eastAsia="de-DE"/>
              </w:rPr>
            </w:pPr>
            <w:r w:rsidRPr="00364F3A">
              <w:rPr>
                <w:sz w:val="22"/>
                <w:lang w:val="en-GB" w:eastAsia="de-DE"/>
              </w:rPr>
              <w:t>A</w:t>
            </w:r>
          </w:p>
        </w:tc>
        <w:tc>
          <w:tcPr>
            <w:tcW w:w="4680" w:type="dxa"/>
            <w:tcBorders>
              <w:top w:val="single" w:sz="4" w:space="0" w:color="auto"/>
            </w:tcBorders>
          </w:tcPr>
          <w:p w14:paraId="7CF30C07" w14:textId="53414118" w:rsidR="002C2519" w:rsidRPr="00364F3A" w:rsidRDefault="009E3BF9" w:rsidP="00031EC1">
            <w:pPr>
              <w:keepNext/>
              <w:keepLines/>
              <w:spacing w:after="6" w:line="280" w:lineRule="atLeast"/>
              <w:jc w:val="center"/>
              <w:rPr>
                <w:sz w:val="22"/>
                <w:lang w:val="en-GB" w:eastAsia="de-DE"/>
              </w:rPr>
            </w:pPr>
            <w:proofErr w:type="spellStart"/>
            <w:r w:rsidRPr="00364F3A">
              <w:rPr>
                <w:sz w:val="22"/>
                <w:lang w:val="en-GB" w:eastAsia="de-DE"/>
              </w:rPr>
              <w:t>Tecentriq</w:t>
            </w:r>
            <w:r w:rsidR="002C2519" w:rsidRPr="00364F3A">
              <w:rPr>
                <w:sz w:val="22"/>
                <w:vertAlign w:val="superscript"/>
                <w:lang w:val="en-GB" w:eastAsia="de-DE"/>
              </w:rPr>
              <w:t>a</w:t>
            </w:r>
            <w:proofErr w:type="spellEnd"/>
            <w:r w:rsidR="00455259" w:rsidRPr="00364F3A">
              <w:rPr>
                <w:sz w:val="22"/>
                <w:lang w:val="en-GB" w:eastAsia="de-DE"/>
              </w:rPr>
              <w:t xml:space="preserve"> (1</w:t>
            </w:r>
            <w:r w:rsidR="002C2519" w:rsidRPr="00364F3A">
              <w:rPr>
                <w:sz w:val="22"/>
                <w:lang w:val="en-GB" w:eastAsia="de-DE"/>
              </w:rPr>
              <w:t>200 mg) + paclitaxel (200 mg/m</w:t>
            </w:r>
            <w:r w:rsidR="002C2519" w:rsidRPr="00364F3A">
              <w:rPr>
                <w:sz w:val="22"/>
                <w:vertAlign w:val="superscript"/>
                <w:lang w:val="en-GB" w:eastAsia="de-DE"/>
              </w:rPr>
              <w:t>2</w:t>
            </w:r>
            <w:r w:rsidR="002C2519" w:rsidRPr="00364F3A">
              <w:rPr>
                <w:sz w:val="22"/>
                <w:lang w:val="en-GB" w:eastAsia="de-DE"/>
              </w:rPr>
              <w:t>)</w:t>
            </w:r>
            <w:proofErr w:type="spellStart"/>
            <w:r w:rsidR="002C2519" w:rsidRPr="00364F3A">
              <w:rPr>
                <w:sz w:val="22"/>
                <w:vertAlign w:val="superscript"/>
                <w:lang w:val="en-GB" w:eastAsia="de-DE"/>
              </w:rPr>
              <w:t>b,c</w:t>
            </w:r>
            <w:proofErr w:type="spellEnd"/>
            <w:r w:rsidR="002C2519" w:rsidRPr="00364F3A">
              <w:rPr>
                <w:sz w:val="22"/>
                <w:lang w:val="en-GB" w:eastAsia="de-DE"/>
              </w:rPr>
              <w:t xml:space="preserve"> + </w:t>
            </w:r>
            <w:proofErr w:type="spellStart"/>
            <w:r w:rsidR="002C2519" w:rsidRPr="00364F3A">
              <w:rPr>
                <w:sz w:val="22"/>
                <w:lang w:val="en-GB" w:eastAsia="de-DE"/>
              </w:rPr>
              <w:t>carboplatin</w:t>
            </w:r>
            <w:r w:rsidR="002C2519" w:rsidRPr="00364F3A">
              <w:rPr>
                <w:sz w:val="22"/>
                <w:vertAlign w:val="superscript"/>
                <w:lang w:val="en-GB" w:eastAsia="de-DE"/>
              </w:rPr>
              <w:t>c</w:t>
            </w:r>
            <w:proofErr w:type="spellEnd"/>
            <w:r w:rsidR="002C2519" w:rsidRPr="00364F3A">
              <w:rPr>
                <w:sz w:val="22"/>
                <w:lang w:val="en-GB" w:eastAsia="de-DE"/>
              </w:rPr>
              <w:t xml:space="preserve"> (AUC 6)</w:t>
            </w:r>
          </w:p>
        </w:tc>
        <w:tc>
          <w:tcPr>
            <w:tcW w:w="2718" w:type="dxa"/>
            <w:tcBorders>
              <w:top w:val="single" w:sz="4" w:space="0" w:color="auto"/>
            </w:tcBorders>
          </w:tcPr>
          <w:p w14:paraId="13215D22" w14:textId="41D252A7" w:rsidR="002C2519" w:rsidRPr="00364F3A" w:rsidRDefault="009E3BF9" w:rsidP="00031EC1">
            <w:pPr>
              <w:keepNext/>
              <w:keepLines/>
              <w:spacing w:after="6" w:line="280" w:lineRule="atLeast"/>
              <w:jc w:val="center"/>
              <w:rPr>
                <w:sz w:val="22"/>
                <w:lang w:val="en-GB" w:eastAsia="de-DE"/>
              </w:rPr>
            </w:pPr>
            <w:proofErr w:type="spellStart"/>
            <w:r w:rsidRPr="00364F3A">
              <w:rPr>
                <w:sz w:val="22"/>
                <w:lang w:val="en-GB" w:eastAsia="de-DE"/>
              </w:rPr>
              <w:t>Tecentriq</w:t>
            </w:r>
            <w:r w:rsidR="002C2519" w:rsidRPr="00364F3A">
              <w:rPr>
                <w:sz w:val="22"/>
                <w:vertAlign w:val="superscript"/>
                <w:lang w:val="en-GB" w:eastAsia="de-DE"/>
              </w:rPr>
              <w:t>a</w:t>
            </w:r>
            <w:proofErr w:type="spellEnd"/>
            <w:r w:rsidR="002C2519" w:rsidRPr="00364F3A">
              <w:rPr>
                <w:sz w:val="22"/>
                <w:lang w:val="en-GB" w:eastAsia="de-DE"/>
              </w:rPr>
              <w:t xml:space="preserve"> (1,200 mg)</w:t>
            </w:r>
          </w:p>
        </w:tc>
      </w:tr>
      <w:tr w:rsidR="002C2519" w:rsidRPr="002B76D3" w14:paraId="7A9027A0" w14:textId="77777777" w:rsidTr="00364F3A">
        <w:tc>
          <w:tcPr>
            <w:tcW w:w="1458" w:type="dxa"/>
          </w:tcPr>
          <w:p w14:paraId="2243B0CA" w14:textId="77777777" w:rsidR="002C2519" w:rsidRPr="00364F3A" w:rsidRDefault="002C2519" w:rsidP="00031EC1">
            <w:pPr>
              <w:keepNext/>
              <w:keepLines/>
              <w:spacing w:after="6" w:line="280" w:lineRule="atLeast"/>
              <w:jc w:val="center"/>
              <w:rPr>
                <w:sz w:val="22"/>
                <w:lang w:val="en-GB" w:eastAsia="de-DE"/>
              </w:rPr>
            </w:pPr>
            <w:r w:rsidRPr="00364F3A">
              <w:rPr>
                <w:sz w:val="22"/>
                <w:lang w:val="en-GB" w:eastAsia="de-DE"/>
              </w:rPr>
              <w:t>B</w:t>
            </w:r>
          </w:p>
        </w:tc>
        <w:tc>
          <w:tcPr>
            <w:tcW w:w="4680" w:type="dxa"/>
          </w:tcPr>
          <w:p w14:paraId="19E1EFE8" w14:textId="23BEAB6C" w:rsidR="002C2519" w:rsidRPr="00364F3A" w:rsidRDefault="009E3BF9" w:rsidP="00031EC1">
            <w:pPr>
              <w:keepNext/>
              <w:keepLines/>
              <w:spacing w:after="6" w:line="280" w:lineRule="atLeast"/>
              <w:jc w:val="center"/>
              <w:rPr>
                <w:sz w:val="22"/>
                <w:lang w:val="en-GB" w:eastAsia="de-DE"/>
              </w:rPr>
            </w:pPr>
            <w:proofErr w:type="spellStart"/>
            <w:r w:rsidRPr="00364F3A">
              <w:rPr>
                <w:sz w:val="22"/>
                <w:lang w:val="en-GB" w:eastAsia="de-DE"/>
              </w:rPr>
              <w:t>Tecentriq</w:t>
            </w:r>
            <w:r w:rsidR="002C2519" w:rsidRPr="00364F3A">
              <w:rPr>
                <w:sz w:val="22"/>
                <w:vertAlign w:val="superscript"/>
                <w:lang w:val="en-GB" w:eastAsia="de-DE"/>
              </w:rPr>
              <w:t>a</w:t>
            </w:r>
            <w:proofErr w:type="spellEnd"/>
            <w:r w:rsidR="00455259" w:rsidRPr="00364F3A">
              <w:rPr>
                <w:sz w:val="22"/>
                <w:lang w:val="en-GB" w:eastAsia="de-DE"/>
              </w:rPr>
              <w:t xml:space="preserve"> (1</w:t>
            </w:r>
            <w:r w:rsidR="002C2519" w:rsidRPr="00364F3A">
              <w:rPr>
                <w:sz w:val="22"/>
                <w:lang w:val="en-GB" w:eastAsia="de-DE"/>
              </w:rPr>
              <w:t xml:space="preserve">200 mg) + </w:t>
            </w:r>
            <w:proofErr w:type="spellStart"/>
            <w:r w:rsidR="002C2519" w:rsidRPr="00364F3A">
              <w:rPr>
                <w:sz w:val="22"/>
                <w:lang w:val="en-GB" w:eastAsia="de-DE"/>
              </w:rPr>
              <w:t>bevacizumab</w:t>
            </w:r>
            <w:r w:rsidR="002C2519" w:rsidRPr="00364F3A">
              <w:rPr>
                <w:sz w:val="22"/>
                <w:vertAlign w:val="superscript"/>
                <w:lang w:val="en-GB" w:eastAsia="de-DE"/>
              </w:rPr>
              <w:t>d</w:t>
            </w:r>
            <w:proofErr w:type="spellEnd"/>
            <w:r w:rsidR="002C2519" w:rsidRPr="00364F3A">
              <w:rPr>
                <w:sz w:val="22"/>
                <w:lang w:val="en-GB" w:eastAsia="de-DE"/>
              </w:rPr>
              <w:t xml:space="preserve"> (15 mg/kg) + paclitaxel (200 mg/m</w:t>
            </w:r>
            <w:r w:rsidR="002C2519" w:rsidRPr="00364F3A">
              <w:rPr>
                <w:sz w:val="22"/>
                <w:vertAlign w:val="superscript"/>
                <w:lang w:val="en-GB" w:eastAsia="de-DE"/>
              </w:rPr>
              <w:t>2</w:t>
            </w:r>
            <w:r w:rsidR="002C2519" w:rsidRPr="00364F3A">
              <w:rPr>
                <w:sz w:val="22"/>
                <w:lang w:val="en-GB" w:eastAsia="de-DE"/>
              </w:rPr>
              <w:t>)</w:t>
            </w:r>
            <w:proofErr w:type="spellStart"/>
            <w:r w:rsidR="002C2519" w:rsidRPr="00364F3A">
              <w:rPr>
                <w:sz w:val="22"/>
                <w:vertAlign w:val="superscript"/>
                <w:lang w:val="en-GB" w:eastAsia="de-DE"/>
              </w:rPr>
              <w:t>b,c</w:t>
            </w:r>
            <w:proofErr w:type="spellEnd"/>
            <w:r w:rsidR="002C2519" w:rsidRPr="00364F3A">
              <w:rPr>
                <w:sz w:val="22"/>
                <w:lang w:val="en-GB" w:eastAsia="de-DE"/>
              </w:rPr>
              <w:t xml:space="preserve"> + </w:t>
            </w:r>
            <w:proofErr w:type="spellStart"/>
            <w:r w:rsidR="002C2519" w:rsidRPr="00364F3A">
              <w:rPr>
                <w:sz w:val="22"/>
                <w:lang w:val="en-GB" w:eastAsia="de-DE"/>
              </w:rPr>
              <w:t>carboplatin</w:t>
            </w:r>
            <w:r w:rsidR="002C2519" w:rsidRPr="00364F3A">
              <w:rPr>
                <w:sz w:val="22"/>
                <w:vertAlign w:val="superscript"/>
                <w:lang w:val="en-GB" w:eastAsia="de-DE"/>
              </w:rPr>
              <w:t>c</w:t>
            </w:r>
            <w:proofErr w:type="spellEnd"/>
            <w:r w:rsidR="002C2519" w:rsidRPr="00364F3A">
              <w:rPr>
                <w:sz w:val="22"/>
                <w:lang w:val="en-GB" w:eastAsia="de-DE"/>
              </w:rPr>
              <w:t xml:space="preserve"> (AUC 6)</w:t>
            </w:r>
          </w:p>
        </w:tc>
        <w:tc>
          <w:tcPr>
            <w:tcW w:w="2718" w:type="dxa"/>
          </w:tcPr>
          <w:p w14:paraId="0BBD5C72" w14:textId="36D33271" w:rsidR="002C2519" w:rsidRPr="00364F3A" w:rsidRDefault="009E3BF9" w:rsidP="00031EC1">
            <w:pPr>
              <w:keepNext/>
              <w:keepLines/>
              <w:spacing w:after="6" w:line="280" w:lineRule="atLeast"/>
              <w:jc w:val="center"/>
              <w:rPr>
                <w:sz w:val="22"/>
                <w:lang w:val="pt-BR" w:eastAsia="de-DE"/>
              </w:rPr>
            </w:pPr>
            <w:r w:rsidRPr="00364F3A">
              <w:rPr>
                <w:sz w:val="22"/>
                <w:lang w:val="pt-BR" w:eastAsia="de-DE"/>
              </w:rPr>
              <w:t>Tecentriq</w:t>
            </w:r>
            <w:r w:rsidR="002C2519" w:rsidRPr="00364F3A">
              <w:rPr>
                <w:sz w:val="22"/>
                <w:vertAlign w:val="superscript"/>
                <w:lang w:val="pt-BR" w:eastAsia="de-DE"/>
              </w:rPr>
              <w:t>a</w:t>
            </w:r>
            <w:r w:rsidR="002C2519" w:rsidRPr="00364F3A">
              <w:rPr>
                <w:sz w:val="22"/>
                <w:lang w:val="pt-BR" w:eastAsia="de-DE"/>
              </w:rPr>
              <w:t xml:space="preserve"> (1,200 mg) + bevacizumab</w:t>
            </w:r>
            <w:r w:rsidR="002C2519" w:rsidRPr="00364F3A">
              <w:rPr>
                <w:sz w:val="22"/>
                <w:vertAlign w:val="superscript"/>
                <w:lang w:val="pt-BR" w:eastAsia="de-DE"/>
              </w:rPr>
              <w:t>d</w:t>
            </w:r>
            <w:r w:rsidR="002C2519" w:rsidRPr="00364F3A">
              <w:rPr>
                <w:sz w:val="22"/>
                <w:lang w:val="pt-BR" w:eastAsia="de-DE"/>
              </w:rPr>
              <w:t xml:space="preserve"> (15 mg/kg)</w:t>
            </w:r>
          </w:p>
        </w:tc>
      </w:tr>
      <w:tr w:rsidR="002C2519" w:rsidRPr="009E3BF9" w14:paraId="7CE8BA6A" w14:textId="77777777" w:rsidTr="00364F3A">
        <w:tc>
          <w:tcPr>
            <w:tcW w:w="1458" w:type="dxa"/>
          </w:tcPr>
          <w:p w14:paraId="074D1765" w14:textId="77777777" w:rsidR="002C2519" w:rsidRPr="00364F3A" w:rsidRDefault="002C2519" w:rsidP="00031EC1">
            <w:pPr>
              <w:keepNext/>
              <w:keepLines/>
              <w:spacing w:after="6" w:line="280" w:lineRule="atLeast"/>
              <w:jc w:val="center"/>
              <w:rPr>
                <w:sz w:val="22"/>
                <w:lang w:val="en-GB" w:eastAsia="de-DE"/>
              </w:rPr>
            </w:pPr>
            <w:r w:rsidRPr="00364F3A">
              <w:rPr>
                <w:sz w:val="22"/>
                <w:lang w:val="en-GB" w:eastAsia="de-DE"/>
              </w:rPr>
              <w:t>C</w:t>
            </w:r>
          </w:p>
        </w:tc>
        <w:tc>
          <w:tcPr>
            <w:tcW w:w="4680" w:type="dxa"/>
          </w:tcPr>
          <w:p w14:paraId="33873151" w14:textId="77777777" w:rsidR="002C2519" w:rsidRPr="00364F3A" w:rsidRDefault="002C2519" w:rsidP="00031EC1">
            <w:pPr>
              <w:keepNext/>
              <w:keepLines/>
              <w:spacing w:after="6" w:line="280" w:lineRule="atLeast"/>
              <w:jc w:val="center"/>
              <w:rPr>
                <w:sz w:val="22"/>
                <w:lang w:eastAsia="de-DE"/>
              </w:rPr>
            </w:pPr>
            <w:proofErr w:type="spellStart"/>
            <w:r w:rsidRPr="00364F3A">
              <w:rPr>
                <w:sz w:val="22"/>
                <w:lang w:val="en-GB" w:eastAsia="de-DE"/>
              </w:rPr>
              <w:t>Bevacizumab</w:t>
            </w:r>
            <w:r w:rsidRPr="00364F3A">
              <w:rPr>
                <w:sz w:val="22"/>
                <w:vertAlign w:val="superscript"/>
                <w:lang w:val="en-GB" w:eastAsia="de-DE"/>
              </w:rPr>
              <w:t>d</w:t>
            </w:r>
            <w:proofErr w:type="spellEnd"/>
            <w:r w:rsidRPr="00364F3A">
              <w:rPr>
                <w:sz w:val="22"/>
                <w:lang w:val="en-GB" w:eastAsia="de-DE"/>
              </w:rPr>
              <w:t xml:space="preserve"> (15 mg/kg) + paclitaxel (200 mg/m</w:t>
            </w:r>
            <w:r w:rsidRPr="00364F3A">
              <w:rPr>
                <w:sz w:val="22"/>
                <w:vertAlign w:val="superscript"/>
                <w:lang w:val="en-GB" w:eastAsia="de-DE"/>
              </w:rPr>
              <w:t>2</w:t>
            </w:r>
            <w:r w:rsidRPr="00364F3A">
              <w:rPr>
                <w:sz w:val="22"/>
                <w:lang w:val="en-GB" w:eastAsia="de-DE"/>
              </w:rPr>
              <w:t>)</w:t>
            </w:r>
            <w:proofErr w:type="spellStart"/>
            <w:r w:rsidRPr="00364F3A">
              <w:rPr>
                <w:sz w:val="22"/>
                <w:vertAlign w:val="superscript"/>
                <w:lang w:val="en-GB" w:eastAsia="de-DE"/>
              </w:rPr>
              <w:t>b,c</w:t>
            </w:r>
            <w:proofErr w:type="spellEnd"/>
            <w:r w:rsidRPr="00364F3A">
              <w:rPr>
                <w:sz w:val="22"/>
                <w:lang w:val="en-GB" w:eastAsia="de-DE"/>
              </w:rPr>
              <w:t xml:space="preserve"> + </w:t>
            </w:r>
            <w:proofErr w:type="spellStart"/>
            <w:r w:rsidRPr="00364F3A">
              <w:rPr>
                <w:sz w:val="22"/>
                <w:lang w:val="en-GB" w:eastAsia="de-DE"/>
              </w:rPr>
              <w:t>carboplatin</w:t>
            </w:r>
            <w:r w:rsidRPr="00364F3A">
              <w:rPr>
                <w:sz w:val="22"/>
                <w:vertAlign w:val="superscript"/>
                <w:lang w:val="en-GB" w:eastAsia="de-DE"/>
              </w:rPr>
              <w:t>c</w:t>
            </w:r>
            <w:proofErr w:type="spellEnd"/>
            <w:r w:rsidRPr="00364F3A">
              <w:rPr>
                <w:sz w:val="22"/>
                <w:lang w:val="en-GB" w:eastAsia="de-DE"/>
              </w:rPr>
              <w:t xml:space="preserve"> (AUC 6)</w:t>
            </w:r>
          </w:p>
        </w:tc>
        <w:tc>
          <w:tcPr>
            <w:tcW w:w="2718" w:type="dxa"/>
          </w:tcPr>
          <w:p w14:paraId="647BD008" w14:textId="77777777" w:rsidR="002C2519" w:rsidRPr="00364F3A" w:rsidRDefault="002C2519" w:rsidP="00031EC1">
            <w:pPr>
              <w:keepNext/>
              <w:keepLines/>
              <w:spacing w:after="6" w:line="280" w:lineRule="atLeast"/>
              <w:jc w:val="center"/>
              <w:rPr>
                <w:sz w:val="22"/>
                <w:lang w:val="en-GB" w:eastAsia="de-DE"/>
              </w:rPr>
            </w:pPr>
            <w:proofErr w:type="spellStart"/>
            <w:r w:rsidRPr="00364F3A">
              <w:rPr>
                <w:sz w:val="22"/>
                <w:lang w:val="en-GB" w:eastAsia="de-DE"/>
              </w:rPr>
              <w:t>Bevacizumab</w:t>
            </w:r>
            <w:r w:rsidRPr="00364F3A">
              <w:rPr>
                <w:sz w:val="22"/>
                <w:vertAlign w:val="superscript"/>
                <w:lang w:val="en-GB" w:eastAsia="de-DE"/>
              </w:rPr>
              <w:t>d</w:t>
            </w:r>
            <w:proofErr w:type="spellEnd"/>
            <w:r w:rsidRPr="00364F3A">
              <w:rPr>
                <w:sz w:val="22"/>
                <w:lang w:val="en-GB" w:eastAsia="de-DE"/>
              </w:rPr>
              <w:t xml:space="preserve"> (15 mg/kg)</w:t>
            </w:r>
          </w:p>
        </w:tc>
      </w:tr>
    </w:tbl>
    <w:p w14:paraId="669D6EB0" w14:textId="3A1B755B" w:rsidR="002C2519" w:rsidRPr="00364F3A" w:rsidRDefault="002C2519" w:rsidP="002C2519">
      <w:pPr>
        <w:keepNext/>
        <w:keepLines/>
        <w:rPr>
          <w:sz w:val="22"/>
          <w:lang w:val="en-GB" w:eastAsia="de-DE"/>
        </w:rPr>
      </w:pPr>
      <w:r w:rsidRPr="00364F3A">
        <w:rPr>
          <w:sz w:val="22"/>
          <w:vertAlign w:val="superscript"/>
          <w:lang w:val="en-GB" w:eastAsia="de-DE"/>
        </w:rPr>
        <w:t xml:space="preserve">a </w:t>
      </w:r>
      <w:proofErr w:type="spellStart"/>
      <w:r w:rsidR="009E3BF9" w:rsidRPr="00364F3A">
        <w:rPr>
          <w:sz w:val="22"/>
          <w:lang w:val="en-GB" w:eastAsia="de-DE"/>
        </w:rPr>
        <w:t>Tecentriq</w:t>
      </w:r>
      <w:proofErr w:type="spellEnd"/>
      <w:r w:rsidRPr="00364F3A">
        <w:rPr>
          <w:sz w:val="22"/>
          <w:lang w:val="en-GB" w:eastAsia="de-DE"/>
        </w:rPr>
        <w:t xml:space="preserve"> is administered until loss of clinical benefit as assessed by the investigator</w:t>
      </w:r>
    </w:p>
    <w:p w14:paraId="40AC535E" w14:textId="77777777" w:rsidR="002C2519" w:rsidRPr="00364F3A" w:rsidRDefault="002C2519" w:rsidP="002C2519">
      <w:pPr>
        <w:keepNext/>
        <w:keepLines/>
        <w:rPr>
          <w:sz w:val="22"/>
          <w:lang w:val="en-GB" w:eastAsia="de-DE"/>
        </w:rPr>
      </w:pPr>
      <w:r w:rsidRPr="00364F3A">
        <w:rPr>
          <w:sz w:val="22"/>
          <w:vertAlign w:val="superscript"/>
          <w:lang w:val="en-GB" w:eastAsia="de-DE"/>
        </w:rPr>
        <w:t>b</w:t>
      </w:r>
      <w:r w:rsidRPr="00364F3A">
        <w:rPr>
          <w:sz w:val="22"/>
          <w:lang w:val="en-GB" w:eastAsia="de-DE"/>
        </w:rPr>
        <w:t xml:space="preserve"> The paclitaxel starting dose for patients of Asian race/ethnicity was 175 mg/m</w:t>
      </w:r>
      <w:r w:rsidRPr="00364F3A">
        <w:rPr>
          <w:sz w:val="22"/>
          <w:vertAlign w:val="superscript"/>
          <w:lang w:val="en-GB" w:eastAsia="de-DE"/>
        </w:rPr>
        <w:t>2</w:t>
      </w:r>
      <w:r w:rsidRPr="00364F3A">
        <w:rPr>
          <w:sz w:val="22"/>
          <w:lang w:val="en-GB" w:eastAsia="de-DE"/>
        </w:rPr>
        <w:t xml:space="preserve"> due to higher overall level of </w:t>
      </w:r>
      <w:proofErr w:type="spellStart"/>
      <w:r w:rsidRPr="00364F3A">
        <w:rPr>
          <w:sz w:val="22"/>
          <w:lang w:val="en-GB" w:eastAsia="de-DE"/>
        </w:rPr>
        <w:t>haematologic</w:t>
      </w:r>
      <w:proofErr w:type="spellEnd"/>
      <w:r w:rsidRPr="00364F3A">
        <w:rPr>
          <w:sz w:val="22"/>
          <w:lang w:val="en-GB" w:eastAsia="de-DE"/>
        </w:rPr>
        <w:t xml:space="preserve"> toxicities in patients from Asian countries compared with those from non-Asian countries</w:t>
      </w:r>
    </w:p>
    <w:p w14:paraId="2E071989" w14:textId="77777777" w:rsidR="002C2519" w:rsidRPr="00364F3A" w:rsidRDefault="002C2519" w:rsidP="002C2519">
      <w:pPr>
        <w:keepNext/>
        <w:keepLines/>
        <w:rPr>
          <w:sz w:val="22"/>
          <w:lang w:val="en-GB"/>
        </w:rPr>
      </w:pPr>
      <w:r w:rsidRPr="00364F3A">
        <w:rPr>
          <w:sz w:val="22"/>
          <w:vertAlign w:val="superscript"/>
          <w:lang w:val="en-GB"/>
        </w:rPr>
        <w:t xml:space="preserve">c </w:t>
      </w:r>
      <w:r w:rsidRPr="00364F3A">
        <w:rPr>
          <w:sz w:val="22"/>
          <w:lang w:val="en-GB"/>
        </w:rPr>
        <w:t>Paclitaxel and carboplatin are administered until completion of 4 or 6 cycles, or progressive disease, or unacceptable toxicity whichever occurs first</w:t>
      </w:r>
    </w:p>
    <w:p w14:paraId="616B752F" w14:textId="77777777" w:rsidR="002C2519" w:rsidRPr="00364F3A" w:rsidRDefault="002C2519" w:rsidP="002C2519">
      <w:pPr>
        <w:keepNext/>
        <w:keepLines/>
        <w:rPr>
          <w:sz w:val="22"/>
          <w:lang w:val="en-GB"/>
        </w:rPr>
      </w:pPr>
      <w:r w:rsidRPr="00364F3A">
        <w:rPr>
          <w:sz w:val="22"/>
          <w:vertAlign w:val="superscript"/>
          <w:lang w:val="en-GB" w:eastAsia="de-DE"/>
        </w:rPr>
        <w:t xml:space="preserve">d. </w:t>
      </w:r>
      <w:r w:rsidRPr="00364F3A">
        <w:rPr>
          <w:sz w:val="22"/>
          <w:lang w:val="en-GB" w:eastAsia="de-DE"/>
        </w:rPr>
        <w:t>Bevacizumab is administered until</w:t>
      </w:r>
      <w:r w:rsidRPr="00364F3A">
        <w:rPr>
          <w:rFonts w:ascii="Arial" w:eastAsia="SimSun" w:hAnsi="Arial"/>
          <w:sz w:val="22"/>
          <w:lang w:val="en-GB" w:eastAsia="zh-CN"/>
        </w:rPr>
        <w:t xml:space="preserve"> </w:t>
      </w:r>
      <w:r w:rsidRPr="00364F3A">
        <w:rPr>
          <w:sz w:val="22"/>
          <w:lang w:val="en-GB" w:eastAsia="de-DE"/>
        </w:rPr>
        <w:t>progressive disease or unacceptable toxicity</w:t>
      </w:r>
    </w:p>
    <w:p w14:paraId="727B72CC" w14:textId="77777777" w:rsidR="002C2519" w:rsidRPr="00D122BD" w:rsidRDefault="002C2519" w:rsidP="002C2519">
      <w:pPr>
        <w:rPr>
          <w:lang w:val="en-GB"/>
        </w:rPr>
      </w:pPr>
    </w:p>
    <w:p w14:paraId="04EFFD71" w14:textId="77777777" w:rsidR="002C2519" w:rsidRPr="00D122BD" w:rsidRDefault="002C2519" w:rsidP="00364F3A">
      <w:pPr>
        <w:rPr>
          <w:lang w:eastAsia="en-US"/>
        </w:rPr>
      </w:pPr>
      <w:r w:rsidRPr="00D122BD">
        <w:rPr>
          <w:lang w:val="en-GB" w:eastAsia="de-DE"/>
        </w:rPr>
        <w:t xml:space="preserve">The demographics and baseline disease characteristics of the study population were well balanced between the treatment arms. The median age was 63 years (range: 31 to 90), and 60% of patients were male. The majority of patients were white (82%). Approximately 10% of patients had known EGFR mutation, 4% had known ALK rearrangements, 14% had liver metastasis at baseline, and most patients were current or previous smokers (80%). Baseline ECOG performance status was 0 (43%) or </w:t>
      </w:r>
      <w:r w:rsidRPr="00BB610F">
        <w:rPr>
          <w:lang w:val="en-GB" w:eastAsia="de-DE"/>
        </w:rPr>
        <w:t xml:space="preserve">1 (57%). 51% of patients’ </w:t>
      </w:r>
      <w:r w:rsidRPr="0045013C">
        <w:rPr>
          <w:lang w:val="en-GB" w:eastAsia="de-DE"/>
        </w:rPr>
        <w:t>tumours had PD-L1 expression of</w:t>
      </w:r>
      <w:r w:rsidRPr="00430F4F">
        <w:t xml:space="preserve"> </w:t>
      </w:r>
      <w:r w:rsidRPr="00A91197">
        <w:rPr>
          <w:lang w:val="en-GB" w:eastAsia="de-DE"/>
        </w:rPr>
        <w:t>≥ 1% TC or ≥ 1% IC and 49% of</w:t>
      </w:r>
      <w:r w:rsidRPr="00D122BD">
        <w:rPr>
          <w:lang w:val="en-GB" w:eastAsia="de-DE"/>
        </w:rPr>
        <w:t xml:space="preserve"> patients’ tumours had PD-L1 expression of &lt; 1% TC and &lt;</w:t>
      </w:r>
      <w:r w:rsidRPr="00D122BD">
        <w:rPr>
          <w:sz w:val="20"/>
          <w:lang w:val="en-GB"/>
        </w:rPr>
        <w:t> </w:t>
      </w:r>
      <w:r w:rsidRPr="00D122BD">
        <w:rPr>
          <w:lang w:val="en-GB" w:eastAsia="de-DE"/>
        </w:rPr>
        <w:t>1% IC.</w:t>
      </w:r>
    </w:p>
    <w:p w14:paraId="05DA78F3" w14:textId="77777777" w:rsidR="002C2519" w:rsidRPr="00D122BD" w:rsidRDefault="002C2519" w:rsidP="00364F3A">
      <w:pPr>
        <w:rPr>
          <w:lang w:eastAsia="de-DE"/>
        </w:rPr>
      </w:pPr>
    </w:p>
    <w:p w14:paraId="295EABCA" w14:textId="77777777" w:rsidR="002C2519" w:rsidRPr="00D122BD" w:rsidRDefault="002C2519" w:rsidP="00364F3A">
      <w:pPr>
        <w:rPr>
          <w:lang w:val="en-GB"/>
        </w:rPr>
      </w:pPr>
      <w:r w:rsidRPr="00D122BD">
        <w:rPr>
          <w:lang w:val="en-GB"/>
        </w:rPr>
        <w:t xml:space="preserve">At the time of the final analysis for PFS, patients had a median follow up time of 15.3 months. The ITT population, including patients with EGFR mutations or ALK rearrangements </w:t>
      </w:r>
      <w:r w:rsidRPr="00D122BD">
        <w:t xml:space="preserve">who should have been previously treated with tyrosine kinase inhibitors, demonstrated clinically meaningful PFS improvement in Arm B as compared to Arm C (HR of 0.61, 95% CI: 0.52, 0.72; median PFS 8.3 vs. 6.8 months). </w:t>
      </w:r>
      <w:r w:rsidRPr="00D122BD">
        <w:rPr>
          <w:lang w:val="en-GB"/>
        </w:rPr>
        <w:t xml:space="preserve"> </w:t>
      </w:r>
    </w:p>
    <w:p w14:paraId="2FF12FFD" w14:textId="77777777" w:rsidR="002C2519" w:rsidRPr="00D122BD" w:rsidRDefault="002C2519" w:rsidP="00364F3A"/>
    <w:p w14:paraId="52CABAF3" w14:textId="1E7854F9" w:rsidR="002C2519" w:rsidRPr="00D122BD" w:rsidRDefault="002C2519" w:rsidP="00364F3A">
      <w:r w:rsidRPr="00BB610F">
        <w:t xml:space="preserve">At the time of the interim OS analysis, patients had a median follow-up of 19.7 months. The key results from this analysis as well as from the updated PFS analysis in the ITT population are summarised in Tables </w:t>
      </w:r>
      <w:r w:rsidR="003520F3">
        <w:t>8</w:t>
      </w:r>
      <w:r w:rsidR="003520F3" w:rsidRPr="00BB610F">
        <w:t xml:space="preserve"> </w:t>
      </w:r>
      <w:r w:rsidRPr="00BB610F">
        <w:t xml:space="preserve">and </w:t>
      </w:r>
      <w:r w:rsidR="003520F3">
        <w:t>9</w:t>
      </w:r>
      <w:r w:rsidRPr="00A91197">
        <w:t xml:space="preserve">. The </w:t>
      </w:r>
      <w:r w:rsidRPr="00A91197">
        <w:rPr>
          <w:rFonts w:cs="Arial"/>
          <w:lang w:eastAsia="zh-CN"/>
        </w:rPr>
        <w:t xml:space="preserve">Kaplan-Meier curve for </w:t>
      </w:r>
      <w:r w:rsidRPr="00A91197">
        <w:rPr>
          <w:lang w:eastAsia="zh-CN"/>
        </w:rPr>
        <w:t xml:space="preserve">OS </w:t>
      </w:r>
      <w:r w:rsidRPr="00A91197">
        <w:rPr>
          <w:rFonts w:cs="Arial"/>
          <w:lang w:eastAsia="zh-CN"/>
        </w:rPr>
        <w:t xml:space="preserve">in the ITT population is presented in Figure </w:t>
      </w:r>
      <w:r w:rsidR="009E3BF9">
        <w:rPr>
          <w:rFonts w:cs="Arial"/>
          <w:lang w:eastAsia="zh-CN"/>
        </w:rPr>
        <w:t>1</w:t>
      </w:r>
      <w:r w:rsidRPr="00A91197">
        <w:rPr>
          <w:rFonts w:cs="Arial"/>
          <w:lang w:eastAsia="zh-CN"/>
        </w:rPr>
        <w:t xml:space="preserve">. Figure </w:t>
      </w:r>
      <w:r w:rsidR="009E3BF9">
        <w:rPr>
          <w:rFonts w:cs="Arial"/>
          <w:lang w:eastAsia="zh-CN"/>
        </w:rPr>
        <w:t>2</w:t>
      </w:r>
      <w:r w:rsidRPr="00A91197">
        <w:rPr>
          <w:rFonts w:cs="Arial"/>
          <w:lang w:eastAsia="zh-CN"/>
        </w:rPr>
        <w:t xml:space="preserve"> summarises the results of </w:t>
      </w:r>
      <w:r w:rsidRPr="00A91197">
        <w:rPr>
          <w:lang w:eastAsia="zh-CN"/>
        </w:rPr>
        <w:t xml:space="preserve">OS </w:t>
      </w:r>
      <w:r w:rsidRPr="00A91197">
        <w:rPr>
          <w:rFonts w:cs="Arial"/>
          <w:lang w:eastAsia="zh-CN"/>
        </w:rPr>
        <w:t>in the ITT and PD-L1 subgroups.</w:t>
      </w:r>
      <w:r w:rsidRPr="00A91197">
        <w:rPr>
          <w:lang w:eastAsia="zh-CN"/>
        </w:rPr>
        <w:t xml:space="preserve"> Updated PFS results are also presented in Figures </w:t>
      </w:r>
      <w:r w:rsidR="009E3BF9">
        <w:rPr>
          <w:lang w:eastAsia="zh-CN"/>
        </w:rPr>
        <w:t>3</w:t>
      </w:r>
      <w:r w:rsidRPr="00A91197">
        <w:rPr>
          <w:lang w:eastAsia="zh-CN"/>
        </w:rPr>
        <w:t xml:space="preserve"> and </w:t>
      </w:r>
      <w:r w:rsidR="009E3BF9">
        <w:rPr>
          <w:lang w:eastAsia="zh-CN"/>
        </w:rPr>
        <w:t>4</w:t>
      </w:r>
      <w:r w:rsidRPr="00A91197">
        <w:rPr>
          <w:lang w:eastAsia="zh-CN"/>
        </w:rPr>
        <w:t>.</w:t>
      </w:r>
      <w:r w:rsidRPr="00D122BD">
        <w:t xml:space="preserve"> </w:t>
      </w:r>
    </w:p>
    <w:p w14:paraId="4672E567" w14:textId="77777777" w:rsidR="002C2519" w:rsidRPr="00D122BD" w:rsidRDefault="002C2519" w:rsidP="002C2519">
      <w:pPr>
        <w:spacing w:line="280" w:lineRule="atLeast"/>
      </w:pPr>
    </w:p>
    <w:p w14:paraId="40D77430" w14:textId="0960A7C8" w:rsidR="002C2519" w:rsidRPr="00D122BD" w:rsidRDefault="002C2519" w:rsidP="002C2519">
      <w:pPr>
        <w:keepNext/>
        <w:keepLines/>
        <w:rPr>
          <w:i/>
          <w:u w:val="single"/>
          <w:lang w:val="en-GB"/>
        </w:rPr>
      </w:pPr>
      <w:r w:rsidRPr="00BB610F">
        <w:rPr>
          <w:rFonts w:eastAsia="Calibri"/>
          <w:b/>
          <w:lang w:eastAsia="en-US"/>
        </w:rPr>
        <w:t xml:space="preserve">Table </w:t>
      </w:r>
      <w:r w:rsidR="003520F3">
        <w:rPr>
          <w:rFonts w:eastAsia="Calibri"/>
          <w:b/>
          <w:lang w:eastAsia="en-US"/>
        </w:rPr>
        <w:t>8</w:t>
      </w:r>
      <w:r w:rsidR="009E3BF9">
        <w:rPr>
          <w:rFonts w:eastAsia="Calibri"/>
          <w:b/>
          <w:lang w:eastAsia="en-US"/>
        </w:rPr>
        <w:t>.</w:t>
      </w:r>
      <w:r w:rsidRPr="00BB610F">
        <w:rPr>
          <w:rFonts w:eastAsia="Calibri"/>
          <w:b/>
          <w:lang w:eastAsia="en-US"/>
        </w:rPr>
        <w:t xml:space="preserve"> Summary of updated efficacy in the ITT population (IMpower150)</w:t>
      </w:r>
    </w:p>
    <w:tbl>
      <w:tblPr>
        <w:tblW w:w="5000" w:type="pct"/>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833"/>
        <w:gridCol w:w="2122"/>
        <w:gridCol w:w="146"/>
        <w:gridCol w:w="1822"/>
        <w:gridCol w:w="128"/>
        <w:gridCol w:w="1549"/>
      </w:tblGrid>
      <w:tr w:rsidR="002C2519" w:rsidRPr="009E3BF9" w14:paraId="5C1CC74D" w14:textId="77777777" w:rsidTr="00031EC1">
        <w:trPr>
          <w:tblHeader/>
        </w:trPr>
        <w:tc>
          <w:tcPr>
            <w:tcW w:w="2004" w:type="pct"/>
            <w:tcBorders>
              <w:top w:val="single" w:sz="4" w:space="0" w:color="auto"/>
              <w:bottom w:val="single" w:sz="4" w:space="0" w:color="auto"/>
            </w:tcBorders>
            <w:shd w:val="clear" w:color="auto" w:fill="FFFFFF"/>
          </w:tcPr>
          <w:p w14:paraId="713CC38C" w14:textId="77777777" w:rsidR="002C2519" w:rsidRPr="00364F3A" w:rsidRDefault="002C2519" w:rsidP="00031EC1">
            <w:pPr>
              <w:keepNext/>
              <w:keepLines/>
              <w:rPr>
                <w:b/>
                <w:sz w:val="22"/>
                <w:lang w:eastAsia="en-US"/>
              </w:rPr>
            </w:pPr>
            <w:r w:rsidRPr="00364F3A">
              <w:rPr>
                <w:b/>
                <w:sz w:val="22"/>
                <w:lang w:eastAsia="en-US"/>
              </w:rPr>
              <w:t>Efficacy endpoint</w:t>
            </w:r>
          </w:p>
        </w:tc>
        <w:tc>
          <w:tcPr>
            <w:tcW w:w="1113" w:type="pct"/>
            <w:tcBorders>
              <w:top w:val="single" w:sz="4" w:space="0" w:color="auto"/>
              <w:bottom w:val="single" w:sz="4" w:space="0" w:color="auto"/>
            </w:tcBorders>
            <w:shd w:val="clear" w:color="auto" w:fill="FFFFFF"/>
          </w:tcPr>
          <w:p w14:paraId="4326CE77" w14:textId="77777777" w:rsidR="002C2519" w:rsidRPr="00364F3A" w:rsidRDefault="002C2519" w:rsidP="00031EC1">
            <w:pPr>
              <w:keepNext/>
              <w:keepLines/>
              <w:jc w:val="center"/>
              <w:rPr>
                <w:b/>
                <w:sz w:val="22"/>
                <w:lang w:eastAsia="en-US"/>
              </w:rPr>
            </w:pPr>
            <w:r w:rsidRPr="00364F3A">
              <w:rPr>
                <w:b/>
                <w:sz w:val="22"/>
                <w:lang w:eastAsia="en-US"/>
              </w:rPr>
              <w:t>Arm A</w:t>
            </w:r>
          </w:p>
          <w:p w14:paraId="42CB87C4" w14:textId="25BA3E7D" w:rsidR="002C2519" w:rsidRPr="00364F3A" w:rsidRDefault="002C2519">
            <w:pPr>
              <w:keepNext/>
              <w:keepLines/>
              <w:jc w:val="center"/>
              <w:rPr>
                <w:b/>
                <w:sz w:val="22"/>
                <w:lang w:eastAsia="en-US"/>
              </w:rPr>
            </w:pPr>
            <w:r w:rsidRPr="00364F3A">
              <w:rPr>
                <w:b/>
                <w:sz w:val="22"/>
                <w:lang w:eastAsia="en-US"/>
              </w:rPr>
              <w:t>(</w:t>
            </w:r>
            <w:proofErr w:type="spellStart"/>
            <w:r w:rsidR="009E3BF9">
              <w:rPr>
                <w:b/>
                <w:sz w:val="22"/>
                <w:lang w:eastAsia="en-US"/>
              </w:rPr>
              <w:t>Tecentriq</w:t>
            </w:r>
            <w:proofErr w:type="spellEnd"/>
            <w:r w:rsidRPr="00364F3A">
              <w:rPr>
                <w:b/>
                <w:sz w:val="22"/>
                <w:lang w:eastAsia="en-US"/>
              </w:rPr>
              <w:t xml:space="preserve"> + Paclitaxel + Carboplatin) </w:t>
            </w:r>
          </w:p>
        </w:tc>
        <w:tc>
          <w:tcPr>
            <w:tcW w:w="1114" w:type="pct"/>
            <w:gridSpan w:val="3"/>
            <w:tcBorders>
              <w:top w:val="single" w:sz="4" w:space="0" w:color="auto"/>
              <w:bottom w:val="single" w:sz="4" w:space="0" w:color="auto"/>
            </w:tcBorders>
            <w:shd w:val="clear" w:color="auto" w:fill="FFFFFF"/>
          </w:tcPr>
          <w:p w14:paraId="1524508F" w14:textId="77777777" w:rsidR="002C2519" w:rsidRPr="00364F3A" w:rsidRDefault="002C2519" w:rsidP="00031EC1">
            <w:pPr>
              <w:keepNext/>
              <w:keepLines/>
              <w:jc w:val="center"/>
              <w:rPr>
                <w:b/>
                <w:sz w:val="22"/>
                <w:lang w:eastAsia="en-US"/>
              </w:rPr>
            </w:pPr>
            <w:r w:rsidRPr="00364F3A">
              <w:rPr>
                <w:b/>
                <w:sz w:val="22"/>
                <w:lang w:eastAsia="en-US"/>
              </w:rPr>
              <w:t>Arm B</w:t>
            </w:r>
          </w:p>
          <w:p w14:paraId="2D333612" w14:textId="46EEAA72" w:rsidR="002C2519" w:rsidRPr="00364F3A" w:rsidRDefault="002C2519">
            <w:pPr>
              <w:keepNext/>
              <w:keepLines/>
              <w:jc w:val="center"/>
              <w:rPr>
                <w:b/>
                <w:sz w:val="22"/>
                <w:lang w:eastAsia="en-US"/>
              </w:rPr>
            </w:pPr>
            <w:r w:rsidRPr="00364F3A">
              <w:rPr>
                <w:b/>
                <w:sz w:val="22"/>
                <w:lang w:eastAsia="en-US"/>
              </w:rPr>
              <w:t>(</w:t>
            </w:r>
            <w:proofErr w:type="spellStart"/>
            <w:r w:rsidR="009E3BF9">
              <w:rPr>
                <w:b/>
                <w:sz w:val="22"/>
                <w:lang w:eastAsia="en-US"/>
              </w:rPr>
              <w:t>Tecentriq</w:t>
            </w:r>
            <w:proofErr w:type="spellEnd"/>
            <w:r w:rsidRPr="00364F3A">
              <w:rPr>
                <w:b/>
                <w:sz w:val="22"/>
                <w:lang w:eastAsia="en-US"/>
              </w:rPr>
              <w:t xml:space="preserve"> + Bevacizumab + Paclitaxel + Carboplatin)</w:t>
            </w:r>
          </w:p>
        </w:tc>
        <w:tc>
          <w:tcPr>
            <w:tcW w:w="768" w:type="pct"/>
            <w:tcBorders>
              <w:top w:val="single" w:sz="4" w:space="0" w:color="auto"/>
              <w:bottom w:val="single" w:sz="4" w:space="0" w:color="auto"/>
            </w:tcBorders>
            <w:shd w:val="clear" w:color="auto" w:fill="FFFFFF"/>
          </w:tcPr>
          <w:p w14:paraId="20AE2C41" w14:textId="77777777" w:rsidR="002C2519" w:rsidRPr="00364F3A" w:rsidRDefault="002C2519" w:rsidP="00031EC1">
            <w:pPr>
              <w:keepNext/>
              <w:keepLines/>
              <w:jc w:val="center"/>
              <w:rPr>
                <w:b/>
                <w:sz w:val="22"/>
                <w:lang w:eastAsia="en-US"/>
              </w:rPr>
            </w:pPr>
            <w:r w:rsidRPr="00364F3A">
              <w:rPr>
                <w:b/>
                <w:sz w:val="22"/>
                <w:lang w:eastAsia="en-US"/>
              </w:rPr>
              <w:t>Arm C</w:t>
            </w:r>
          </w:p>
          <w:p w14:paraId="54E479AD" w14:textId="77777777" w:rsidR="002C2519" w:rsidRPr="00364F3A" w:rsidRDefault="002C2519" w:rsidP="00031EC1">
            <w:pPr>
              <w:keepNext/>
              <w:keepLines/>
              <w:jc w:val="center"/>
              <w:rPr>
                <w:b/>
                <w:sz w:val="22"/>
                <w:lang w:eastAsia="en-US"/>
              </w:rPr>
            </w:pPr>
            <w:r w:rsidRPr="00364F3A">
              <w:rPr>
                <w:b/>
                <w:sz w:val="22"/>
                <w:lang w:eastAsia="en-US"/>
              </w:rPr>
              <w:t>(Bevacizumab + Paclitaxel + Carboplatin)</w:t>
            </w:r>
          </w:p>
        </w:tc>
      </w:tr>
      <w:tr w:rsidR="002C2519" w:rsidRPr="009E3BF9" w14:paraId="55557971" w14:textId="77777777" w:rsidTr="00031EC1">
        <w:trPr>
          <w:tblHeader/>
        </w:trPr>
        <w:tc>
          <w:tcPr>
            <w:tcW w:w="2004" w:type="pct"/>
            <w:tcBorders>
              <w:top w:val="single" w:sz="4" w:space="0" w:color="auto"/>
              <w:bottom w:val="single" w:sz="4" w:space="0" w:color="auto"/>
            </w:tcBorders>
            <w:shd w:val="clear" w:color="auto" w:fill="FFFFFF"/>
          </w:tcPr>
          <w:p w14:paraId="5716AC90" w14:textId="77777777" w:rsidR="002C2519" w:rsidRPr="00364F3A" w:rsidRDefault="002C2519" w:rsidP="00031EC1">
            <w:pPr>
              <w:keepNext/>
              <w:keepLines/>
              <w:rPr>
                <w:b/>
                <w:sz w:val="22"/>
                <w:lang w:eastAsia="en-US"/>
              </w:rPr>
            </w:pPr>
            <w:r w:rsidRPr="00364F3A">
              <w:rPr>
                <w:b/>
                <w:sz w:val="22"/>
                <w:lang w:eastAsia="en-US"/>
              </w:rPr>
              <w:t>Secondary Endpoints</w:t>
            </w:r>
            <w:r w:rsidRPr="00364F3A">
              <w:rPr>
                <w:b/>
                <w:sz w:val="22"/>
                <w:vertAlign w:val="superscript"/>
                <w:lang w:eastAsia="en-US"/>
              </w:rPr>
              <w:t>#</w:t>
            </w:r>
          </w:p>
        </w:tc>
        <w:tc>
          <w:tcPr>
            <w:tcW w:w="1113" w:type="pct"/>
            <w:tcBorders>
              <w:top w:val="single" w:sz="4" w:space="0" w:color="auto"/>
              <w:bottom w:val="single" w:sz="4" w:space="0" w:color="auto"/>
            </w:tcBorders>
            <w:shd w:val="clear" w:color="auto" w:fill="FFFFFF"/>
          </w:tcPr>
          <w:p w14:paraId="1BE6F71E" w14:textId="77777777" w:rsidR="002C2519" w:rsidRPr="00364F3A" w:rsidRDefault="002C2519" w:rsidP="00031EC1">
            <w:pPr>
              <w:keepNext/>
              <w:keepLines/>
              <w:jc w:val="center"/>
              <w:rPr>
                <w:b/>
                <w:sz w:val="22"/>
                <w:lang w:eastAsia="en-US"/>
              </w:rPr>
            </w:pPr>
          </w:p>
        </w:tc>
        <w:tc>
          <w:tcPr>
            <w:tcW w:w="1114" w:type="pct"/>
            <w:gridSpan w:val="3"/>
            <w:tcBorders>
              <w:top w:val="single" w:sz="4" w:space="0" w:color="auto"/>
              <w:bottom w:val="single" w:sz="4" w:space="0" w:color="auto"/>
            </w:tcBorders>
            <w:shd w:val="clear" w:color="auto" w:fill="FFFFFF"/>
          </w:tcPr>
          <w:p w14:paraId="06A2F578" w14:textId="77777777" w:rsidR="002C2519" w:rsidRPr="00364F3A" w:rsidRDefault="002C2519" w:rsidP="00031EC1">
            <w:pPr>
              <w:keepNext/>
              <w:keepLines/>
              <w:jc w:val="center"/>
              <w:rPr>
                <w:b/>
                <w:sz w:val="22"/>
                <w:lang w:eastAsia="en-US"/>
              </w:rPr>
            </w:pPr>
          </w:p>
        </w:tc>
        <w:tc>
          <w:tcPr>
            <w:tcW w:w="768" w:type="pct"/>
            <w:tcBorders>
              <w:top w:val="single" w:sz="4" w:space="0" w:color="auto"/>
              <w:bottom w:val="single" w:sz="4" w:space="0" w:color="auto"/>
            </w:tcBorders>
            <w:shd w:val="clear" w:color="auto" w:fill="FFFFFF"/>
          </w:tcPr>
          <w:p w14:paraId="34AFBF95" w14:textId="77777777" w:rsidR="002C2519" w:rsidRPr="00364F3A" w:rsidRDefault="002C2519" w:rsidP="00031EC1">
            <w:pPr>
              <w:keepNext/>
              <w:keepLines/>
              <w:jc w:val="center"/>
              <w:rPr>
                <w:b/>
                <w:sz w:val="22"/>
                <w:lang w:eastAsia="en-US"/>
              </w:rPr>
            </w:pPr>
          </w:p>
        </w:tc>
      </w:tr>
      <w:tr w:rsidR="002C2519" w:rsidRPr="009E3BF9" w14:paraId="672B3A0D" w14:textId="77777777" w:rsidTr="00031EC1">
        <w:tc>
          <w:tcPr>
            <w:tcW w:w="2004" w:type="pct"/>
            <w:tcBorders>
              <w:top w:val="single" w:sz="4" w:space="0" w:color="auto"/>
            </w:tcBorders>
            <w:shd w:val="clear" w:color="auto" w:fill="auto"/>
          </w:tcPr>
          <w:p w14:paraId="4B20B460" w14:textId="77777777" w:rsidR="002C2519" w:rsidRPr="00364F3A" w:rsidRDefault="002C2519" w:rsidP="00364F3A">
            <w:pPr>
              <w:keepNext/>
              <w:keepLines/>
              <w:jc w:val="left"/>
              <w:rPr>
                <w:b/>
                <w:i/>
                <w:sz w:val="22"/>
                <w:vertAlign w:val="superscript"/>
                <w:lang w:eastAsia="en-US"/>
              </w:rPr>
            </w:pPr>
            <w:r w:rsidRPr="00364F3A">
              <w:rPr>
                <w:b/>
                <w:i/>
                <w:sz w:val="22"/>
                <w:lang w:eastAsia="en-US"/>
              </w:rPr>
              <w:t>Investigator-assessed PFS (RECIST v1.1)*</w:t>
            </w:r>
          </w:p>
        </w:tc>
        <w:tc>
          <w:tcPr>
            <w:tcW w:w="1113" w:type="pct"/>
            <w:tcBorders>
              <w:top w:val="single" w:sz="4" w:space="0" w:color="auto"/>
            </w:tcBorders>
          </w:tcPr>
          <w:p w14:paraId="40B495ED"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402</w:t>
            </w:r>
          </w:p>
        </w:tc>
        <w:tc>
          <w:tcPr>
            <w:tcW w:w="1114" w:type="pct"/>
            <w:gridSpan w:val="3"/>
            <w:tcBorders>
              <w:top w:val="single" w:sz="4" w:space="0" w:color="auto"/>
            </w:tcBorders>
            <w:shd w:val="clear" w:color="auto" w:fill="auto"/>
          </w:tcPr>
          <w:p w14:paraId="6AE870C6"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400</w:t>
            </w:r>
          </w:p>
        </w:tc>
        <w:tc>
          <w:tcPr>
            <w:tcW w:w="768" w:type="pct"/>
            <w:tcBorders>
              <w:top w:val="single" w:sz="4" w:space="0" w:color="auto"/>
            </w:tcBorders>
            <w:shd w:val="clear" w:color="auto" w:fill="auto"/>
          </w:tcPr>
          <w:p w14:paraId="723B474D"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400</w:t>
            </w:r>
          </w:p>
        </w:tc>
      </w:tr>
      <w:tr w:rsidR="002C2519" w:rsidRPr="009E3BF9" w14:paraId="2CCAFE13" w14:textId="77777777" w:rsidTr="00031EC1">
        <w:tc>
          <w:tcPr>
            <w:tcW w:w="2004" w:type="pct"/>
            <w:shd w:val="clear" w:color="auto" w:fill="auto"/>
          </w:tcPr>
          <w:p w14:paraId="005EDFEA" w14:textId="77777777" w:rsidR="002C2519" w:rsidRPr="00364F3A" w:rsidRDefault="002C2519" w:rsidP="00364F3A">
            <w:pPr>
              <w:keepNext/>
              <w:keepLines/>
              <w:jc w:val="left"/>
              <w:rPr>
                <w:sz w:val="22"/>
                <w:lang w:eastAsia="en-US"/>
              </w:rPr>
            </w:pPr>
            <w:r w:rsidRPr="00364F3A">
              <w:rPr>
                <w:sz w:val="22"/>
                <w:lang w:eastAsia="en-US"/>
              </w:rPr>
              <w:t>No. of events (%)</w:t>
            </w:r>
          </w:p>
        </w:tc>
        <w:tc>
          <w:tcPr>
            <w:tcW w:w="1113" w:type="pct"/>
          </w:tcPr>
          <w:p w14:paraId="52C0C9A8" w14:textId="77777777" w:rsidR="002C2519" w:rsidRPr="00364F3A" w:rsidRDefault="002C2519" w:rsidP="00031EC1">
            <w:pPr>
              <w:keepNext/>
              <w:keepLines/>
              <w:jc w:val="center"/>
              <w:rPr>
                <w:sz w:val="22"/>
                <w:lang w:eastAsia="en-US"/>
              </w:rPr>
            </w:pPr>
            <w:r w:rsidRPr="00364F3A">
              <w:rPr>
                <w:sz w:val="22"/>
                <w:lang w:eastAsia="en-US"/>
              </w:rPr>
              <w:t>330 (82.1%)</w:t>
            </w:r>
          </w:p>
        </w:tc>
        <w:tc>
          <w:tcPr>
            <w:tcW w:w="1114" w:type="pct"/>
            <w:gridSpan w:val="3"/>
            <w:shd w:val="clear" w:color="auto" w:fill="auto"/>
          </w:tcPr>
          <w:p w14:paraId="49050DF8" w14:textId="77777777" w:rsidR="002C2519" w:rsidRPr="00364F3A" w:rsidRDefault="002C2519" w:rsidP="00031EC1">
            <w:pPr>
              <w:keepNext/>
              <w:keepLines/>
              <w:jc w:val="center"/>
              <w:rPr>
                <w:sz w:val="22"/>
                <w:lang w:eastAsia="en-US"/>
              </w:rPr>
            </w:pPr>
            <w:r w:rsidRPr="00364F3A">
              <w:rPr>
                <w:sz w:val="22"/>
                <w:lang w:eastAsia="en-US"/>
              </w:rPr>
              <w:t>291 (72.8%)</w:t>
            </w:r>
          </w:p>
        </w:tc>
        <w:tc>
          <w:tcPr>
            <w:tcW w:w="768" w:type="pct"/>
            <w:shd w:val="clear" w:color="auto" w:fill="auto"/>
          </w:tcPr>
          <w:p w14:paraId="61F5C672" w14:textId="77777777" w:rsidR="002C2519" w:rsidRPr="00364F3A" w:rsidRDefault="002C2519" w:rsidP="00031EC1">
            <w:pPr>
              <w:keepNext/>
              <w:keepLines/>
              <w:jc w:val="center"/>
              <w:rPr>
                <w:sz w:val="22"/>
                <w:lang w:eastAsia="en-US"/>
              </w:rPr>
            </w:pPr>
            <w:r w:rsidRPr="00364F3A">
              <w:rPr>
                <w:sz w:val="22"/>
                <w:lang w:eastAsia="en-US"/>
              </w:rPr>
              <w:t>355 (88.8%)</w:t>
            </w:r>
          </w:p>
        </w:tc>
      </w:tr>
      <w:tr w:rsidR="002C2519" w:rsidRPr="009E3BF9" w14:paraId="153D7780" w14:textId="77777777" w:rsidTr="00031EC1">
        <w:tc>
          <w:tcPr>
            <w:tcW w:w="2004" w:type="pct"/>
            <w:shd w:val="clear" w:color="auto" w:fill="auto"/>
          </w:tcPr>
          <w:p w14:paraId="0281DFA5" w14:textId="77777777" w:rsidR="002C2519" w:rsidRPr="00364F3A" w:rsidRDefault="002C2519" w:rsidP="00364F3A">
            <w:pPr>
              <w:keepNext/>
              <w:keepLines/>
              <w:jc w:val="left"/>
              <w:rPr>
                <w:sz w:val="22"/>
                <w:lang w:eastAsia="en-US"/>
              </w:rPr>
            </w:pPr>
            <w:r w:rsidRPr="00364F3A">
              <w:rPr>
                <w:sz w:val="22"/>
                <w:lang w:eastAsia="en-US"/>
              </w:rPr>
              <w:t>Median duration of PFS (months)</w:t>
            </w:r>
          </w:p>
        </w:tc>
        <w:tc>
          <w:tcPr>
            <w:tcW w:w="1113" w:type="pct"/>
          </w:tcPr>
          <w:p w14:paraId="4B6D6E05" w14:textId="77777777" w:rsidR="002C2519" w:rsidRPr="00364F3A" w:rsidRDefault="002C2519" w:rsidP="00031EC1">
            <w:pPr>
              <w:keepNext/>
              <w:keepLines/>
              <w:jc w:val="center"/>
              <w:rPr>
                <w:sz w:val="22"/>
                <w:lang w:eastAsia="en-US"/>
              </w:rPr>
            </w:pPr>
            <w:r w:rsidRPr="00364F3A">
              <w:rPr>
                <w:sz w:val="22"/>
                <w:lang w:eastAsia="en-US"/>
              </w:rPr>
              <w:t>6.7</w:t>
            </w:r>
          </w:p>
        </w:tc>
        <w:tc>
          <w:tcPr>
            <w:tcW w:w="1114" w:type="pct"/>
            <w:gridSpan w:val="3"/>
            <w:shd w:val="clear" w:color="auto" w:fill="auto"/>
          </w:tcPr>
          <w:p w14:paraId="40228EAF" w14:textId="77777777" w:rsidR="002C2519" w:rsidRPr="00364F3A" w:rsidRDefault="002C2519" w:rsidP="00031EC1">
            <w:pPr>
              <w:keepNext/>
              <w:keepLines/>
              <w:jc w:val="center"/>
              <w:rPr>
                <w:sz w:val="22"/>
                <w:lang w:eastAsia="en-US"/>
              </w:rPr>
            </w:pPr>
            <w:r w:rsidRPr="00364F3A">
              <w:rPr>
                <w:sz w:val="22"/>
                <w:lang w:eastAsia="en-US"/>
              </w:rPr>
              <w:t>8.4</w:t>
            </w:r>
          </w:p>
        </w:tc>
        <w:tc>
          <w:tcPr>
            <w:tcW w:w="768" w:type="pct"/>
            <w:shd w:val="clear" w:color="auto" w:fill="auto"/>
          </w:tcPr>
          <w:p w14:paraId="08C8AA64" w14:textId="77777777" w:rsidR="002C2519" w:rsidRPr="00364F3A" w:rsidRDefault="002C2519" w:rsidP="00031EC1">
            <w:pPr>
              <w:keepNext/>
              <w:keepLines/>
              <w:jc w:val="center"/>
              <w:rPr>
                <w:sz w:val="22"/>
                <w:lang w:eastAsia="en-US"/>
              </w:rPr>
            </w:pPr>
            <w:r w:rsidRPr="00364F3A">
              <w:rPr>
                <w:sz w:val="22"/>
                <w:lang w:eastAsia="en-US"/>
              </w:rPr>
              <w:t>6.8</w:t>
            </w:r>
          </w:p>
        </w:tc>
      </w:tr>
      <w:tr w:rsidR="002C2519" w:rsidRPr="009E3BF9" w14:paraId="3B77DF7F" w14:textId="77777777" w:rsidTr="00031EC1">
        <w:tc>
          <w:tcPr>
            <w:tcW w:w="2004" w:type="pct"/>
            <w:shd w:val="clear" w:color="auto" w:fill="auto"/>
          </w:tcPr>
          <w:p w14:paraId="721E33AD" w14:textId="77777777" w:rsidR="002C2519" w:rsidRPr="00364F3A" w:rsidRDefault="002C2519" w:rsidP="00364F3A">
            <w:pPr>
              <w:keepNext/>
              <w:keepLines/>
              <w:jc w:val="left"/>
              <w:rPr>
                <w:sz w:val="22"/>
                <w:lang w:eastAsia="en-US"/>
              </w:rPr>
            </w:pPr>
            <w:r w:rsidRPr="00364F3A">
              <w:rPr>
                <w:sz w:val="22"/>
                <w:lang w:eastAsia="en-US"/>
              </w:rPr>
              <w:t>95% CI</w:t>
            </w:r>
          </w:p>
        </w:tc>
        <w:tc>
          <w:tcPr>
            <w:tcW w:w="1113" w:type="pct"/>
          </w:tcPr>
          <w:p w14:paraId="0BB16D4F" w14:textId="77777777" w:rsidR="002C2519" w:rsidRPr="00364F3A" w:rsidRDefault="002C2519" w:rsidP="00031EC1">
            <w:pPr>
              <w:keepNext/>
              <w:keepLines/>
              <w:jc w:val="center"/>
              <w:rPr>
                <w:sz w:val="22"/>
                <w:lang w:eastAsia="en-US"/>
              </w:rPr>
            </w:pPr>
            <w:r w:rsidRPr="00364F3A">
              <w:rPr>
                <w:sz w:val="22"/>
                <w:lang w:eastAsia="en-US"/>
              </w:rPr>
              <w:t>(5.7, 6.9)</w:t>
            </w:r>
          </w:p>
        </w:tc>
        <w:tc>
          <w:tcPr>
            <w:tcW w:w="1114" w:type="pct"/>
            <w:gridSpan w:val="3"/>
            <w:shd w:val="clear" w:color="auto" w:fill="auto"/>
          </w:tcPr>
          <w:p w14:paraId="30BB341C" w14:textId="77777777" w:rsidR="002C2519" w:rsidRPr="00364F3A" w:rsidRDefault="002C2519" w:rsidP="00031EC1">
            <w:pPr>
              <w:keepNext/>
              <w:keepLines/>
              <w:jc w:val="center"/>
              <w:rPr>
                <w:sz w:val="22"/>
                <w:lang w:eastAsia="en-US"/>
              </w:rPr>
            </w:pPr>
            <w:r w:rsidRPr="00364F3A">
              <w:rPr>
                <w:sz w:val="22"/>
                <w:lang w:eastAsia="en-US"/>
              </w:rPr>
              <w:t>(8.0, 9.9)</w:t>
            </w:r>
          </w:p>
        </w:tc>
        <w:tc>
          <w:tcPr>
            <w:tcW w:w="768" w:type="pct"/>
            <w:shd w:val="clear" w:color="auto" w:fill="auto"/>
          </w:tcPr>
          <w:p w14:paraId="18CAE9CB" w14:textId="77777777" w:rsidR="002C2519" w:rsidRPr="00364F3A" w:rsidRDefault="002C2519" w:rsidP="00031EC1">
            <w:pPr>
              <w:keepNext/>
              <w:keepLines/>
              <w:jc w:val="center"/>
              <w:rPr>
                <w:sz w:val="22"/>
                <w:lang w:eastAsia="en-US"/>
              </w:rPr>
            </w:pPr>
            <w:r w:rsidRPr="00364F3A">
              <w:rPr>
                <w:sz w:val="22"/>
                <w:lang w:eastAsia="en-US"/>
              </w:rPr>
              <w:t>(6.0, 7.0)</w:t>
            </w:r>
          </w:p>
        </w:tc>
      </w:tr>
      <w:tr w:rsidR="002C2519" w:rsidRPr="009E3BF9" w14:paraId="1AF5BA24" w14:textId="77777777" w:rsidTr="00031EC1">
        <w:tc>
          <w:tcPr>
            <w:tcW w:w="2004" w:type="pct"/>
          </w:tcPr>
          <w:p w14:paraId="00C5E14F" w14:textId="77777777" w:rsidR="002C2519" w:rsidRPr="00364F3A" w:rsidRDefault="002C2519" w:rsidP="00364F3A">
            <w:pPr>
              <w:keepNext/>
              <w:keepLines/>
              <w:jc w:val="left"/>
              <w:rPr>
                <w:sz w:val="22"/>
                <w:lang w:eastAsia="en-US"/>
              </w:rPr>
            </w:pPr>
            <w:r w:rsidRPr="00364F3A">
              <w:rPr>
                <w:sz w:val="22"/>
                <w:lang w:eastAsia="en-US"/>
              </w:rPr>
              <w:t>Stratified hazard ratio</w:t>
            </w:r>
            <w:r w:rsidRPr="00364F3A">
              <w:rPr>
                <w:sz w:val="22"/>
                <w:vertAlign w:val="superscript"/>
                <w:lang w:eastAsia="en-US"/>
              </w:rPr>
              <w:t xml:space="preserve">‡^ </w:t>
            </w:r>
            <w:r w:rsidRPr="00364F3A">
              <w:rPr>
                <w:sz w:val="22"/>
                <w:lang w:eastAsia="en-US"/>
              </w:rPr>
              <w:t>(95% CI)</w:t>
            </w:r>
          </w:p>
          <w:p w14:paraId="426142D4" w14:textId="77777777" w:rsidR="002C2519" w:rsidRPr="00364F3A" w:rsidRDefault="002C2519" w:rsidP="00364F3A">
            <w:pPr>
              <w:keepNext/>
              <w:keepLines/>
              <w:jc w:val="left"/>
              <w:rPr>
                <w:sz w:val="22"/>
                <w:lang w:eastAsia="en-US"/>
              </w:rPr>
            </w:pPr>
            <w:r w:rsidRPr="00364F3A">
              <w:rPr>
                <w:sz w:val="22"/>
                <w:lang w:eastAsia="en-US"/>
              </w:rPr>
              <w:t>p-value</w:t>
            </w:r>
            <w:r w:rsidRPr="00364F3A">
              <w:rPr>
                <w:sz w:val="22"/>
                <w:vertAlign w:val="superscript"/>
                <w:lang w:eastAsia="en-US"/>
              </w:rPr>
              <w:t>1,2</w:t>
            </w:r>
          </w:p>
        </w:tc>
        <w:tc>
          <w:tcPr>
            <w:tcW w:w="1197" w:type="pct"/>
            <w:gridSpan w:val="2"/>
            <w:shd w:val="clear" w:color="auto" w:fill="auto"/>
          </w:tcPr>
          <w:p w14:paraId="284DA286" w14:textId="77777777" w:rsidR="002C2519" w:rsidRPr="00364F3A" w:rsidRDefault="002C2519" w:rsidP="00031EC1">
            <w:pPr>
              <w:keepNext/>
              <w:keepLines/>
              <w:jc w:val="center"/>
              <w:rPr>
                <w:sz w:val="22"/>
                <w:lang w:eastAsia="en-US"/>
              </w:rPr>
            </w:pPr>
            <w:r w:rsidRPr="00364F3A">
              <w:rPr>
                <w:sz w:val="22"/>
                <w:lang w:eastAsia="en-US"/>
              </w:rPr>
              <w:t>0.91 (0.78, 1.06)</w:t>
            </w:r>
          </w:p>
          <w:p w14:paraId="4560B603" w14:textId="77777777" w:rsidR="002C2519" w:rsidRPr="00364F3A" w:rsidRDefault="002C2519" w:rsidP="00031EC1">
            <w:pPr>
              <w:keepNext/>
              <w:keepLines/>
              <w:jc w:val="center"/>
              <w:rPr>
                <w:sz w:val="22"/>
                <w:lang w:eastAsia="en-US"/>
              </w:rPr>
            </w:pPr>
            <w:r w:rsidRPr="00364F3A">
              <w:rPr>
                <w:sz w:val="22"/>
                <w:lang w:eastAsia="en-US"/>
              </w:rPr>
              <w:t>0.2194</w:t>
            </w:r>
          </w:p>
        </w:tc>
        <w:tc>
          <w:tcPr>
            <w:tcW w:w="956" w:type="pct"/>
            <w:shd w:val="clear" w:color="auto" w:fill="auto"/>
          </w:tcPr>
          <w:p w14:paraId="2A3367EF" w14:textId="77777777" w:rsidR="002C2519" w:rsidRPr="00364F3A" w:rsidRDefault="002C2519" w:rsidP="00031EC1">
            <w:pPr>
              <w:keepNext/>
              <w:keepLines/>
              <w:jc w:val="center"/>
              <w:rPr>
                <w:sz w:val="22"/>
                <w:lang w:eastAsia="en-US"/>
              </w:rPr>
            </w:pPr>
            <w:r w:rsidRPr="00364F3A">
              <w:rPr>
                <w:sz w:val="22"/>
                <w:lang w:eastAsia="en-US"/>
              </w:rPr>
              <w:t>0.59 (0.50, 0.69)</w:t>
            </w:r>
          </w:p>
          <w:p w14:paraId="1127034F" w14:textId="77777777" w:rsidR="002C2519" w:rsidRPr="00364F3A" w:rsidRDefault="002C2519" w:rsidP="00031EC1">
            <w:pPr>
              <w:keepNext/>
              <w:keepLines/>
              <w:jc w:val="center"/>
              <w:rPr>
                <w:sz w:val="22"/>
                <w:lang w:eastAsia="en-US"/>
              </w:rPr>
            </w:pPr>
            <w:r w:rsidRPr="00364F3A">
              <w:rPr>
                <w:sz w:val="22"/>
                <w:lang w:eastAsia="en-US"/>
              </w:rPr>
              <w:t>&lt; 0.0001</w:t>
            </w:r>
          </w:p>
        </w:tc>
        <w:tc>
          <w:tcPr>
            <w:tcW w:w="842" w:type="pct"/>
            <w:gridSpan w:val="2"/>
          </w:tcPr>
          <w:p w14:paraId="20B6AC1E" w14:textId="77777777" w:rsidR="002C2519" w:rsidRPr="00364F3A" w:rsidRDefault="002C2519" w:rsidP="00031EC1">
            <w:pPr>
              <w:keepNext/>
              <w:keepLines/>
              <w:jc w:val="center"/>
              <w:rPr>
                <w:sz w:val="22"/>
              </w:rPr>
            </w:pPr>
            <w:r w:rsidRPr="00364F3A">
              <w:rPr>
                <w:sz w:val="22"/>
              </w:rPr>
              <w:t>---</w:t>
            </w:r>
          </w:p>
        </w:tc>
      </w:tr>
      <w:tr w:rsidR="002C2519" w:rsidRPr="009E3BF9" w14:paraId="0AD6CC11" w14:textId="77777777" w:rsidTr="00031EC1">
        <w:tc>
          <w:tcPr>
            <w:tcW w:w="2004" w:type="pct"/>
            <w:tcBorders>
              <w:bottom w:val="single" w:sz="4" w:space="0" w:color="auto"/>
            </w:tcBorders>
            <w:shd w:val="clear" w:color="auto" w:fill="auto"/>
          </w:tcPr>
          <w:p w14:paraId="5FF2B63E" w14:textId="77777777" w:rsidR="002C2519" w:rsidRPr="00364F3A" w:rsidRDefault="002C2519" w:rsidP="00364F3A">
            <w:pPr>
              <w:keepNext/>
              <w:keepLines/>
              <w:jc w:val="left"/>
              <w:rPr>
                <w:sz w:val="22"/>
                <w:lang w:eastAsia="en-US"/>
              </w:rPr>
            </w:pPr>
            <w:r w:rsidRPr="00364F3A">
              <w:rPr>
                <w:sz w:val="22"/>
                <w:lang w:eastAsia="en-US"/>
              </w:rPr>
              <w:t>12-month PFS (%)</w:t>
            </w:r>
          </w:p>
        </w:tc>
        <w:tc>
          <w:tcPr>
            <w:tcW w:w="1113" w:type="pct"/>
            <w:tcBorders>
              <w:bottom w:val="single" w:sz="4" w:space="0" w:color="auto"/>
            </w:tcBorders>
          </w:tcPr>
          <w:p w14:paraId="7D464714" w14:textId="77777777" w:rsidR="002C2519" w:rsidRPr="00364F3A" w:rsidRDefault="002C2519" w:rsidP="00031EC1">
            <w:pPr>
              <w:keepNext/>
              <w:keepLines/>
              <w:jc w:val="center"/>
              <w:rPr>
                <w:sz w:val="22"/>
                <w:lang w:eastAsia="en-US"/>
              </w:rPr>
            </w:pPr>
            <w:r w:rsidRPr="00364F3A">
              <w:rPr>
                <w:sz w:val="22"/>
                <w:lang w:eastAsia="en-US"/>
              </w:rPr>
              <w:t>24</w:t>
            </w:r>
          </w:p>
        </w:tc>
        <w:tc>
          <w:tcPr>
            <w:tcW w:w="1114" w:type="pct"/>
            <w:gridSpan w:val="3"/>
            <w:tcBorders>
              <w:bottom w:val="single" w:sz="4" w:space="0" w:color="auto"/>
            </w:tcBorders>
            <w:shd w:val="clear" w:color="auto" w:fill="auto"/>
          </w:tcPr>
          <w:p w14:paraId="0C21D350" w14:textId="77777777" w:rsidR="002C2519" w:rsidRPr="00364F3A" w:rsidRDefault="002C2519" w:rsidP="00031EC1">
            <w:pPr>
              <w:keepNext/>
              <w:keepLines/>
              <w:jc w:val="center"/>
              <w:rPr>
                <w:sz w:val="22"/>
                <w:lang w:eastAsia="en-US"/>
              </w:rPr>
            </w:pPr>
            <w:r w:rsidRPr="00364F3A">
              <w:rPr>
                <w:sz w:val="22"/>
                <w:lang w:eastAsia="en-US"/>
              </w:rPr>
              <w:t>38</w:t>
            </w:r>
          </w:p>
        </w:tc>
        <w:tc>
          <w:tcPr>
            <w:tcW w:w="768" w:type="pct"/>
            <w:tcBorders>
              <w:bottom w:val="single" w:sz="4" w:space="0" w:color="auto"/>
            </w:tcBorders>
            <w:shd w:val="clear" w:color="auto" w:fill="auto"/>
          </w:tcPr>
          <w:p w14:paraId="08B46015" w14:textId="77777777" w:rsidR="002C2519" w:rsidRPr="00364F3A" w:rsidRDefault="002C2519" w:rsidP="00031EC1">
            <w:pPr>
              <w:keepNext/>
              <w:keepLines/>
              <w:jc w:val="center"/>
              <w:rPr>
                <w:sz w:val="22"/>
                <w:lang w:eastAsia="en-US"/>
              </w:rPr>
            </w:pPr>
            <w:r w:rsidRPr="00364F3A">
              <w:rPr>
                <w:sz w:val="22"/>
                <w:lang w:eastAsia="en-US"/>
              </w:rPr>
              <w:t>20</w:t>
            </w:r>
          </w:p>
        </w:tc>
      </w:tr>
      <w:tr w:rsidR="002C2519" w:rsidRPr="009E3BF9" w14:paraId="2B0EF9FC" w14:textId="77777777" w:rsidTr="00031EC1">
        <w:tc>
          <w:tcPr>
            <w:tcW w:w="2004" w:type="pct"/>
            <w:tcBorders>
              <w:top w:val="single" w:sz="4" w:space="0" w:color="auto"/>
              <w:bottom w:val="nil"/>
            </w:tcBorders>
            <w:shd w:val="clear" w:color="auto" w:fill="auto"/>
          </w:tcPr>
          <w:p w14:paraId="6D5F51C2" w14:textId="77777777" w:rsidR="002C2519" w:rsidRPr="00364F3A" w:rsidRDefault="002C2519" w:rsidP="00364F3A">
            <w:pPr>
              <w:keepNext/>
              <w:keepLines/>
              <w:jc w:val="left"/>
              <w:rPr>
                <w:sz w:val="22"/>
                <w:lang w:eastAsia="en-US"/>
              </w:rPr>
            </w:pPr>
            <w:r w:rsidRPr="00364F3A">
              <w:rPr>
                <w:b/>
                <w:i/>
                <w:sz w:val="22"/>
                <w:lang w:eastAsia="en-US"/>
              </w:rPr>
              <w:t>OS interim analysis*</w:t>
            </w:r>
          </w:p>
        </w:tc>
        <w:tc>
          <w:tcPr>
            <w:tcW w:w="1113" w:type="pct"/>
            <w:tcBorders>
              <w:top w:val="single" w:sz="4" w:space="0" w:color="auto"/>
              <w:bottom w:val="nil"/>
            </w:tcBorders>
          </w:tcPr>
          <w:p w14:paraId="7CD07868"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402</w:t>
            </w:r>
          </w:p>
        </w:tc>
        <w:tc>
          <w:tcPr>
            <w:tcW w:w="1114" w:type="pct"/>
            <w:gridSpan w:val="3"/>
            <w:tcBorders>
              <w:top w:val="single" w:sz="4" w:space="0" w:color="auto"/>
              <w:bottom w:val="nil"/>
            </w:tcBorders>
            <w:shd w:val="clear" w:color="auto" w:fill="auto"/>
          </w:tcPr>
          <w:p w14:paraId="64A83493" w14:textId="77777777" w:rsidR="002C2519" w:rsidRPr="00364F3A" w:rsidRDefault="002C2519" w:rsidP="00031EC1">
            <w:pPr>
              <w:keepNext/>
              <w:keepLines/>
              <w:jc w:val="center"/>
              <w:rPr>
                <w:sz w:val="22"/>
                <w:lang w:eastAsia="en-US"/>
              </w:rPr>
            </w:pPr>
            <w:r w:rsidRPr="00364F3A">
              <w:rPr>
                <w:sz w:val="22"/>
                <w:lang w:eastAsia="en-US"/>
              </w:rPr>
              <w:t xml:space="preserve"> n</w:t>
            </w:r>
            <w:r w:rsidRPr="00364F3A">
              <w:rPr>
                <w:sz w:val="22"/>
                <w:lang w:val="en-GB"/>
              </w:rPr>
              <w:t> = </w:t>
            </w:r>
            <w:r w:rsidRPr="00364F3A">
              <w:rPr>
                <w:sz w:val="22"/>
                <w:lang w:eastAsia="en-US"/>
              </w:rPr>
              <w:t>400</w:t>
            </w:r>
          </w:p>
        </w:tc>
        <w:tc>
          <w:tcPr>
            <w:tcW w:w="768" w:type="pct"/>
            <w:tcBorders>
              <w:top w:val="single" w:sz="4" w:space="0" w:color="auto"/>
              <w:bottom w:val="nil"/>
            </w:tcBorders>
            <w:shd w:val="clear" w:color="auto" w:fill="auto"/>
          </w:tcPr>
          <w:p w14:paraId="23F5E2EA" w14:textId="77777777" w:rsidR="002C2519" w:rsidRPr="00364F3A" w:rsidRDefault="002C2519" w:rsidP="00031EC1">
            <w:pPr>
              <w:keepNext/>
              <w:keepLines/>
              <w:jc w:val="center"/>
              <w:rPr>
                <w:sz w:val="22"/>
                <w:lang w:eastAsia="en-US"/>
              </w:rPr>
            </w:pPr>
            <w:r w:rsidRPr="00364F3A">
              <w:rPr>
                <w:sz w:val="22"/>
                <w:lang w:eastAsia="en-US"/>
              </w:rPr>
              <w:t xml:space="preserve"> n</w:t>
            </w:r>
            <w:r w:rsidRPr="00364F3A">
              <w:rPr>
                <w:sz w:val="22"/>
                <w:lang w:val="en-GB"/>
              </w:rPr>
              <w:t> = </w:t>
            </w:r>
            <w:r w:rsidRPr="00364F3A">
              <w:rPr>
                <w:sz w:val="22"/>
                <w:lang w:eastAsia="en-US"/>
              </w:rPr>
              <w:t>400</w:t>
            </w:r>
          </w:p>
        </w:tc>
      </w:tr>
      <w:tr w:rsidR="002C2519" w:rsidRPr="009E3BF9" w14:paraId="6945E39E" w14:textId="77777777" w:rsidTr="00031EC1">
        <w:tc>
          <w:tcPr>
            <w:tcW w:w="2004" w:type="pct"/>
            <w:shd w:val="clear" w:color="auto" w:fill="auto"/>
          </w:tcPr>
          <w:p w14:paraId="7898FD41" w14:textId="77777777" w:rsidR="002C2519" w:rsidRPr="00364F3A" w:rsidRDefault="002C2519" w:rsidP="00364F3A">
            <w:pPr>
              <w:keepNext/>
              <w:keepLines/>
              <w:jc w:val="left"/>
              <w:rPr>
                <w:sz w:val="22"/>
                <w:lang w:eastAsia="en-US"/>
              </w:rPr>
            </w:pPr>
            <w:r w:rsidRPr="00364F3A">
              <w:rPr>
                <w:sz w:val="22"/>
                <w:lang w:eastAsia="en-US"/>
              </w:rPr>
              <w:t>No. of deaths (%)</w:t>
            </w:r>
          </w:p>
          <w:p w14:paraId="2038961C" w14:textId="77777777" w:rsidR="002C2519" w:rsidRPr="00364F3A" w:rsidRDefault="002C2519" w:rsidP="00364F3A">
            <w:pPr>
              <w:keepNext/>
              <w:keepLines/>
              <w:jc w:val="left"/>
              <w:rPr>
                <w:sz w:val="22"/>
                <w:lang w:eastAsia="en-US"/>
              </w:rPr>
            </w:pPr>
            <w:r w:rsidRPr="00364F3A">
              <w:rPr>
                <w:sz w:val="22"/>
                <w:lang w:eastAsia="en-US"/>
              </w:rPr>
              <w:t>Median time to events (months)</w:t>
            </w:r>
          </w:p>
          <w:p w14:paraId="35E36E70" w14:textId="77777777" w:rsidR="002C2519" w:rsidRPr="00364F3A" w:rsidRDefault="002C2519" w:rsidP="00364F3A">
            <w:pPr>
              <w:keepNext/>
              <w:keepLines/>
              <w:jc w:val="left"/>
              <w:rPr>
                <w:sz w:val="22"/>
                <w:lang w:eastAsia="en-US"/>
              </w:rPr>
            </w:pPr>
            <w:r w:rsidRPr="00364F3A">
              <w:rPr>
                <w:sz w:val="22"/>
                <w:lang w:eastAsia="en-US"/>
              </w:rPr>
              <w:t>95% CI</w:t>
            </w:r>
          </w:p>
        </w:tc>
        <w:tc>
          <w:tcPr>
            <w:tcW w:w="1113" w:type="pct"/>
          </w:tcPr>
          <w:p w14:paraId="7110965A" w14:textId="77777777" w:rsidR="002C2519" w:rsidRPr="00364F3A" w:rsidRDefault="002C2519" w:rsidP="00031EC1">
            <w:pPr>
              <w:keepNext/>
              <w:keepLines/>
              <w:jc w:val="center"/>
              <w:rPr>
                <w:sz w:val="22"/>
                <w:lang w:eastAsia="en-US"/>
              </w:rPr>
            </w:pPr>
            <w:r w:rsidRPr="00364F3A">
              <w:rPr>
                <w:sz w:val="22"/>
                <w:lang w:eastAsia="en-US"/>
              </w:rPr>
              <w:t>206 (51.2%)</w:t>
            </w:r>
          </w:p>
          <w:p w14:paraId="2464E878" w14:textId="77777777" w:rsidR="002C2519" w:rsidRPr="00364F3A" w:rsidRDefault="002C2519" w:rsidP="00031EC1">
            <w:pPr>
              <w:keepNext/>
              <w:keepLines/>
              <w:jc w:val="center"/>
              <w:rPr>
                <w:sz w:val="22"/>
                <w:lang w:eastAsia="en-US"/>
              </w:rPr>
            </w:pPr>
            <w:r w:rsidRPr="00364F3A">
              <w:rPr>
                <w:sz w:val="22"/>
                <w:lang w:eastAsia="en-US"/>
              </w:rPr>
              <w:t xml:space="preserve">19.5 </w:t>
            </w:r>
          </w:p>
          <w:p w14:paraId="4E36FB1D" w14:textId="77777777" w:rsidR="002C2519" w:rsidRPr="00364F3A" w:rsidRDefault="002C2519" w:rsidP="00031EC1">
            <w:pPr>
              <w:keepNext/>
              <w:keepLines/>
              <w:jc w:val="center"/>
              <w:rPr>
                <w:sz w:val="22"/>
                <w:lang w:eastAsia="en-US"/>
              </w:rPr>
            </w:pPr>
            <w:r w:rsidRPr="00364F3A">
              <w:rPr>
                <w:sz w:val="22"/>
                <w:lang w:eastAsia="en-US"/>
              </w:rPr>
              <w:t>(16.3, 21.3)</w:t>
            </w:r>
          </w:p>
        </w:tc>
        <w:tc>
          <w:tcPr>
            <w:tcW w:w="1114" w:type="pct"/>
            <w:gridSpan w:val="3"/>
            <w:shd w:val="clear" w:color="auto" w:fill="auto"/>
          </w:tcPr>
          <w:p w14:paraId="2E4C783B" w14:textId="77777777" w:rsidR="002C2519" w:rsidRPr="00364F3A" w:rsidRDefault="002C2519" w:rsidP="00031EC1">
            <w:pPr>
              <w:keepNext/>
              <w:keepLines/>
              <w:jc w:val="center"/>
              <w:rPr>
                <w:sz w:val="22"/>
                <w:lang w:eastAsia="en-US"/>
              </w:rPr>
            </w:pPr>
            <w:r w:rsidRPr="00364F3A">
              <w:rPr>
                <w:sz w:val="22"/>
                <w:lang w:eastAsia="en-US"/>
              </w:rPr>
              <w:t>192 (48.0%)</w:t>
            </w:r>
          </w:p>
          <w:p w14:paraId="46AD2A1A" w14:textId="77777777" w:rsidR="002C2519" w:rsidRPr="00364F3A" w:rsidRDefault="002C2519" w:rsidP="00031EC1">
            <w:pPr>
              <w:keepNext/>
              <w:keepLines/>
              <w:jc w:val="center"/>
              <w:rPr>
                <w:sz w:val="22"/>
                <w:lang w:eastAsia="en-US"/>
              </w:rPr>
            </w:pPr>
            <w:r w:rsidRPr="00364F3A">
              <w:rPr>
                <w:sz w:val="22"/>
                <w:lang w:eastAsia="en-US"/>
              </w:rPr>
              <w:t>19.8</w:t>
            </w:r>
          </w:p>
          <w:p w14:paraId="7C3509E6" w14:textId="77777777" w:rsidR="002C2519" w:rsidRPr="00364F3A" w:rsidRDefault="002C2519" w:rsidP="00031EC1">
            <w:pPr>
              <w:keepNext/>
              <w:keepLines/>
              <w:jc w:val="center"/>
              <w:rPr>
                <w:sz w:val="22"/>
                <w:lang w:eastAsia="en-US"/>
              </w:rPr>
            </w:pPr>
            <w:r w:rsidRPr="00364F3A">
              <w:rPr>
                <w:sz w:val="22"/>
                <w:lang w:eastAsia="en-US"/>
              </w:rPr>
              <w:t>(17.4, 24.2)</w:t>
            </w:r>
          </w:p>
        </w:tc>
        <w:tc>
          <w:tcPr>
            <w:tcW w:w="768" w:type="pct"/>
            <w:shd w:val="clear" w:color="auto" w:fill="auto"/>
          </w:tcPr>
          <w:p w14:paraId="19C9B052" w14:textId="77777777" w:rsidR="002C2519" w:rsidRPr="00364F3A" w:rsidRDefault="002C2519" w:rsidP="00031EC1">
            <w:pPr>
              <w:keepNext/>
              <w:keepLines/>
              <w:jc w:val="center"/>
              <w:rPr>
                <w:sz w:val="22"/>
                <w:lang w:eastAsia="en-US"/>
              </w:rPr>
            </w:pPr>
            <w:r w:rsidRPr="00364F3A">
              <w:rPr>
                <w:sz w:val="22"/>
                <w:lang w:eastAsia="en-US"/>
              </w:rPr>
              <w:t>230 (57.5%)</w:t>
            </w:r>
          </w:p>
          <w:p w14:paraId="697E05B0" w14:textId="77777777" w:rsidR="002C2519" w:rsidRPr="00364F3A" w:rsidRDefault="002C2519" w:rsidP="00031EC1">
            <w:pPr>
              <w:keepNext/>
              <w:keepLines/>
              <w:jc w:val="center"/>
              <w:rPr>
                <w:sz w:val="22"/>
                <w:lang w:val="pt-BR" w:eastAsia="en-US"/>
              </w:rPr>
            </w:pPr>
            <w:r w:rsidRPr="00364F3A">
              <w:rPr>
                <w:sz w:val="22"/>
                <w:lang w:val="pt-BR" w:eastAsia="en-US"/>
              </w:rPr>
              <w:t>14.9</w:t>
            </w:r>
          </w:p>
          <w:p w14:paraId="22AD3138" w14:textId="77777777" w:rsidR="002C2519" w:rsidRPr="00364F3A" w:rsidRDefault="002C2519" w:rsidP="00031EC1">
            <w:pPr>
              <w:keepNext/>
              <w:keepLines/>
              <w:jc w:val="center"/>
              <w:rPr>
                <w:sz w:val="22"/>
                <w:lang w:eastAsia="en-US"/>
              </w:rPr>
            </w:pPr>
            <w:r w:rsidRPr="00364F3A">
              <w:rPr>
                <w:sz w:val="22"/>
                <w:lang w:eastAsia="en-US"/>
              </w:rPr>
              <w:t>(13.4, 17.1)</w:t>
            </w:r>
          </w:p>
        </w:tc>
      </w:tr>
      <w:tr w:rsidR="002C2519" w:rsidRPr="009E3BF9" w14:paraId="6DD43361" w14:textId="77777777" w:rsidTr="00031EC1">
        <w:tc>
          <w:tcPr>
            <w:tcW w:w="2004" w:type="pct"/>
            <w:shd w:val="clear" w:color="auto" w:fill="auto"/>
          </w:tcPr>
          <w:p w14:paraId="393A2008" w14:textId="77777777" w:rsidR="002C2519" w:rsidRPr="00364F3A" w:rsidRDefault="002C2519" w:rsidP="00364F3A">
            <w:pPr>
              <w:keepNext/>
              <w:keepLines/>
              <w:jc w:val="left"/>
              <w:rPr>
                <w:sz w:val="22"/>
                <w:lang w:eastAsia="en-US"/>
              </w:rPr>
            </w:pPr>
            <w:r w:rsidRPr="00364F3A">
              <w:rPr>
                <w:sz w:val="22"/>
                <w:lang w:eastAsia="en-US"/>
              </w:rPr>
              <w:t>Stratified hazard ratio</w:t>
            </w:r>
            <w:r w:rsidRPr="00364F3A">
              <w:rPr>
                <w:sz w:val="22"/>
                <w:vertAlign w:val="superscript"/>
                <w:lang w:eastAsia="en-US"/>
              </w:rPr>
              <w:t>‡^</w:t>
            </w:r>
            <w:r w:rsidRPr="00364F3A">
              <w:rPr>
                <w:sz w:val="22"/>
                <w:lang w:eastAsia="en-US"/>
              </w:rPr>
              <w:t xml:space="preserve"> (95% CI)</w:t>
            </w:r>
          </w:p>
          <w:p w14:paraId="05EBA183" w14:textId="77777777" w:rsidR="002C2519" w:rsidRPr="00364F3A" w:rsidRDefault="002C2519" w:rsidP="00364F3A">
            <w:pPr>
              <w:keepNext/>
              <w:keepLines/>
              <w:jc w:val="left"/>
              <w:rPr>
                <w:sz w:val="22"/>
                <w:lang w:eastAsia="en-US"/>
              </w:rPr>
            </w:pPr>
            <w:r w:rsidRPr="00364F3A">
              <w:rPr>
                <w:sz w:val="22"/>
                <w:lang w:eastAsia="en-US"/>
              </w:rPr>
              <w:t>p-value</w:t>
            </w:r>
            <w:r w:rsidRPr="00364F3A">
              <w:rPr>
                <w:sz w:val="22"/>
                <w:vertAlign w:val="superscript"/>
                <w:lang w:eastAsia="en-US"/>
              </w:rPr>
              <w:t>1,2</w:t>
            </w:r>
          </w:p>
        </w:tc>
        <w:tc>
          <w:tcPr>
            <w:tcW w:w="1113" w:type="pct"/>
          </w:tcPr>
          <w:p w14:paraId="3B9FC075" w14:textId="77777777" w:rsidR="002C2519" w:rsidRPr="00364F3A" w:rsidRDefault="002C2519" w:rsidP="00031EC1">
            <w:pPr>
              <w:keepNext/>
              <w:keepLines/>
              <w:jc w:val="center"/>
              <w:rPr>
                <w:sz w:val="22"/>
                <w:lang w:eastAsia="en-US"/>
              </w:rPr>
            </w:pPr>
            <w:r w:rsidRPr="00364F3A">
              <w:rPr>
                <w:sz w:val="22"/>
                <w:lang w:eastAsia="en-US"/>
              </w:rPr>
              <w:t>0.85 (0.71, 1.03)</w:t>
            </w:r>
          </w:p>
          <w:p w14:paraId="7AA7263C" w14:textId="77777777" w:rsidR="002C2519" w:rsidRPr="00364F3A" w:rsidRDefault="002C2519" w:rsidP="00031EC1">
            <w:pPr>
              <w:keepNext/>
              <w:keepLines/>
              <w:jc w:val="center"/>
              <w:rPr>
                <w:sz w:val="22"/>
                <w:lang w:eastAsia="en-US"/>
              </w:rPr>
            </w:pPr>
            <w:r w:rsidRPr="00364F3A">
              <w:rPr>
                <w:sz w:val="22"/>
                <w:lang w:eastAsia="en-US"/>
              </w:rPr>
              <w:t>0.0983</w:t>
            </w:r>
          </w:p>
        </w:tc>
        <w:tc>
          <w:tcPr>
            <w:tcW w:w="1114" w:type="pct"/>
            <w:gridSpan w:val="3"/>
            <w:shd w:val="clear" w:color="auto" w:fill="auto"/>
          </w:tcPr>
          <w:p w14:paraId="7972D4EA" w14:textId="77777777" w:rsidR="002C2519" w:rsidRPr="00364F3A" w:rsidRDefault="002C2519" w:rsidP="00031EC1">
            <w:pPr>
              <w:keepNext/>
              <w:keepLines/>
              <w:jc w:val="center"/>
              <w:rPr>
                <w:sz w:val="22"/>
                <w:lang w:eastAsia="en-US"/>
              </w:rPr>
            </w:pPr>
            <w:r w:rsidRPr="00364F3A">
              <w:rPr>
                <w:sz w:val="22"/>
                <w:lang w:eastAsia="en-US"/>
              </w:rPr>
              <w:t>0.76 (0.63, 0.93)</w:t>
            </w:r>
          </w:p>
          <w:p w14:paraId="455EFE6F" w14:textId="77777777" w:rsidR="002C2519" w:rsidRPr="00364F3A" w:rsidRDefault="002C2519" w:rsidP="00031EC1">
            <w:pPr>
              <w:keepNext/>
              <w:keepLines/>
              <w:jc w:val="center"/>
              <w:rPr>
                <w:sz w:val="22"/>
                <w:lang w:eastAsia="en-US"/>
              </w:rPr>
            </w:pPr>
            <w:r w:rsidRPr="00364F3A">
              <w:rPr>
                <w:sz w:val="22"/>
                <w:lang w:eastAsia="en-US"/>
              </w:rPr>
              <w:t>0.006</w:t>
            </w:r>
          </w:p>
        </w:tc>
        <w:tc>
          <w:tcPr>
            <w:tcW w:w="768" w:type="pct"/>
          </w:tcPr>
          <w:p w14:paraId="6853B1AD" w14:textId="77777777" w:rsidR="002C2519" w:rsidRPr="00364F3A" w:rsidRDefault="002C2519" w:rsidP="00031EC1">
            <w:pPr>
              <w:keepNext/>
              <w:keepLines/>
              <w:jc w:val="center"/>
              <w:rPr>
                <w:sz w:val="22"/>
              </w:rPr>
            </w:pPr>
            <w:r w:rsidRPr="00364F3A">
              <w:rPr>
                <w:sz w:val="22"/>
              </w:rPr>
              <w:t>---</w:t>
            </w:r>
          </w:p>
        </w:tc>
      </w:tr>
      <w:tr w:rsidR="002C2519" w:rsidRPr="009E3BF9" w14:paraId="00C6F8A8" w14:textId="77777777" w:rsidTr="00031EC1">
        <w:tc>
          <w:tcPr>
            <w:tcW w:w="2004" w:type="pct"/>
            <w:tcBorders>
              <w:bottom w:val="nil"/>
            </w:tcBorders>
            <w:shd w:val="clear" w:color="auto" w:fill="auto"/>
          </w:tcPr>
          <w:p w14:paraId="00C401E9" w14:textId="77777777" w:rsidR="002C2519" w:rsidRPr="00364F3A" w:rsidRDefault="002C2519" w:rsidP="00364F3A">
            <w:pPr>
              <w:keepNext/>
              <w:keepLines/>
              <w:jc w:val="left"/>
              <w:rPr>
                <w:sz w:val="22"/>
                <w:lang w:eastAsia="en-US"/>
              </w:rPr>
            </w:pPr>
            <w:r w:rsidRPr="00364F3A">
              <w:rPr>
                <w:sz w:val="22"/>
                <w:lang w:eastAsia="en-US"/>
              </w:rPr>
              <w:t>6-month OS (%)</w:t>
            </w:r>
          </w:p>
        </w:tc>
        <w:tc>
          <w:tcPr>
            <w:tcW w:w="1113" w:type="pct"/>
            <w:tcBorders>
              <w:bottom w:val="nil"/>
            </w:tcBorders>
          </w:tcPr>
          <w:p w14:paraId="7A89E9E2" w14:textId="77777777" w:rsidR="002C2519" w:rsidRPr="00364F3A" w:rsidRDefault="002C2519" w:rsidP="00031EC1">
            <w:pPr>
              <w:keepNext/>
              <w:keepLines/>
              <w:jc w:val="center"/>
              <w:rPr>
                <w:sz w:val="22"/>
                <w:lang w:eastAsia="en-US"/>
              </w:rPr>
            </w:pPr>
            <w:r w:rsidRPr="00364F3A">
              <w:rPr>
                <w:sz w:val="22"/>
                <w:lang w:eastAsia="en-US"/>
              </w:rPr>
              <w:t>84</w:t>
            </w:r>
          </w:p>
        </w:tc>
        <w:tc>
          <w:tcPr>
            <w:tcW w:w="1114" w:type="pct"/>
            <w:gridSpan w:val="3"/>
            <w:tcBorders>
              <w:bottom w:val="nil"/>
            </w:tcBorders>
            <w:shd w:val="clear" w:color="auto" w:fill="auto"/>
          </w:tcPr>
          <w:p w14:paraId="17DE83AF" w14:textId="77777777" w:rsidR="002C2519" w:rsidRPr="00364F3A" w:rsidRDefault="002C2519" w:rsidP="00031EC1">
            <w:pPr>
              <w:keepNext/>
              <w:keepLines/>
              <w:jc w:val="center"/>
              <w:rPr>
                <w:sz w:val="22"/>
                <w:lang w:eastAsia="en-US"/>
              </w:rPr>
            </w:pPr>
            <w:r w:rsidRPr="00364F3A">
              <w:rPr>
                <w:sz w:val="22"/>
                <w:lang w:eastAsia="en-US"/>
              </w:rPr>
              <w:t>85</w:t>
            </w:r>
          </w:p>
        </w:tc>
        <w:tc>
          <w:tcPr>
            <w:tcW w:w="768" w:type="pct"/>
            <w:tcBorders>
              <w:bottom w:val="nil"/>
            </w:tcBorders>
            <w:shd w:val="clear" w:color="auto" w:fill="auto"/>
          </w:tcPr>
          <w:p w14:paraId="4E6E83E6" w14:textId="77777777" w:rsidR="002C2519" w:rsidRPr="00364F3A" w:rsidRDefault="002C2519" w:rsidP="00031EC1">
            <w:pPr>
              <w:keepNext/>
              <w:keepLines/>
              <w:jc w:val="center"/>
              <w:rPr>
                <w:sz w:val="22"/>
                <w:lang w:eastAsia="en-US"/>
              </w:rPr>
            </w:pPr>
            <w:r w:rsidRPr="00364F3A">
              <w:rPr>
                <w:sz w:val="22"/>
                <w:lang w:eastAsia="en-US"/>
              </w:rPr>
              <w:t>81</w:t>
            </w:r>
          </w:p>
        </w:tc>
      </w:tr>
      <w:tr w:rsidR="002C2519" w:rsidRPr="009E3BF9" w14:paraId="76DBB05E" w14:textId="77777777" w:rsidTr="00031EC1">
        <w:tc>
          <w:tcPr>
            <w:tcW w:w="2004" w:type="pct"/>
            <w:tcBorders>
              <w:top w:val="nil"/>
              <w:bottom w:val="single" w:sz="4" w:space="0" w:color="auto"/>
            </w:tcBorders>
            <w:shd w:val="clear" w:color="auto" w:fill="auto"/>
          </w:tcPr>
          <w:p w14:paraId="6C3E004C" w14:textId="77777777" w:rsidR="002C2519" w:rsidRPr="00364F3A" w:rsidRDefault="002C2519" w:rsidP="00364F3A">
            <w:pPr>
              <w:keepNext/>
              <w:keepLines/>
              <w:jc w:val="left"/>
              <w:rPr>
                <w:sz w:val="22"/>
                <w:lang w:eastAsia="en-US"/>
              </w:rPr>
            </w:pPr>
            <w:r w:rsidRPr="00364F3A">
              <w:rPr>
                <w:sz w:val="22"/>
                <w:lang w:eastAsia="en-US"/>
              </w:rPr>
              <w:t>12-month OS (%)</w:t>
            </w:r>
          </w:p>
        </w:tc>
        <w:tc>
          <w:tcPr>
            <w:tcW w:w="1113" w:type="pct"/>
            <w:tcBorders>
              <w:top w:val="nil"/>
              <w:bottom w:val="single" w:sz="4" w:space="0" w:color="auto"/>
            </w:tcBorders>
          </w:tcPr>
          <w:p w14:paraId="219E5774" w14:textId="77777777" w:rsidR="002C2519" w:rsidRPr="00364F3A" w:rsidRDefault="002C2519" w:rsidP="00031EC1">
            <w:pPr>
              <w:keepNext/>
              <w:keepLines/>
              <w:jc w:val="center"/>
              <w:rPr>
                <w:sz w:val="22"/>
                <w:lang w:eastAsia="en-US"/>
              </w:rPr>
            </w:pPr>
            <w:r w:rsidRPr="00364F3A">
              <w:rPr>
                <w:sz w:val="22"/>
                <w:lang w:eastAsia="en-US"/>
              </w:rPr>
              <w:t>66</w:t>
            </w:r>
          </w:p>
        </w:tc>
        <w:tc>
          <w:tcPr>
            <w:tcW w:w="1114" w:type="pct"/>
            <w:gridSpan w:val="3"/>
            <w:tcBorders>
              <w:top w:val="nil"/>
              <w:bottom w:val="single" w:sz="4" w:space="0" w:color="auto"/>
            </w:tcBorders>
            <w:shd w:val="clear" w:color="auto" w:fill="auto"/>
          </w:tcPr>
          <w:p w14:paraId="528DB51C" w14:textId="77777777" w:rsidR="002C2519" w:rsidRPr="00364F3A" w:rsidRDefault="002C2519" w:rsidP="00031EC1">
            <w:pPr>
              <w:keepNext/>
              <w:keepLines/>
              <w:jc w:val="center"/>
              <w:rPr>
                <w:sz w:val="22"/>
                <w:lang w:eastAsia="en-US"/>
              </w:rPr>
            </w:pPr>
            <w:r w:rsidRPr="00364F3A">
              <w:rPr>
                <w:sz w:val="22"/>
                <w:lang w:eastAsia="en-US"/>
              </w:rPr>
              <w:t>68</w:t>
            </w:r>
          </w:p>
        </w:tc>
        <w:tc>
          <w:tcPr>
            <w:tcW w:w="768" w:type="pct"/>
            <w:tcBorders>
              <w:top w:val="nil"/>
              <w:bottom w:val="single" w:sz="4" w:space="0" w:color="auto"/>
            </w:tcBorders>
            <w:shd w:val="clear" w:color="auto" w:fill="auto"/>
          </w:tcPr>
          <w:p w14:paraId="2169E750" w14:textId="77777777" w:rsidR="002C2519" w:rsidRPr="00364F3A" w:rsidRDefault="002C2519" w:rsidP="00031EC1">
            <w:pPr>
              <w:keepNext/>
              <w:keepLines/>
              <w:jc w:val="center"/>
              <w:rPr>
                <w:sz w:val="22"/>
                <w:lang w:eastAsia="en-US"/>
              </w:rPr>
            </w:pPr>
            <w:r w:rsidRPr="00364F3A">
              <w:rPr>
                <w:sz w:val="22"/>
                <w:lang w:eastAsia="en-US"/>
              </w:rPr>
              <w:t>61</w:t>
            </w:r>
          </w:p>
        </w:tc>
      </w:tr>
      <w:tr w:rsidR="002C2519" w:rsidRPr="009E3BF9" w14:paraId="0DBCF3D5" w14:textId="77777777" w:rsidTr="00031EC1">
        <w:tc>
          <w:tcPr>
            <w:tcW w:w="2004" w:type="pct"/>
            <w:tcBorders>
              <w:top w:val="single" w:sz="4" w:space="0" w:color="auto"/>
              <w:bottom w:val="nil"/>
            </w:tcBorders>
            <w:shd w:val="clear" w:color="auto" w:fill="auto"/>
          </w:tcPr>
          <w:p w14:paraId="6509EADA" w14:textId="77777777" w:rsidR="002C2519" w:rsidRPr="00364F3A" w:rsidRDefault="002C2519" w:rsidP="00364F3A">
            <w:pPr>
              <w:keepNext/>
              <w:keepLines/>
              <w:jc w:val="left"/>
              <w:rPr>
                <w:sz w:val="22"/>
                <w:lang w:eastAsia="en-US"/>
              </w:rPr>
            </w:pPr>
            <w:r w:rsidRPr="00364F3A">
              <w:rPr>
                <w:b/>
                <w:i/>
                <w:sz w:val="22"/>
                <w:lang w:eastAsia="en-US"/>
              </w:rPr>
              <w:t>Investigator-assessed Overall Best Response</w:t>
            </w:r>
            <w:r w:rsidRPr="00364F3A">
              <w:rPr>
                <w:b/>
                <w:i/>
                <w:sz w:val="22"/>
                <w:vertAlign w:val="superscript"/>
                <w:lang w:eastAsia="en-US"/>
              </w:rPr>
              <w:t>3</w:t>
            </w:r>
            <w:r w:rsidRPr="00364F3A">
              <w:rPr>
                <w:b/>
                <w:i/>
                <w:sz w:val="22"/>
                <w:lang w:eastAsia="en-US"/>
              </w:rPr>
              <w:t>* (RECIST 1.1)</w:t>
            </w:r>
          </w:p>
        </w:tc>
        <w:tc>
          <w:tcPr>
            <w:tcW w:w="1113" w:type="pct"/>
            <w:tcBorders>
              <w:top w:val="single" w:sz="4" w:space="0" w:color="auto"/>
              <w:bottom w:val="nil"/>
            </w:tcBorders>
          </w:tcPr>
          <w:p w14:paraId="48838BD4"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401</w:t>
            </w:r>
          </w:p>
        </w:tc>
        <w:tc>
          <w:tcPr>
            <w:tcW w:w="1114" w:type="pct"/>
            <w:gridSpan w:val="3"/>
            <w:tcBorders>
              <w:top w:val="single" w:sz="4" w:space="0" w:color="auto"/>
              <w:bottom w:val="nil"/>
            </w:tcBorders>
            <w:shd w:val="clear" w:color="auto" w:fill="auto"/>
          </w:tcPr>
          <w:p w14:paraId="79982DA9" w14:textId="77777777" w:rsidR="002C2519" w:rsidRPr="00364F3A" w:rsidRDefault="002C2519" w:rsidP="00031EC1">
            <w:pPr>
              <w:keepNext/>
              <w:keepLines/>
              <w:jc w:val="center"/>
              <w:rPr>
                <w:sz w:val="22"/>
                <w:lang w:eastAsia="en-US"/>
              </w:rPr>
            </w:pPr>
            <w:r w:rsidRPr="00364F3A">
              <w:rPr>
                <w:sz w:val="22"/>
                <w:lang w:val="pt-BR" w:eastAsia="en-US"/>
              </w:rPr>
              <w:t>n</w:t>
            </w:r>
            <w:r w:rsidRPr="00364F3A">
              <w:rPr>
                <w:sz w:val="22"/>
                <w:lang w:val="en-GB"/>
              </w:rPr>
              <w:t> = </w:t>
            </w:r>
            <w:r w:rsidRPr="00364F3A">
              <w:rPr>
                <w:sz w:val="22"/>
                <w:lang w:val="pt-BR" w:eastAsia="en-US"/>
              </w:rPr>
              <w:t>397</w:t>
            </w:r>
          </w:p>
        </w:tc>
        <w:tc>
          <w:tcPr>
            <w:tcW w:w="768" w:type="pct"/>
            <w:tcBorders>
              <w:top w:val="single" w:sz="4" w:space="0" w:color="auto"/>
              <w:bottom w:val="nil"/>
            </w:tcBorders>
            <w:shd w:val="clear" w:color="auto" w:fill="auto"/>
          </w:tcPr>
          <w:p w14:paraId="5E1CB0F1" w14:textId="77777777" w:rsidR="002C2519" w:rsidRPr="00364F3A" w:rsidRDefault="002C2519" w:rsidP="00031EC1">
            <w:pPr>
              <w:keepNext/>
              <w:keepLines/>
              <w:jc w:val="center"/>
              <w:rPr>
                <w:sz w:val="22"/>
                <w:lang w:eastAsia="en-US"/>
              </w:rPr>
            </w:pPr>
            <w:r w:rsidRPr="00364F3A">
              <w:rPr>
                <w:sz w:val="22"/>
                <w:lang w:val="pt-BR" w:eastAsia="en-US"/>
              </w:rPr>
              <w:t>n</w:t>
            </w:r>
            <w:r w:rsidRPr="00364F3A">
              <w:rPr>
                <w:sz w:val="22"/>
                <w:lang w:val="en-GB"/>
              </w:rPr>
              <w:t> = </w:t>
            </w:r>
            <w:r w:rsidRPr="00364F3A">
              <w:rPr>
                <w:sz w:val="22"/>
                <w:lang w:val="pt-BR" w:eastAsia="en-US"/>
              </w:rPr>
              <w:t>393</w:t>
            </w:r>
          </w:p>
        </w:tc>
      </w:tr>
      <w:tr w:rsidR="002C2519" w:rsidRPr="009E3BF9" w14:paraId="6B72FF0D" w14:textId="77777777" w:rsidTr="00031EC1">
        <w:tc>
          <w:tcPr>
            <w:tcW w:w="2004" w:type="pct"/>
            <w:tcBorders>
              <w:top w:val="nil"/>
            </w:tcBorders>
            <w:shd w:val="clear" w:color="auto" w:fill="auto"/>
          </w:tcPr>
          <w:p w14:paraId="24E2E389" w14:textId="77777777" w:rsidR="002C2519" w:rsidRPr="00364F3A" w:rsidRDefault="002C2519" w:rsidP="00364F3A">
            <w:pPr>
              <w:keepNext/>
              <w:keepLines/>
              <w:jc w:val="left"/>
              <w:rPr>
                <w:sz w:val="22"/>
                <w:lang w:eastAsia="en-US"/>
              </w:rPr>
            </w:pPr>
            <w:r w:rsidRPr="00364F3A">
              <w:rPr>
                <w:sz w:val="22"/>
                <w:lang w:val="pt-BR" w:eastAsia="en-US"/>
              </w:rPr>
              <w:t>No. of responders (%)</w:t>
            </w:r>
          </w:p>
        </w:tc>
        <w:tc>
          <w:tcPr>
            <w:tcW w:w="1113" w:type="pct"/>
            <w:tcBorders>
              <w:top w:val="nil"/>
            </w:tcBorders>
          </w:tcPr>
          <w:p w14:paraId="2F3FB83E" w14:textId="77777777" w:rsidR="002C2519" w:rsidRPr="00364F3A" w:rsidRDefault="002C2519" w:rsidP="00031EC1">
            <w:pPr>
              <w:keepNext/>
              <w:keepLines/>
              <w:jc w:val="center"/>
              <w:rPr>
                <w:sz w:val="22"/>
                <w:lang w:val="pt-BR" w:eastAsia="en-US"/>
              </w:rPr>
            </w:pPr>
            <w:r w:rsidRPr="00364F3A">
              <w:rPr>
                <w:sz w:val="22"/>
                <w:lang w:val="pt-BR" w:eastAsia="en-US"/>
              </w:rPr>
              <w:t>163 (40.6%)</w:t>
            </w:r>
          </w:p>
        </w:tc>
        <w:tc>
          <w:tcPr>
            <w:tcW w:w="1114" w:type="pct"/>
            <w:gridSpan w:val="3"/>
            <w:tcBorders>
              <w:top w:val="nil"/>
            </w:tcBorders>
            <w:shd w:val="clear" w:color="auto" w:fill="auto"/>
          </w:tcPr>
          <w:p w14:paraId="3A8BE237" w14:textId="77777777" w:rsidR="002C2519" w:rsidRPr="00364F3A" w:rsidRDefault="002C2519" w:rsidP="00031EC1">
            <w:pPr>
              <w:keepNext/>
              <w:keepLines/>
              <w:jc w:val="center"/>
              <w:rPr>
                <w:sz w:val="22"/>
                <w:lang w:eastAsia="en-US"/>
              </w:rPr>
            </w:pPr>
            <w:r w:rsidRPr="00364F3A">
              <w:rPr>
                <w:sz w:val="22"/>
                <w:lang w:val="pt-BR" w:eastAsia="en-US"/>
              </w:rPr>
              <w:t>224 (56.4%)</w:t>
            </w:r>
          </w:p>
        </w:tc>
        <w:tc>
          <w:tcPr>
            <w:tcW w:w="768" w:type="pct"/>
            <w:tcBorders>
              <w:top w:val="nil"/>
            </w:tcBorders>
            <w:shd w:val="clear" w:color="auto" w:fill="auto"/>
          </w:tcPr>
          <w:p w14:paraId="23721A98" w14:textId="77777777" w:rsidR="002C2519" w:rsidRPr="00364F3A" w:rsidRDefault="002C2519" w:rsidP="00031EC1">
            <w:pPr>
              <w:keepNext/>
              <w:keepLines/>
              <w:jc w:val="center"/>
              <w:rPr>
                <w:sz w:val="22"/>
                <w:lang w:eastAsia="en-US"/>
              </w:rPr>
            </w:pPr>
            <w:r w:rsidRPr="00364F3A">
              <w:rPr>
                <w:sz w:val="22"/>
                <w:lang w:val="pt-BR" w:eastAsia="en-US"/>
              </w:rPr>
              <w:t>158 (40.2%)</w:t>
            </w:r>
          </w:p>
        </w:tc>
      </w:tr>
      <w:tr w:rsidR="002C2519" w:rsidRPr="009E3BF9" w14:paraId="1CBA2614" w14:textId="77777777" w:rsidTr="00031EC1">
        <w:tc>
          <w:tcPr>
            <w:tcW w:w="2004" w:type="pct"/>
            <w:shd w:val="clear" w:color="auto" w:fill="auto"/>
          </w:tcPr>
          <w:p w14:paraId="35AF7AA7" w14:textId="77777777" w:rsidR="002C2519" w:rsidRPr="00364F3A" w:rsidRDefault="002C2519" w:rsidP="00364F3A">
            <w:pPr>
              <w:keepNext/>
              <w:keepLines/>
              <w:jc w:val="left"/>
              <w:rPr>
                <w:sz w:val="22"/>
                <w:lang w:eastAsia="en-US"/>
              </w:rPr>
            </w:pPr>
            <w:r w:rsidRPr="00364F3A">
              <w:rPr>
                <w:sz w:val="22"/>
                <w:lang w:eastAsia="en-US"/>
              </w:rPr>
              <w:t>95% CI</w:t>
            </w:r>
          </w:p>
        </w:tc>
        <w:tc>
          <w:tcPr>
            <w:tcW w:w="1113" w:type="pct"/>
          </w:tcPr>
          <w:p w14:paraId="280125EC" w14:textId="77777777" w:rsidR="002C2519" w:rsidRPr="00364F3A" w:rsidRDefault="002C2519" w:rsidP="00031EC1">
            <w:pPr>
              <w:keepNext/>
              <w:keepLines/>
              <w:jc w:val="center"/>
              <w:rPr>
                <w:sz w:val="22"/>
                <w:lang w:eastAsia="en-US"/>
              </w:rPr>
            </w:pPr>
            <w:r w:rsidRPr="00364F3A">
              <w:rPr>
                <w:sz w:val="22"/>
                <w:lang w:eastAsia="en-US"/>
              </w:rPr>
              <w:t>(35.8, 45.6)</w:t>
            </w:r>
          </w:p>
        </w:tc>
        <w:tc>
          <w:tcPr>
            <w:tcW w:w="1114" w:type="pct"/>
            <w:gridSpan w:val="3"/>
            <w:shd w:val="clear" w:color="auto" w:fill="auto"/>
          </w:tcPr>
          <w:p w14:paraId="4F188CA0" w14:textId="77777777" w:rsidR="002C2519" w:rsidRPr="00364F3A" w:rsidRDefault="002C2519" w:rsidP="00031EC1">
            <w:pPr>
              <w:keepNext/>
              <w:keepLines/>
              <w:jc w:val="center"/>
              <w:rPr>
                <w:sz w:val="22"/>
                <w:lang w:eastAsia="en-US"/>
              </w:rPr>
            </w:pPr>
            <w:r w:rsidRPr="00364F3A">
              <w:rPr>
                <w:sz w:val="22"/>
                <w:lang w:eastAsia="en-US"/>
              </w:rPr>
              <w:t>(51.4, 61.4)</w:t>
            </w:r>
          </w:p>
        </w:tc>
        <w:tc>
          <w:tcPr>
            <w:tcW w:w="768" w:type="pct"/>
            <w:shd w:val="clear" w:color="auto" w:fill="auto"/>
          </w:tcPr>
          <w:p w14:paraId="7BD7B14F" w14:textId="77777777" w:rsidR="002C2519" w:rsidRPr="00364F3A" w:rsidRDefault="002C2519" w:rsidP="00031EC1">
            <w:pPr>
              <w:keepNext/>
              <w:keepLines/>
              <w:jc w:val="center"/>
              <w:rPr>
                <w:sz w:val="22"/>
                <w:lang w:eastAsia="en-US"/>
              </w:rPr>
            </w:pPr>
            <w:r w:rsidRPr="00364F3A">
              <w:rPr>
                <w:sz w:val="22"/>
                <w:lang w:eastAsia="en-US"/>
              </w:rPr>
              <w:t>(35.3, 45.2)</w:t>
            </w:r>
          </w:p>
        </w:tc>
      </w:tr>
      <w:tr w:rsidR="002C2519" w:rsidRPr="009E3BF9" w14:paraId="69A46A25" w14:textId="77777777" w:rsidTr="00031EC1">
        <w:tc>
          <w:tcPr>
            <w:tcW w:w="2004" w:type="pct"/>
            <w:shd w:val="clear" w:color="auto" w:fill="auto"/>
          </w:tcPr>
          <w:p w14:paraId="2C5382D7" w14:textId="77777777" w:rsidR="002C2519" w:rsidRPr="00364F3A" w:rsidRDefault="002C2519" w:rsidP="00364F3A">
            <w:pPr>
              <w:keepNext/>
              <w:keepLines/>
              <w:jc w:val="left"/>
              <w:rPr>
                <w:sz w:val="22"/>
                <w:lang w:eastAsia="en-US"/>
              </w:rPr>
            </w:pPr>
            <w:r w:rsidRPr="00364F3A">
              <w:rPr>
                <w:sz w:val="22"/>
                <w:lang w:eastAsia="en-US"/>
              </w:rPr>
              <w:t>No. of complete response (%)</w:t>
            </w:r>
          </w:p>
        </w:tc>
        <w:tc>
          <w:tcPr>
            <w:tcW w:w="1113" w:type="pct"/>
          </w:tcPr>
          <w:p w14:paraId="1ACF4714" w14:textId="77777777" w:rsidR="002C2519" w:rsidRPr="00364F3A" w:rsidRDefault="002C2519" w:rsidP="00031EC1">
            <w:pPr>
              <w:keepNext/>
              <w:keepLines/>
              <w:jc w:val="center"/>
              <w:rPr>
                <w:sz w:val="22"/>
                <w:lang w:eastAsia="en-US"/>
              </w:rPr>
            </w:pPr>
            <w:r w:rsidRPr="00364F3A">
              <w:rPr>
                <w:sz w:val="22"/>
                <w:lang w:eastAsia="en-US"/>
              </w:rPr>
              <w:t>8 (2.0%)</w:t>
            </w:r>
          </w:p>
        </w:tc>
        <w:tc>
          <w:tcPr>
            <w:tcW w:w="1114" w:type="pct"/>
            <w:gridSpan w:val="3"/>
            <w:shd w:val="clear" w:color="auto" w:fill="auto"/>
          </w:tcPr>
          <w:p w14:paraId="1CE67CFF" w14:textId="77777777" w:rsidR="002C2519" w:rsidRPr="00364F3A" w:rsidRDefault="002C2519" w:rsidP="00031EC1">
            <w:pPr>
              <w:keepNext/>
              <w:keepLines/>
              <w:jc w:val="center"/>
              <w:rPr>
                <w:sz w:val="22"/>
                <w:lang w:eastAsia="en-US"/>
              </w:rPr>
            </w:pPr>
            <w:r w:rsidRPr="00364F3A">
              <w:rPr>
                <w:sz w:val="22"/>
                <w:lang w:eastAsia="en-US"/>
              </w:rPr>
              <w:t>11 (2.8%)</w:t>
            </w:r>
          </w:p>
        </w:tc>
        <w:tc>
          <w:tcPr>
            <w:tcW w:w="768" w:type="pct"/>
            <w:shd w:val="clear" w:color="auto" w:fill="auto"/>
          </w:tcPr>
          <w:p w14:paraId="5155F4FD" w14:textId="77777777" w:rsidR="002C2519" w:rsidRPr="00364F3A" w:rsidRDefault="002C2519" w:rsidP="00031EC1">
            <w:pPr>
              <w:keepNext/>
              <w:keepLines/>
              <w:jc w:val="center"/>
              <w:rPr>
                <w:sz w:val="22"/>
                <w:lang w:eastAsia="en-US"/>
              </w:rPr>
            </w:pPr>
            <w:r w:rsidRPr="00364F3A">
              <w:rPr>
                <w:sz w:val="22"/>
                <w:lang w:eastAsia="en-US"/>
              </w:rPr>
              <w:t>3 (0.8%)</w:t>
            </w:r>
          </w:p>
        </w:tc>
      </w:tr>
      <w:tr w:rsidR="002C2519" w:rsidRPr="009E3BF9" w14:paraId="38095EC3" w14:textId="77777777" w:rsidTr="00031EC1">
        <w:tc>
          <w:tcPr>
            <w:tcW w:w="2004" w:type="pct"/>
            <w:shd w:val="clear" w:color="auto" w:fill="auto"/>
          </w:tcPr>
          <w:p w14:paraId="6388FE48" w14:textId="77777777" w:rsidR="002C2519" w:rsidRPr="00364F3A" w:rsidRDefault="002C2519" w:rsidP="00364F3A">
            <w:pPr>
              <w:keepNext/>
              <w:keepLines/>
              <w:jc w:val="left"/>
              <w:rPr>
                <w:sz w:val="22"/>
                <w:lang w:eastAsia="en-US"/>
              </w:rPr>
            </w:pPr>
            <w:r w:rsidRPr="00364F3A">
              <w:rPr>
                <w:sz w:val="22"/>
                <w:lang w:eastAsia="en-US"/>
              </w:rPr>
              <w:t>No. of partial response (%)</w:t>
            </w:r>
          </w:p>
        </w:tc>
        <w:tc>
          <w:tcPr>
            <w:tcW w:w="1113" w:type="pct"/>
          </w:tcPr>
          <w:p w14:paraId="198FFF21" w14:textId="77777777" w:rsidR="002C2519" w:rsidRPr="00364F3A" w:rsidRDefault="002C2519" w:rsidP="00031EC1">
            <w:pPr>
              <w:keepNext/>
              <w:keepLines/>
              <w:jc w:val="center"/>
              <w:rPr>
                <w:sz w:val="22"/>
                <w:lang w:eastAsia="en-US"/>
              </w:rPr>
            </w:pPr>
            <w:r w:rsidRPr="00364F3A">
              <w:rPr>
                <w:sz w:val="22"/>
                <w:lang w:eastAsia="en-US"/>
              </w:rPr>
              <w:t>155 (38.7%)</w:t>
            </w:r>
          </w:p>
        </w:tc>
        <w:tc>
          <w:tcPr>
            <w:tcW w:w="1114" w:type="pct"/>
            <w:gridSpan w:val="3"/>
            <w:shd w:val="clear" w:color="auto" w:fill="auto"/>
          </w:tcPr>
          <w:p w14:paraId="443B48D7" w14:textId="77777777" w:rsidR="002C2519" w:rsidRPr="00364F3A" w:rsidRDefault="002C2519" w:rsidP="00031EC1">
            <w:pPr>
              <w:keepNext/>
              <w:keepLines/>
              <w:jc w:val="center"/>
              <w:rPr>
                <w:sz w:val="22"/>
                <w:lang w:eastAsia="en-US"/>
              </w:rPr>
            </w:pPr>
            <w:r w:rsidRPr="00364F3A">
              <w:rPr>
                <w:sz w:val="22"/>
                <w:lang w:eastAsia="en-US"/>
              </w:rPr>
              <w:t>213 (53.7%)</w:t>
            </w:r>
          </w:p>
        </w:tc>
        <w:tc>
          <w:tcPr>
            <w:tcW w:w="768" w:type="pct"/>
            <w:shd w:val="clear" w:color="auto" w:fill="auto"/>
          </w:tcPr>
          <w:p w14:paraId="31662E42" w14:textId="77777777" w:rsidR="002C2519" w:rsidRPr="00364F3A" w:rsidRDefault="002C2519" w:rsidP="00031EC1">
            <w:pPr>
              <w:keepNext/>
              <w:keepLines/>
              <w:jc w:val="center"/>
              <w:rPr>
                <w:sz w:val="22"/>
                <w:lang w:eastAsia="en-US"/>
              </w:rPr>
            </w:pPr>
            <w:r w:rsidRPr="00364F3A">
              <w:rPr>
                <w:sz w:val="22"/>
                <w:lang w:eastAsia="en-US"/>
              </w:rPr>
              <w:t>155 (39.4%)</w:t>
            </w:r>
          </w:p>
        </w:tc>
      </w:tr>
      <w:tr w:rsidR="002C2519" w:rsidRPr="009E3BF9" w14:paraId="7FF838EE" w14:textId="77777777" w:rsidTr="00031EC1">
        <w:tc>
          <w:tcPr>
            <w:tcW w:w="2004" w:type="pct"/>
            <w:tcBorders>
              <w:top w:val="single" w:sz="4" w:space="0" w:color="auto"/>
              <w:bottom w:val="nil"/>
            </w:tcBorders>
            <w:shd w:val="clear" w:color="auto" w:fill="auto"/>
          </w:tcPr>
          <w:p w14:paraId="5A852EF0" w14:textId="77777777" w:rsidR="002C2519" w:rsidRPr="00364F3A" w:rsidRDefault="002C2519" w:rsidP="00364F3A">
            <w:pPr>
              <w:keepNext/>
              <w:keepLines/>
              <w:jc w:val="left"/>
              <w:rPr>
                <w:rFonts w:ascii="Calibri" w:hAnsi="Calibri"/>
                <w:sz w:val="22"/>
                <w:lang w:eastAsia="en-US"/>
              </w:rPr>
            </w:pPr>
            <w:r w:rsidRPr="00364F3A">
              <w:rPr>
                <w:b/>
                <w:i/>
                <w:sz w:val="22"/>
                <w:lang w:eastAsia="en-US"/>
              </w:rPr>
              <w:t xml:space="preserve">Investigator-assessed DOR* </w:t>
            </w:r>
            <w:r w:rsidRPr="00364F3A">
              <w:rPr>
                <w:b/>
                <w:i/>
                <w:sz w:val="22"/>
                <w:lang w:eastAsia="zh-CN"/>
              </w:rPr>
              <w:t>(RECIST v1.1)</w:t>
            </w:r>
          </w:p>
        </w:tc>
        <w:tc>
          <w:tcPr>
            <w:tcW w:w="1113" w:type="pct"/>
            <w:tcBorders>
              <w:top w:val="single" w:sz="4" w:space="0" w:color="auto"/>
              <w:bottom w:val="nil"/>
            </w:tcBorders>
          </w:tcPr>
          <w:p w14:paraId="42668DB2"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163</w:t>
            </w:r>
          </w:p>
        </w:tc>
        <w:tc>
          <w:tcPr>
            <w:tcW w:w="1114" w:type="pct"/>
            <w:gridSpan w:val="3"/>
            <w:tcBorders>
              <w:top w:val="single" w:sz="4" w:space="0" w:color="auto"/>
              <w:bottom w:val="nil"/>
            </w:tcBorders>
            <w:shd w:val="clear" w:color="auto" w:fill="auto"/>
          </w:tcPr>
          <w:p w14:paraId="7356BDB4" w14:textId="77777777" w:rsidR="002C2519" w:rsidRPr="00364F3A" w:rsidRDefault="002C2519" w:rsidP="00031EC1">
            <w:pPr>
              <w:keepNext/>
              <w:keepLines/>
              <w:jc w:val="center"/>
              <w:rPr>
                <w:rFonts w:ascii="Calibri" w:hAnsi="Calibri"/>
                <w:sz w:val="22"/>
                <w:lang w:eastAsia="en-US"/>
              </w:rPr>
            </w:pPr>
            <w:r w:rsidRPr="00364F3A">
              <w:rPr>
                <w:sz w:val="22"/>
                <w:lang w:eastAsia="en-US"/>
              </w:rPr>
              <w:t>n</w:t>
            </w:r>
            <w:r w:rsidRPr="00364F3A">
              <w:rPr>
                <w:sz w:val="22"/>
                <w:lang w:val="en-GB"/>
              </w:rPr>
              <w:t> = </w:t>
            </w:r>
            <w:r w:rsidRPr="00364F3A">
              <w:rPr>
                <w:sz w:val="22"/>
                <w:lang w:eastAsia="en-US"/>
              </w:rPr>
              <w:t>224</w:t>
            </w:r>
          </w:p>
        </w:tc>
        <w:tc>
          <w:tcPr>
            <w:tcW w:w="768" w:type="pct"/>
            <w:tcBorders>
              <w:top w:val="single" w:sz="4" w:space="0" w:color="auto"/>
              <w:bottom w:val="nil"/>
            </w:tcBorders>
            <w:shd w:val="clear" w:color="auto" w:fill="auto"/>
          </w:tcPr>
          <w:p w14:paraId="61B88CA3" w14:textId="77777777" w:rsidR="002C2519" w:rsidRPr="00364F3A" w:rsidRDefault="002C2519" w:rsidP="00031EC1">
            <w:pPr>
              <w:keepNext/>
              <w:keepLines/>
              <w:jc w:val="center"/>
              <w:rPr>
                <w:rFonts w:ascii="Calibri" w:hAnsi="Calibri"/>
                <w:sz w:val="22"/>
                <w:lang w:eastAsia="en-US"/>
              </w:rPr>
            </w:pPr>
            <w:r w:rsidRPr="00364F3A">
              <w:rPr>
                <w:sz w:val="22"/>
                <w:lang w:eastAsia="en-US"/>
              </w:rPr>
              <w:t>n</w:t>
            </w:r>
            <w:r w:rsidRPr="00364F3A">
              <w:rPr>
                <w:sz w:val="22"/>
                <w:lang w:val="en-GB"/>
              </w:rPr>
              <w:t> = </w:t>
            </w:r>
            <w:r w:rsidRPr="00364F3A">
              <w:rPr>
                <w:sz w:val="22"/>
                <w:lang w:eastAsia="en-US"/>
              </w:rPr>
              <w:t>158</w:t>
            </w:r>
          </w:p>
        </w:tc>
      </w:tr>
      <w:tr w:rsidR="002C2519" w:rsidRPr="009E3BF9" w14:paraId="7ADA0BF1" w14:textId="77777777" w:rsidTr="00031EC1">
        <w:tc>
          <w:tcPr>
            <w:tcW w:w="2004" w:type="pct"/>
            <w:tcBorders>
              <w:top w:val="nil"/>
            </w:tcBorders>
            <w:shd w:val="clear" w:color="auto" w:fill="auto"/>
          </w:tcPr>
          <w:p w14:paraId="70ACFBFE" w14:textId="77777777" w:rsidR="002C2519" w:rsidRPr="00364F3A" w:rsidRDefault="002C2519" w:rsidP="00364F3A">
            <w:pPr>
              <w:keepNext/>
              <w:keepLines/>
              <w:jc w:val="left"/>
              <w:rPr>
                <w:rFonts w:ascii="Calibri" w:hAnsi="Calibri"/>
                <w:sz w:val="22"/>
                <w:lang w:eastAsia="en-US"/>
              </w:rPr>
            </w:pPr>
            <w:r w:rsidRPr="00364F3A">
              <w:rPr>
                <w:sz w:val="22"/>
                <w:lang w:eastAsia="en-US"/>
              </w:rPr>
              <w:t>Median in months</w:t>
            </w:r>
          </w:p>
        </w:tc>
        <w:tc>
          <w:tcPr>
            <w:tcW w:w="1113" w:type="pct"/>
            <w:tcBorders>
              <w:top w:val="nil"/>
            </w:tcBorders>
          </w:tcPr>
          <w:p w14:paraId="374C3117" w14:textId="77777777" w:rsidR="002C2519" w:rsidRPr="00364F3A" w:rsidRDefault="002C2519" w:rsidP="00031EC1">
            <w:pPr>
              <w:keepNext/>
              <w:keepLines/>
              <w:jc w:val="center"/>
              <w:rPr>
                <w:sz w:val="22"/>
                <w:lang w:eastAsia="en-US"/>
              </w:rPr>
            </w:pPr>
            <w:r w:rsidRPr="00364F3A">
              <w:rPr>
                <w:sz w:val="22"/>
                <w:lang w:eastAsia="en-US"/>
              </w:rPr>
              <w:t>8.3</w:t>
            </w:r>
          </w:p>
        </w:tc>
        <w:tc>
          <w:tcPr>
            <w:tcW w:w="1114" w:type="pct"/>
            <w:gridSpan w:val="3"/>
            <w:tcBorders>
              <w:top w:val="nil"/>
            </w:tcBorders>
            <w:shd w:val="clear" w:color="auto" w:fill="auto"/>
          </w:tcPr>
          <w:p w14:paraId="010415E7" w14:textId="77777777" w:rsidR="002C2519" w:rsidRPr="00364F3A" w:rsidRDefault="002C2519" w:rsidP="00031EC1">
            <w:pPr>
              <w:keepNext/>
              <w:keepLines/>
              <w:jc w:val="center"/>
              <w:rPr>
                <w:sz w:val="22"/>
                <w:lang w:eastAsia="en-US"/>
              </w:rPr>
            </w:pPr>
            <w:r w:rsidRPr="00364F3A">
              <w:rPr>
                <w:sz w:val="22"/>
                <w:lang w:eastAsia="en-US"/>
              </w:rPr>
              <w:t>11.5</w:t>
            </w:r>
          </w:p>
        </w:tc>
        <w:tc>
          <w:tcPr>
            <w:tcW w:w="768" w:type="pct"/>
            <w:tcBorders>
              <w:top w:val="nil"/>
            </w:tcBorders>
            <w:shd w:val="clear" w:color="auto" w:fill="auto"/>
          </w:tcPr>
          <w:p w14:paraId="14C8EA87" w14:textId="77777777" w:rsidR="002C2519" w:rsidRPr="00364F3A" w:rsidRDefault="002C2519" w:rsidP="00031EC1">
            <w:pPr>
              <w:keepNext/>
              <w:keepLines/>
              <w:jc w:val="center"/>
              <w:rPr>
                <w:rFonts w:ascii="Calibri" w:hAnsi="Calibri"/>
                <w:sz w:val="22"/>
                <w:lang w:eastAsia="en-US"/>
              </w:rPr>
            </w:pPr>
            <w:r w:rsidRPr="00364F3A">
              <w:rPr>
                <w:sz w:val="22"/>
                <w:lang w:eastAsia="en-US"/>
              </w:rPr>
              <w:t>6.0</w:t>
            </w:r>
          </w:p>
        </w:tc>
      </w:tr>
      <w:tr w:rsidR="002C2519" w:rsidRPr="009E3BF9" w14:paraId="22723F23" w14:textId="77777777" w:rsidTr="00031EC1">
        <w:tc>
          <w:tcPr>
            <w:tcW w:w="2004" w:type="pct"/>
            <w:shd w:val="clear" w:color="auto" w:fill="auto"/>
          </w:tcPr>
          <w:p w14:paraId="1A090C29" w14:textId="77777777" w:rsidR="002C2519" w:rsidRPr="00364F3A" w:rsidRDefault="002C2519" w:rsidP="00364F3A">
            <w:pPr>
              <w:keepNext/>
              <w:keepLines/>
              <w:jc w:val="left"/>
              <w:rPr>
                <w:rFonts w:ascii="Calibri" w:hAnsi="Calibri"/>
                <w:sz w:val="22"/>
                <w:lang w:eastAsia="en-US"/>
              </w:rPr>
            </w:pPr>
            <w:r w:rsidRPr="00364F3A">
              <w:rPr>
                <w:sz w:val="22"/>
                <w:lang w:eastAsia="en-US"/>
              </w:rPr>
              <w:t>95% CI</w:t>
            </w:r>
          </w:p>
        </w:tc>
        <w:tc>
          <w:tcPr>
            <w:tcW w:w="1113" w:type="pct"/>
          </w:tcPr>
          <w:p w14:paraId="68243677" w14:textId="77777777" w:rsidR="002C2519" w:rsidRPr="00364F3A" w:rsidRDefault="002C2519" w:rsidP="00031EC1">
            <w:pPr>
              <w:keepNext/>
              <w:keepLines/>
              <w:jc w:val="center"/>
              <w:rPr>
                <w:sz w:val="22"/>
                <w:lang w:eastAsia="en-US"/>
              </w:rPr>
            </w:pPr>
            <w:r w:rsidRPr="00364F3A">
              <w:rPr>
                <w:sz w:val="22"/>
                <w:lang w:eastAsia="en-US"/>
              </w:rPr>
              <w:t>(7.1, 11.8)</w:t>
            </w:r>
          </w:p>
        </w:tc>
        <w:tc>
          <w:tcPr>
            <w:tcW w:w="1114" w:type="pct"/>
            <w:gridSpan w:val="3"/>
            <w:shd w:val="clear" w:color="auto" w:fill="auto"/>
          </w:tcPr>
          <w:p w14:paraId="504A6E90" w14:textId="77777777" w:rsidR="002C2519" w:rsidRPr="00364F3A" w:rsidRDefault="002C2519" w:rsidP="00031EC1">
            <w:pPr>
              <w:keepNext/>
              <w:keepLines/>
              <w:jc w:val="center"/>
              <w:rPr>
                <w:rFonts w:ascii="Calibri" w:hAnsi="Calibri"/>
                <w:sz w:val="22"/>
                <w:lang w:eastAsia="en-US"/>
              </w:rPr>
            </w:pPr>
            <w:r w:rsidRPr="00364F3A">
              <w:rPr>
                <w:sz w:val="22"/>
                <w:lang w:eastAsia="en-US"/>
              </w:rPr>
              <w:t>(8.9, 15.7)</w:t>
            </w:r>
          </w:p>
        </w:tc>
        <w:tc>
          <w:tcPr>
            <w:tcW w:w="768" w:type="pct"/>
            <w:shd w:val="clear" w:color="auto" w:fill="auto"/>
          </w:tcPr>
          <w:p w14:paraId="52806367" w14:textId="77777777" w:rsidR="002C2519" w:rsidRPr="00364F3A" w:rsidRDefault="002C2519" w:rsidP="00031EC1">
            <w:pPr>
              <w:keepNext/>
              <w:keepLines/>
              <w:jc w:val="center"/>
              <w:rPr>
                <w:rFonts w:ascii="Calibri" w:hAnsi="Calibri"/>
                <w:sz w:val="22"/>
                <w:lang w:eastAsia="en-US"/>
              </w:rPr>
            </w:pPr>
            <w:r w:rsidRPr="00364F3A">
              <w:rPr>
                <w:sz w:val="22"/>
                <w:lang w:eastAsia="en-US"/>
              </w:rPr>
              <w:t>(5.5, 6.9)</w:t>
            </w:r>
          </w:p>
        </w:tc>
      </w:tr>
    </w:tbl>
    <w:p w14:paraId="13ECD797" w14:textId="77777777" w:rsidR="002C2519" w:rsidRPr="00364F3A" w:rsidRDefault="002C2519" w:rsidP="00364F3A">
      <w:pPr>
        <w:keepLines/>
        <w:jc w:val="left"/>
        <w:rPr>
          <w:sz w:val="22"/>
          <w:lang w:eastAsia="en-US"/>
        </w:rPr>
      </w:pPr>
      <w:r w:rsidRPr="00364F3A">
        <w:rPr>
          <w:sz w:val="22"/>
          <w:vertAlign w:val="superscript"/>
          <w:lang w:eastAsia="en-US"/>
        </w:rPr>
        <w:t>#</w:t>
      </w:r>
      <w:r w:rsidRPr="00364F3A">
        <w:rPr>
          <w:sz w:val="22"/>
          <w:lang w:eastAsia="en-US"/>
        </w:rPr>
        <w:t xml:space="preserve"> Primary efficacy endpoints were PFS and OS and they were analysed in the ITT-wild-type (WT) population, i.e. excluding patients</w:t>
      </w:r>
      <w:r w:rsidRPr="00364F3A">
        <w:rPr>
          <w:sz w:val="22"/>
          <w:lang w:val="en-GB"/>
        </w:rPr>
        <w:t xml:space="preserve"> with EGFR mutations or ALK rearrangements.</w:t>
      </w:r>
    </w:p>
    <w:p w14:paraId="00178657" w14:textId="5F140D95" w:rsidR="002C2519" w:rsidRPr="00364F3A" w:rsidRDefault="002C2519" w:rsidP="00364F3A">
      <w:pPr>
        <w:keepLines/>
        <w:jc w:val="left"/>
        <w:rPr>
          <w:sz w:val="22"/>
          <w:lang w:eastAsia="en-US"/>
        </w:rPr>
      </w:pPr>
      <w:r w:rsidRPr="00364F3A">
        <w:rPr>
          <w:sz w:val="22"/>
          <w:vertAlign w:val="superscript"/>
          <w:lang w:eastAsia="en-US"/>
        </w:rPr>
        <w:t>1</w:t>
      </w:r>
      <w:r w:rsidR="00F30BF2">
        <w:rPr>
          <w:sz w:val="22"/>
          <w:vertAlign w:val="superscript"/>
          <w:lang w:eastAsia="en-US"/>
        </w:rPr>
        <w:t xml:space="preserve"> </w:t>
      </w:r>
      <w:r w:rsidRPr="00364F3A">
        <w:rPr>
          <w:sz w:val="22"/>
          <w:lang w:eastAsia="en-US"/>
        </w:rPr>
        <w:t>Based on the stratified log-rank test</w:t>
      </w:r>
    </w:p>
    <w:p w14:paraId="218959DA" w14:textId="77777777" w:rsidR="002C2519" w:rsidRPr="00364F3A" w:rsidRDefault="002C2519" w:rsidP="00364F3A">
      <w:pPr>
        <w:keepLines/>
        <w:jc w:val="left"/>
        <w:rPr>
          <w:sz w:val="22"/>
          <w:lang w:eastAsia="zh-CN"/>
        </w:rPr>
      </w:pPr>
      <w:r w:rsidRPr="00364F3A">
        <w:rPr>
          <w:sz w:val="22"/>
          <w:vertAlign w:val="superscript"/>
          <w:lang w:eastAsia="en-US"/>
        </w:rPr>
        <w:t>2</w:t>
      </w:r>
      <w:r w:rsidRPr="00364F3A">
        <w:rPr>
          <w:rFonts w:ascii="Arial" w:hAnsi="Arial" w:cs="Arial"/>
          <w:i/>
          <w:iCs/>
          <w:sz w:val="22"/>
          <w:shd w:val="clear" w:color="auto" w:fill="FFFFFF"/>
        </w:rPr>
        <w:t xml:space="preserve"> </w:t>
      </w:r>
      <w:r w:rsidRPr="00364F3A">
        <w:rPr>
          <w:iCs/>
          <w:sz w:val="22"/>
          <w:shd w:val="clear" w:color="auto" w:fill="FFFFFF"/>
        </w:rPr>
        <w:t>For informational purposes; in the ITT population, comparisons between Arm B and Arm C as well as between Arm A and Arm C were not formally tested yet as per the pre-specified analysis hierarchy</w:t>
      </w:r>
    </w:p>
    <w:p w14:paraId="2D48B40C" w14:textId="5EF56F74" w:rsidR="002C2519" w:rsidRPr="00364F3A" w:rsidRDefault="002C2519" w:rsidP="00364F3A">
      <w:pPr>
        <w:keepLines/>
        <w:jc w:val="left"/>
        <w:rPr>
          <w:rFonts w:cs="Arial"/>
          <w:sz w:val="22"/>
          <w:lang w:eastAsia="zh-CN"/>
        </w:rPr>
      </w:pPr>
      <w:r w:rsidRPr="00364F3A">
        <w:rPr>
          <w:rFonts w:cs="Arial"/>
          <w:sz w:val="22"/>
          <w:vertAlign w:val="superscript"/>
          <w:lang w:eastAsia="zh-CN"/>
        </w:rPr>
        <w:t>3</w:t>
      </w:r>
      <w:r w:rsidR="00F30BF2">
        <w:rPr>
          <w:rFonts w:cs="Arial"/>
          <w:sz w:val="22"/>
          <w:vertAlign w:val="superscript"/>
          <w:lang w:eastAsia="zh-CN"/>
        </w:rPr>
        <w:t xml:space="preserve"> </w:t>
      </w:r>
      <w:r w:rsidRPr="00364F3A">
        <w:rPr>
          <w:rFonts w:cs="Arial"/>
          <w:sz w:val="22"/>
          <w:lang w:eastAsia="zh-CN"/>
        </w:rPr>
        <w:t>Overall best response for complete response and partial response</w:t>
      </w:r>
    </w:p>
    <w:p w14:paraId="59300C25" w14:textId="77777777" w:rsidR="002C2519" w:rsidRPr="00364F3A" w:rsidRDefault="002C2519" w:rsidP="00364F3A">
      <w:pPr>
        <w:keepLines/>
        <w:jc w:val="left"/>
        <w:rPr>
          <w:sz w:val="22"/>
          <w:lang w:eastAsia="en-US"/>
        </w:rPr>
      </w:pPr>
      <w:r w:rsidRPr="00364F3A">
        <w:rPr>
          <w:sz w:val="22"/>
          <w:vertAlign w:val="superscript"/>
          <w:lang w:eastAsia="en-US"/>
        </w:rPr>
        <w:t xml:space="preserve">‡ </w:t>
      </w:r>
      <w:r w:rsidRPr="00364F3A">
        <w:rPr>
          <w:sz w:val="22"/>
          <w:lang w:eastAsia="en-US"/>
        </w:rPr>
        <w:t>Stratified by sex, presence of liver metastases and PD-L1 tumour expression on TC and IC</w:t>
      </w:r>
    </w:p>
    <w:p w14:paraId="234ED4D7" w14:textId="77777777" w:rsidR="002C2519" w:rsidRPr="00364F3A" w:rsidRDefault="002C2519" w:rsidP="00364F3A">
      <w:pPr>
        <w:keepLines/>
        <w:jc w:val="left"/>
        <w:rPr>
          <w:sz w:val="22"/>
          <w:lang w:eastAsia="en-US"/>
        </w:rPr>
      </w:pPr>
      <w:r w:rsidRPr="00364F3A">
        <w:rPr>
          <w:sz w:val="22"/>
          <w:lang w:eastAsia="en-US"/>
        </w:rPr>
        <w:lastRenderedPageBreak/>
        <w:t>^ The Arm C is the comparison group for all hazard ratios</w:t>
      </w:r>
    </w:p>
    <w:p w14:paraId="2247F714" w14:textId="77777777" w:rsidR="002C2519" w:rsidRPr="00364F3A" w:rsidRDefault="002C2519" w:rsidP="00364F3A">
      <w:pPr>
        <w:keepLines/>
        <w:jc w:val="left"/>
        <w:rPr>
          <w:sz w:val="22"/>
          <w:lang w:eastAsia="en-US"/>
        </w:rPr>
      </w:pPr>
      <w:r w:rsidRPr="00364F3A">
        <w:rPr>
          <w:sz w:val="22"/>
          <w:lang w:eastAsia="en-US"/>
        </w:rPr>
        <w:t>* Updated PFS analysis and interim OS analysis at clinical cut-off 22 January 2018</w:t>
      </w:r>
    </w:p>
    <w:p w14:paraId="18DD06EE" w14:textId="069042A6" w:rsidR="002C2519" w:rsidRPr="00364F3A" w:rsidRDefault="002C2519" w:rsidP="00364F3A">
      <w:pPr>
        <w:keepLines/>
        <w:jc w:val="left"/>
        <w:rPr>
          <w:sz w:val="22"/>
          <w:lang w:eastAsia="de-DE"/>
        </w:rPr>
      </w:pPr>
      <w:r w:rsidRPr="00364F3A">
        <w:rPr>
          <w:sz w:val="22"/>
          <w:lang w:eastAsia="de-DE"/>
        </w:rPr>
        <w:t>PFS</w:t>
      </w:r>
      <w:r w:rsidRPr="00364F3A">
        <w:rPr>
          <w:sz w:val="22"/>
          <w:lang w:val="en-GB"/>
        </w:rPr>
        <w:t> = </w:t>
      </w:r>
      <w:r w:rsidRPr="00364F3A">
        <w:rPr>
          <w:sz w:val="22"/>
          <w:lang w:eastAsia="de-DE"/>
        </w:rPr>
        <w:t>progression-free survival; RECIST</w:t>
      </w:r>
      <w:r w:rsidRPr="00364F3A">
        <w:rPr>
          <w:sz w:val="22"/>
          <w:lang w:val="en-GB"/>
        </w:rPr>
        <w:t> = </w:t>
      </w:r>
      <w:r w:rsidRPr="00364F3A">
        <w:rPr>
          <w:sz w:val="22"/>
          <w:lang w:eastAsia="de-DE"/>
        </w:rPr>
        <w:t>Response Evaluation Criteria in Solid Tumours v1.1.</w:t>
      </w:r>
      <w:r w:rsidR="00F30BF2">
        <w:rPr>
          <w:sz w:val="22"/>
          <w:lang w:eastAsia="de-DE"/>
        </w:rPr>
        <w:t xml:space="preserve"> </w:t>
      </w:r>
      <w:r w:rsidRPr="00364F3A">
        <w:rPr>
          <w:sz w:val="22"/>
          <w:lang w:eastAsia="de-DE"/>
        </w:rPr>
        <w:t>CI</w:t>
      </w:r>
      <w:r w:rsidRPr="00364F3A">
        <w:rPr>
          <w:sz w:val="22"/>
          <w:lang w:val="en-GB"/>
        </w:rPr>
        <w:t> = </w:t>
      </w:r>
      <w:r w:rsidRPr="00364F3A">
        <w:rPr>
          <w:sz w:val="22"/>
          <w:lang w:eastAsia="de-DE"/>
        </w:rPr>
        <w:t>confidence interval; DOR</w:t>
      </w:r>
      <w:r w:rsidRPr="00364F3A">
        <w:rPr>
          <w:sz w:val="22"/>
          <w:lang w:val="en-GB"/>
        </w:rPr>
        <w:t> = </w:t>
      </w:r>
      <w:r w:rsidRPr="00364F3A">
        <w:rPr>
          <w:sz w:val="22"/>
          <w:lang w:eastAsia="de-DE"/>
        </w:rPr>
        <w:t>duration of response; OS</w:t>
      </w:r>
      <w:r w:rsidRPr="00364F3A">
        <w:rPr>
          <w:sz w:val="22"/>
          <w:lang w:val="en-GB"/>
        </w:rPr>
        <w:t> = </w:t>
      </w:r>
      <w:r w:rsidRPr="00364F3A">
        <w:rPr>
          <w:sz w:val="22"/>
          <w:lang w:eastAsia="de-DE"/>
        </w:rPr>
        <w:t>overall survival.</w:t>
      </w:r>
    </w:p>
    <w:p w14:paraId="725FA5C9" w14:textId="77777777" w:rsidR="002C2519" w:rsidRPr="00D122BD" w:rsidRDefault="002C2519" w:rsidP="002C2519">
      <w:pPr>
        <w:keepLines/>
        <w:rPr>
          <w:sz w:val="20"/>
          <w:lang w:eastAsia="de-DE"/>
        </w:rPr>
      </w:pPr>
    </w:p>
    <w:p w14:paraId="5A67FB3E" w14:textId="5C115688" w:rsidR="002C2519" w:rsidRPr="00D122BD" w:rsidRDefault="002C2519" w:rsidP="002C2519">
      <w:pPr>
        <w:keepNext/>
        <w:keepLines/>
        <w:rPr>
          <w:i/>
          <w:u w:val="single"/>
          <w:lang w:val="en-GB"/>
        </w:rPr>
      </w:pPr>
      <w:r w:rsidRPr="00BB610F">
        <w:rPr>
          <w:rFonts w:eastAsia="Calibri"/>
          <w:b/>
          <w:lang w:eastAsia="en-US"/>
        </w:rPr>
        <w:t xml:space="preserve">Table </w:t>
      </w:r>
      <w:r w:rsidR="003520F3">
        <w:rPr>
          <w:rFonts w:eastAsia="Calibri"/>
          <w:b/>
          <w:lang w:eastAsia="en-US"/>
        </w:rPr>
        <w:t>9</w:t>
      </w:r>
      <w:r w:rsidR="009E3BF9">
        <w:rPr>
          <w:rFonts w:eastAsia="Calibri"/>
          <w:b/>
          <w:lang w:eastAsia="en-US"/>
        </w:rPr>
        <w:t>.</w:t>
      </w:r>
      <w:r w:rsidRPr="00BB610F">
        <w:rPr>
          <w:rFonts w:eastAsia="Calibri"/>
          <w:b/>
          <w:lang w:eastAsia="en-US"/>
        </w:rPr>
        <w:t xml:space="preserve"> Summary of updated efficacy for Arm A vs Arm B in the ITT population</w:t>
      </w:r>
      <w:r w:rsidRPr="00D122BD">
        <w:rPr>
          <w:rFonts w:eastAsia="Calibri"/>
          <w:b/>
          <w:lang w:eastAsia="en-US"/>
        </w:rPr>
        <w:t xml:space="preserve"> (IMpower150)</w:t>
      </w:r>
    </w:p>
    <w:tbl>
      <w:tblPr>
        <w:tblW w:w="9072" w:type="dxa"/>
        <w:tblInd w:w="10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261"/>
        <w:gridCol w:w="2551"/>
        <w:gridCol w:w="3260"/>
      </w:tblGrid>
      <w:tr w:rsidR="002C2519" w:rsidRPr="009E3BF9" w14:paraId="00EAB6C5" w14:textId="77777777" w:rsidTr="00364F3A">
        <w:trPr>
          <w:tblHeader/>
        </w:trPr>
        <w:tc>
          <w:tcPr>
            <w:tcW w:w="3261" w:type="dxa"/>
            <w:tcBorders>
              <w:top w:val="single" w:sz="4" w:space="0" w:color="auto"/>
              <w:bottom w:val="single" w:sz="4" w:space="0" w:color="auto"/>
            </w:tcBorders>
            <w:shd w:val="clear" w:color="auto" w:fill="FFFFFF"/>
          </w:tcPr>
          <w:p w14:paraId="40096D1D" w14:textId="77777777" w:rsidR="002C2519" w:rsidRPr="00364F3A" w:rsidRDefault="002C2519" w:rsidP="00031EC1">
            <w:pPr>
              <w:keepNext/>
              <w:keepLines/>
              <w:rPr>
                <w:b/>
                <w:sz w:val="22"/>
                <w:lang w:eastAsia="en-US"/>
              </w:rPr>
            </w:pPr>
            <w:r w:rsidRPr="00364F3A">
              <w:rPr>
                <w:b/>
                <w:sz w:val="22"/>
                <w:lang w:eastAsia="en-US"/>
              </w:rPr>
              <w:t>Efficacy endpoint</w:t>
            </w:r>
          </w:p>
        </w:tc>
        <w:tc>
          <w:tcPr>
            <w:tcW w:w="2551" w:type="dxa"/>
            <w:tcBorders>
              <w:top w:val="single" w:sz="4" w:space="0" w:color="auto"/>
              <w:bottom w:val="single" w:sz="4" w:space="0" w:color="auto"/>
            </w:tcBorders>
            <w:shd w:val="clear" w:color="auto" w:fill="FFFFFF"/>
          </w:tcPr>
          <w:p w14:paraId="44ABC5D4" w14:textId="77777777" w:rsidR="002C2519" w:rsidRPr="00364F3A" w:rsidRDefault="002C2519" w:rsidP="00031EC1">
            <w:pPr>
              <w:keepNext/>
              <w:keepLines/>
              <w:jc w:val="center"/>
              <w:rPr>
                <w:b/>
                <w:sz w:val="22"/>
                <w:lang w:eastAsia="en-US"/>
              </w:rPr>
            </w:pPr>
            <w:r w:rsidRPr="00364F3A">
              <w:rPr>
                <w:b/>
                <w:sz w:val="22"/>
                <w:lang w:eastAsia="en-US"/>
              </w:rPr>
              <w:t>Arm A</w:t>
            </w:r>
          </w:p>
          <w:p w14:paraId="0CD13D1F" w14:textId="4C3B654A" w:rsidR="002C2519" w:rsidRPr="00364F3A" w:rsidRDefault="002C2519">
            <w:pPr>
              <w:keepNext/>
              <w:keepLines/>
              <w:jc w:val="center"/>
              <w:rPr>
                <w:b/>
                <w:sz w:val="22"/>
                <w:lang w:eastAsia="en-US"/>
              </w:rPr>
            </w:pPr>
            <w:r w:rsidRPr="00364F3A">
              <w:rPr>
                <w:b/>
                <w:sz w:val="22"/>
                <w:lang w:eastAsia="en-US"/>
              </w:rPr>
              <w:t>(</w:t>
            </w:r>
            <w:proofErr w:type="spellStart"/>
            <w:r w:rsidR="009E3BF9">
              <w:rPr>
                <w:b/>
                <w:sz w:val="22"/>
                <w:lang w:eastAsia="en-US"/>
              </w:rPr>
              <w:t>Tecentriq</w:t>
            </w:r>
            <w:proofErr w:type="spellEnd"/>
            <w:r w:rsidR="00F30BF2" w:rsidRPr="00364F3A">
              <w:rPr>
                <w:b/>
                <w:sz w:val="22"/>
                <w:lang w:eastAsia="en-US"/>
              </w:rPr>
              <w:t xml:space="preserve"> + p</w:t>
            </w:r>
            <w:r w:rsidRPr="00364F3A">
              <w:rPr>
                <w:b/>
                <w:sz w:val="22"/>
                <w:lang w:eastAsia="en-US"/>
              </w:rPr>
              <w:t>a</w:t>
            </w:r>
            <w:r w:rsidR="00F30BF2" w:rsidRPr="00364F3A">
              <w:rPr>
                <w:b/>
                <w:sz w:val="22"/>
                <w:lang w:eastAsia="en-US"/>
              </w:rPr>
              <w:t>clitaxel + c</w:t>
            </w:r>
            <w:r w:rsidRPr="00364F3A">
              <w:rPr>
                <w:b/>
                <w:sz w:val="22"/>
                <w:lang w:eastAsia="en-US"/>
              </w:rPr>
              <w:t xml:space="preserve">arboplatin) </w:t>
            </w:r>
          </w:p>
        </w:tc>
        <w:tc>
          <w:tcPr>
            <w:tcW w:w="3260" w:type="dxa"/>
            <w:tcBorders>
              <w:top w:val="single" w:sz="4" w:space="0" w:color="auto"/>
              <w:bottom w:val="single" w:sz="4" w:space="0" w:color="auto"/>
            </w:tcBorders>
            <w:shd w:val="clear" w:color="auto" w:fill="FFFFFF"/>
          </w:tcPr>
          <w:p w14:paraId="52227F57" w14:textId="77777777" w:rsidR="002C2519" w:rsidRPr="00364F3A" w:rsidRDefault="002C2519" w:rsidP="00031EC1">
            <w:pPr>
              <w:keepNext/>
              <w:keepLines/>
              <w:jc w:val="center"/>
              <w:rPr>
                <w:b/>
                <w:sz w:val="22"/>
                <w:lang w:eastAsia="en-US"/>
              </w:rPr>
            </w:pPr>
            <w:r w:rsidRPr="00364F3A">
              <w:rPr>
                <w:b/>
                <w:sz w:val="22"/>
                <w:lang w:eastAsia="en-US"/>
              </w:rPr>
              <w:t>Arm B</w:t>
            </w:r>
          </w:p>
          <w:p w14:paraId="107C0579" w14:textId="646B2089" w:rsidR="002C2519" w:rsidRPr="00364F3A" w:rsidRDefault="002C2519">
            <w:pPr>
              <w:keepNext/>
              <w:keepLines/>
              <w:jc w:val="center"/>
              <w:rPr>
                <w:b/>
                <w:sz w:val="22"/>
                <w:lang w:eastAsia="en-US"/>
              </w:rPr>
            </w:pPr>
            <w:r w:rsidRPr="00364F3A">
              <w:rPr>
                <w:b/>
                <w:sz w:val="22"/>
                <w:lang w:eastAsia="en-US"/>
              </w:rPr>
              <w:t>(</w:t>
            </w:r>
            <w:proofErr w:type="spellStart"/>
            <w:r w:rsidR="009E3BF9">
              <w:rPr>
                <w:b/>
                <w:sz w:val="22"/>
                <w:lang w:eastAsia="en-US"/>
              </w:rPr>
              <w:t>Tecentriq</w:t>
            </w:r>
            <w:proofErr w:type="spellEnd"/>
            <w:r w:rsidR="00F30BF2" w:rsidRPr="00364F3A">
              <w:rPr>
                <w:b/>
                <w:sz w:val="22"/>
                <w:lang w:eastAsia="en-US"/>
              </w:rPr>
              <w:t xml:space="preserve"> + bevacizumab + paclitaxel + c</w:t>
            </w:r>
            <w:r w:rsidRPr="00364F3A">
              <w:rPr>
                <w:b/>
                <w:sz w:val="22"/>
                <w:lang w:eastAsia="en-US"/>
              </w:rPr>
              <w:t>arboplatin)</w:t>
            </w:r>
          </w:p>
        </w:tc>
      </w:tr>
      <w:tr w:rsidR="002C2519" w:rsidRPr="009E3BF9" w14:paraId="5CEC0AF9" w14:textId="77777777" w:rsidTr="00364F3A">
        <w:tc>
          <w:tcPr>
            <w:tcW w:w="3261" w:type="dxa"/>
            <w:tcBorders>
              <w:top w:val="single" w:sz="4" w:space="0" w:color="auto"/>
            </w:tcBorders>
            <w:shd w:val="clear" w:color="auto" w:fill="auto"/>
          </w:tcPr>
          <w:p w14:paraId="477265CE" w14:textId="77777777" w:rsidR="002C2519" w:rsidRPr="00364F3A" w:rsidRDefault="002C2519" w:rsidP="00364F3A">
            <w:pPr>
              <w:keepNext/>
              <w:keepLines/>
              <w:jc w:val="left"/>
              <w:rPr>
                <w:b/>
                <w:i/>
                <w:sz w:val="22"/>
                <w:vertAlign w:val="superscript"/>
                <w:lang w:eastAsia="en-US"/>
              </w:rPr>
            </w:pPr>
            <w:r w:rsidRPr="00364F3A">
              <w:rPr>
                <w:b/>
                <w:i/>
                <w:sz w:val="22"/>
                <w:lang w:eastAsia="en-US"/>
              </w:rPr>
              <w:t>Investigator-assessed PFS (RECIST v1.1)*</w:t>
            </w:r>
          </w:p>
        </w:tc>
        <w:tc>
          <w:tcPr>
            <w:tcW w:w="2551" w:type="dxa"/>
            <w:tcBorders>
              <w:top w:val="single" w:sz="4" w:space="0" w:color="auto"/>
            </w:tcBorders>
            <w:shd w:val="clear" w:color="auto" w:fill="auto"/>
          </w:tcPr>
          <w:p w14:paraId="0AB85932"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402</w:t>
            </w:r>
          </w:p>
        </w:tc>
        <w:tc>
          <w:tcPr>
            <w:tcW w:w="3260" w:type="dxa"/>
            <w:tcBorders>
              <w:top w:val="single" w:sz="4" w:space="0" w:color="auto"/>
            </w:tcBorders>
            <w:shd w:val="clear" w:color="auto" w:fill="auto"/>
          </w:tcPr>
          <w:p w14:paraId="5D428B6F"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400</w:t>
            </w:r>
          </w:p>
        </w:tc>
      </w:tr>
      <w:tr w:rsidR="002C2519" w:rsidRPr="009E3BF9" w14:paraId="4FDBC4D8" w14:textId="77777777" w:rsidTr="00364F3A">
        <w:tc>
          <w:tcPr>
            <w:tcW w:w="3261" w:type="dxa"/>
            <w:shd w:val="clear" w:color="auto" w:fill="auto"/>
          </w:tcPr>
          <w:p w14:paraId="666DD0A4" w14:textId="77777777" w:rsidR="002C2519" w:rsidRPr="00364F3A" w:rsidRDefault="002C2519" w:rsidP="00364F3A">
            <w:pPr>
              <w:keepNext/>
              <w:keepLines/>
              <w:jc w:val="left"/>
              <w:rPr>
                <w:sz w:val="22"/>
                <w:lang w:eastAsia="en-US"/>
              </w:rPr>
            </w:pPr>
            <w:r w:rsidRPr="00364F3A">
              <w:rPr>
                <w:sz w:val="22"/>
                <w:lang w:eastAsia="en-US"/>
              </w:rPr>
              <w:t>No. of events (%)</w:t>
            </w:r>
          </w:p>
        </w:tc>
        <w:tc>
          <w:tcPr>
            <w:tcW w:w="2551" w:type="dxa"/>
            <w:shd w:val="clear" w:color="auto" w:fill="auto"/>
          </w:tcPr>
          <w:p w14:paraId="1DEA09C8" w14:textId="77777777" w:rsidR="002C2519" w:rsidRPr="00364F3A" w:rsidRDefault="002C2519" w:rsidP="00031EC1">
            <w:pPr>
              <w:keepNext/>
              <w:keepLines/>
              <w:jc w:val="center"/>
              <w:rPr>
                <w:sz w:val="22"/>
                <w:lang w:eastAsia="en-US"/>
              </w:rPr>
            </w:pPr>
            <w:r w:rsidRPr="00364F3A">
              <w:rPr>
                <w:sz w:val="22"/>
                <w:lang w:eastAsia="en-US"/>
              </w:rPr>
              <w:t>330 (82.1%)</w:t>
            </w:r>
          </w:p>
        </w:tc>
        <w:tc>
          <w:tcPr>
            <w:tcW w:w="3260" w:type="dxa"/>
            <w:shd w:val="clear" w:color="auto" w:fill="auto"/>
          </w:tcPr>
          <w:p w14:paraId="36860E34" w14:textId="77777777" w:rsidR="002C2519" w:rsidRPr="00364F3A" w:rsidRDefault="002C2519" w:rsidP="00031EC1">
            <w:pPr>
              <w:keepNext/>
              <w:keepLines/>
              <w:jc w:val="center"/>
              <w:rPr>
                <w:sz w:val="22"/>
                <w:lang w:eastAsia="en-US"/>
              </w:rPr>
            </w:pPr>
            <w:r w:rsidRPr="00364F3A">
              <w:rPr>
                <w:sz w:val="22"/>
                <w:lang w:eastAsia="en-US"/>
              </w:rPr>
              <w:t>291 (72.8%)</w:t>
            </w:r>
          </w:p>
        </w:tc>
      </w:tr>
      <w:tr w:rsidR="002C2519" w:rsidRPr="009E3BF9" w14:paraId="768A912D" w14:textId="77777777" w:rsidTr="00364F3A">
        <w:tc>
          <w:tcPr>
            <w:tcW w:w="3261" w:type="dxa"/>
            <w:shd w:val="clear" w:color="auto" w:fill="auto"/>
          </w:tcPr>
          <w:p w14:paraId="3D1B7826" w14:textId="77777777" w:rsidR="002C2519" w:rsidRPr="00364F3A" w:rsidRDefault="002C2519" w:rsidP="00364F3A">
            <w:pPr>
              <w:keepNext/>
              <w:keepLines/>
              <w:jc w:val="left"/>
              <w:rPr>
                <w:sz w:val="22"/>
                <w:lang w:eastAsia="en-US"/>
              </w:rPr>
            </w:pPr>
            <w:r w:rsidRPr="00364F3A">
              <w:rPr>
                <w:sz w:val="22"/>
                <w:lang w:eastAsia="en-US"/>
              </w:rPr>
              <w:t>Median duration of PFS (months)</w:t>
            </w:r>
          </w:p>
        </w:tc>
        <w:tc>
          <w:tcPr>
            <w:tcW w:w="2551" w:type="dxa"/>
            <w:shd w:val="clear" w:color="auto" w:fill="auto"/>
          </w:tcPr>
          <w:p w14:paraId="61DD0FF0" w14:textId="77777777" w:rsidR="002C2519" w:rsidRPr="00364F3A" w:rsidRDefault="002C2519" w:rsidP="00031EC1">
            <w:pPr>
              <w:keepNext/>
              <w:keepLines/>
              <w:jc w:val="center"/>
              <w:rPr>
                <w:sz w:val="22"/>
                <w:lang w:eastAsia="en-US"/>
              </w:rPr>
            </w:pPr>
            <w:r w:rsidRPr="00364F3A">
              <w:rPr>
                <w:sz w:val="22"/>
                <w:lang w:eastAsia="en-US"/>
              </w:rPr>
              <w:t>6.7</w:t>
            </w:r>
          </w:p>
        </w:tc>
        <w:tc>
          <w:tcPr>
            <w:tcW w:w="3260" w:type="dxa"/>
            <w:shd w:val="clear" w:color="auto" w:fill="auto"/>
          </w:tcPr>
          <w:p w14:paraId="78B9449F" w14:textId="77777777" w:rsidR="002C2519" w:rsidRPr="00364F3A" w:rsidRDefault="002C2519" w:rsidP="00031EC1">
            <w:pPr>
              <w:keepNext/>
              <w:keepLines/>
              <w:jc w:val="center"/>
              <w:rPr>
                <w:sz w:val="22"/>
                <w:lang w:eastAsia="en-US"/>
              </w:rPr>
            </w:pPr>
            <w:r w:rsidRPr="00364F3A">
              <w:rPr>
                <w:sz w:val="22"/>
                <w:lang w:eastAsia="en-US"/>
              </w:rPr>
              <w:t>8.4</w:t>
            </w:r>
          </w:p>
        </w:tc>
      </w:tr>
      <w:tr w:rsidR="002C2519" w:rsidRPr="009E3BF9" w14:paraId="6AA8352E" w14:textId="77777777" w:rsidTr="00364F3A">
        <w:tc>
          <w:tcPr>
            <w:tcW w:w="3261" w:type="dxa"/>
            <w:shd w:val="clear" w:color="auto" w:fill="auto"/>
          </w:tcPr>
          <w:p w14:paraId="3CF070A5" w14:textId="77777777" w:rsidR="002C2519" w:rsidRPr="00364F3A" w:rsidRDefault="002C2519" w:rsidP="00364F3A">
            <w:pPr>
              <w:keepNext/>
              <w:keepLines/>
              <w:jc w:val="left"/>
              <w:rPr>
                <w:sz w:val="22"/>
                <w:lang w:eastAsia="en-US"/>
              </w:rPr>
            </w:pPr>
            <w:r w:rsidRPr="00364F3A">
              <w:rPr>
                <w:sz w:val="22"/>
                <w:lang w:eastAsia="en-US"/>
              </w:rPr>
              <w:t>95% CI</w:t>
            </w:r>
          </w:p>
        </w:tc>
        <w:tc>
          <w:tcPr>
            <w:tcW w:w="2551" w:type="dxa"/>
            <w:shd w:val="clear" w:color="auto" w:fill="auto"/>
          </w:tcPr>
          <w:p w14:paraId="6F1E492C" w14:textId="77777777" w:rsidR="002C2519" w:rsidRPr="00364F3A" w:rsidRDefault="002C2519" w:rsidP="00031EC1">
            <w:pPr>
              <w:keepNext/>
              <w:keepLines/>
              <w:jc w:val="center"/>
              <w:rPr>
                <w:sz w:val="22"/>
                <w:lang w:eastAsia="en-US"/>
              </w:rPr>
            </w:pPr>
            <w:r w:rsidRPr="00364F3A">
              <w:rPr>
                <w:sz w:val="22"/>
                <w:lang w:eastAsia="en-US"/>
              </w:rPr>
              <w:t>(5.7, 6.9)</w:t>
            </w:r>
          </w:p>
        </w:tc>
        <w:tc>
          <w:tcPr>
            <w:tcW w:w="3260" w:type="dxa"/>
            <w:shd w:val="clear" w:color="auto" w:fill="auto"/>
          </w:tcPr>
          <w:p w14:paraId="77EA1803" w14:textId="77777777" w:rsidR="002C2519" w:rsidRPr="00364F3A" w:rsidRDefault="002C2519" w:rsidP="00031EC1">
            <w:pPr>
              <w:keepNext/>
              <w:keepLines/>
              <w:jc w:val="center"/>
              <w:rPr>
                <w:sz w:val="22"/>
                <w:lang w:eastAsia="en-US"/>
              </w:rPr>
            </w:pPr>
            <w:r w:rsidRPr="00364F3A">
              <w:rPr>
                <w:sz w:val="22"/>
                <w:lang w:eastAsia="en-US"/>
              </w:rPr>
              <w:t>(8.0, 9.9)</w:t>
            </w:r>
          </w:p>
        </w:tc>
      </w:tr>
      <w:tr w:rsidR="002C2519" w:rsidRPr="009E3BF9" w14:paraId="6E2C7474" w14:textId="77777777" w:rsidTr="00364F3A">
        <w:tc>
          <w:tcPr>
            <w:tcW w:w="3261" w:type="dxa"/>
            <w:shd w:val="clear" w:color="auto" w:fill="auto"/>
          </w:tcPr>
          <w:p w14:paraId="520D1CEC" w14:textId="77777777" w:rsidR="002C2519" w:rsidRPr="00364F3A" w:rsidRDefault="002C2519" w:rsidP="00364F3A">
            <w:pPr>
              <w:keepNext/>
              <w:keepLines/>
              <w:jc w:val="left"/>
              <w:rPr>
                <w:sz w:val="22"/>
                <w:lang w:eastAsia="en-US"/>
              </w:rPr>
            </w:pPr>
            <w:r w:rsidRPr="00364F3A">
              <w:rPr>
                <w:sz w:val="22"/>
                <w:lang w:eastAsia="en-US"/>
              </w:rPr>
              <w:t>Stratified hazard ratio</w:t>
            </w:r>
            <w:r w:rsidRPr="00364F3A">
              <w:rPr>
                <w:sz w:val="22"/>
                <w:vertAlign w:val="superscript"/>
                <w:lang w:eastAsia="en-US"/>
              </w:rPr>
              <w:t>‡</w:t>
            </w:r>
            <w:r w:rsidRPr="00364F3A">
              <w:rPr>
                <w:sz w:val="22"/>
                <w:lang w:eastAsia="en-US"/>
              </w:rPr>
              <w:t>^</w:t>
            </w:r>
            <w:r w:rsidRPr="00364F3A">
              <w:rPr>
                <w:sz w:val="22"/>
                <w:vertAlign w:val="superscript"/>
                <w:lang w:eastAsia="en-US"/>
              </w:rPr>
              <w:t xml:space="preserve"> </w:t>
            </w:r>
            <w:r w:rsidRPr="00364F3A">
              <w:rPr>
                <w:sz w:val="22"/>
                <w:lang w:eastAsia="en-US"/>
              </w:rPr>
              <w:t>(95% CI)</w:t>
            </w:r>
          </w:p>
          <w:p w14:paraId="5C1B6333" w14:textId="77777777" w:rsidR="002C2519" w:rsidRPr="00364F3A" w:rsidRDefault="002C2519" w:rsidP="00364F3A">
            <w:pPr>
              <w:keepNext/>
              <w:keepLines/>
              <w:jc w:val="left"/>
              <w:rPr>
                <w:sz w:val="22"/>
                <w:lang w:eastAsia="en-US"/>
              </w:rPr>
            </w:pPr>
            <w:r w:rsidRPr="00364F3A">
              <w:rPr>
                <w:sz w:val="22"/>
                <w:lang w:eastAsia="en-US"/>
              </w:rPr>
              <w:t>p-value</w:t>
            </w:r>
            <w:r w:rsidRPr="00364F3A">
              <w:rPr>
                <w:sz w:val="22"/>
                <w:vertAlign w:val="superscript"/>
                <w:lang w:eastAsia="en-US"/>
              </w:rPr>
              <w:t>1,2</w:t>
            </w:r>
          </w:p>
        </w:tc>
        <w:tc>
          <w:tcPr>
            <w:tcW w:w="5811" w:type="dxa"/>
            <w:gridSpan w:val="2"/>
            <w:shd w:val="clear" w:color="auto" w:fill="auto"/>
          </w:tcPr>
          <w:p w14:paraId="622630D6" w14:textId="087A98AB" w:rsidR="002C2519" w:rsidRPr="00364F3A" w:rsidRDefault="002C2519" w:rsidP="00364F3A">
            <w:pPr>
              <w:keepNext/>
              <w:keepLines/>
              <w:jc w:val="center"/>
              <w:rPr>
                <w:sz w:val="22"/>
                <w:lang w:eastAsia="en-US"/>
              </w:rPr>
            </w:pPr>
            <w:r w:rsidRPr="00364F3A">
              <w:rPr>
                <w:sz w:val="22"/>
                <w:lang w:eastAsia="en-US"/>
              </w:rPr>
              <w:t>0.67 (0.57, 0.79)</w:t>
            </w:r>
            <w:r w:rsidR="00F30BF2">
              <w:rPr>
                <w:sz w:val="22"/>
                <w:lang w:eastAsia="en-US"/>
              </w:rPr>
              <w:br/>
            </w:r>
            <w:r w:rsidRPr="00364F3A">
              <w:rPr>
                <w:sz w:val="22"/>
                <w:lang w:eastAsia="en-US"/>
              </w:rPr>
              <w:t>&lt; 0.0001</w:t>
            </w:r>
          </w:p>
        </w:tc>
      </w:tr>
      <w:tr w:rsidR="002C2519" w:rsidRPr="009E3BF9" w14:paraId="15A828A2" w14:textId="77777777" w:rsidTr="00364F3A">
        <w:tc>
          <w:tcPr>
            <w:tcW w:w="3261" w:type="dxa"/>
            <w:tcBorders>
              <w:top w:val="single" w:sz="4" w:space="0" w:color="auto"/>
              <w:bottom w:val="nil"/>
            </w:tcBorders>
            <w:shd w:val="clear" w:color="auto" w:fill="auto"/>
          </w:tcPr>
          <w:p w14:paraId="3A7C89DE" w14:textId="77777777" w:rsidR="002C2519" w:rsidRPr="00364F3A" w:rsidRDefault="002C2519" w:rsidP="00364F3A">
            <w:pPr>
              <w:keepNext/>
              <w:keepLines/>
              <w:jc w:val="left"/>
              <w:rPr>
                <w:sz w:val="22"/>
                <w:lang w:eastAsia="en-US"/>
              </w:rPr>
            </w:pPr>
            <w:r w:rsidRPr="00364F3A">
              <w:rPr>
                <w:b/>
                <w:i/>
                <w:sz w:val="22"/>
                <w:lang w:eastAsia="en-US"/>
              </w:rPr>
              <w:t>OS interim analysis*</w:t>
            </w:r>
          </w:p>
        </w:tc>
        <w:tc>
          <w:tcPr>
            <w:tcW w:w="2551" w:type="dxa"/>
            <w:tcBorders>
              <w:top w:val="single" w:sz="4" w:space="0" w:color="auto"/>
              <w:bottom w:val="nil"/>
            </w:tcBorders>
            <w:shd w:val="clear" w:color="auto" w:fill="auto"/>
          </w:tcPr>
          <w:p w14:paraId="56C1C9B6" w14:textId="77777777" w:rsidR="002C2519" w:rsidRPr="00364F3A" w:rsidRDefault="002C2519" w:rsidP="00031EC1">
            <w:pPr>
              <w:keepNext/>
              <w:keepLines/>
              <w:jc w:val="center"/>
              <w:rPr>
                <w:sz w:val="22"/>
                <w:lang w:eastAsia="en-US"/>
              </w:rPr>
            </w:pPr>
            <w:r w:rsidRPr="00364F3A">
              <w:rPr>
                <w:sz w:val="22"/>
                <w:lang w:eastAsia="en-US"/>
              </w:rPr>
              <w:t>n</w:t>
            </w:r>
            <w:r w:rsidRPr="00364F3A">
              <w:rPr>
                <w:sz w:val="22"/>
                <w:lang w:val="en-GB"/>
              </w:rPr>
              <w:t> = </w:t>
            </w:r>
            <w:r w:rsidRPr="00364F3A">
              <w:rPr>
                <w:sz w:val="22"/>
                <w:lang w:eastAsia="en-US"/>
              </w:rPr>
              <w:t>402</w:t>
            </w:r>
          </w:p>
        </w:tc>
        <w:tc>
          <w:tcPr>
            <w:tcW w:w="3260" w:type="dxa"/>
            <w:tcBorders>
              <w:top w:val="single" w:sz="4" w:space="0" w:color="auto"/>
              <w:bottom w:val="nil"/>
            </w:tcBorders>
            <w:shd w:val="clear" w:color="auto" w:fill="auto"/>
          </w:tcPr>
          <w:p w14:paraId="63643091" w14:textId="77777777" w:rsidR="002C2519" w:rsidRPr="00364F3A" w:rsidRDefault="002C2519" w:rsidP="00031EC1">
            <w:pPr>
              <w:keepNext/>
              <w:keepLines/>
              <w:jc w:val="center"/>
              <w:rPr>
                <w:sz w:val="22"/>
                <w:lang w:eastAsia="en-US"/>
              </w:rPr>
            </w:pPr>
            <w:r w:rsidRPr="00364F3A">
              <w:rPr>
                <w:sz w:val="22"/>
                <w:lang w:eastAsia="en-US"/>
              </w:rPr>
              <w:t xml:space="preserve"> n</w:t>
            </w:r>
            <w:r w:rsidRPr="00364F3A">
              <w:rPr>
                <w:sz w:val="22"/>
                <w:lang w:val="en-GB"/>
              </w:rPr>
              <w:t> = </w:t>
            </w:r>
            <w:r w:rsidRPr="00364F3A">
              <w:rPr>
                <w:sz w:val="22"/>
                <w:lang w:eastAsia="en-US"/>
              </w:rPr>
              <w:t>400</w:t>
            </w:r>
          </w:p>
        </w:tc>
      </w:tr>
      <w:tr w:rsidR="002C2519" w:rsidRPr="009E3BF9" w14:paraId="5A087304" w14:textId="77777777" w:rsidTr="00364F3A">
        <w:tc>
          <w:tcPr>
            <w:tcW w:w="3261" w:type="dxa"/>
            <w:shd w:val="clear" w:color="auto" w:fill="auto"/>
          </w:tcPr>
          <w:p w14:paraId="6F2B8F4A" w14:textId="77777777" w:rsidR="002C2519" w:rsidRPr="00364F3A" w:rsidRDefault="002C2519" w:rsidP="00364F3A">
            <w:pPr>
              <w:keepNext/>
              <w:keepLines/>
              <w:jc w:val="left"/>
              <w:rPr>
                <w:sz w:val="22"/>
                <w:lang w:eastAsia="en-US"/>
              </w:rPr>
            </w:pPr>
            <w:r w:rsidRPr="00364F3A">
              <w:rPr>
                <w:sz w:val="22"/>
                <w:lang w:eastAsia="en-US"/>
              </w:rPr>
              <w:t>No. of deaths (%)</w:t>
            </w:r>
          </w:p>
          <w:p w14:paraId="7524EBD0" w14:textId="77777777" w:rsidR="002C2519" w:rsidRPr="00364F3A" w:rsidRDefault="002C2519" w:rsidP="00364F3A">
            <w:pPr>
              <w:keepNext/>
              <w:keepLines/>
              <w:jc w:val="left"/>
              <w:rPr>
                <w:sz w:val="22"/>
                <w:lang w:eastAsia="en-US"/>
              </w:rPr>
            </w:pPr>
            <w:r w:rsidRPr="00364F3A">
              <w:rPr>
                <w:sz w:val="22"/>
                <w:lang w:eastAsia="en-US"/>
              </w:rPr>
              <w:t>Median time to events (months)</w:t>
            </w:r>
          </w:p>
          <w:p w14:paraId="247773FD" w14:textId="77777777" w:rsidR="002C2519" w:rsidRPr="00364F3A" w:rsidRDefault="002C2519" w:rsidP="00364F3A">
            <w:pPr>
              <w:keepNext/>
              <w:keepLines/>
              <w:jc w:val="left"/>
              <w:rPr>
                <w:sz w:val="22"/>
                <w:lang w:eastAsia="en-US"/>
              </w:rPr>
            </w:pPr>
            <w:r w:rsidRPr="00364F3A">
              <w:rPr>
                <w:sz w:val="22"/>
                <w:lang w:eastAsia="en-US"/>
              </w:rPr>
              <w:t>95% CI</w:t>
            </w:r>
          </w:p>
        </w:tc>
        <w:tc>
          <w:tcPr>
            <w:tcW w:w="2551" w:type="dxa"/>
            <w:shd w:val="clear" w:color="auto" w:fill="auto"/>
          </w:tcPr>
          <w:p w14:paraId="15A97A45" w14:textId="77777777" w:rsidR="002C2519" w:rsidRPr="00364F3A" w:rsidRDefault="002C2519" w:rsidP="00031EC1">
            <w:pPr>
              <w:keepNext/>
              <w:keepLines/>
              <w:jc w:val="center"/>
              <w:rPr>
                <w:sz w:val="22"/>
                <w:lang w:eastAsia="en-US"/>
              </w:rPr>
            </w:pPr>
            <w:r w:rsidRPr="00364F3A">
              <w:rPr>
                <w:sz w:val="22"/>
                <w:lang w:eastAsia="en-US"/>
              </w:rPr>
              <w:t>206 (51.2%)</w:t>
            </w:r>
          </w:p>
          <w:p w14:paraId="21C455E0" w14:textId="77777777" w:rsidR="002C2519" w:rsidRPr="00364F3A" w:rsidRDefault="002C2519" w:rsidP="00031EC1">
            <w:pPr>
              <w:keepNext/>
              <w:keepLines/>
              <w:jc w:val="center"/>
              <w:rPr>
                <w:sz w:val="22"/>
                <w:lang w:eastAsia="en-US"/>
              </w:rPr>
            </w:pPr>
            <w:r w:rsidRPr="00364F3A">
              <w:rPr>
                <w:sz w:val="22"/>
                <w:lang w:eastAsia="en-US"/>
              </w:rPr>
              <w:t xml:space="preserve">19.5 </w:t>
            </w:r>
          </w:p>
          <w:p w14:paraId="041F3DAF" w14:textId="77777777" w:rsidR="002C2519" w:rsidRPr="00364F3A" w:rsidRDefault="002C2519" w:rsidP="00031EC1">
            <w:pPr>
              <w:keepNext/>
              <w:keepLines/>
              <w:jc w:val="center"/>
              <w:rPr>
                <w:sz w:val="22"/>
                <w:lang w:eastAsia="en-US"/>
              </w:rPr>
            </w:pPr>
            <w:r w:rsidRPr="00364F3A">
              <w:rPr>
                <w:sz w:val="22"/>
                <w:lang w:eastAsia="en-US"/>
              </w:rPr>
              <w:t>(16.3, 21.3)</w:t>
            </w:r>
          </w:p>
        </w:tc>
        <w:tc>
          <w:tcPr>
            <w:tcW w:w="3260" w:type="dxa"/>
            <w:shd w:val="clear" w:color="auto" w:fill="auto"/>
          </w:tcPr>
          <w:p w14:paraId="3D8E04BE" w14:textId="77777777" w:rsidR="002C2519" w:rsidRPr="00364F3A" w:rsidRDefault="002C2519" w:rsidP="00031EC1">
            <w:pPr>
              <w:keepNext/>
              <w:keepLines/>
              <w:jc w:val="center"/>
              <w:rPr>
                <w:sz w:val="22"/>
                <w:lang w:eastAsia="en-US"/>
              </w:rPr>
            </w:pPr>
            <w:r w:rsidRPr="00364F3A">
              <w:rPr>
                <w:sz w:val="22"/>
                <w:lang w:eastAsia="en-US"/>
              </w:rPr>
              <w:t>192 (48.0%)</w:t>
            </w:r>
          </w:p>
          <w:p w14:paraId="0C58C046" w14:textId="77777777" w:rsidR="002C2519" w:rsidRPr="00364F3A" w:rsidRDefault="002C2519" w:rsidP="00031EC1">
            <w:pPr>
              <w:keepNext/>
              <w:keepLines/>
              <w:jc w:val="center"/>
              <w:rPr>
                <w:sz w:val="22"/>
                <w:lang w:eastAsia="en-US"/>
              </w:rPr>
            </w:pPr>
            <w:r w:rsidRPr="00364F3A">
              <w:rPr>
                <w:sz w:val="22"/>
                <w:lang w:eastAsia="en-US"/>
              </w:rPr>
              <w:t>19.8</w:t>
            </w:r>
          </w:p>
          <w:p w14:paraId="43D4E956" w14:textId="77777777" w:rsidR="002C2519" w:rsidRPr="00364F3A" w:rsidRDefault="002C2519" w:rsidP="00031EC1">
            <w:pPr>
              <w:keepNext/>
              <w:keepLines/>
              <w:jc w:val="center"/>
              <w:rPr>
                <w:sz w:val="22"/>
                <w:lang w:eastAsia="en-US"/>
              </w:rPr>
            </w:pPr>
            <w:r w:rsidRPr="00364F3A">
              <w:rPr>
                <w:sz w:val="22"/>
                <w:lang w:eastAsia="en-US"/>
              </w:rPr>
              <w:t>(17.4, 24.2)</w:t>
            </w:r>
          </w:p>
        </w:tc>
      </w:tr>
      <w:tr w:rsidR="002C2519" w:rsidRPr="009E3BF9" w14:paraId="48B33F4D" w14:textId="77777777" w:rsidTr="00364F3A">
        <w:tc>
          <w:tcPr>
            <w:tcW w:w="3261" w:type="dxa"/>
            <w:tcBorders>
              <w:left w:val="single" w:sz="4" w:space="0" w:color="auto"/>
            </w:tcBorders>
            <w:shd w:val="clear" w:color="auto" w:fill="auto"/>
          </w:tcPr>
          <w:p w14:paraId="11313414" w14:textId="77777777" w:rsidR="002C2519" w:rsidRPr="00364F3A" w:rsidRDefault="002C2519" w:rsidP="00364F3A">
            <w:pPr>
              <w:keepNext/>
              <w:keepLines/>
              <w:jc w:val="left"/>
              <w:rPr>
                <w:sz w:val="22"/>
                <w:lang w:eastAsia="en-US"/>
              </w:rPr>
            </w:pPr>
            <w:r w:rsidRPr="00364F3A">
              <w:rPr>
                <w:sz w:val="22"/>
                <w:lang w:eastAsia="en-US"/>
              </w:rPr>
              <w:t>Stratified hazard ratio</w:t>
            </w:r>
            <w:r w:rsidRPr="00364F3A">
              <w:rPr>
                <w:sz w:val="22"/>
                <w:vertAlign w:val="superscript"/>
                <w:lang w:eastAsia="en-US"/>
              </w:rPr>
              <w:t>‡</w:t>
            </w:r>
            <w:r w:rsidRPr="00364F3A">
              <w:rPr>
                <w:sz w:val="22"/>
                <w:lang w:eastAsia="en-US"/>
              </w:rPr>
              <w:t>^ (95% CI)</w:t>
            </w:r>
          </w:p>
          <w:p w14:paraId="27A78BA7" w14:textId="77777777" w:rsidR="002C2519" w:rsidRPr="00364F3A" w:rsidRDefault="002C2519" w:rsidP="00364F3A">
            <w:pPr>
              <w:keepNext/>
              <w:keepLines/>
              <w:jc w:val="left"/>
              <w:rPr>
                <w:sz w:val="22"/>
                <w:lang w:eastAsia="en-US"/>
              </w:rPr>
            </w:pPr>
            <w:r w:rsidRPr="00364F3A">
              <w:rPr>
                <w:sz w:val="22"/>
                <w:lang w:eastAsia="en-US"/>
              </w:rPr>
              <w:t>p-value</w:t>
            </w:r>
            <w:r w:rsidRPr="00364F3A">
              <w:rPr>
                <w:sz w:val="22"/>
                <w:vertAlign w:val="superscript"/>
                <w:lang w:eastAsia="en-US"/>
              </w:rPr>
              <w:t>1,2</w:t>
            </w:r>
          </w:p>
        </w:tc>
        <w:tc>
          <w:tcPr>
            <w:tcW w:w="5811" w:type="dxa"/>
            <w:gridSpan w:val="2"/>
            <w:shd w:val="clear" w:color="auto" w:fill="auto"/>
          </w:tcPr>
          <w:p w14:paraId="61A55BD5" w14:textId="77777777" w:rsidR="002C2519" w:rsidRPr="00364F3A" w:rsidRDefault="002C2519" w:rsidP="00031EC1">
            <w:pPr>
              <w:keepNext/>
              <w:keepLines/>
              <w:jc w:val="center"/>
              <w:rPr>
                <w:sz w:val="22"/>
                <w:lang w:eastAsia="en-US"/>
              </w:rPr>
            </w:pPr>
            <w:r w:rsidRPr="00364F3A">
              <w:rPr>
                <w:sz w:val="22"/>
                <w:lang w:eastAsia="en-US"/>
              </w:rPr>
              <w:t xml:space="preserve">0.90 (0.74, 1.10) </w:t>
            </w:r>
          </w:p>
          <w:p w14:paraId="1FC0F63D" w14:textId="77777777" w:rsidR="002C2519" w:rsidRPr="00364F3A" w:rsidRDefault="002C2519" w:rsidP="00031EC1">
            <w:pPr>
              <w:keepNext/>
              <w:keepLines/>
              <w:jc w:val="center"/>
              <w:rPr>
                <w:sz w:val="22"/>
                <w:lang w:eastAsia="en-US"/>
              </w:rPr>
            </w:pPr>
            <w:r w:rsidRPr="00364F3A">
              <w:rPr>
                <w:sz w:val="22"/>
                <w:lang w:eastAsia="en-US"/>
              </w:rPr>
              <w:t>0.3000</w:t>
            </w:r>
          </w:p>
        </w:tc>
      </w:tr>
    </w:tbl>
    <w:p w14:paraId="1F904F35" w14:textId="6F390CA8" w:rsidR="002C2519" w:rsidRPr="00364F3A" w:rsidRDefault="002C2519" w:rsidP="002C2519">
      <w:pPr>
        <w:keepLines/>
        <w:ind w:left="142"/>
        <w:contextualSpacing/>
        <w:rPr>
          <w:sz w:val="22"/>
          <w:lang w:eastAsia="en-US"/>
        </w:rPr>
      </w:pPr>
      <w:r w:rsidRPr="00364F3A">
        <w:rPr>
          <w:sz w:val="22"/>
          <w:vertAlign w:val="superscript"/>
          <w:lang w:eastAsia="en-US"/>
        </w:rPr>
        <w:t>1</w:t>
      </w:r>
      <w:r w:rsidR="00F30BF2">
        <w:rPr>
          <w:sz w:val="22"/>
          <w:vertAlign w:val="superscript"/>
          <w:lang w:eastAsia="en-US"/>
        </w:rPr>
        <w:t xml:space="preserve"> </w:t>
      </w:r>
      <w:r w:rsidRPr="00364F3A">
        <w:rPr>
          <w:sz w:val="22"/>
          <w:lang w:eastAsia="en-US"/>
        </w:rPr>
        <w:t>Based on the stratified log-rank test</w:t>
      </w:r>
    </w:p>
    <w:p w14:paraId="7E3B5CBF" w14:textId="38DE5C62" w:rsidR="002C2519" w:rsidRPr="00364F3A" w:rsidRDefault="002C2519" w:rsidP="002C2519">
      <w:pPr>
        <w:keepLines/>
        <w:ind w:left="142"/>
        <w:contextualSpacing/>
        <w:rPr>
          <w:sz w:val="22"/>
          <w:lang w:eastAsia="en-US"/>
        </w:rPr>
      </w:pPr>
      <w:r w:rsidRPr="00364F3A">
        <w:rPr>
          <w:sz w:val="22"/>
          <w:vertAlign w:val="superscript"/>
          <w:lang w:eastAsia="en-US"/>
        </w:rPr>
        <w:t>2</w:t>
      </w:r>
      <w:r w:rsidR="00F30BF2">
        <w:rPr>
          <w:sz w:val="22"/>
          <w:vertAlign w:val="superscript"/>
          <w:lang w:eastAsia="en-US"/>
        </w:rPr>
        <w:t xml:space="preserve"> </w:t>
      </w:r>
      <w:r w:rsidRPr="00364F3A">
        <w:rPr>
          <w:sz w:val="22"/>
          <w:lang w:eastAsia="en-US"/>
        </w:rPr>
        <w:t>For informational purposes; in the ITT population, comparisons between Arm A and Arm B were not included in the pre-specified analysis hierarchy</w:t>
      </w:r>
    </w:p>
    <w:p w14:paraId="466209F1" w14:textId="77777777" w:rsidR="002C2519" w:rsidRPr="00364F3A" w:rsidRDefault="002C2519" w:rsidP="002C2519">
      <w:pPr>
        <w:keepLines/>
        <w:ind w:left="142"/>
        <w:contextualSpacing/>
        <w:rPr>
          <w:sz w:val="22"/>
          <w:lang w:eastAsia="en-US"/>
        </w:rPr>
      </w:pPr>
      <w:r w:rsidRPr="00364F3A">
        <w:rPr>
          <w:sz w:val="22"/>
          <w:vertAlign w:val="superscript"/>
          <w:lang w:eastAsia="en-US"/>
        </w:rPr>
        <w:t>‡</w:t>
      </w:r>
      <w:r w:rsidRPr="00364F3A">
        <w:rPr>
          <w:sz w:val="22"/>
          <w:lang w:eastAsia="en-US"/>
        </w:rPr>
        <w:t xml:space="preserve"> Stratified by sex, presence of liver metastases and PD-L1 expression on TC and IC</w:t>
      </w:r>
    </w:p>
    <w:p w14:paraId="3A243473" w14:textId="77777777" w:rsidR="002C2519" w:rsidRPr="00364F3A" w:rsidRDefault="002C2519" w:rsidP="002C2519">
      <w:pPr>
        <w:keepLines/>
        <w:ind w:left="142"/>
        <w:contextualSpacing/>
        <w:rPr>
          <w:sz w:val="22"/>
          <w:lang w:eastAsia="en-US"/>
        </w:rPr>
      </w:pPr>
      <w:r w:rsidRPr="00364F3A">
        <w:rPr>
          <w:sz w:val="22"/>
          <w:lang w:eastAsia="en-US"/>
        </w:rPr>
        <w:t>*  Updated PFS analysis and interim OS analysis at clinical cut-off 22 January 2018</w:t>
      </w:r>
    </w:p>
    <w:p w14:paraId="19FCE7B6" w14:textId="77777777" w:rsidR="002C2519" w:rsidRPr="00364F3A" w:rsidRDefault="002C2519" w:rsidP="002C2519">
      <w:pPr>
        <w:keepLines/>
        <w:ind w:left="142"/>
        <w:rPr>
          <w:sz w:val="22"/>
          <w:lang w:eastAsia="en-US"/>
        </w:rPr>
      </w:pPr>
      <w:r w:rsidRPr="00364F3A">
        <w:rPr>
          <w:sz w:val="22"/>
          <w:lang w:eastAsia="en-US"/>
        </w:rPr>
        <w:t>^ The Arm A is the comparison group for all hazard ratios</w:t>
      </w:r>
    </w:p>
    <w:p w14:paraId="1651F2FB" w14:textId="77777777" w:rsidR="002C2519" w:rsidRPr="00D122BD" w:rsidRDefault="002C2519" w:rsidP="002C2519">
      <w:pPr>
        <w:keepLines/>
        <w:rPr>
          <w:sz w:val="20"/>
          <w:lang w:eastAsia="de-DE"/>
        </w:rPr>
      </w:pPr>
    </w:p>
    <w:p w14:paraId="60E3540F" w14:textId="099AEFBC" w:rsidR="002C2519" w:rsidRPr="00D122BD" w:rsidRDefault="002C2519" w:rsidP="002C2519">
      <w:pPr>
        <w:keepLines/>
        <w:rPr>
          <w:rFonts w:eastAsia="Calibri"/>
          <w:b/>
          <w:lang w:eastAsia="en-US"/>
        </w:rPr>
      </w:pPr>
      <w:r w:rsidRPr="00D122BD">
        <w:rPr>
          <w:rFonts w:eastAsia="Calibri"/>
          <w:b/>
          <w:lang w:eastAsia="en-US"/>
        </w:rPr>
        <w:t xml:space="preserve">Figure </w:t>
      </w:r>
      <w:r w:rsidR="009E3BF9">
        <w:rPr>
          <w:rFonts w:eastAsia="Calibri"/>
          <w:b/>
          <w:lang w:eastAsia="en-US"/>
        </w:rPr>
        <w:t>1.</w:t>
      </w:r>
      <w:r w:rsidRPr="00D122BD">
        <w:rPr>
          <w:rFonts w:eastAsia="Calibri"/>
          <w:b/>
          <w:lang w:eastAsia="en-US"/>
        </w:rPr>
        <w:t xml:space="preserve"> Kaplan-Meier curve for overall survival in the ITT population (IMpower150)</w:t>
      </w:r>
    </w:p>
    <w:p w14:paraId="0C1CAB3A" w14:textId="77777777" w:rsidR="002C2519" w:rsidRPr="00D122BD" w:rsidRDefault="002C2519" w:rsidP="002C2519">
      <w:pPr>
        <w:keepLines/>
        <w:rPr>
          <w:rFonts w:eastAsia="Calibri"/>
          <w:b/>
          <w:lang w:eastAsia="en-US"/>
        </w:rPr>
      </w:pPr>
    </w:p>
    <w:p w14:paraId="42E19980" w14:textId="35043BB8" w:rsidR="002C2519" w:rsidRPr="00D122BD" w:rsidRDefault="002C2519" w:rsidP="007846E2">
      <w:pPr>
        <w:rPr>
          <w:rFonts w:eastAsia="Calibri"/>
          <w:b/>
          <w:lang w:eastAsia="en-US"/>
        </w:rPr>
      </w:pPr>
      <w:r>
        <w:rPr>
          <w:noProof/>
          <w:lang w:eastAsia="en-AU"/>
        </w:rPr>
        <w:drawing>
          <wp:inline distT="0" distB="0" distL="0" distR="0" wp14:anchorId="3471E2C1" wp14:editId="18B363B1">
            <wp:extent cx="5743575" cy="25908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590800"/>
                    </a:xfrm>
                    <a:prstGeom prst="rect">
                      <a:avLst/>
                    </a:prstGeom>
                    <a:noFill/>
                    <a:ln>
                      <a:noFill/>
                    </a:ln>
                  </pic:spPr>
                </pic:pic>
              </a:graphicData>
            </a:graphic>
          </wp:inline>
        </w:drawing>
      </w:r>
    </w:p>
    <w:p w14:paraId="63CA9DA3" w14:textId="77777777" w:rsidR="002C2519" w:rsidRPr="00D122BD" w:rsidRDefault="002C2519" w:rsidP="002C2519">
      <w:pPr>
        <w:rPr>
          <w:rFonts w:cs="Arial"/>
          <w:noProof/>
          <w:lang w:val="en-GB" w:eastAsia="zh-CN"/>
        </w:rPr>
      </w:pPr>
    </w:p>
    <w:p w14:paraId="6F0E63C2" w14:textId="1B4874B0" w:rsidR="002C2519" w:rsidRPr="00D122BD" w:rsidRDefault="002C2519" w:rsidP="002C2519">
      <w:pPr>
        <w:keepNext/>
        <w:keepLines/>
        <w:rPr>
          <w:rFonts w:cs="Arial"/>
          <w:b/>
          <w:lang w:val="en-GB" w:eastAsia="zh-CN"/>
        </w:rPr>
      </w:pPr>
      <w:r w:rsidRPr="00BB610F">
        <w:rPr>
          <w:rFonts w:cs="Arial"/>
          <w:b/>
          <w:lang w:val="en-GB" w:eastAsia="zh-CN"/>
        </w:rPr>
        <w:lastRenderedPageBreak/>
        <w:t xml:space="preserve">Figure </w:t>
      </w:r>
      <w:r w:rsidR="009E3BF9">
        <w:rPr>
          <w:rFonts w:cs="Arial"/>
          <w:b/>
          <w:lang w:val="en-GB" w:eastAsia="zh-CN"/>
        </w:rPr>
        <w:t>2.</w:t>
      </w:r>
      <w:r w:rsidRPr="00BB610F">
        <w:rPr>
          <w:rFonts w:cs="Arial"/>
          <w:b/>
          <w:lang w:val="en-GB" w:eastAsia="zh-CN"/>
        </w:rPr>
        <w:t xml:space="preserve"> Forest plot of overall survival by PD-L1 expression in the ITT population, Arm B vs C</w:t>
      </w:r>
      <w:r w:rsidRPr="00D122BD">
        <w:rPr>
          <w:rFonts w:cs="Arial"/>
          <w:b/>
          <w:lang w:val="en-GB" w:eastAsia="zh-CN"/>
        </w:rPr>
        <w:t xml:space="preserve"> (</w:t>
      </w:r>
      <w:r w:rsidRPr="00D122BD">
        <w:rPr>
          <w:rFonts w:cs="Arial"/>
          <w:b/>
          <w:lang w:eastAsia="zh-CN"/>
        </w:rPr>
        <w:t>IMpower150</w:t>
      </w:r>
      <w:r w:rsidRPr="00D122BD">
        <w:rPr>
          <w:rFonts w:cs="Arial"/>
          <w:b/>
          <w:lang w:val="en-GB" w:eastAsia="zh-CN"/>
        </w:rPr>
        <w:t>)</w:t>
      </w:r>
    </w:p>
    <w:p w14:paraId="1615F8BF" w14:textId="77777777" w:rsidR="002C2519" w:rsidRPr="00D122BD" w:rsidRDefault="002C2519" w:rsidP="002C2519">
      <w:pPr>
        <w:keepNext/>
        <w:keepLines/>
        <w:rPr>
          <w:rFonts w:cs="Arial"/>
          <w:b/>
          <w:lang w:val="en-GB" w:eastAsia="zh-CN"/>
        </w:rPr>
      </w:pPr>
    </w:p>
    <w:p w14:paraId="63F4872F" w14:textId="732152E3" w:rsidR="002C2519" w:rsidRPr="00D122BD" w:rsidRDefault="002C2519" w:rsidP="007846E2">
      <w:pPr>
        <w:rPr>
          <w:rFonts w:cs="Arial"/>
          <w:b/>
          <w:lang w:val="en-GB" w:eastAsia="zh-CN"/>
        </w:rPr>
      </w:pPr>
      <w:r>
        <w:rPr>
          <w:noProof/>
          <w:lang w:eastAsia="en-AU"/>
        </w:rPr>
        <w:drawing>
          <wp:inline distT="0" distB="0" distL="0" distR="0" wp14:anchorId="1014CB80" wp14:editId="34105F35">
            <wp:extent cx="5762625" cy="2400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400300"/>
                    </a:xfrm>
                    <a:prstGeom prst="rect">
                      <a:avLst/>
                    </a:prstGeom>
                    <a:noFill/>
                    <a:ln>
                      <a:noFill/>
                    </a:ln>
                  </pic:spPr>
                </pic:pic>
              </a:graphicData>
            </a:graphic>
          </wp:inline>
        </w:drawing>
      </w:r>
    </w:p>
    <w:p w14:paraId="36F30113" w14:textId="77777777" w:rsidR="002C2519" w:rsidRPr="00A91197" w:rsidRDefault="002C2519" w:rsidP="002C2519">
      <w:pPr>
        <w:keepLines/>
        <w:rPr>
          <w:rFonts w:cs="Arial"/>
          <w:b/>
          <w:lang w:val="en-GB" w:eastAsia="zh-CN"/>
        </w:rPr>
      </w:pPr>
    </w:p>
    <w:p w14:paraId="237CF811" w14:textId="2FE9F99A" w:rsidR="002C2519" w:rsidRPr="00A91197" w:rsidRDefault="002C2519" w:rsidP="002C2519">
      <w:pPr>
        <w:keepNext/>
        <w:keepLines/>
        <w:rPr>
          <w:rFonts w:eastAsia="Calibri"/>
          <w:b/>
          <w:lang w:eastAsia="en-US"/>
        </w:rPr>
      </w:pPr>
      <w:r w:rsidRPr="00BB610F">
        <w:rPr>
          <w:rFonts w:eastAsia="Calibri"/>
          <w:b/>
          <w:lang w:eastAsia="en-US"/>
        </w:rPr>
        <w:t xml:space="preserve">Figure </w:t>
      </w:r>
      <w:r w:rsidR="009E3BF9">
        <w:rPr>
          <w:rFonts w:eastAsia="Calibri"/>
          <w:b/>
          <w:lang w:eastAsia="en-US"/>
        </w:rPr>
        <w:t>3.</w:t>
      </w:r>
      <w:r w:rsidRPr="00A91197">
        <w:rPr>
          <w:rFonts w:eastAsia="Calibri"/>
          <w:b/>
          <w:lang w:eastAsia="en-US"/>
        </w:rPr>
        <w:t xml:space="preserve"> Kaplan-Meier curve for PFS in the ITT population (IMpower150)</w:t>
      </w:r>
    </w:p>
    <w:p w14:paraId="0C456691" w14:textId="77777777" w:rsidR="002C2519" w:rsidRPr="00A91197" w:rsidRDefault="002C2519" w:rsidP="002C2519">
      <w:pPr>
        <w:keepNext/>
        <w:keepLines/>
        <w:rPr>
          <w:rFonts w:cs="Arial"/>
          <w:noProof/>
          <w:color w:val="000000"/>
          <w:lang w:val="en-GB" w:eastAsia="zh-CN"/>
        </w:rPr>
      </w:pPr>
    </w:p>
    <w:p w14:paraId="5D7C799A" w14:textId="1223BE12" w:rsidR="002C2519" w:rsidRPr="00D122BD" w:rsidRDefault="002C2519" w:rsidP="007846E2">
      <w:pPr>
        <w:rPr>
          <w:rFonts w:cs="Arial"/>
          <w:b/>
          <w:noProof/>
          <w:color w:val="000000"/>
          <w:lang w:eastAsia="zh-CN"/>
        </w:rPr>
      </w:pPr>
      <w:r>
        <w:rPr>
          <w:noProof/>
          <w:lang w:eastAsia="en-AU"/>
        </w:rPr>
        <w:drawing>
          <wp:inline distT="0" distB="0" distL="0" distR="0" wp14:anchorId="08CFA89F" wp14:editId="7EEAD614">
            <wp:extent cx="5762625" cy="2638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638425"/>
                    </a:xfrm>
                    <a:prstGeom prst="rect">
                      <a:avLst/>
                    </a:prstGeom>
                    <a:noFill/>
                    <a:ln>
                      <a:noFill/>
                    </a:ln>
                  </pic:spPr>
                </pic:pic>
              </a:graphicData>
            </a:graphic>
          </wp:inline>
        </w:drawing>
      </w:r>
    </w:p>
    <w:p w14:paraId="0B51FA3E" w14:textId="77777777" w:rsidR="002C2519" w:rsidRPr="00D122BD" w:rsidRDefault="002C2519" w:rsidP="002C2519">
      <w:pPr>
        <w:keepLines/>
        <w:rPr>
          <w:rFonts w:cs="Arial"/>
          <w:b/>
          <w:lang w:val="en-GB" w:eastAsia="zh-CN"/>
        </w:rPr>
      </w:pPr>
    </w:p>
    <w:p w14:paraId="62F9C236" w14:textId="78AC1842" w:rsidR="002C2519" w:rsidRPr="00A91197" w:rsidRDefault="002C2519" w:rsidP="002C2519">
      <w:pPr>
        <w:keepNext/>
        <w:keepLines/>
        <w:widowControl w:val="0"/>
        <w:rPr>
          <w:lang w:val="en-GB"/>
        </w:rPr>
      </w:pPr>
      <w:r w:rsidRPr="00BB610F">
        <w:rPr>
          <w:b/>
          <w:lang w:val="en-GB"/>
        </w:rPr>
        <w:lastRenderedPageBreak/>
        <w:t xml:space="preserve">Figure </w:t>
      </w:r>
      <w:r w:rsidR="009E3BF9">
        <w:rPr>
          <w:b/>
          <w:lang w:val="en-GB"/>
        </w:rPr>
        <w:t>4.</w:t>
      </w:r>
      <w:r w:rsidRPr="0045013C">
        <w:rPr>
          <w:b/>
          <w:lang w:val="en-GB"/>
        </w:rPr>
        <w:t xml:space="preserve"> Forest plot of progression free survival by PD-L1 expression in</w:t>
      </w:r>
      <w:r w:rsidRPr="00430F4F">
        <w:rPr>
          <w:b/>
          <w:lang w:val="en-GB"/>
        </w:rPr>
        <w:t xml:space="preserve"> the ITT population, Arm B vs C (IMpower150)</w:t>
      </w:r>
      <w:r w:rsidRPr="00A91197">
        <w:rPr>
          <w:lang w:val="en-GB"/>
        </w:rPr>
        <w:t xml:space="preserve"> </w:t>
      </w:r>
    </w:p>
    <w:p w14:paraId="229C7978" w14:textId="77777777" w:rsidR="002C2519" w:rsidRPr="00A91197" w:rsidRDefault="002C2519" w:rsidP="002C2519">
      <w:pPr>
        <w:keepNext/>
        <w:keepLines/>
        <w:widowControl w:val="0"/>
        <w:rPr>
          <w:lang w:val="en-GB"/>
        </w:rPr>
      </w:pPr>
    </w:p>
    <w:p w14:paraId="67ECC0FD" w14:textId="71033945" w:rsidR="002C2519" w:rsidRPr="00BB610F" w:rsidRDefault="002C2519" w:rsidP="007846E2">
      <w:pPr>
        <w:rPr>
          <w:lang w:val="en-GB"/>
        </w:rPr>
      </w:pPr>
      <w:r>
        <w:rPr>
          <w:noProof/>
          <w:lang w:eastAsia="en-AU"/>
        </w:rPr>
        <w:drawing>
          <wp:inline distT="0" distB="0" distL="0" distR="0" wp14:anchorId="21849B4E" wp14:editId="611B57C6">
            <wp:extent cx="5743575" cy="2419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2419350"/>
                    </a:xfrm>
                    <a:prstGeom prst="rect">
                      <a:avLst/>
                    </a:prstGeom>
                    <a:noFill/>
                    <a:ln>
                      <a:noFill/>
                    </a:ln>
                  </pic:spPr>
                </pic:pic>
              </a:graphicData>
            </a:graphic>
          </wp:inline>
        </w:drawing>
      </w:r>
    </w:p>
    <w:p w14:paraId="00B4A64C" w14:textId="77777777" w:rsidR="002C2519" w:rsidRPr="00A91197" w:rsidRDefault="002C2519" w:rsidP="002C2519">
      <w:pPr>
        <w:keepNext/>
        <w:keepLines/>
        <w:rPr>
          <w:lang w:val="en-GB"/>
        </w:rPr>
      </w:pPr>
    </w:p>
    <w:p w14:paraId="2D5C52CE" w14:textId="08448DE2" w:rsidR="002C2519" w:rsidRDefault="002C2519" w:rsidP="00364F3A">
      <w:r w:rsidRPr="00430F4F">
        <w:t>In Arm B as compared to Arm C, pre-specified sub</w:t>
      </w:r>
      <w:r w:rsidRPr="00A91197">
        <w:t>group analyses from the interim OS analysis showed an</w:t>
      </w:r>
      <w:r w:rsidRPr="00A91197">
        <w:rPr>
          <w:b/>
          <w:i/>
        </w:rPr>
        <w:t xml:space="preserve"> </w:t>
      </w:r>
      <w:r w:rsidRPr="00A91197">
        <w:t>OS improvement for patients with EGFR mutations or ALK rearrangements (hazard ratio [HR] of 0.54, 95% CI: 0.29, 1.03; median OS not reached vs. 17.5 months), and liver metastases</w:t>
      </w:r>
      <w:r w:rsidRPr="00A91197" w:rsidDel="00F3011E">
        <w:t xml:space="preserve"> </w:t>
      </w:r>
      <w:r w:rsidRPr="00A91197">
        <w:t>(HR of 0.52, 95% CI: 0.33, 0.82; median OS 13.3 vs 9.4 months)</w:t>
      </w:r>
      <w:r w:rsidRPr="00A91197">
        <w:rPr>
          <w:rFonts w:cs="Arial"/>
          <w:lang w:eastAsia="zh-CN"/>
        </w:rPr>
        <w:t>. PFS improvements were also shown in patients with EGFR mutations or ALK rearrangements (HR of 0.55, 95% CI: 0.35, 0.87</w:t>
      </w:r>
      <w:r w:rsidRPr="00A91197">
        <w:t>;</w:t>
      </w:r>
      <w:r w:rsidRPr="00A91197">
        <w:rPr>
          <w:rFonts w:cs="Arial"/>
          <w:lang w:eastAsia="zh-CN"/>
        </w:rPr>
        <w:t xml:space="preserve"> median PFS 10.0 vs. 6.1 months) and liver metastases (HR of 0.41, 95% CI: 0.26, 0.62</w:t>
      </w:r>
      <w:r w:rsidRPr="00A91197">
        <w:t>;</w:t>
      </w:r>
      <w:r w:rsidRPr="00A91197">
        <w:rPr>
          <w:rFonts w:cs="Arial"/>
          <w:lang w:eastAsia="zh-CN"/>
        </w:rPr>
        <w:t xml:space="preserve"> median PFS 8.2 vs. 5.4 months).</w:t>
      </w:r>
      <w:r w:rsidRPr="00A91197">
        <w:t xml:space="preserve"> OS results were similar </w:t>
      </w:r>
      <w:r w:rsidRPr="00A91197" w:rsidDel="00F3011E">
        <w:t xml:space="preserve">for patients aged &lt; 65 and </w:t>
      </w:r>
      <w:r w:rsidRPr="00BB610F" w:rsidDel="00F3011E">
        <w:sym w:font="Symbol" w:char="F0B3"/>
      </w:r>
      <w:r w:rsidRPr="00BB610F" w:rsidDel="00F3011E">
        <w:t xml:space="preserve"> 65 subgroups, respectively. </w:t>
      </w:r>
      <w:r w:rsidRPr="00BB610F">
        <w:rPr>
          <w:lang w:val="en-GB"/>
        </w:rPr>
        <w:t>Data for patients ≥ 75 years of age are too limited to draw conclusions on this population. For all subgroup analyses,</w:t>
      </w:r>
      <w:r w:rsidRPr="0045013C">
        <w:t xml:space="preserve"> formal statistical testing</w:t>
      </w:r>
      <w:r w:rsidRPr="00430F4F">
        <w:rPr>
          <w:rFonts w:cs="Arial"/>
          <w:lang w:eastAsia="zh-CN"/>
        </w:rPr>
        <w:t xml:space="preserve"> was not planned.</w:t>
      </w:r>
      <w:r w:rsidRPr="00A91197">
        <w:t xml:space="preserve"> </w:t>
      </w:r>
    </w:p>
    <w:p w14:paraId="4903DE49" w14:textId="536583DE" w:rsidR="006452D8" w:rsidRDefault="006452D8" w:rsidP="00364F3A"/>
    <w:p w14:paraId="0017F96E" w14:textId="77777777" w:rsidR="006452D8" w:rsidRPr="006452D8" w:rsidRDefault="006452D8" w:rsidP="006452D8">
      <w:pPr>
        <w:rPr>
          <w:bCs/>
          <w:i/>
          <w:iCs/>
          <w:u w:val="single"/>
          <w:lang w:val="en-US"/>
        </w:rPr>
      </w:pPr>
      <w:r w:rsidRPr="006452D8">
        <w:rPr>
          <w:bCs/>
          <w:i/>
          <w:iCs/>
          <w:u w:val="single"/>
          <w:lang w:val="en-US"/>
        </w:rPr>
        <w:t>1L non-squamous NSCLC</w:t>
      </w:r>
    </w:p>
    <w:p w14:paraId="32C8A437" w14:textId="77777777" w:rsidR="006452D8" w:rsidRPr="006452D8" w:rsidRDefault="006452D8" w:rsidP="006452D8">
      <w:pPr>
        <w:rPr>
          <w:i/>
          <w:lang w:val="en-US"/>
        </w:rPr>
      </w:pPr>
      <w:r w:rsidRPr="006452D8">
        <w:rPr>
          <w:i/>
          <w:lang w:val="en-US"/>
        </w:rPr>
        <w:t>GO29537</w:t>
      </w:r>
    </w:p>
    <w:p w14:paraId="56508EBF" w14:textId="08824CC1" w:rsidR="006452D8" w:rsidRPr="006452D8" w:rsidRDefault="006452D8" w:rsidP="006452D8">
      <w:pPr>
        <w:rPr>
          <w:lang w:val="en-US"/>
        </w:rPr>
      </w:pPr>
      <w:r w:rsidRPr="006452D8">
        <w:rPr>
          <w:lang w:val="en-US"/>
        </w:rPr>
        <w:t xml:space="preserve">A Phase III, open-label, </w:t>
      </w:r>
      <w:proofErr w:type="spellStart"/>
      <w:r w:rsidRPr="006452D8">
        <w:rPr>
          <w:lang w:val="en-US"/>
        </w:rPr>
        <w:t>randomised</w:t>
      </w:r>
      <w:proofErr w:type="spellEnd"/>
      <w:r w:rsidRPr="006452D8">
        <w:rPr>
          <w:lang w:val="en-US"/>
        </w:rPr>
        <w:t xml:space="preserve"> study, GO29537 (IMpower130) was conducted to evaluate the efficacy and safety of </w:t>
      </w:r>
      <w:proofErr w:type="spellStart"/>
      <w:r w:rsidRPr="006452D8">
        <w:rPr>
          <w:lang w:val="en-US"/>
        </w:rPr>
        <w:t>Tecentriq</w:t>
      </w:r>
      <w:proofErr w:type="spellEnd"/>
      <w:r w:rsidRPr="006452D8">
        <w:rPr>
          <w:lang w:val="en-US"/>
        </w:rPr>
        <w:t xml:space="preserve"> in combination with nab-paclitaxel and carboplatin, in chemotherapy-naïve patients with metastatic non-squamous NSCLC. Patients including those with EGFR or ALK genomic </w:t>
      </w:r>
      <w:proofErr w:type="spellStart"/>
      <w:r w:rsidRPr="006452D8">
        <w:rPr>
          <w:lang w:val="en-US"/>
        </w:rPr>
        <w:t>tumour</w:t>
      </w:r>
      <w:proofErr w:type="spellEnd"/>
      <w:r w:rsidRPr="006452D8">
        <w:rPr>
          <w:lang w:val="en-US"/>
        </w:rPr>
        <w:t xml:space="preserve"> aberrations, were enrolled and were </w:t>
      </w:r>
      <w:proofErr w:type="spellStart"/>
      <w:r w:rsidRPr="006452D8">
        <w:rPr>
          <w:lang w:val="en-US"/>
        </w:rPr>
        <w:t>randomised</w:t>
      </w:r>
      <w:proofErr w:type="spellEnd"/>
      <w:r w:rsidRPr="006452D8">
        <w:rPr>
          <w:lang w:val="en-US"/>
        </w:rPr>
        <w:t xml:space="preserve"> in a 2:1 ratio to receive one of the treatment regimens described in Table </w:t>
      </w:r>
      <w:r w:rsidR="003520F3">
        <w:rPr>
          <w:lang w:val="en-US"/>
        </w:rPr>
        <w:t>10</w:t>
      </w:r>
      <w:r w:rsidRPr="006452D8">
        <w:rPr>
          <w:lang w:val="en-US"/>
        </w:rPr>
        <w:t xml:space="preserve">. </w:t>
      </w:r>
      <w:proofErr w:type="spellStart"/>
      <w:r w:rsidRPr="006452D8">
        <w:rPr>
          <w:lang w:val="en-US"/>
        </w:rPr>
        <w:t>Randomisation</w:t>
      </w:r>
      <w:proofErr w:type="spellEnd"/>
      <w:r w:rsidRPr="006452D8">
        <w:rPr>
          <w:lang w:val="en-US"/>
        </w:rPr>
        <w:t xml:space="preserve"> was stratified by sex, presence of liver metastases and PD-L1 </w:t>
      </w:r>
      <w:proofErr w:type="spellStart"/>
      <w:r w:rsidRPr="006452D8">
        <w:rPr>
          <w:lang w:val="en-US"/>
        </w:rPr>
        <w:t>tumour</w:t>
      </w:r>
      <w:proofErr w:type="spellEnd"/>
      <w:r w:rsidRPr="006452D8">
        <w:rPr>
          <w:lang w:val="en-US"/>
        </w:rPr>
        <w:t xml:space="preserve"> expression on </w:t>
      </w:r>
      <w:proofErr w:type="spellStart"/>
      <w:r w:rsidRPr="006452D8">
        <w:rPr>
          <w:lang w:val="en-US"/>
        </w:rPr>
        <w:t>tumour</w:t>
      </w:r>
      <w:proofErr w:type="spellEnd"/>
      <w:r w:rsidRPr="006452D8">
        <w:rPr>
          <w:lang w:val="en-US"/>
        </w:rPr>
        <w:t xml:space="preserve"> cells (TC) and </w:t>
      </w:r>
      <w:proofErr w:type="spellStart"/>
      <w:r w:rsidRPr="006452D8">
        <w:rPr>
          <w:lang w:val="en-US"/>
        </w:rPr>
        <w:t>tumour</w:t>
      </w:r>
      <w:proofErr w:type="spellEnd"/>
      <w:r w:rsidRPr="006452D8">
        <w:rPr>
          <w:lang w:val="en-US"/>
        </w:rPr>
        <w:t xml:space="preserve"> infiltrating cells (IC). Patients in treatment regimen B were able to crossover and receive </w:t>
      </w:r>
      <w:proofErr w:type="spellStart"/>
      <w:r w:rsidRPr="006452D8">
        <w:rPr>
          <w:lang w:val="en-US"/>
        </w:rPr>
        <w:t>Tecentriq</w:t>
      </w:r>
      <w:proofErr w:type="spellEnd"/>
      <w:r w:rsidRPr="006452D8">
        <w:rPr>
          <w:lang w:val="en-US"/>
        </w:rPr>
        <w:t xml:space="preserve"> monotherapy following disease progression.</w:t>
      </w:r>
    </w:p>
    <w:p w14:paraId="7880C3F2" w14:textId="35D62D35" w:rsidR="006452D8" w:rsidRDefault="006452D8" w:rsidP="00364F3A">
      <w:pPr>
        <w:rPr>
          <w:lang w:val="en-US"/>
        </w:rPr>
      </w:pPr>
    </w:p>
    <w:p w14:paraId="495AAFF1" w14:textId="2C0CC236" w:rsidR="006452D8" w:rsidRPr="006452D8" w:rsidRDefault="006452D8" w:rsidP="006452D8">
      <w:pPr>
        <w:rPr>
          <w:b/>
          <w:lang w:val="en-US"/>
        </w:rPr>
      </w:pPr>
      <w:r w:rsidRPr="006452D8">
        <w:rPr>
          <w:b/>
          <w:lang w:val="en-US"/>
        </w:rPr>
        <w:t xml:space="preserve">Table </w:t>
      </w:r>
      <w:r w:rsidR="003520F3">
        <w:rPr>
          <w:b/>
          <w:lang w:val="en-US"/>
        </w:rPr>
        <w:t>10</w:t>
      </w:r>
      <w:r w:rsidRPr="006452D8">
        <w:rPr>
          <w:b/>
          <w:lang w:val="en-US"/>
        </w:rPr>
        <w:t>. Intravenous treatment regimens in IMpower130</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16"/>
        <w:gridCol w:w="3960"/>
        <w:gridCol w:w="3510"/>
      </w:tblGrid>
      <w:tr w:rsidR="006452D8" w:rsidRPr="006452D8" w14:paraId="11A0B5A4" w14:textId="77777777" w:rsidTr="006452D8">
        <w:tc>
          <w:tcPr>
            <w:tcW w:w="1350" w:type="dxa"/>
            <w:gridSpan w:val="2"/>
            <w:tcBorders>
              <w:top w:val="single" w:sz="4" w:space="0" w:color="auto"/>
              <w:left w:val="single" w:sz="4" w:space="0" w:color="auto"/>
              <w:bottom w:val="single" w:sz="4" w:space="0" w:color="auto"/>
              <w:right w:val="nil"/>
            </w:tcBorders>
            <w:shd w:val="clear" w:color="auto" w:fill="auto"/>
            <w:vAlign w:val="bottom"/>
          </w:tcPr>
          <w:p w14:paraId="07259324" w14:textId="77777777" w:rsidR="006452D8" w:rsidRPr="006452D8" w:rsidRDefault="006452D8" w:rsidP="006452D8">
            <w:pPr>
              <w:rPr>
                <w:b/>
                <w:lang w:val="en-US"/>
              </w:rPr>
            </w:pPr>
            <w:r w:rsidRPr="006452D8">
              <w:rPr>
                <w:b/>
                <w:lang w:val="en-US"/>
              </w:rPr>
              <w:t xml:space="preserve">Treatment </w:t>
            </w:r>
            <w:r w:rsidRPr="006452D8">
              <w:rPr>
                <w:b/>
                <w:lang w:val="en-US"/>
              </w:rPr>
              <w:br/>
              <w:t>Regimen</w:t>
            </w:r>
          </w:p>
        </w:tc>
        <w:tc>
          <w:tcPr>
            <w:tcW w:w="3960" w:type="dxa"/>
            <w:tcBorders>
              <w:top w:val="single" w:sz="4" w:space="0" w:color="auto"/>
              <w:left w:val="nil"/>
              <w:bottom w:val="single" w:sz="4" w:space="0" w:color="auto"/>
              <w:right w:val="nil"/>
            </w:tcBorders>
            <w:shd w:val="clear" w:color="auto" w:fill="auto"/>
            <w:vAlign w:val="bottom"/>
          </w:tcPr>
          <w:p w14:paraId="478A6EEB" w14:textId="77777777" w:rsidR="006452D8" w:rsidRPr="006452D8" w:rsidRDefault="006452D8" w:rsidP="006452D8">
            <w:pPr>
              <w:rPr>
                <w:b/>
                <w:lang w:val="en-US"/>
              </w:rPr>
            </w:pPr>
            <w:r w:rsidRPr="006452D8">
              <w:rPr>
                <w:b/>
                <w:lang w:val="en-US"/>
              </w:rPr>
              <w:t xml:space="preserve">Induction </w:t>
            </w:r>
            <w:r w:rsidRPr="006452D8">
              <w:rPr>
                <w:b/>
                <w:lang w:val="en-US"/>
              </w:rPr>
              <w:br/>
              <w:t>(four or six 21-Day Cycles)</w:t>
            </w:r>
          </w:p>
        </w:tc>
        <w:tc>
          <w:tcPr>
            <w:tcW w:w="3510" w:type="dxa"/>
            <w:tcBorders>
              <w:top w:val="single" w:sz="4" w:space="0" w:color="auto"/>
              <w:left w:val="nil"/>
              <w:bottom w:val="single" w:sz="4" w:space="0" w:color="auto"/>
              <w:right w:val="single" w:sz="4" w:space="0" w:color="auto"/>
            </w:tcBorders>
            <w:shd w:val="clear" w:color="auto" w:fill="auto"/>
            <w:vAlign w:val="bottom"/>
          </w:tcPr>
          <w:p w14:paraId="24CE18F8" w14:textId="77777777" w:rsidR="006452D8" w:rsidRPr="006452D8" w:rsidRDefault="006452D8" w:rsidP="006452D8">
            <w:pPr>
              <w:rPr>
                <w:b/>
                <w:lang w:val="en-US"/>
              </w:rPr>
            </w:pPr>
            <w:r w:rsidRPr="006452D8">
              <w:rPr>
                <w:b/>
                <w:lang w:val="en-US"/>
              </w:rPr>
              <w:t xml:space="preserve">Maintenance </w:t>
            </w:r>
            <w:r w:rsidRPr="006452D8">
              <w:rPr>
                <w:b/>
                <w:lang w:val="en-US"/>
              </w:rPr>
              <w:br/>
              <w:t>(21-Day Cycles)</w:t>
            </w:r>
          </w:p>
        </w:tc>
      </w:tr>
      <w:tr w:rsidR="006452D8" w:rsidRPr="006452D8" w14:paraId="60C43AD2" w14:textId="77777777" w:rsidTr="006452D8">
        <w:tc>
          <w:tcPr>
            <w:tcW w:w="1134" w:type="dxa"/>
            <w:tcBorders>
              <w:top w:val="single" w:sz="4" w:space="0" w:color="auto"/>
              <w:left w:val="single" w:sz="4" w:space="0" w:color="auto"/>
              <w:bottom w:val="nil"/>
              <w:right w:val="nil"/>
            </w:tcBorders>
            <w:shd w:val="clear" w:color="auto" w:fill="auto"/>
          </w:tcPr>
          <w:p w14:paraId="5D651C5C" w14:textId="77777777" w:rsidR="006452D8" w:rsidRPr="006452D8" w:rsidRDefault="006452D8" w:rsidP="006452D8">
            <w:pPr>
              <w:rPr>
                <w:lang w:val="en-US"/>
              </w:rPr>
            </w:pPr>
            <w:r w:rsidRPr="006452D8">
              <w:rPr>
                <w:lang w:val="en-US"/>
              </w:rPr>
              <w:t>A</w:t>
            </w:r>
          </w:p>
        </w:tc>
        <w:tc>
          <w:tcPr>
            <w:tcW w:w="4176" w:type="dxa"/>
            <w:gridSpan w:val="2"/>
            <w:tcBorders>
              <w:top w:val="single" w:sz="4" w:space="0" w:color="auto"/>
              <w:left w:val="nil"/>
              <w:bottom w:val="nil"/>
              <w:right w:val="nil"/>
            </w:tcBorders>
            <w:shd w:val="clear" w:color="auto" w:fill="auto"/>
          </w:tcPr>
          <w:p w14:paraId="0AFDCFB7" w14:textId="77777777" w:rsidR="006452D8" w:rsidRPr="006452D8" w:rsidRDefault="006452D8" w:rsidP="006452D8">
            <w:pPr>
              <w:rPr>
                <w:lang w:val="en-US"/>
              </w:rPr>
            </w:pPr>
            <w:proofErr w:type="spellStart"/>
            <w:r w:rsidRPr="006452D8">
              <w:rPr>
                <w:lang w:val="en-US"/>
              </w:rPr>
              <w:t>Tecentriq</w:t>
            </w:r>
            <w:proofErr w:type="spellEnd"/>
            <w:r w:rsidRPr="006452D8">
              <w:rPr>
                <w:lang w:val="en-US"/>
              </w:rPr>
              <w:t xml:space="preserve"> (1200mg) </w:t>
            </w:r>
            <w:r w:rsidRPr="006452D8">
              <w:rPr>
                <w:vertAlign w:val="superscript"/>
                <w:lang w:val="en-US"/>
              </w:rPr>
              <w:t>a</w:t>
            </w:r>
            <w:r w:rsidRPr="006452D8">
              <w:rPr>
                <w:lang w:val="en-US"/>
              </w:rPr>
              <w:t xml:space="preserve"> </w:t>
            </w:r>
            <w:r w:rsidRPr="006452D8">
              <w:rPr>
                <w:rFonts w:hint="eastAsia"/>
                <w:lang w:val="en-US"/>
              </w:rPr>
              <w:sym w:font="Symbol" w:char="F02B"/>
            </w:r>
            <w:r w:rsidRPr="006452D8">
              <w:rPr>
                <w:lang w:val="en-US"/>
              </w:rPr>
              <w:t> nab</w:t>
            </w:r>
            <w:r w:rsidRPr="006452D8">
              <w:rPr>
                <w:lang w:val="en-US"/>
              </w:rPr>
              <w:noBreakHyphen/>
              <w:t>paclitaxel (100mg/m</w:t>
            </w:r>
            <w:r w:rsidRPr="006452D8">
              <w:rPr>
                <w:vertAlign w:val="superscript"/>
                <w:lang w:val="en-US"/>
              </w:rPr>
              <w:t>2</w:t>
            </w:r>
            <w:r w:rsidRPr="006452D8">
              <w:rPr>
                <w:lang w:val="en-US"/>
              </w:rPr>
              <w:t xml:space="preserve">) </w:t>
            </w:r>
            <w:proofErr w:type="spellStart"/>
            <w:r w:rsidRPr="006452D8">
              <w:rPr>
                <w:vertAlign w:val="superscript"/>
                <w:lang w:val="en-US"/>
              </w:rPr>
              <w:t>b,c</w:t>
            </w:r>
            <w:proofErr w:type="spellEnd"/>
            <w:r w:rsidRPr="006452D8">
              <w:rPr>
                <w:lang w:val="en-US"/>
              </w:rPr>
              <w:t xml:space="preserve"> + carboplatin (AUC 6)</w:t>
            </w:r>
            <w:r w:rsidRPr="006452D8">
              <w:rPr>
                <w:vertAlign w:val="superscript"/>
                <w:lang w:val="en-US"/>
              </w:rPr>
              <w:t>c</w:t>
            </w:r>
          </w:p>
        </w:tc>
        <w:tc>
          <w:tcPr>
            <w:tcW w:w="3510" w:type="dxa"/>
            <w:tcBorders>
              <w:top w:val="single" w:sz="4" w:space="0" w:color="auto"/>
              <w:left w:val="nil"/>
              <w:bottom w:val="nil"/>
              <w:right w:val="single" w:sz="4" w:space="0" w:color="auto"/>
            </w:tcBorders>
            <w:shd w:val="clear" w:color="auto" w:fill="auto"/>
          </w:tcPr>
          <w:p w14:paraId="46164E3C" w14:textId="77777777" w:rsidR="006452D8" w:rsidRPr="006452D8" w:rsidRDefault="006452D8" w:rsidP="006452D8">
            <w:pPr>
              <w:rPr>
                <w:lang w:val="en-US"/>
              </w:rPr>
            </w:pPr>
            <w:proofErr w:type="spellStart"/>
            <w:r w:rsidRPr="006452D8">
              <w:rPr>
                <w:lang w:val="en-US"/>
              </w:rPr>
              <w:t>Tecentriq</w:t>
            </w:r>
            <w:proofErr w:type="spellEnd"/>
            <w:r w:rsidRPr="006452D8">
              <w:rPr>
                <w:lang w:val="en-US"/>
              </w:rPr>
              <w:t xml:space="preserve"> (1200mg)</w:t>
            </w:r>
            <w:r w:rsidRPr="006452D8">
              <w:rPr>
                <w:vertAlign w:val="superscript"/>
                <w:lang w:val="pt-BR"/>
              </w:rPr>
              <w:t xml:space="preserve"> a</w:t>
            </w:r>
          </w:p>
        </w:tc>
      </w:tr>
      <w:tr w:rsidR="006452D8" w:rsidRPr="006452D8" w14:paraId="6B4E36B7" w14:textId="77777777" w:rsidTr="006452D8">
        <w:tc>
          <w:tcPr>
            <w:tcW w:w="1134" w:type="dxa"/>
            <w:tcBorders>
              <w:top w:val="nil"/>
              <w:left w:val="single" w:sz="4" w:space="0" w:color="auto"/>
              <w:bottom w:val="single" w:sz="4" w:space="0" w:color="auto"/>
              <w:right w:val="nil"/>
            </w:tcBorders>
            <w:shd w:val="clear" w:color="auto" w:fill="auto"/>
          </w:tcPr>
          <w:p w14:paraId="63118120" w14:textId="77777777" w:rsidR="006452D8" w:rsidRPr="006452D8" w:rsidRDefault="006452D8" w:rsidP="006452D8">
            <w:pPr>
              <w:rPr>
                <w:lang w:val="en-US"/>
              </w:rPr>
            </w:pPr>
            <w:r w:rsidRPr="006452D8">
              <w:rPr>
                <w:lang w:val="en-US"/>
              </w:rPr>
              <w:t>B</w:t>
            </w:r>
          </w:p>
        </w:tc>
        <w:tc>
          <w:tcPr>
            <w:tcW w:w="4176" w:type="dxa"/>
            <w:gridSpan w:val="2"/>
            <w:tcBorders>
              <w:top w:val="nil"/>
              <w:left w:val="nil"/>
              <w:bottom w:val="single" w:sz="4" w:space="0" w:color="auto"/>
              <w:right w:val="nil"/>
            </w:tcBorders>
            <w:shd w:val="clear" w:color="auto" w:fill="auto"/>
          </w:tcPr>
          <w:p w14:paraId="3193859D" w14:textId="77777777" w:rsidR="006452D8" w:rsidRPr="006452D8" w:rsidRDefault="006452D8" w:rsidP="006452D8">
            <w:pPr>
              <w:rPr>
                <w:lang w:val="en-US"/>
              </w:rPr>
            </w:pPr>
            <w:r w:rsidRPr="006452D8">
              <w:rPr>
                <w:lang w:val="en-US"/>
              </w:rPr>
              <w:t>Nab-paclitaxel (100mg/m</w:t>
            </w:r>
            <w:r w:rsidRPr="006452D8">
              <w:rPr>
                <w:vertAlign w:val="superscript"/>
                <w:lang w:val="en-US"/>
              </w:rPr>
              <w:t>2</w:t>
            </w:r>
            <w:r w:rsidRPr="006452D8">
              <w:rPr>
                <w:lang w:val="en-US"/>
              </w:rPr>
              <w:t xml:space="preserve">) </w:t>
            </w:r>
            <w:r w:rsidRPr="006452D8">
              <w:rPr>
                <w:vertAlign w:val="superscript"/>
                <w:lang w:val="en-US"/>
              </w:rPr>
              <w:t>b</w:t>
            </w:r>
            <w:r w:rsidRPr="006452D8">
              <w:rPr>
                <w:lang w:val="en-US"/>
              </w:rPr>
              <w:t xml:space="preserve"> + Carboplatin (AUC 6) </w:t>
            </w:r>
            <w:r w:rsidRPr="006452D8">
              <w:rPr>
                <w:vertAlign w:val="superscript"/>
                <w:lang w:val="en-US"/>
              </w:rPr>
              <w:t>c</w:t>
            </w:r>
            <w:r w:rsidRPr="006452D8">
              <w:rPr>
                <w:lang w:val="en-US"/>
              </w:rPr>
              <w:t> </w:t>
            </w:r>
            <w:r w:rsidRPr="006452D8">
              <w:rPr>
                <w:rFonts w:hint="eastAsia"/>
                <w:lang w:val="en-US"/>
              </w:rPr>
              <w:sym w:font="Symbol" w:char="F020"/>
            </w:r>
          </w:p>
        </w:tc>
        <w:tc>
          <w:tcPr>
            <w:tcW w:w="3510" w:type="dxa"/>
            <w:tcBorders>
              <w:top w:val="nil"/>
              <w:left w:val="nil"/>
              <w:bottom w:val="single" w:sz="4" w:space="0" w:color="auto"/>
              <w:right w:val="single" w:sz="4" w:space="0" w:color="auto"/>
            </w:tcBorders>
            <w:shd w:val="clear" w:color="auto" w:fill="auto"/>
          </w:tcPr>
          <w:p w14:paraId="03799B7A" w14:textId="77777777" w:rsidR="006452D8" w:rsidRPr="006452D8" w:rsidRDefault="006452D8" w:rsidP="006452D8">
            <w:pPr>
              <w:rPr>
                <w:lang w:val="en-US"/>
              </w:rPr>
            </w:pPr>
            <w:r w:rsidRPr="006452D8">
              <w:rPr>
                <w:lang w:val="en-US"/>
              </w:rPr>
              <w:t xml:space="preserve">Best supportive care or </w:t>
            </w:r>
            <w:proofErr w:type="spellStart"/>
            <w:r w:rsidRPr="006452D8">
              <w:rPr>
                <w:lang w:val="en-US"/>
              </w:rPr>
              <w:t>pemetrexed</w:t>
            </w:r>
            <w:proofErr w:type="spellEnd"/>
          </w:p>
        </w:tc>
      </w:tr>
    </w:tbl>
    <w:p w14:paraId="2AD7CFC2" w14:textId="77777777" w:rsidR="006452D8" w:rsidRPr="001750CE" w:rsidRDefault="006452D8" w:rsidP="006452D8">
      <w:pPr>
        <w:rPr>
          <w:sz w:val="22"/>
        </w:rPr>
      </w:pPr>
      <w:r w:rsidRPr="006452D8">
        <w:rPr>
          <w:vertAlign w:val="superscript"/>
        </w:rPr>
        <w:t xml:space="preserve">a </w:t>
      </w:r>
      <w:proofErr w:type="spellStart"/>
      <w:r w:rsidRPr="001750CE">
        <w:rPr>
          <w:sz w:val="22"/>
        </w:rPr>
        <w:t>Tecentriq</w:t>
      </w:r>
      <w:proofErr w:type="spellEnd"/>
      <w:r w:rsidRPr="001750CE">
        <w:rPr>
          <w:sz w:val="22"/>
        </w:rPr>
        <w:t xml:space="preserve"> is administered until loss of clinical benefit as assessed by investigator</w:t>
      </w:r>
    </w:p>
    <w:p w14:paraId="344A2024" w14:textId="77777777" w:rsidR="006452D8" w:rsidRPr="001750CE" w:rsidRDefault="006452D8" w:rsidP="006452D8">
      <w:pPr>
        <w:rPr>
          <w:sz w:val="22"/>
        </w:rPr>
      </w:pPr>
      <w:r w:rsidRPr="001750CE">
        <w:rPr>
          <w:sz w:val="22"/>
          <w:vertAlign w:val="superscript"/>
        </w:rPr>
        <w:t xml:space="preserve">b </w:t>
      </w:r>
      <w:r w:rsidRPr="001750CE">
        <w:rPr>
          <w:sz w:val="22"/>
        </w:rPr>
        <w:t>Nab-paclitaxel is administered on days 1, 8, and 15 of each cycle</w:t>
      </w:r>
    </w:p>
    <w:p w14:paraId="2C3EBE40" w14:textId="77777777" w:rsidR="006452D8" w:rsidRPr="001750CE" w:rsidRDefault="006452D8" w:rsidP="006452D8">
      <w:pPr>
        <w:rPr>
          <w:sz w:val="22"/>
        </w:rPr>
      </w:pPr>
      <w:r w:rsidRPr="001750CE">
        <w:rPr>
          <w:sz w:val="22"/>
          <w:vertAlign w:val="superscript"/>
        </w:rPr>
        <w:t>c</w:t>
      </w:r>
      <w:r w:rsidRPr="001750CE">
        <w:rPr>
          <w:sz w:val="22"/>
        </w:rPr>
        <w:t xml:space="preserve"> Nab-paclitaxel and carboplatin and is administered until completion of 4 - 6 cycles, or progressive disease or unacceptable toxicity whichever occurs first</w:t>
      </w:r>
    </w:p>
    <w:p w14:paraId="445453F0" w14:textId="184D9D20" w:rsidR="006452D8" w:rsidRPr="006452D8" w:rsidRDefault="006452D8" w:rsidP="00364F3A"/>
    <w:p w14:paraId="69682EDC" w14:textId="77777777" w:rsidR="006452D8" w:rsidRPr="006452D8" w:rsidRDefault="006452D8" w:rsidP="006452D8">
      <w:pPr>
        <w:rPr>
          <w:rFonts w:cs="Arial"/>
          <w:lang w:eastAsia="zh-CN"/>
        </w:rPr>
      </w:pPr>
      <w:r w:rsidRPr="006452D8">
        <w:rPr>
          <w:rFonts w:cs="Arial"/>
          <w:lang w:eastAsia="zh-CN"/>
        </w:rPr>
        <w:t xml:space="preserve">Patients were excluded if they had history of autoimmune disease, administration of live, attenuated vaccine within 28 days prior to randomisation, administration of </w:t>
      </w:r>
      <w:proofErr w:type="spellStart"/>
      <w:r w:rsidRPr="006452D8">
        <w:rPr>
          <w:rFonts w:cs="Arial"/>
          <w:lang w:eastAsia="zh-CN"/>
        </w:rPr>
        <w:t>immunostimulatory</w:t>
      </w:r>
      <w:proofErr w:type="spellEnd"/>
      <w:r w:rsidRPr="006452D8">
        <w:rPr>
          <w:rFonts w:cs="Arial"/>
          <w:lang w:eastAsia="zh-CN"/>
        </w:rPr>
        <w:t xml:space="preserve"> agents within 4 weeks or systemic immunosuppressive medications within 2 weeks prior to randomisation, and active or untreated CNS metastases. Tumour assessments were conducted every 6 weeks for the first 48 weeks following Cycle 1, then every 9 weeks thereafter. </w:t>
      </w:r>
    </w:p>
    <w:p w14:paraId="5CDAAAFA" w14:textId="77777777" w:rsidR="006452D8" w:rsidRPr="006452D8" w:rsidRDefault="006452D8" w:rsidP="006452D8">
      <w:pPr>
        <w:rPr>
          <w:rFonts w:cs="Arial"/>
          <w:lang w:eastAsia="zh-CN"/>
        </w:rPr>
      </w:pPr>
    </w:p>
    <w:p w14:paraId="4BDE18BA" w14:textId="11893DC3" w:rsidR="006452D8" w:rsidRPr="006452D8" w:rsidRDefault="006452D8" w:rsidP="006452D8">
      <w:pPr>
        <w:rPr>
          <w:rFonts w:cs="Arial"/>
          <w:lang w:eastAsia="zh-CN"/>
        </w:rPr>
      </w:pPr>
      <w:r w:rsidRPr="006452D8">
        <w:rPr>
          <w:rFonts w:cs="Arial"/>
          <w:lang w:eastAsia="zh-CN"/>
        </w:rPr>
        <w:t>The demographics and baseline disease characteristics of the study population (n = 723) were well balanced between the treatment arms. The median age was 64 years (range 18 to 86). The majority of the patients were, male (57%), white (90%). 14.8% of patients had liver metastases at baseline, and most patients were current or previous smokers (88</w:t>
      </w:r>
      <w:r w:rsidR="009F3EDE">
        <w:rPr>
          <w:rFonts w:cs="Arial"/>
          <w:lang w:eastAsia="zh-CN"/>
        </w:rPr>
        <w:t xml:space="preserve">%). </w:t>
      </w:r>
      <w:r w:rsidRPr="006452D8">
        <w:rPr>
          <w:rFonts w:cs="Arial"/>
          <w:lang w:eastAsia="zh-CN"/>
        </w:rPr>
        <w:t>The majority of patients had ECOG performance status of 0 or 1, with the latter group representing 58.6% of the patients.</w:t>
      </w:r>
    </w:p>
    <w:p w14:paraId="22678498" w14:textId="77777777" w:rsidR="006452D8" w:rsidRPr="006452D8" w:rsidRDefault="006452D8" w:rsidP="006452D8">
      <w:pPr>
        <w:rPr>
          <w:rFonts w:cs="Arial"/>
          <w:lang w:eastAsia="zh-CN"/>
        </w:rPr>
      </w:pPr>
    </w:p>
    <w:p w14:paraId="785679B5" w14:textId="0DE32672" w:rsidR="006452D8" w:rsidRPr="006452D8" w:rsidRDefault="006452D8" w:rsidP="006452D8">
      <w:pPr>
        <w:rPr>
          <w:rFonts w:cs="Arial"/>
          <w:lang w:eastAsia="zh-CN"/>
        </w:rPr>
      </w:pPr>
      <w:r w:rsidRPr="006452D8">
        <w:rPr>
          <w:rFonts w:cs="Arial"/>
          <w:lang w:eastAsia="zh-CN"/>
        </w:rPr>
        <w:t xml:space="preserve">The primary analysis was conducted in all patients, excluding those with EGFR or ALK genomic tumour aberrations (n = 679). Patients had a median survival follow up time of 18.6 months. Improvements in OS and PFS were demonstrated with </w:t>
      </w:r>
      <w:proofErr w:type="spellStart"/>
      <w:r w:rsidRPr="006452D8">
        <w:rPr>
          <w:rFonts w:cs="Arial"/>
          <w:lang w:eastAsia="zh-CN"/>
        </w:rPr>
        <w:t>Tecentriq</w:t>
      </w:r>
      <w:proofErr w:type="spellEnd"/>
      <w:r w:rsidRPr="006452D8">
        <w:rPr>
          <w:rFonts w:cs="Arial"/>
          <w:lang w:eastAsia="zh-CN"/>
        </w:rPr>
        <w:t xml:space="preserve"> + nab-paclitaxel + carboplatin compared to the control. The key results are summarized in Table 1</w:t>
      </w:r>
      <w:r w:rsidR="003520F3">
        <w:rPr>
          <w:rFonts w:cs="Arial"/>
          <w:lang w:eastAsia="zh-CN"/>
        </w:rPr>
        <w:t>1</w:t>
      </w:r>
      <w:r w:rsidRPr="006452D8">
        <w:rPr>
          <w:rFonts w:cs="Arial"/>
          <w:lang w:eastAsia="zh-CN"/>
        </w:rPr>
        <w:t xml:space="preserve"> and Kaplan-Meier curves for OS and PFS are presented in Figures 5 and </w:t>
      </w:r>
      <w:r w:rsidR="004A4CB6">
        <w:rPr>
          <w:rFonts w:cs="Arial"/>
          <w:lang w:eastAsia="zh-CN"/>
        </w:rPr>
        <w:t>7</w:t>
      </w:r>
      <w:r w:rsidRPr="006452D8">
        <w:rPr>
          <w:rFonts w:cs="Arial"/>
          <w:lang w:eastAsia="zh-CN"/>
        </w:rPr>
        <w:t xml:space="preserve">, respectively. </w:t>
      </w:r>
    </w:p>
    <w:p w14:paraId="28880154" w14:textId="77777777" w:rsidR="006452D8" w:rsidRPr="006452D8" w:rsidRDefault="006452D8" w:rsidP="006452D8">
      <w:pPr>
        <w:rPr>
          <w:rFonts w:cs="Arial"/>
          <w:lang w:eastAsia="zh-CN"/>
        </w:rPr>
      </w:pPr>
    </w:p>
    <w:p w14:paraId="04A7AEA3" w14:textId="6318C569" w:rsidR="006452D8" w:rsidRPr="006452D8" w:rsidRDefault="006452D8" w:rsidP="006452D8">
      <w:pPr>
        <w:rPr>
          <w:rFonts w:cs="Arial"/>
          <w:lang w:eastAsia="zh-CN"/>
        </w:rPr>
      </w:pPr>
      <w:r w:rsidRPr="006452D8">
        <w:rPr>
          <w:rFonts w:cs="Arial"/>
          <w:lang w:eastAsia="zh-CN"/>
        </w:rPr>
        <w:t xml:space="preserve">All PD-L1 subgroups, regardless of expression, derived benefit in terms of OS and PFS; the results are summarised in Figure 6 and </w:t>
      </w:r>
      <w:r w:rsidR="004A4CB6">
        <w:rPr>
          <w:rFonts w:cs="Arial"/>
          <w:lang w:eastAsia="zh-CN"/>
        </w:rPr>
        <w:t>8</w:t>
      </w:r>
      <w:r w:rsidRPr="006452D8">
        <w:rPr>
          <w:rFonts w:cs="Arial"/>
          <w:lang w:eastAsia="zh-CN"/>
        </w:rPr>
        <w:t xml:space="preserve">. Consistent OS and PFS benefit was demonstrated in all other pre-specified subgroups, with the exception of patients with liver metastases who did not show improved OS with </w:t>
      </w:r>
      <w:proofErr w:type="spellStart"/>
      <w:r w:rsidRPr="006452D8">
        <w:rPr>
          <w:rFonts w:cs="Arial"/>
          <w:lang w:eastAsia="zh-CN"/>
        </w:rPr>
        <w:t>Tecentriq</w:t>
      </w:r>
      <w:proofErr w:type="spellEnd"/>
      <w:r w:rsidRPr="006452D8">
        <w:rPr>
          <w:rFonts w:cs="Arial"/>
          <w:lang w:eastAsia="zh-CN"/>
        </w:rPr>
        <w:t xml:space="preserve">, nab-paclitaxel and carboplatin, compared to nab-paclitaxel and carboplatin (HR of 1.04, 95% CI: 0.63,1.72). </w:t>
      </w:r>
    </w:p>
    <w:p w14:paraId="2FE362C1" w14:textId="77777777" w:rsidR="006452D8" w:rsidRPr="006452D8" w:rsidRDefault="006452D8" w:rsidP="006452D8">
      <w:pPr>
        <w:rPr>
          <w:rFonts w:cs="Arial"/>
          <w:lang w:eastAsia="zh-CN"/>
        </w:rPr>
      </w:pPr>
    </w:p>
    <w:p w14:paraId="41506127" w14:textId="77777777" w:rsidR="006452D8" w:rsidRPr="006452D8" w:rsidRDefault="006452D8" w:rsidP="006452D8">
      <w:pPr>
        <w:rPr>
          <w:rFonts w:cs="Arial"/>
          <w:lang w:eastAsia="zh-CN"/>
        </w:rPr>
      </w:pPr>
      <w:r w:rsidRPr="006452D8">
        <w:rPr>
          <w:rFonts w:cs="Arial"/>
          <w:lang w:eastAsia="zh-CN"/>
        </w:rPr>
        <w:t xml:space="preserve">Approximately 66% of patients in the nab-paclitaxel and carboplatin arm received any anti-cancer therapy after disease progression compared to 39% in the </w:t>
      </w:r>
      <w:proofErr w:type="spellStart"/>
      <w:r w:rsidRPr="006452D8">
        <w:rPr>
          <w:rFonts w:cs="Arial"/>
          <w:lang w:eastAsia="zh-CN"/>
        </w:rPr>
        <w:t>Tecentriq</w:t>
      </w:r>
      <w:proofErr w:type="spellEnd"/>
      <w:r w:rsidRPr="006452D8">
        <w:rPr>
          <w:rFonts w:cs="Arial"/>
          <w:lang w:eastAsia="zh-CN"/>
        </w:rPr>
        <w:t xml:space="preserve">, nab-paclitaxel and carboplatin arm. These included, approximately 59% of patients in the nab-paclitaxel and carboplatin arm received any cancer immunotherapy after disease progression, which includes </w:t>
      </w:r>
      <w:proofErr w:type="spellStart"/>
      <w:r w:rsidRPr="006452D8">
        <w:rPr>
          <w:rFonts w:cs="Arial"/>
          <w:lang w:eastAsia="zh-CN"/>
        </w:rPr>
        <w:t>Tecentriq</w:t>
      </w:r>
      <w:proofErr w:type="spellEnd"/>
      <w:r w:rsidRPr="006452D8">
        <w:rPr>
          <w:rFonts w:cs="Arial"/>
          <w:lang w:eastAsia="zh-CN"/>
        </w:rPr>
        <w:t xml:space="preserve"> as crossover (41% of all patients), compared to 7.3% in the </w:t>
      </w:r>
      <w:proofErr w:type="spellStart"/>
      <w:r w:rsidRPr="006452D8">
        <w:rPr>
          <w:rFonts w:cs="Arial"/>
          <w:lang w:eastAsia="zh-CN"/>
        </w:rPr>
        <w:t>Tecentriq</w:t>
      </w:r>
      <w:proofErr w:type="spellEnd"/>
      <w:r w:rsidRPr="006452D8">
        <w:rPr>
          <w:rFonts w:cs="Arial"/>
          <w:lang w:eastAsia="zh-CN"/>
        </w:rPr>
        <w:t xml:space="preserve">, nab-paclitaxel and carboplatin arm. </w:t>
      </w:r>
    </w:p>
    <w:p w14:paraId="23B328D8" w14:textId="6F477E5C" w:rsidR="00D65A49" w:rsidRDefault="00D65A49" w:rsidP="00364F3A">
      <w:pPr>
        <w:rPr>
          <w:rFonts w:cs="Arial"/>
          <w:lang w:eastAsia="zh-CN"/>
        </w:rPr>
      </w:pPr>
    </w:p>
    <w:p w14:paraId="5640EAD3" w14:textId="56C7FCA4" w:rsidR="006452D8" w:rsidRPr="006452D8" w:rsidRDefault="006452D8" w:rsidP="006452D8">
      <w:pPr>
        <w:rPr>
          <w:rFonts w:cs="Arial"/>
          <w:b/>
          <w:lang w:eastAsia="zh-CN"/>
        </w:rPr>
      </w:pPr>
      <w:r w:rsidRPr="006452D8">
        <w:rPr>
          <w:rFonts w:cs="Arial"/>
          <w:b/>
          <w:lang w:eastAsia="zh-CN"/>
        </w:rPr>
        <w:t>Table 1</w:t>
      </w:r>
      <w:r w:rsidR="003520F3">
        <w:rPr>
          <w:rFonts w:cs="Arial"/>
          <w:b/>
          <w:lang w:eastAsia="zh-CN"/>
        </w:rPr>
        <w:t>1</w:t>
      </w:r>
      <w:r w:rsidRPr="006452D8">
        <w:rPr>
          <w:rFonts w:cs="Arial"/>
          <w:b/>
          <w:lang w:eastAsia="zh-CN"/>
        </w:rPr>
        <w:t>. Summary of efficacy from IMpower130 in the primary analysis population</w:t>
      </w:r>
    </w:p>
    <w:tbl>
      <w:tblPr>
        <w:tblW w:w="9072"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111"/>
        <w:gridCol w:w="2552"/>
        <w:gridCol w:w="567"/>
        <w:gridCol w:w="1842"/>
      </w:tblGrid>
      <w:tr w:rsidR="006452D8" w:rsidRPr="006452D8" w14:paraId="223CA8CE" w14:textId="77777777" w:rsidTr="006452D8">
        <w:trPr>
          <w:tblHeader/>
        </w:trPr>
        <w:tc>
          <w:tcPr>
            <w:tcW w:w="4111" w:type="dxa"/>
            <w:tcBorders>
              <w:top w:val="single" w:sz="4" w:space="0" w:color="auto"/>
              <w:bottom w:val="single" w:sz="4" w:space="0" w:color="auto"/>
              <w:right w:val="nil"/>
            </w:tcBorders>
            <w:shd w:val="clear" w:color="auto" w:fill="FFFFFF" w:themeFill="background1"/>
          </w:tcPr>
          <w:p w14:paraId="2BDB8BE2" w14:textId="77777777" w:rsidR="006452D8" w:rsidRPr="006452D8" w:rsidRDefault="006452D8" w:rsidP="006452D8">
            <w:pPr>
              <w:rPr>
                <w:rFonts w:cs="Arial"/>
                <w:b/>
                <w:lang w:eastAsia="zh-CN"/>
              </w:rPr>
            </w:pPr>
            <w:r w:rsidRPr="006452D8">
              <w:rPr>
                <w:rFonts w:cs="Arial"/>
                <w:b/>
                <w:lang w:eastAsia="zh-CN"/>
              </w:rPr>
              <w:t>Key efficacy endpoints</w:t>
            </w:r>
          </w:p>
        </w:tc>
        <w:tc>
          <w:tcPr>
            <w:tcW w:w="2552" w:type="dxa"/>
            <w:tcBorders>
              <w:top w:val="single" w:sz="4" w:space="0" w:color="auto"/>
              <w:left w:val="nil"/>
              <w:bottom w:val="single" w:sz="4" w:space="0" w:color="auto"/>
              <w:right w:val="nil"/>
            </w:tcBorders>
            <w:shd w:val="clear" w:color="auto" w:fill="FFFFFF" w:themeFill="background1"/>
          </w:tcPr>
          <w:p w14:paraId="6304105C" w14:textId="77777777" w:rsidR="009F3EDE" w:rsidRDefault="006452D8" w:rsidP="006452D8">
            <w:pPr>
              <w:rPr>
                <w:rFonts w:cs="Arial"/>
                <w:b/>
                <w:lang w:eastAsia="zh-CN"/>
              </w:rPr>
            </w:pPr>
            <w:proofErr w:type="spellStart"/>
            <w:r w:rsidRPr="006452D8">
              <w:rPr>
                <w:rFonts w:cs="Arial"/>
                <w:b/>
                <w:lang w:eastAsia="zh-CN"/>
              </w:rPr>
              <w:t>Tecentriq</w:t>
            </w:r>
            <w:proofErr w:type="spellEnd"/>
            <w:r w:rsidRPr="006452D8">
              <w:rPr>
                <w:rFonts w:cs="Arial"/>
                <w:b/>
                <w:lang w:eastAsia="zh-CN"/>
              </w:rPr>
              <w:t xml:space="preserve"> + </w:t>
            </w:r>
          </w:p>
          <w:p w14:paraId="60A2BDF4" w14:textId="77777777" w:rsidR="009F3EDE" w:rsidRDefault="006452D8" w:rsidP="006452D8">
            <w:pPr>
              <w:rPr>
                <w:rFonts w:cs="Arial"/>
                <w:b/>
                <w:lang w:eastAsia="zh-CN"/>
              </w:rPr>
            </w:pPr>
            <w:r w:rsidRPr="006452D8">
              <w:rPr>
                <w:rFonts w:cs="Arial"/>
                <w:b/>
                <w:lang w:eastAsia="zh-CN"/>
              </w:rPr>
              <w:t xml:space="preserve">nab-paclitaxel </w:t>
            </w:r>
          </w:p>
          <w:p w14:paraId="20922137" w14:textId="32AE37E3" w:rsidR="006452D8" w:rsidRPr="006452D8" w:rsidRDefault="006452D8" w:rsidP="006452D8">
            <w:pPr>
              <w:rPr>
                <w:rFonts w:cs="Arial"/>
                <w:b/>
                <w:lang w:eastAsia="zh-CN"/>
              </w:rPr>
            </w:pPr>
            <w:r w:rsidRPr="006452D8">
              <w:rPr>
                <w:rFonts w:cs="Arial"/>
                <w:b/>
                <w:lang w:eastAsia="zh-CN"/>
              </w:rPr>
              <w:t>+ carboplatin</w:t>
            </w:r>
          </w:p>
        </w:tc>
        <w:tc>
          <w:tcPr>
            <w:tcW w:w="2409" w:type="dxa"/>
            <w:gridSpan w:val="2"/>
            <w:tcBorders>
              <w:top w:val="single" w:sz="4" w:space="0" w:color="auto"/>
              <w:left w:val="nil"/>
              <w:bottom w:val="single" w:sz="4" w:space="0" w:color="auto"/>
            </w:tcBorders>
            <w:shd w:val="clear" w:color="auto" w:fill="FFFFFF" w:themeFill="background1"/>
          </w:tcPr>
          <w:p w14:paraId="48D72D5C" w14:textId="77777777" w:rsidR="009F3EDE" w:rsidRDefault="006452D8" w:rsidP="006452D8">
            <w:pPr>
              <w:rPr>
                <w:rFonts w:cs="Arial"/>
                <w:b/>
                <w:lang w:eastAsia="zh-CN"/>
              </w:rPr>
            </w:pPr>
            <w:r w:rsidRPr="006452D8">
              <w:rPr>
                <w:rFonts w:cs="Arial"/>
                <w:b/>
                <w:lang w:eastAsia="zh-CN"/>
              </w:rPr>
              <w:t xml:space="preserve">nab-paclitaxel </w:t>
            </w:r>
          </w:p>
          <w:p w14:paraId="2110F2BB" w14:textId="03B81A57" w:rsidR="006452D8" w:rsidRPr="006452D8" w:rsidRDefault="006452D8" w:rsidP="006452D8">
            <w:pPr>
              <w:rPr>
                <w:rFonts w:cs="Arial"/>
                <w:b/>
                <w:lang w:eastAsia="zh-CN"/>
              </w:rPr>
            </w:pPr>
            <w:r w:rsidRPr="006452D8">
              <w:rPr>
                <w:rFonts w:cs="Arial"/>
                <w:b/>
                <w:lang w:eastAsia="zh-CN"/>
              </w:rPr>
              <w:t>+ carboplatin</w:t>
            </w:r>
          </w:p>
        </w:tc>
      </w:tr>
      <w:tr w:rsidR="006452D8" w:rsidRPr="006452D8" w14:paraId="783A2771" w14:textId="77777777" w:rsidTr="006452D8">
        <w:tc>
          <w:tcPr>
            <w:tcW w:w="9072" w:type="dxa"/>
            <w:gridSpan w:val="4"/>
            <w:tcBorders>
              <w:top w:val="single" w:sz="4" w:space="0" w:color="auto"/>
              <w:bottom w:val="nil"/>
            </w:tcBorders>
          </w:tcPr>
          <w:p w14:paraId="0C24BB82" w14:textId="77777777" w:rsidR="006452D8" w:rsidRPr="006452D8" w:rsidRDefault="006452D8" w:rsidP="006452D8">
            <w:pPr>
              <w:rPr>
                <w:rFonts w:cs="Arial"/>
                <w:lang w:eastAsia="zh-CN"/>
              </w:rPr>
            </w:pPr>
            <w:r w:rsidRPr="006452D8">
              <w:rPr>
                <w:rFonts w:cs="Arial"/>
                <w:b/>
                <w:i/>
                <w:lang w:eastAsia="zh-CN"/>
              </w:rPr>
              <w:t>Co-primary Endpoints</w:t>
            </w:r>
          </w:p>
        </w:tc>
      </w:tr>
      <w:tr w:rsidR="006452D8" w:rsidRPr="006452D8" w14:paraId="77E7589E" w14:textId="77777777" w:rsidTr="006452D8">
        <w:tc>
          <w:tcPr>
            <w:tcW w:w="4111" w:type="dxa"/>
            <w:tcBorders>
              <w:top w:val="single" w:sz="4" w:space="0" w:color="auto"/>
              <w:bottom w:val="nil"/>
              <w:right w:val="nil"/>
            </w:tcBorders>
          </w:tcPr>
          <w:p w14:paraId="6A08033F" w14:textId="77777777" w:rsidR="006452D8" w:rsidRPr="006452D8" w:rsidRDefault="006452D8" w:rsidP="006452D8">
            <w:pPr>
              <w:rPr>
                <w:rFonts w:cs="Arial"/>
                <w:b/>
                <w:i/>
                <w:lang w:eastAsia="zh-CN"/>
              </w:rPr>
            </w:pPr>
            <w:r w:rsidRPr="006452D8">
              <w:rPr>
                <w:rFonts w:cs="Arial"/>
                <w:b/>
                <w:i/>
                <w:lang w:eastAsia="zh-CN"/>
              </w:rPr>
              <w:t>OS</w:t>
            </w:r>
          </w:p>
        </w:tc>
        <w:tc>
          <w:tcPr>
            <w:tcW w:w="2552" w:type="dxa"/>
            <w:tcBorders>
              <w:top w:val="single" w:sz="4" w:space="0" w:color="auto"/>
              <w:left w:val="nil"/>
              <w:bottom w:val="nil"/>
              <w:right w:val="nil"/>
            </w:tcBorders>
          </w:tcPr>
          <w:p w14:paraId="507188FD" w14:textId="77777777" w:rsidR="006452D8" w:rsidRPr="006452D8" w:rsidRDefault="006452D8" w:rsidP="006452D8">
            <w:pPr>
              <w:rPr>
                <w:rFonts w:cs="Arial"/>
                <w:lang w:eastAsia="zh-CN"/>
              </w:rPr>
            </w:pPr>
            <w:r w:rsidRPr="006452D8">
              <w:rPr>
                <w:rFonts w:cs="Arial"/>
                <w:lang w:eastAsia="zh-CN"/>
              </w:rPr>
              <w:t>n = 451</w:t>
            </w:r>
          </w:p>
        </w:tc>
        <w:tc>
          <w:tcPr>
            <w:tcW w:w="2409" w:type="dxa"/>
            <w:gridSpan w:val="2"/>
            <w:tcBorders>
              <w:top w:val="single" w:sz="4" w:space="0" w:color="auto"/>
              <w:left w:val="nil"/>
              <w:bottom w:val="nil"/>
            </w:tcBorders>
          </w:tcPr>
          <w:p w14:paraId="2EA12A7A" w14:textId="77777777" w:rsidR="006452D8" w:rsidRPr="006452D8" w:rsidRDefault="006452D8" w:rsidP="006452D8">
            <w:pPr>
              <w:rPr>
                <w:rFonts w:cs="Arial"/>
                <w:lang w:eastAsia="zh-CN"/>
              </w:rPr>
            </w:pPr>
            <w:r w:rsidRPr="006452D8">
              <w:rPr>
                <w:rFonts w:cs="Arial"/>
                <w:lang w:eastAsia="zh-CN"/>
              </w:rPr>
              <w:t>n = 228</w:t>
            </w:r>
          </w:p>
        </w:tc>
      </w:tr>
      <w:tr w:rsidR="006452D8" w:rsidRPr="006452D8" w14:paraId="12680FD9" w14:textId="77777777" w:rsidTr="006452D8">
        <w:tc>
          <w:tcPr>
            <w:tcW w:w="4111" w:type="dxa"/>
            <w:tcBorders>
              <w:top w:val="nil"/>
              <w:bottom w:val="nil"/>
              <w:right w:val="nil"/>
            </w:tcBorders>
          </w:tcPr>
          <w:p w14:paraId="013F9E7D" w14:textId="77777777" w:rsidR="006452D8" w:rsidRPr="006452D8" w:rsidRDefault="006452D8" w:rsidP="006452D8">
            <w:pPr>
              <w:rPr>
                <w:rFonts w:cs="Arial"/>
                <w:b/>
                <w:i/>
                <w:lang w:eastAsia="zh-CN"/>
              </w:rPr>
            </w:pPr>
            <w:r w:rsidRPr="006452D8">
              <w:rPr>
                <w:rFonts w:cs="Arial"/>
                <w:lang w:eastAsia="zh-CN"/>
              </w:rPr>
              <w:t>No. of deaths (%)</w:t>
            </w:r>
          </w:p>
        </w:tc>
        <w:tc>
          <w:tcPr>
            <w:tcW w:w="2552" w:type="dxa"/>
            <w:tcBorders>
              <w:top w:val="nil"/>
              <w:left w:val="nil"/>
              <w:bottom w:val="nil"/>
              <w:right w:val="nil"/>
            </w:tcBorders>
          </w:tcPr>
          <w:p w14:paraId="00AFC2E8" w14:textId="77777777" w:rsidR="006452D8" w:rsidRPr="006452D8" w:rsidRDefault="006452D8" w:rsidP="006452D8">
            <w:pPr>
              <w:rPr>
                <w:rFonts w:cs="Arial"/>
                <w:lang w:eastAsia="zh-CN"/>
              </w:rPr>
            </w:pPr>
            <w:r w:rsidRPr="006452D8">
              <w:rPr>
                <w:rFonts w:cs="Arial"/>
                <w:lang w:eastAsia="zh-CN"/>
              </w:rPr>
              <w:t>226 (50.1%)</w:t>
            </w:r>
          </w:p>
        </w:tc>
        <w:tc>
          <w:tcPr>
            <w:tcW w:w="2409" w:type="dxa"/>
            <w:gridSpan w:val="2"/>
            <w:tcBorders>
              <w:top w:val="nil"/>
              <w:left w:val="nil"/>
              <w:bottom w:val="nil"/>
            </w:tcBorders>
          </w:tcPr>
          <w:p w14:paraId="71D4F92C" w14:textId="77777777" w:rsidR="006452D8" w:rsidRPr="006452D8" w:rsidRDefault="006452D8" w:rsidP="006452D8">
            <w:pPr>
              <w:rPr>
                <w:rFonts w:cs="Arial"/>
                <w:lang w:eastAsia="zh-CN"/>
              </w:rPr>
            </w:pPr>
            <w:r w:rsidRPr="006452D8">
              <w:rPr>
                <w:rFonts w:cs="Arial"/>
                <w:lang w:eastAsia="zh-CN"/>
              </w:rPr>
              <w:t>131 (57.5%)</w:t>
            </w:r>
          </w:p>
        </w:tc>
      </w:tr>
      <w:tr w:rsidR="006452D8" w:rsidRPr="006452D8" w14:paraId="7B053A55" w14:textId="77777777" w:rsidTr="006452D8">
        <w:tc>
          <w:tcPr>
            <w:tcW w:w="4111" w:type="dxa"/>
            <w:tcBorders>
              <w:top w:val="nil"/>
              <w:bottom w:val="nil"/>
              <w:right w:val="nil"/>
            </w:tcBorders>
          </w:tcPr>
          <w:p w14:paraId="3D34B08E" w14:textId="77777777" w:rsidR="006452D8" w:rsidRPr="006452D8" w:rsidRDefault="006452D8" w:rsidP="006452D8">
            <w:pPr>
              <w:rPr>
                <w:rFonts w:cs="Arial"/>
                <w:b/>
                <w:i/>
                <w:lang w:eastAsia="zh-CN"/>
              </w:rPr>
            </w:pPr>
            <w:r w:rsidRPr="006452D8">
              <w:rPr>
                <w:rFonts w:cs="Arial"/>
                <w:lang w:eastAsia="zh-CN"/>
              </w:rPr>
              <w:t>Median time to events (months)</w:t>
            </w:r>
          </w:p>
        </w:tc>
        <w:tc>
          <w:tcPr>
            <w:tcW w:w="2552" w:type="dxa"/>
            <w:tcBorders>
              <w:top w:val="nil"/>
              <w:left w:val="nil"/>
              <w:bottom w:val="nil"/>
              <w:right w:val="nil"/>
            </w:tcBorders>
          </w:tcPr>
          <w:p w14:paraId="2965FE52" w14:textId="77777777" w:rsidR="006452D8" w:rsidRPr="006452D8" w:rsidRDefault="006452D8" w:rsidP="006452D8">
            <w:pPr>
              <w:rPr>
                <w:rFonts w:cs="Arial"/>
                <w:lang w:eastAsia="zh-CN"/>
              </w:rPr>
            </w:pPr>
            <w:r w:rsidRPr="006452D8">
              <w:rPr>
                <w:rFonts w:cs="Arial"/>
                <w:lang w:eastAsia="zh-CN"/>
              </w:rPr>
              <w:t>18.6</w:t>
            </w:r>
          </w:p>
        </w:tc>
        <w:tc>
          <w:tcPr>
            <w:tcW w:w="2409" w:type="dxa"/>
            <w:gridSpan w:val="2"/>
            <w:tcBorders>
              <w:top w:val="nil"/>
              <w:left w:val="nil"/>
              <w:bottom w:val="nil"/>
            </w:tcBorders>
          </w:tcPr>
          <w:p w14:paraId="48DA553F" w14:textId="77777777" w:rsidR="006452D8" w:rsidRPr="006452D8" w:rsidRDefault="006452D8" w:rsidP="006452D8">
            <w:pPr>
              <w:rPr>
                <w:rFonts w:cs="Arial"/>
                <w:lang w:eastAsia="zh-CN"/>
              </w:rPr>
            </w:pPr>
            <w:r w:rsidRPr="006452D8">
              <w:rPr>
                <w:rFonts w:cs="Arial"/>
                <w:lang w:eastAsia="zh-CN"/>
              </w:rPr>
              <w:t>13.9</w:t>
            </w:r>
          </w:p>
        </w:tc>
      </w:tr>
      <w:tr w:rsidR="006452D8" w:rsidRPr="006452D8" w14:paraId="632F4E64" w14:textId="77777777" w:rsidTr="006452D8">
        <w:tc>
          <w:tcPr>
            <w:tcW w:w="4111" w:type="dxa"/>
            <w:tcBorders>
              <w:top w:val="nil"/>
              <w:bottom w:val="nil"/>
              <w:right w:val="nil"/>
            </w:tcBorders>
          </w:tcPr>
          <w:p w14:paraId="129BD707" w14:textId="77777777" w:rsidR="006452D8" w:rsidRPr="006452D8" w:rsidRDefault="006452D8" w:rsidP="006452D8">
            <w:pPr>
              <w:rPr>
                <w:rFonts w:cs="Arial"/>
                <w:b/>
                <w:i/>
                <w:lang w:eastAsia="zh-CN"/>
              </w:rPr>
            </w:pPr>
            <w:r w:rsidRPr="006452D8">
              <w:rPr>
                <w:rFonts w:cs="Arial"/>
                <w:lang w:eastAsia="zh-CN"/>
              </w:rPr>
              <w:t>95% CI</w:t>
            </w:r>
          </w:p>
        </w:tc>
        <w:tc>
          <w:tcPr>
            <w:tcW w:w="2552" w:type="dxa"/>
            <w:tcBorders>
              <w:top w:val="nil"/>
              <w:left w:val="nil"/>
              <w:bottom w:val="nil"/>
              <w:right w:val="nil"/>
            </w:tcBorders>
          </w:tcPr>
          <w:p w14:paraId="7F94DCAA" w14:textId="77777777" w:rsidR="006452D8" w:rsidRPr="006452D8" w:rsidRDefault="006452D8" w:rsidP="006452D8">
            <w:pPr>
              <w:rPr>
                <w:rFonts w:cs="Arial"/>
                <w:lang w:eastAsia="zh-CN"/>
              </w:rPr>
            </w:pPr>
            <w:r w:rsidRPr="006452D8">
              <w:rPr>
                <w:rFonts w:cs="Arial"/>
                <w:lang w:eastAsia="zh-CN"/>
              </w:rPr>
              <w:t>(16.0, 21.2)</w:t>
            </w:r>
          </w:p>
        </w:tc>
        <w:tc>
          <w:tcPr>
            <w:tcW w:w="2409" w:type="dxa"/>
            <w:gridSpan w:val="2"/>
            <w:tcBorders>
              <w:top w:val="nil"/>
              <w:left w:val="nil"/>
              <w:bottom w:val="nil"/>
            </w:tcBorders>
          </w:tcPr>
          <w:p w14:paraId="0CE25DA6" w14:textId="77777777" w:rsidR="006452D8" w:rsidRPr="006452D8" w:rsidRDefault="006452D8" w:rsidP="006452D8">
            <w:pPr>
              <w:rPr>
                <w:rFonts w:cs="Arial"/>
                <w:lang w:eastAsia="zh-CN"/>
              </w:rPr>
            </w:pPr>
            <w:r w:rsidRPr="006452D8">
              <w:rPr>
                <w:rFonts w:cs="Arial"/>
                <w:lang w:eastAsia="zh-CN"/>
              </w:rPr>
              <w:t>(12.0, 18.7)</w:t>
            </w:r>
          </w:p>
        </w:tc>
      </w:tr>
      <w:tr w:rsidR="006452D8" w:rsidRPr="006452D8" w14:paraId="26322494" w14:textId="77777777" w:rsidTr="006452D8">
        <w:tc>
          <w:tcPr>
            <w:tcW w:w="4111" w:type="dxa"/>
            <w:tcBorders>
              <w:top w:val="nil"/>
              <w:bottom w:val="nil"/>
              <w:right w:val="nil"/>
            </w:tcBorders>
          </w:tcPr>
          <w:p w14:paraId="28DF4F29" w14:textId="77777777" w:rsidR="006452D8" w:rsidRPr="006452D8" w:rsidRDefault="006452D8" w:rsidP="006452D8">
            <w:pPr>
              <w:rPr>
                <w:rFonts w:cs="Arial"/>
                <w:b/>
                <w:i/>
                <w:lang w:eastAsia="zh-CN"/>
              </w:rPr>
            </w:pPr>
            <w:r w:rsidRPr="006452D8">
              <w:rPr>
                <w:rFonts w:cs="Arial"/>
                <w:lang w:eastAsia="zh-CN"/>
              </w:rPr>
              <w:t>Stratified hazard ratio</w:t>
            </w:r>
            <w:r w:rsidRPr="006452D8">
              <w:rPr>
                <w:rFonts w:cs="Arial"/>
                <w:vertAlign w:val="superscript"/>
                <w:lang w:eastAsia="zh-CN"/>
              </w:rPr>
              <w:t xml:space="preserve">‡ </w:t>
            </w:r>
            <w:r w:rsidRPr="006452D8">
              <w:rPr>
                <w:rFonts w:cs="Arial"/>
                <w:lang w:eastAsia="zh-CN"/>
              </w:rPr>
              <w:t xml:space="preserve"> (95% CI)</w:t>
            </w:r>
          </w:p>
        </w:tc>
        <w:tc>
          <w:tcPr>
            <w:tcW w:w="4961" w:type="dxa"/>
            <w:gridSpan w:val="3"/>
            <w:tcBorders>
              <w:top w:val="nil"/>
              <w:left w:val="nil"/>
              <w:bottom w:val="nil"/>
            </w:tcBorders>
          </w:tcPr>
          <w:p w14:paraId="19ECA2E7" w14:textId="77777777" w:rsidR="006452D8" w:rsidRPr="006452D8" w:rsidRDefault="006452D8" w:rsidP="006452D8">
            <w:pPr>
              <w:rPr>
                <w:rFonts w:cs="Arial"/>
                <w:lang w:eastAsia="zh-CN"/>
              </w:rPr>
            </w:pPr>
            <w:r w:rsidRPr="006452D8">
              <w:rPr>
                <w:rFonts w:cs="Arial"/>
                <w:lang w:eastAsia="zh-CN"/>
              </w:rPr>
              <w:t>0.79 (0.64, 0.98)</w:t>
            </w:r>
          </w:p>
        </w:tc>
      </w:tr>
      <w:tr w:rsidR="006452D8" w:rsidRPr="006452D8" w14:paraId="1B2D7A46" w14:textId="77777777" w:rsidTr="006452D8">
        <w:tc>
          <w:tcPr>
            <w:tcW w:w="4111" w:type="dxa"/>
            <w:tcBorders>
              <w:top w:val="nil"/>
              <w:bottom w:val="nil"/>
              <w:right w:val="nil"/>
            </w:tcBorders>
          </w:tcPr>
          <w:p w14:paraId="6CB1FF21" w14:textId="77777777" w:rsidR="006452D8" w:rsidRPr="006452D8" w:rsidRDefault="006452D8" w:rsidP="006452D8">
            <w:pPr>
              <w:rPr>
                <w:rFonts w:cs="Arial"/>
                <w:b/>
                <w:i/>
                <w:lang w:eastAsia="zh-CN"/>
              </w:rPr>
            </w:pPr>
            <w:r w:rsidRPr="006452D8">
              <w:rPr>
                <w:rFonts w:cs="Arial"/>
                <w:lang w:eastAsia="zh-CN"/>
              </w:rPr>
              <w:t>p-value</w:t>
            </w:r>
          </w:p>
        </w:tc>
        <w:tc>
          <w:tcPr>
            <w:tcW w:w="4961" w:type="dxa"/>
            <w:gridSpan w:val="3"/>
            <w:tcBorders>
              <w:top w:val="nil"/>
              <w:left w:val="nil"/>
              <w:bottom w:val="nil"/>
            </w:tcBorders>
          </w:tcPr>
          <w:p w14:paraId="03958C21" w14:textId="77777777" w:rsidR="006452D8" w:rsidRPr="006452D8" w:rsidRDefault="006452D8" w:rsidP="006452D8">
            <w:pPr>
              <w:rPr>
                <w:rFonts w:cs="Arial"/>
                <w:lang w:eastAsia="zh-CN"/>
              </w:rPr>
            </w:pPr>
            <w:r w:rsidRPr="006452D8">
              <w:rPr>
                <w:rFonts w:cs="Arial"/>
                <w:lang w:eastAsia="zh-CN"/>
              </w:rPr>
              <w:t>0.033</w:t>
            </w:r>
          </w:p>
        </w:tc>
      </w:tr>
      <w:tr w:rsidR="006452D8" w:rsidRPr="006452D8" w14:paraId="35A11E6D" w14:textId="77777777" w:rsidTr="006452D8">
        <w:tc>
          <w:tcPr>
            <w:tcW w:w="4111" w:type="dxa"/>
            <w:tcBorders>
              <w:top w:val="nil"/>
              <w:bottom w:val="single" w:sz="4" w:space="0" w:color="auto"/>
              <w:right w:val="nil"/>
            </w:tcBorders>
          </w:tcPr>
          <w:p w14:paraId="3AB89051" w14:textId="77777777" w:rsidR="006452D8" w:rsidRPr="006452D8" w:rsidRDefault="006452D8" w:rsidP="006452D8">
            <w:pPr>
              <w:rPr>
                <w:rFonts w:cs="Arial"/>
                <w:b/>
                <w:i/>
                <w:lang w:eastAsia="zh-CN"/>
              </w:rPr>
            </w:pPr>
            <w:r w:rsidRPr="006452D8">
              <w:rPr>
                <w:rFonts w:cs="Arial"/>
                <w:lang w:eastAsia="zh-CN"/>
              </w:rPr>
              <w:t>12-month OS (%)</w:t>
            </w:r>
          </w:p>
        </w:tc>
        <w:tc>
          <w:tcPr>
            <w:tcW w:w="2552" w:type="dxa"/>
            <w:tcBorders>
              <w:top w:val="nil"/>
              <w:left w:val="nil"/>
              <w:bottom w:val="single" w:sz="4" w:space="0" w:color="auto"/>
              <w:right w:val="nil"/>
            </w:tcBorders>
          </w:tcPr>
          <w:p w14:paraId="558558CE" w14:textId="77777777" w:rsidR="006452D8" w:rsidRPr="006452D8" w:rsidRDefault="006452D8" w:rsidP="006452D8">
            <w:pPr>
              <w:rPr>
                <w:rFonts w:cs="Arial"/>
                <w:lang w:eastAsia="zh-CN"/>
              </w:rPr>
            </w:pPr>
            <w:r w:rsidRPr="006452D8">
              <w:rPr>
                <w:rFonts w:cs="Arial"/>
                <w:lang w:eastAsia="zh-CN"/>
              </w:rPr>
              <w:t>63</w:t>
            </w:r>
          </w:p>
        </w:tc>
        <w:tc>
          <w:tcPr>
            <w:tcW w:w="2409" w:type="dxa"/>
            <w:gridSpan w:val="2"/>
            <w:tcBorders>
              <w:top w:val="nil"/>
              <w:left w:val="nil"/>
              <w:bottom w:val="single" w:sz="4" w:space="0" w:color="auto"/>
            </w:tcBorders>
          </w:tcPr>
          <w:p w14:paraId="77ACA775" w14:textId="6CA6B03E" w:rsidR="006452D8" w:rsidRPr="006452D8" w:rsidRDefault="006452D8" w:rsidP="006452D8">
            <w:pPr>
              <w:rPr>
                <w:rFonts w:cs="Arial"/>
                <w:lang w:eastAsia="zh-CN"/>
              </w:rPr>
            </w:pPr>
            <w:r w:rsidRPr="006452D8">
              <w:rPr>
                <w:rFonts w:cs="Arial"/>
                <w:lang w:eastAsia="zh-CN"/>
              </w:rPr>
              <w:t>55</w:t>
            </w:r>
          </w:p>
        </w:tc>
      </w:tr>
      <w:tr w:rsidR="006452D8" w:rsidRPr="006452D8" w14:paraId="36BAC757" w14:textId="77777777" w:rsidTr="006452D8">
        <w:tc>
          <w:tcPr>
            <w:tcW w:w="4111" w:type="dxa"/>
            <w:tcBorders>
              <w:top w:val="single" w:sz="4" w:space="0" w:color="auto"/>
              <w:bottom w:val="nil"/>
              <w:right w:val="nil"/>
            </w:tcBorders>
          </w:tcPr>
          <w:p w14:paraId="01191D3C" w14:textId="77777777" w:rsidR="006452D8" w:rsidRPr="006452D8" w:rsidRDefault="006452D8" w:rsidP="006452D8">
            <w:pPr>
              <w:rPr>
                <w:rFonts w:cs="Arial"/>
                <w:b/>
                <w:i/>
                <w:vertAlign w:val="superscript"/>
                <w:lang w:eastAsia="zh-CN"/>
              </w:rPr>
            </w:pPr>
            <w:r w:rsidRPr="006452D8">
              <w:rPr>
                <w:rFonts w:cs="Arial"/>
                <w:b/>
                <w:i/>
                <w:lang w:eastAsia="zh-CN"/>
              </w:rPr>
              <w:t>Investigator-assessed PFS (RECIST v1.1</w:t>
            </w:r>
            <w:r w:rsidRPr="006452D8">
              <w:rPr>
                <w:rFonts w:cs="Arial"/>
                <w:lang w:eastAsia="zh-CN"/>
              </w:rPr>
              <w:t xml:space="preserve">) </w:t>
            </w:r>
          </w:p>
        </w:tc>
        <w:tc>
          <w:tcPr>
            <w:tcW w:w="2552" w:type="dxa"/>
            <w:tcBorders>
              <w:top w:val="single" w:sz="4" w:space="0" w:color="auto"/>
              <w:left w:val="nil"/>
              <w:bottom w:val="nil"/>
              <w:right w:val="nil"/>
            </w:tcBorders>
          </w:tcPr>
          <w:p w14:paraId="3B832DE9" w14:textId="77777777" w:rsidR="006452D8" w:rsidRPr="006452D8" w:rsidRDefault="006452D8" w:rsidP="006452D8">
            <w:pPr>
              <w:rPr>
                <w:rFonts w:cs="Arial"/>
                <w:lang w:eastAsia="zh-CN"/>
              </w:rPr>
            </w:pPr>
            <w:r w:rsidRPr="006452D8">
              <w:rPr>
                <w:rFonts w:cs="Arial"/>
                <w:lang w:eastAsia="zh-CN"/>
              </w:rPr>
              <w:t>n = 451</w:t>
            </w:r>
          </w:p>
        </w:tc>
        <w:tc>
          <w:tcPr>
            <w:tcW w:w="2409" w:type="dxa"/>
            <w:gridSpan w:val="2"/>
            <w:tcBorders>
              <w:top w:val="single" w:sz="4" w:space="0" w:color="auto"/>
              <w:left w:val="nil"/>
              <w:bottom w:val="nil"/>
            </w:tcBorders>
          </w:tcPr>
          <w:p w14:paraId="32851671" w14:textId="77777777" w:rsidR="006452D8" w:rsidRPr="006452D8" w:rsidRDefault="006452D8" w:rsidP="006452D8">
            <w:pPr>
              <w:rPr>
                <w:rFonts w:cs="Arial"/>
                <w:lang w:eastAsia="zh-CN"/>
              </w:rPr>
            </w:pPr>
            <w:r w:rsidRPr="006452D8">
              <w:rPr>
                <w:rFonts w:cs="Arial"/>
                <w:lang w:eastAsia="zh-CN"/>
              </w:rPr>
              <w:t>n = 228</w:t>
            </w:r>
          </w:p>
        </w:tc>
      </w:tr>
      <w:tr w:rsidR="006452D8" w:rsidRPr="006452D8" w14:paraId="4B1B770D" w14:textId="77777777" w:rsidTr="006452D8">
        <w:tc>
          <w:tcPr>
            <w:tcW w:w="4111" w:type="dxa"/>
            <w:tcBorders>
              <w:top w:val="nil"/>
              <w:bottom w:val="nil"/>
              <w:right w:val="nil"/>
            </w:tcBorders>
          </w:tcPr>
          <w:p w14:paraId="367E29BA" w14:textId="77777777" w:rsidR="006452D8" w:rsidRPr="006452D8" w:rsidRDefault="006452D8" w:rsidP="006452D8">
            <w:pPr>
              <w:rPr>
                <w:rFonts w:cs="Arial"/>
                <w:lang w:eastAsia="zh-CN"/>
              </w:rPr>
            </w:pPr>
            <w:r w:rsidRPr="006452D8">
              <w:rPr>
                <w:rFonts w:cs="Arial"/>
                <w:lang w:eastAsia="zh-CN"/>
              </w:rPr>
              <w:t>No. of events (%)</w:t>
            </w:r>
          </w:p>
        </w:tc>
        <w:tc>
          <w:tcPr>
            <w:tcW w:w="2552" w:type="dxa"/>
            <w:tcBorders>
              <w:top w:val="nil"/>
              <w:left w:val="nil"/>
              <w:bottom w:val="nil"/>
              <w:right w:val="nil"/>
            </w:tcBorders>
          </w:tcPr>
          <w:p w14:paraId="2113853C" w14:textId="77777777" w:rsidR="006452D8" w:rsidRPr="006452D8" w:rsidRDefault="006452D8" w:rsidP="006452D8">
            <w:pPr>
              <w:rPr>
                <w:rFonts w:cs="Arial"/>
                <w:lang w:eastAsia="zh-CN"/>
              </w:rPr>
            </w:pPr>
            <w:r w:rsidRPr="006452D8">
              <w:rPr>
                <w:rFonts w:cs="Arial"/>
                <w:lang w:eastAsia="zh-CN"/>
              </w:rPr>
              <w:t>347 (76.9)</w:t>
            </w:r>
          </w:p>
        </w:tc>
        <w:tc>
          <w:tcPr>
            <w:tcW w:w="2409" w:type="dxa"/>
            <w:gridSpan w:val="2"/>
            <w:tcBorders>
              <w:top w:val="nil"/>
              <w:left w:val="nil"/>
              <w:bottom w:val="nil"/>
            </w:tcBorders>
          </w:tcPr>
          <w:p w14:paraId="04EB1F46" w14:textId="77777777" w:rsidR="006452D8" w:rsidRPr="006452D8" w:rsidRDefault="006452D8" w:rsidP="006452D8">
            <w:pPr>
              <w:rPr>
                <w:rFonts w:cs="Arial"/>
                <w:lang w:eastAsia="zh-CN"/>
              </w:rPr>
            </w:pPr>
            <w:r w:rsidRPr="006452D8">
              <w:rPr>
                <w:rFonts w:cs="Arial"/>
                <w:lang w:eastAsia="zh-CN"/>
              </w:rPr>
              <w:t>198 (86.8)</w:t>
            </w:r>
          </w:p>
        </w:tc>
      </w:tr>
      <w:tr w:rsidR="006452D8" w:rsidRPr="006452D8" w14:paraId="44C67C79" w14:textId="77777777" w:rsidTr="006452D8">
        <w:tc>
          <w:tcPr>
            <w:tcW w:w="4111" w:type="dxa"/>
            <w:tcBorders>
              <w:top w:val="nil"/>
              <w:bottom w:val="nil"/>
              <w:right w:val="nil"/>
            </w:tcBorders>
          </w:tcPr>
          <w:p w14:paraId="77B31785" w14:textId="77777777" w:rsidR="006452D8" w:rsidRPr="006452D8" w:rsidRDefault="006452D8" w:rsidP="006452D8">
            <w:pPr>
              <w:rPr>
                <w:rFonts w:cs="Arial"/>
                <w:lang w:eastAsia="zh-CN"/>
              </w:rPr>
            </w:pPr>
            <w:r w:rsidRPr="006452D8">
              <w:rPr>
                <w:rFonts w:cs="Arial"/>
                <w:lang w:eastAsia="zh-CN"/>
              </w:rPr>
              <w:t>Median duration of PFS (months)</w:t>
            </w:r>
          </w:p>
        </w:tc>
        <w:tc>
          <w:tcPr>
            <w:tcW w:w="2552" w:type="dxa"/>
            <w:tcBorders>
              <w:top w:val="nil"/>
              <w:left w:val="nil"/>
              <w:bottom w:val="nil"/>
              <w:right w:val="nil"/>
            </w:tcBorders>
          </w:tcPr>
          <w:p w14:paraId="2C9A3570" w14:textId="77777777" w:rsidR="006452D8" w:rsidRPr="006452D8" w:rsidRDefault="006452D8" w:rsidP="006452D8">
            <w:pPr>
              <w:rPr>
                <w:rFonts w:cs="Arial"/>
                <w:lang w:eastAsia="zh-CN"/>
              </w:rPr>
            </w:pPr>
            <w:r w:rsidRPr="006452D8">
              <w:rPr>
                <w:rFonts w:cs="Arial"/>
                <w:lang w:eastAsia="zh-CN"/>
              </w:rPr>
              <w:t>7.0</w:t>
            </w:r>
          </w:p>
        </w:tc>
        <w:tc>
          <w:tcPr>
            <w:tcW w:w="2409" w:type="dxa"/>
            <w:gridSpan w:val="2"/>
            <w:tcBorders>
              <w:top w:val="nil"/>
              <w:left w:val="nil"/>
              <w:bottom w:val="nil"/>
            </w:tcBorders>
          </w:tcPr>
          <w:p w14:paraId="3300E7B9" w14:textId="77777777" w:rsidR="006452D8" w:rsidRPr="006452D8" w:rsidRDefault="006452D8" w:rsidP="006452D8">
            <w:pPr>
              <w:rPr>
                <w:rFonts w:cs="Arial"/>
                <w:lang w:eastAsia="zh-CN"/>
              </w:rPr>
            </w:pPr>
            <w:r w:rsidRPr="006452D8">
              <w:rPr>
                <w:rFonts w:cs="Arial"/>
                <w:lang w:eastAsia="zh-CN"/>
              </w:rPr>
              <w:t>5.5</w:t>
            </w:r>
          </w:p>
        </w:tc>
      </w:tr>
      <w:tr w:rsidR="006452D8" w:rsidRPr="006452D8" w14:paraId="7F665FBE" w14:textId="77777777" w:rsidTr="006452D8">
        <w:tc>
          <w:tcPr>
            <w:tcW w:w="4111" w:type="dxa"/>
            <w:tcBorders>
              <w:top w:val="nil"/>
              <w:bottom w:val="nil"/>
              <w:right w:val="nil"/>
            </w:tcBorders>
          </w:tcPr>
          <w:p w14:paraId="0DA206C0" w14:textId="77777777" w:rsidR="006452D8" w:rsidRPr="006452D8" w:rsidRDefault="006452D8" w:rsidP="006452D8">
            <w:pPr>
              <w:rPr>
                <w:rFonts w:cs="Arial"/>
                <w:lang w:eastAsia="zh-CN"/>
              </w:rPr>
            </w:pPr>
            <w:r w:rsidRPr="006452D8">
              <w:rPr>
                <w:rFonts w:cs="Arial"/>
                <w:lang w:eastAsia="zh-CN"/>
              </w:rPr>
              <w:t>95% CI</w:t>
            </w:r>
          </w:p>
        </w:tc>
        <w:tc>
          <w:tcPr>
            <w:tcW w:w="2552" w:type="dxa"/>
            <w:tcBorders>
              <w:top w:val="nil"/>
              <w:left w:val="nil"/>
              <w:bottom w:val="nil"/>
              <w:right w:val="nil"/>
            </w:tcBorders>
          </w:tcPr>
          <w:p w14:paraId="1BE9B098" w14:textId="77777777" w:rsidR="006452D8" w:rsidRPr="006452D8" w:rsidRDefault="006452D8" w:rsidP="006452D8">
            <w:pPr>
              <w:rPr>
                <w:rFonts w:cs="Arial"/>
                <w:lang w:eastAsia="zh-CN"/>
              </w:rPr>
            </w:pPr>
            <w:r w:rsidRPr="006452D8">
              <w:rPr>
                <w:rFonts w:cs="Arial"/>
                <w:lang w:eastAsia="zh-CN"/>
              </w:rPr>
              <w:t>(6.2, 7.3)</w:t>
            </w:r>
          </w:p>
        </w:tc>
        <w:tc>
          <w:tcPr>
            <w:tcW w:w="2409" w:type="dxa"/>
            <w:gridSpan w:val="2"/>
            <w:tcBorders>
              <w:top w:val="nil"/>
              <w:left w:val="nil"/>
              <w:bottom w:val="nil"/>
            </w:tcBorders>
          </w:tcPr>
          <w:p w14:paraId="6F287D93" w14:textId="77777777" w:rsidR="006452D8" w:rsidRPr="006452D8" w:rsidRDefault="006452D8" w:rsidP="006452D8">
            <w:pPr>
              <w:rPr>
                <w:rFonts w:cs="Arial"/>
                <w:lang w:eastAsia="zh-CN"/>
              </w:rPr>
            </w:pPr>
            <w:r w:rsidRPr="006452D8">
              <w:rPr>
                <w:rFonts w:cs="Arial"/>
                <w:lang w:eastAsia="zh-CN"/>
              </w:rPr>
              <w:t>(4.4, 5.9)</w:t>
            </w:r>
          </w:p>
        </w:tc>
      </w:tr>
      <w:tr w:rsidR="006452D8" w:rsidRPr="006452D8" w14:paraId="6564BCA8" w14:textId="77777777" w:rsidTr="006452D8">
        <w:tc>
          <w:tcPr>
            <w:tcW w:w="4111" w:type="dxa"/>
            <w:tcBorders>
              <w:top w:val="nil"/>
              <w:bottom w:val="nil"/>
              <w:right w:val="nil"/>
            </w:tcBorders>
          </w:tcPr>
          <w:p w14:paraId="1573F93B" w14:textId="77777777" w:rsidR="006452D8" w:rsidRPr="006452D8" w:rsidRDefault="006452D8" w:rsidP="006452D8">
            <w:pPr>
              <w:rPr>
                <w:rFonts w:cs="Arial"/>
                <w:lang w:eastAsia="zh-CN"/>
              </w:rPr>
            </w:pPr>
            <w:r w:rsidRPr="006452D8">
              <w:rPr>
                <w:rFonts w:cs="Arial"/>
                <w:lang w:eastAsia="zh-CN"/>
              </w:rPr>
              <w:t>Stratified hazard ratio</w:t>
            </w:r>
            <w:r w:rsidRPr="006452D8">
              <w:rPr>
                <w:rFonts w:cs="Arial"/>
                <w:vertAlign w:val="superscript"/>
                <w:lang w:eastAsia="zh-CN"/>
              </w:rPr>
              <w:t>‡</w:t>
            </w:r>
            <w:r w:rsidRPr="006452D8">
              <w:rPr>
                <w:rFonts w:cs="Arial"/>
                <w:lang w:eastAsia="zh-CN"/>
              </w:rPr>
              <w:t xml:space="preserve"> (95% CI)</w:t>
            </w:r>
          </w:p>
        </w:tc>
        <w:tc>
          <w:tcPr>
            <w:tcW w:w="4961" w:type="dxa"/>
            <w:gridSpan w:val="3"/>
            <w:tcBorders>
              <w:top w:val="nil"/>
              <w:left w:val="nil"/>
              <w:bottom w:val="nil"/>
            </w:tcBorders>
          </w:tcPr>
          <w:p w14:paraId="1D2D13FE" w14:textId="77777777" w:rsidR="006452D8" w:rsidRPr="006452D8" w:rsidRDefault="006452D8" w:rsidP="006452D8">
            <w:pPr>
              <w:rPr>
                <w:rFonts w:cs="Arial"/>
                <w:lang w:eastAsia="zh-CN"/>
              </w:rPr>
            </w:pPr>
            <w:r w:rsidRPr="006452D8">
              <w:rPr>
                <w:rFonts w:cs="Arial"/>
                <w:lang w:eastAsia="zh-CN"/>
              </w:rPr>
              <w:t>0.64 (0.54, 0.77)</w:t>
            </w:r>
          </w:p>
        </w:tc>
      </w:tr>
      <w:tr w:rsidR="006452D8" w:rsidRPr="006452D8" w14:paraId="470971D0" w14:textId="77777777" w:rsidTr="006452D8">
        <w:tc>
          <w:tcPr>
            <w:tcW w:w="4111" w:type="dxa"/>
            <w:tcBorders>
              <w:top w:val="nil"/>
              <w:bottom w:val="nil"/>
              <w:right w:val="nil"/>
            </w:tcBorders>
          </w:tcPr>
          <w:p w14:paraId="64A65A83" w14:textId="77777777" w:rsidR="006452D8" w:rsidRPr="006452D8" w:rsidRDefault="006452D8" w:rsidP="006452D8">
            <w:pPr>
              <w:rPr>
                <w:rFonts w:cs="Arial"/>
                <w:lang w:eastAsia="zh-CN"/>
              </w:rPr>
            </w:pPr>
            <w:r w:rsidRPr="006452D8">
              <w:rPr>
                <w:rFonts w:cs="Arial"/>
                <w:lang w:eastAsia="zh-CN"/>
              </w:rPr>
              <w:lastRenderedPageBreak/>
              <w:t xml:space="preserve">p-value  </w:t>
            </w:r>
          </w:p>
        </w:tc>
        <w:tc>
          <w:tcPr>
            <w:tcW w:w="4961" w:type="dxa"/>
            <w:gridSpan w:val="3"/>
            <w:tcBorders>
              <w:top w:val="nil"/>
              <w:left w:val="nil"/>
              <w:bottom w:val="nil"/>
            </w:tcBorders>
          </w:tcPr>
          <w:p w14:paraId="5CEB397E" w14:textId="77777777" w:rsidR="006452D8" w:rsidRPr="006452D8" w:rsidRDefault="006452D8" w:rsidP="006452D8">
            <w:pPr>
              <w:rPr>
                <w:rFonts w:cs="Arial"/>
                <w:lang w:eastAsia="zh-CN"/>
              </w:rPr>
            </w:pPr>
            <w:r w:rsidRPr="006452D8">
              <w:rPr>
                <w:rFonts w:cs="Arial"/>
                <w:lang w:eastAsia="zh-CN"/>
              </w:rPr>
              <w:t>&lt; 0.0001</w:t>
            </w:r>
          </w:p>
        </w:tc>
      </w:tr>
      <w:tr w:rsidR="006452D8" w:rsidRPr="006452D8" w14:paraId="6F85DFC6" w14:textId="77777777" w:rsidTr="006452D8">
        <w:tc>
          <w:tcPr>
            <w:tcW w:w="4111" w:type="dxa"/>
            <w:tcBorders>
              <w:top w:val="nil"/>
              <w:bottom w:val="single" w:sz="4" w:space="0" w:color="auto"/>
              <w:right w:val="nil"/>
            </w:tcBorders>
          </w:tcPr>
          <w:p w14:paraId="506006A3" w14:textId="77777777" w:rsidR="006452D8" w:rsidRPr="006452D8" w:rsidRDefault="006452D8" w:rsidP="006452D8">
            <w:pPr>
              <w:rPr>
                <w:rFonts w:cs="Arial"/>
                <w:lang w:eastAsia="zh-CN"/>
              </w:rPr>
            </w:pPr>
            <w:r w:rsidRPr="006452D8">
              <w:rPr>
                <w:rFonts w:cs="Arial"/>
                <w:lang w:eastAsia="zh-CN"/>
              </w:rPr>
              <w:t>12-month PFS (%)</w:t>
            </w:r>
          </w:p>
        </w:tc>
        <w:tc>
          <w:tcPr>
            <w:tcW w:w="3119" w:type="dxa"/>
            <w:gridSpan w:val="2"/>
            <w:tcBorders>
              <w:top w:val="nil"/>
              <w:left w:val="nil"/>
              <w:bottom w:val="single" w:sz="4" w:space="0" w:color="auto"/>
              <w:right w:val="nil"/>
            </w:tcBorders>
          </w:tcPr>
          <w:p w14:paraId="0EEB7F66" w14:textId="77777777" w:rsidR="006452D8" w:rsidRPr="006452D8" w:rsidRDefault="006452D8" w:rsidP="006452D8">
            <w:pPr>
              <w:rPr>
                <w:rFonts w:cs="Arial"/>
                <w:lang w:eastAsia="zh-CN"/>
              </w:rPr>
            </w:pPr>
            <w:r w:rsidRPr="006452D8">
              <w:rPr>
                <w:rFonts w:cs="Arial"/>
                <w:lang w:eastAsia="zh-CN"/>
              </w:rPr>
              <w:t>29</w:t>
            </w:r>
          </w:p>
        </w:tc>
        <w:tc>
          <w:tcPr>
            <w:tcW w:w="1842" w:type="dxa"/>
            <w:tcBorders>
              <w:top w:val="nil"/>
              <w:left w:val="nil"/>
              <w:bottom w:val="single" w:sz="4" w:space="0" w:color="auto"/>
            </w:tcBorders>
          </w:tcPr>
          <w:p w14:paraId="7B8319E8" w14:textId="77777777" w:rsidR="006452D8" w:rsidRPr="006452D8" w:rsidRDefault="006452D8" w:rsidP="006452D8">
            <w:pPr>
              <w:rPr>
                <w:rFonts w:cs="Arial"/>
                <w:lang w:eastAsia="zh-CN"/>
              </w:rPr>
            </w:pPr>
            <w:r w:rsidRPr="006452D8">
              <w:rPr>
                <w:rFonts w:cs="Arial"/>
                <w:lang w:eastAsia="zh-CN"/>
              </w:rPr>
              <w:t>14</w:t>
            </w:r>
          </w:p>
        </w:tc>
      </w:tr>
      <w:tr w:rsidR="006452D8" w:rsidRPr="006452D8" w14:paraId="32F805E5" w14:textId="77777777" w:rsidTr="006452D8">
        <w:tc>
          <w:tcPr>
            <w:tcW w:w="4111" w:type="dxa"/>
            <w:tcBorders>
              <w:top w:val="single" w:sz="4" w:space="0" w:color="auto"/>
              <w:bottom w:val="nil"/>
              <w:right w:val="nil"/>
            </w:tcBorders>
          </w:tcPr>
          <w:p w14:paraId="7DE6B0ED" w14:textId="6BB676D1" w:rsidR="006452D8" w:rsidRPr="006452D8" w:rsidRDefault="006452D8" w:rsidP="006452D8">
            <w:pPr>
              <w:rPr>
                <w:rFonts w:cs="Arial"/>
                <w:b/>
                <w:i/>
                <w:lang w:eastAsia="zh-CN"/>
              </w:rPr>
            </w:pPr>
            <w:r w:rsidRPr="006452D8">
              <w:rPr>
                <w:rFonts w:cs="Arial"/>
                <w:b/>
                <w:i/>
                <w:lang w:eastAsia="zh-CN"/>
              </w:rPr>
              <w:t>Other Endpoints</w:t>
            </w:r>
          </w:p>
        </w:tc>
        <w:tc>
          <w:tcPr>
            <w:tcW w:w="2552" w:type="dxa"/>
            <w:tcBorders>
              <w:top w:val="single" w:sz="4" w:space="0" w:color="auto"/>
              <w:left w:val="nil"/>
              <w:bottom w:val="nil"/>
              <w:right w:val="nil"/>
            </w:tcBorders>
          </w:tcPr>
          <w:p w14:paraId="161E79FF" w14:textId="77777777" w:rsidR="006452D8" w:rsidRPr="006452D8" w:rsidRDefault="006452D8" w:rsidP="006452D8">
            <w:pPr>
              <w:rPr>
                <w:rFonts w:cs="Arial"/>
                <w:lang w:eastAsia="zh-CN"/>
              </w:rPr>
            </w:pPr>
          </w:p>
        </w:tc>
        <w:tc>
          <w:tcPr>
            <w:tcW w:w="2409" w:type="dxa"/>
            <w:gridSpan w:val="2"/>
            <w:tcBorders>
              <w:top w:val="single" w:sz="4" w:space="0" w:color="auto"/>
              <w:left w:val="nil"/>
              <w:bottom w:val="nil"/>
            </w:tcBorders>
          </w:tcPr>
          <w:p w14:paraId="2A3AF5E4" w14:textId="77777777" w:rsidR="006452D8" w:rsidRPr="006452D8" w:rsidRDefault="006452D8" w:rsidP="006452D8">
            <w:pPr>
              <w:rPr>
                <w:rFonts w:cs="Arial"/>
                <w:lang w:eastAsia="zh-CN"/>
              </w:rPr>
            </w:pPr>
          </w:p>
        </w:tc>
      </w:tr>
      <w:tr w:rsidR="006452D8" w:rsidRPr="006452D8" w14:paraId="2DDB4269" w14:textId="77777777" w:rsidTr="006452D8">
        <w:tc>
          <w:tcPr>
            <w:tcW w:w="4111" w:type="dxa"/>
            <w:tcBorders>
              <w:top w:val="single" w:sz="4" w:space="0" w:color="auto"/>
              <w:bottom w:val="nil"/>
              <w:right w:val="nil"/>
            </w:tcBorders>
          </w:tcPr>
          <w:p w14:paraId="7006E267" w14:textId="77777777" w:rsidR="006452D8" w:rsidRPr="006452D8" w:rsidRDefault="006452D8" w:rsidP="006452D8">
            <w:pPr>
              <w:rPr>
                <w:rFonts w:cs="Arial"/>
                <w:b/>
                <w:i/>
                <w:lang w:eastAsia="zh-CN"/>
              </w:rPr>
            </w:pPr>
            <w:r w:rsidRPr="006452D8">
              <w:rPr>
                <w:rFonts w:cs="Arial"/>
                <w:b/>
                <w:i/>
                <w:lang w:eastAsia="zh-CN"/>
              </w:rPr>
              <w:t>Investigator-assessed ORR (RECIST 1.1)</w:t>
            </w:r>
          </w:p>
        </w:tc>
        <w:tc>
          <w:tcPr>
            <w:tcW w:w="2552" w:type="dxa"/>
            <w:tcBorders>
              <w:top w:val="single" w:sz="4" w:space="0" w:color="auto"/>
              <w:left w:val="nil"/>
              <w:bottom w:val="nil"/>
              <w:right w:val="nil"/>
            </w:tcBorders>
          </w:tcPr>
          <w:p w14:paraId="53287CCF" w14:textId="77777777" w:rsidR="006452D8" w:rsidRPr="006452D8" w:rsidRDefault="006452D8" w:rsidP="006452D8">
            <w:pPr>
              <w:rPr>
                <w:rFonts w:cs="Arial"/>
                <w:lang w:eastAsia="zh-CN"/>
              </w:rPr>
            </w:pPr>
            <w:r w:rsidRPr="006452D8">
              <w:rPr>
                <w:rFonts w:cs="Arial"/>
                <w:lang w:eastAsia="zh-CN"/>
              </w:rPr>
              <w:t>n = 447</w:t>
            </w:r>
          </w:p>
        </w:tc>
        <w:tc>
          <w:tcPr>
            <w:tcW w:w="2409" w:type="dxa"/>
            <w:gridSpan w:val="2"/>
            <w:tcBorders>
              <w:top w:val="single" w:sz="4" w:space="0" w:color="auto"/>
              <w:left w:val="nil"/>
              <w:bottom w:val="nil"/>
            </w:tcBorders>
          </w:tcPr>
          <w:p w14:paraId="5348E08C" w14:textId="77777777" w:rsidR="006452D8" w:rsidRPr="006452D8" w:rsidRDefault="006452D8" w:rsidP="006452D8">
            <w:pPr>
              <w:rPr>
                <w:rFonts w:cs="Arial"/>
                <w:lang w:eastAsia="zh-CN"/>
              </w:rPr>
            </w:pPr>
            <w:r w:rsidRPr="006452D8">
              <w:rPr>
                <w:rFonts w:cs="Arial"/>
                <w:lang w:eastAsia="zh-CN"/>
              </w:rPr>
              <w:t>n = 226</w:t>
            </w:r>
          </w:p>
        </w:tc>
      </w:tr>
      <w:tr w:rsidR="006452D8" w:rsidRPr="006452D8" w14:paraId="37584E5D" w14:textId="77777777" w:rsidTr="006452D8">
        <w:tc>
          <w:tcPr>
            <w:tcW w:w="4111" w:type="dxa"/>
            <w:tcBorders>
              <w:top w:val="nil"/>
              <w:bottom w:val="nil"/>
              <w:right w:val="nil"/>
            </w:tcBorders>
          </w:tcPr>
          <w:p w14:paraId="4F8F9108" w14:textId="77777777" w:rsidR="006452D8" w:rsidRPr="006452D8" w:rsidRDefault="006452D8" w:rsidP="006452D8">
            <w:pPr>
              <w:rPr>
                <w:rFonts w:cs="Arial"/>
                <w:lang w:eastAsia="zh-CN"/>
              </w:rPr>
            </w:pPr>
            <w:r w:rsidRPr="006452D8">
              <w:rPr>
                <w:rFonts w:cs="Arial"/>
                <w:lang w:eastAsia="zh-CN"/>
              </w:rPr>
              <w:t>No. of confirmed responders (%)</w:t>
            </w:r>
          </w:p>
        </w:tc>
        <w:tc>
          <w:tcPr>
            <w:tcW w:w="2552" w:type="dxa"/>
            <w:tcBorders>
              <w:top w:val="nil"/>
              <w:left w:val="nil"/>
              <w:bottom w:val="nil"/>
              <w:right w:val="nil"/>
            </w:tcBorders>
          </w:tcPr>
          <w:p w14:paraId="51BBC668" w14:textId="77777777" w:rsidR="006452D8" w:rsidRPr="006452D8" w:rsidRDefault="006452D8" w:rsidP="006452D8">
            <w:pPr>
              <w:rPr>
                <w:rFonts w:cs="Arial"/>
                <w:lang w:eastAsia="zh-CN"/>
              </w:rPr>
            </w:pPr>
            <w:r w:rsidRPr="006452D8">
              <w:rPr>
                <w:rFonts w:cs="Arial"/>
                <w:lang w:eastAsia="zh-CN"/>
              </w:rPr>
              <w:t>220 (49.2%)</w:t>
            </w:r>
          </w:p>
        </w:tc>
        <w:tc>
          <w:tcPr>
            <w:tcW w:w="2409" w:type="dxa"/>
            <w:gridSpan w:val="2"/>
            <w:tcBorders>
              <w:top w:val="nil"/>
              <w:left w:val="nil"/>
              <w:bottom w:val="nil"/>
            </w:tcBorders>
          </w:tcPr>
          <w:p w14:paraId="2BB77034" w14:textId="77777777" w:rsidR="006452D8" w:rsidRPr="006452D8" w:rsidRDefault="006452D8" w:rsidP="006452D8">
            <w:pPr>
              <w:rPr>
                <w:rFonts w:cs="Arial"/>
                <w:lang w:eastAsia="zh-CN"/>
              </w:rPr>
            </w:pPr>
            <w:r w:rsidRPr="006452D8">
              <w:rPr>
                <w:rFonts w:cs="Arial"/>
                <w:lang w:eastAsia="zh-CN"/>
              </w:rPr>
              <w:t>72 (31.9%)</w:t>
            </w:r>
          </w:p>
        </w:tc>
      </w:tr>
      <w:tr w:rsidR="006452D8" w:rsidRPr="006452D8" w14:paraId="23013601" w14:textId="77777777" w:rsidTr="006452D8">
        <w:tc>
          <w:tcPr>
            <w:tcW w:w="4111" w:type="dxa"/>
            <w:tcBorders>
              <w:top w:val="nil"/>
              <w:bottom w:val="nil"/>
              <w:right w:val="nil"/>
            </w:tcBorders>
          </w:tcPr>
          <w:p w14:paraId="51C30699" w14:textId="77777777" w:rsidR="006452D8" w:rsidRPr="006452D8" w:rsidRDefault="006452D8" w:rsidP="006452D8">
            <w:pPr>
              <w:rPr>
                <w:rFonts w:cs="Arial"/>
                <w:lang w:eastAsia="zh-CN"/>
              </w:rPr>
            </w:pPr>
            <w:r w:rsidRPr="006452D8">
              <w:rPr>
                <w:rFonts w:cs="Arial"/>
                <w:lang w:eastAsia="zh-CN"/>
              </w:rPr>
              <w:t>95% CI</w:t>
            </w:r>
          </w:p>
        </w:tc>
        <w:tc>
          <w:tcPr>
            <w:tcW w:w="2552" w:type="dxa"/>
            <w:tcBorders>
              <w:top w:val="nil"/>
              <w:left w:val="nil"/>
              <w:bottom w:val="nil"/>
              <w:right w:val="nil"/>
            </w:tcBorders>
          </w:tcPr>
          <w:p w14:paraId="41E0F9FE" w14:textId="77777777" w:rsidR="006452D8" w:rsidRPr="006452D8" w:rsidRDefault="006452D8" w:rsidP="006452D8">
            <w:pPr>
              <w:rPr>
                <w:rFonts w:cs="Arial"/>
                <w:lang w:eastAsia="zh-CN"/>
              </w:rPr>
            </w:pPr>
            <w:r w:rsidRPr="006452D8">
              <w:rPr>
                <w:rFonts w:cs="Arial"/>
                <w:lang w:eastAsia="zh-CN"/>
              </w:rPr>
              <w:t>(44.5, 54.0)</w:t>
            </w:r>
          </w:p>
        </w:tc>
        <w:tc>
          <w:tcPr>
            <w:tcW w:w="2409" w:type="dxa"/>
            <w:gridSpan w:val="2"/>
            <w:tcBorders>
              <w:top w:val="nil"/>
              <w:left w:val="nil"/>
              <w:bottom w:val="nil"/>
            </w:tcBorders>
          </w:tcPr>
          <w:p w14:paraId="6EE35A04" w14:textId="77777777" w:rsidR="006452D8" w:rsidRPr="006452D8" w:rsidRDefault="006452D8" w:rsidP="006452D8">
            <w:pPr>
              <w:rPr>
                <w:rFonts w:cs="Arial"/>
                <w:lang w:eastAsia="zh-CN"/>
              </w:rPr>
            </w:pPr>
            <w:r w:rsidRPr="006452D8">
              <w:rPr>
                <w:rFonts w:cs="Arial"/>
                <w:lang w:eastAsia="zh-CN"/>
              </w:rPr>
              <w:t>(25.8, 38.4)</w:t>
            </w:r>
          </w:p>
        </w:tc>
      </w:tr>
      <w:tr w:rsidR="006452D8" w:rsidRPr="006452D8" w14:paraId="4DD9351E" w14:textId="77777777" w:rsidTr="006452D8">
        <w:tc>
          <w:tcPr>
            <w:tcW w:w="4111" w:type="dxa"/>
            <w:tcBorders>
              <w:top w:val="nil"/>
              <w:bottom w:val="nil"/>
              <w:right w:val="nil"/>
            </w:tcBorders>
          </w:tcPr>
          <w:p w14:paraId="0081833B" w14:textId="77777777" w:rsidR="006452D8" w:rsidRPr="006452D8" w:rsidRDefault="006452D8" w:rsidP="006452D8">
            <w:pPr>
              <w:rPr>
                <w:rFonts w:cs="Arial"/>
                <w:lang w:eastAsia="zh-CN"/>
              </w:rPr>
            </w:pPr>
            <w:r w:rsidRPr="006452D8">
              <w:rPr>
                <w:rFonts w:cs="Arial"/>
                <w:lang w:eastAsia="zh-CN"/>
              </w:rPr>
              <w:tab/>
              <w:t>No. of complete response (%)</w:t>
            </w:r>
          </w:p>
        </w:tc>
        <w:tc>
          <w:tcPr>
            <w:tcW w:w="2552" w:type="dxa"/>
            <w:tcBorders>
              <w:top w:val="nil"/>
              <w:left w:val="nil"/>
              <w:bottom w:val="nil"/>
              <w:right w:val="nil"/>
            </w:tcBorders>
          </w:tcPr>
          <w:p w14:paraId="03943120" w14:textId="77777777" w:rsidR="006452D8" w:rsidRPr="006452D8" w:rsidRDefault="006452D8" w:rsidP="006452D8">
            <w:pPr>
              <w:rPr>
                <w:rFonts w:cs="Arial"/>
                <w:lang w:eastAsia="zh-CN"/>
              </w:rPr>
            </w:pPr>
            <w:r w:rsidRPr="006452D8">
              <w:rPr>
                <w:rFonts w:cs="Arial"/>
                <w:lang w:eastAsia="zh-CN"/>
              </w:rPr>
              <w:t>11 (2.5%)</w:t>
            </w:r>
          </w:p>
        </w:tc>
        <w:tc>
          <w:tcPr>
            <w:tcW w:w="2409" w:type="dxa"/>
            <w:gridSpan w:val="2"/>
            <w:tcBorders>
              <w:top w:val="nil"/>
              <w:left w:val="nil"/>
              <w:bottom w:val="nil"/>
            </w:tcBorders>
          </w:tcPr>
          <w:p w14:paraId="672D3F10" w14:textId="77777777" w:rsidR="006452D8" w:rsidRPr="006452D8" w:rsidRDefault="006452D8" w:rsidP="006452D8">
            <w:pPr>
              <w:rPr>
                <w:rFonts w:cs="Arial"/>
                <w:lang w:eastAsia="zh-CN"/>
              </w:rPr>
            </w:pPr>
            <w:r w:rsidRPr="006452D8">
              <w:rPr>
                <w:rFonts w:cs="Arial"/>
                <w:lang w:eastAsia="zh-CN"/>
              </w:rPr>
              <w:t>3 (1.3%)</w:t>
            </w:r>
          </w:p>
        </w:tc>
      </w:tr>
      <w:tr w:rsidR="006452D8" w:rsidRPr="006452D8" w14:paraId="1667F61A" w14:textId="77777777" w:rsidTr="006452D8">
        <w:tc>
          <w:tcPr>
            <w:tcW w:w="4111" w:type="dxa"/>
            <w:tcBorders>
              <w:top w:val="nil"/>
              <w:bottom w:val="nil"/>
              <w:right w:val="nil"/>
            </w:tcBorders>
          </w:tcPr>
          <w:p w14:paraId="20D7947F" w14:textId="77777777" w:rsidR="006452D8" w:rsidRPr="006452D8" w:rsidRDefault="006452D8" w:rsidP="006452D8">
            <w:pPr>
              <w:rPr>
                <w:rFonts w:cs="Arial"/>
                <w:lang w:eastAsia="zh-CN"/>
              </w:rPr>
            </w:pPr>
            <w:r w:rsidRPr="006452D8">
              <w:rPr>
                <w:rFonts w:cs="Arial"/>
                <w:lang w:eastAsia="zh-CN"/>
              </w:rPr>
              <w:tab/>
              <w:t>No. of partial response (%)</w:t>
            </w:r>
          </w:p>
        </w:tc>
        <w:tc>
          <w:tcPr>
            <w:tcW w:w="2552" w:type="dxa"/>
            <w:tcBorders>
              <w:top w:val="nil"/>
              <w:left w:val="nil"/>
              <w:bottom w:val="nil"/>
              <w:right w:val="nil"/>
            </w:tcBorders>
          </w:tcPr>
          <w:p w14:paraId="09688263" w14:textId="77777777" w:rsidR="006452D8" w:rsidRPr="006452D8" w:rsidRDefault="006452D8" w:rsidP="006452D8">
            <w:pPr>
              <w:rPr>
                <w:rFonts w:cs="Arial"/>
                <w:lang w:eastAsia="zh-CN"/>
              </w:rPr>
            </w:pPr>
            <w:r w:rsidRPr="006452D8">
              <w:rPr>
                <w:rFonts w:cs="Arial"/>
                <w:lang w:eastAsia="zh-CN"/>
              </w:rPr>
              <w:t>209 (46.8%)</w:t>
            </w:r>
          </w:p>
        </w:tc>
        <w:tc>
          <w:tcPr>
            <w:tcW w:w="2409" w:type="dxa"/>
            <w:gridSpan w:val="2"/>
            <w:tcBorders>
              <w:top w:val="nil"/>
              <w:left w:val="nil"/>
              <w:bottom w:val="nil"/>
            </w:tcBorders>
          </w:tcPr>
          <w:p w14:paraId="095ED6ED" w14:textId="77777777" w:rsidR="006452D8" w:rsidRPr="006452D8" w:rsidRDefault="006452D8" w:rsidP="006452D8">
            <w:pPr>
              <w:rPr>
                <w:rFonts w:cs="Arial"/>
                <w:lang w:eastAsia="zh-CN"/>
              </w:rPr>
            </w:pPr>
            <w:r w:rsidRPr="006452D8">
              <w:rPr>
                <w:rFonts w:cs="Arial"/>
                <w:lang w:eastAsia="zh-CN"/>
              </w:rPr>
              <w:t>69 (30.5%)</w:t>
            </w:r>
          </w:p>
        </w:tc>
      </w:tr>
      <w:tr w:rsidR="006452D8" w:rsidRPr="006452D8" w14:paraId="3147D44B" w14:textId="77777777" w:rsidTr="006452D8">
        <w:tc>
          <w:tcPr>
            <w:tcW w:w="4111" w:type="dxa"/>
            <w:tcBorders>
              <w:top w:val="single" w:sz="4" w:space="0" w:color="auto"/>
              <w:bottom w:val="nil"/>
              <w:right w:val="nil"/>
            </w:tcBorders>
          </w:tcPr>
          <w:p w14:paraId="2D58F92C" w14:textId="77777777" w:rsidR="006452D8" w:rsidRPr="006452D8" w:rsidRDefault="006452D8" w:rsidP="006452D8">
            <w:pPr>
              <w:rPr>
                <w:rFonts w:cs="Arial"/>
                <w:b/>
                <w:i/>
                <w:lang w:eastAsia="zh-CN"/>
              </w:rPr>
            </w:pPr>
            <w:r w:rsidRPr="006452D8">
              <w:rPr>
                <w:rFonts w:cs="Arial"/>
                <w:b/>
                <w:i/>
                <w:lang w:eastAsia="zh-CN"/>
              </w:rPr>
              <w:t>Investigator-assessed confirmed DOR (RECIST 1.1)</w:t>
            </w:r>
          </w:p>
        </w:tc>
        <w:tc>
          <w:tcPr>
            <w:tcW w:w="2552" w:type="dxa"/>
            <w:tcBorders>
              <w:top w:val="single" w:sz="4" w:space="0" w:color="auto"/>
              <w:left w:val="nil"/>
              <w:bottom w:val="nil"/>
              <w:right w:val="nil"/>
            </w:tcBorders>
          </w:tcPr>
          <w:p w14:paraId="495BC987" w14:textId="77777777" w:rsidR="006452D8" w:rsidRPr="006452D8" w:rsidRDefault="006452D8" w:rsidP="006452D8">
            <w:pPr>
              <w:rPr>
                <w:rFonts w:cs="Arial"/>
                <w:lang w:eastAsia="zh-CN"/>
              </w:rPr>
            </w:pPr>
            <w:r w:rsidRPr="006452D8">
              <w:rPr>
                <w:rFonts w:cs="Arial"/>
                <w:lang w:eastAsia="zh-CN"/>
              </w:rPr>
              <w:t>n = 220</w:t>
            </w:r>
          </w:p>
        </w:tc>
        <w:tc>
          <w:tcPr>
            <w:tcW w:w="2409" w:type="dxa"/>
            <w:gridSpan w:val="2"/>
            <w:tcBorders>
              <w:top w:val="single" w:sz="4" w:space="0" w:color="auto"/>
              <w:left w:val="nil"/>
              <w:bottom w:val="nil"/>
            </w:tcBorders>
          </w:tcPr>
          <w:p w14:paraId="614F10E4" w14:textId="77777777" w:rsidR="006452D8" w:rsidRPr="006452D8" w:rsidRDefault="006452D8" w:rsidP="006452D8">
            <w:pPr>
              <w:rPr>
                <w:rFonts w:cs="Arial"/>
                <w:lang w:eastAsia="zh-CN"/>
              </w:rPr>
            </w:pPr>
            <w:r w:rsidRPr="006452D8">
              <w:rPr>
                <w:rFonts w:cs="Arial"/>
                <w:lang w:eastAsia="zh-CN"/>
              </w:rPr>
              <w:t>n = 72</w:t>
            </w:r>
          </w:p>
        </w:tc>
      </w:tr>
      <w:tr w:rsidR="006452D8" w:rsidRPr="006452D8" w14:paraId="14458676" w14:textId="77777777" w:rsidTr="006452D8">
        <w:tc>
          <w:tcPr>
            <w:tcW w:w="4111" w:type="dxa"/>
            <w:tcBorders>
              <w:top w:val="nil"/>
              <w:bottom w:val="nil"/>
              <w:right w:val="nil"/>
            </w:tcBorders>
          </w:tcPr>
          <w:p w14:paraId="2BA81671" w14:textId="77777777" w:rsidR="006452D8" w:rsidRPr="006452D8" w:rsidRDefault="006452D8" w:rsidP="006452D8">
            <w:pPr>
              <w:rPr>
                <w:rFonts w:cs="Arial"/>
                <w:lang w:eastAsia="zh-CN"/>
              </w:rPr>
            </w:pPr>
            <w:r w:rsidRPr="006452D8">
              <w:rPr>
                <w:rFonts w:cs="Arial"/>
                <w:lang w:eastAsia="zh-CN"/>
              </w:rPr>
              <w:t>Median in months</w:t>
            </w:r>
          </w:p>
        </w:tc>
        <w:tc>
          <w:tcPr>
            <w:tcW w:w="2552" w:type="dxa"/>
            <w:tcBorders>
              <w:top w:val="nil"/>
              <w:left w:val="nil"/>
              <w:bottom w:val="nil"/>
              <w:right w:val="nil"/>
            </w:tcBorders>
          </w:tcPr>
          <w:p w14:paraId="6A71B4AE" w14:textId="77777777" w:rsidR="006452D8" w:rsidRPr="006452D8" w:rsidRDefault="006452D8" w:rsidP="006452D8">
            <w:pPr>
              <w:rPr>
                <w:rFonts w:cs="Arial"/>
                <w:lang w:eastAsia="zh-CN"/>
              </w:rPr>
            </w:pPr>
            <w:r w:rsidRPr="006452D8">
              <w:rPr>
                <w:rFonts w:cs="Arial"/>
                <w:lang w:eastAsia="zh-CN"/>
              </w:rPr>
              <w:t xml:space="preserve">8.4 </w:t>
            </w:r>
          </w:p>
        </w:tc>
        <w:tc>
          <w:tcPr>
            <w:tcW w:w="2409" w:type="dxa"/>
            <w:gridSpan w:val="2"/>
            <w:tcBorders>
              <w:top w:val="nil"/>
              <w:left w:val="nil"/>
              <w:bottom w:val="nil"/>
            </w:tcBorders>
          </w:tcPr>
          <w:p w14:paraId="272D69EE" w14:textId="77777777" w:rsidR="006452D8" w:rsidRPr="006452D8" w:rsidRDefault="006452D8" w:rsidP="006452D8">
            <w:pPr>
              <w:rPr>
                <w:rFonts w:cs="Arial"/>
                <w:lang w:eastAsia="zh-CN"/>
              </w:rPr>
            </w:pPr>
            <w:r w:rsidRPr="006452D8">
              <w:rPr>
                <w:rFonts w:cs="Arial"/>
                <w:lang w:eastAsia="zh-CN"/>
              </w:rPr>
              <w:t>6.1</w:t>
            </w:r>
          </w:p>
        </w:tc>
      </w:tr>
      <w:tr w:rsidR="006452D8" w:rsidRPr="006452D8" w14:paraId="324A4EFB" w14:textId="77777777" w:rsidTr="006452D8">
        <w:tc>
          <w:tcPr>
            <w:tcW w:w="4111" w:type="dxa"/>
            <w:tcBorders>
              <w:top w:val="nil"/>
              <w:bottom w:val="single" w:sz="4" w:space="0" w:color="auto"/>
              <w:right w:val="nil"/>
            </w:tcBorders>
          </w:tcPr>
          <w:p w14:paraId="4A441CC8" w14:textId="77777777" w:rsidR="006452D8" w:rsidRPr="006452D8" w:rsidRDefault="006452D8" w:rsidP="006452D8">
            <w:pPr>
              <w:rPr>
                <w:rFonts w:cs="Arial"/>
                <w:lang w:eastAsia="zh-CN"/>
              </w:rPr>
            </w:pPr>
            <w:r w:rsidRPr="006452D8">
              <w:rPr>
                <w:rFonts w:cs="Arial"/>
                <w:lang w:eastAsia="zh-CN"/>
              </w:rPr>
              <w:t>95% CI</w:t>
            </w:r>
          </w:p>
        </w:tc>
        <w:tc>
          <w:tcPr>
            <w:tcW w:w="2552" w:type="dxa"/>
            <w:tcBorders>
              <w:top w:val="nil"/>
              <w:left w:val="nil"/>
              <w:bottom w:val="single" w:sz="4" w:space="0" w:color="auto"/>
              <w:right w:val="nil"/>
            </w:tcBorders>
          </w:tcPr>
          <w:p w14:paraId="3210FC2C" w14:textId="77777777" w:rsidR="006452D8" w:rsidRPr="006452D8" w:rsidRDefault="006452D8" w:rsidP="006452D8">
            <w:pPr>
              <w:rPr>
                <w:rFonts w:cs="Arial"/>
                <w:lang w:eastAsia="zh-CN"/>
              </w:rPr>
            </w:pPr>
            <w:r w:rsidRPr="006452D8">
              <w:rPr>
                <w:rFonts w:cs="Arial"/>
                <w:lang w:eastAsia="zh-CN"/>
              </w:rPr>
              <w:t>(6.9, 11.8)</w:t>
            </w:r>
          </w:p>
        </w:tc>
        <w:tc>
          <w:tcPr>
            <w:tcW w:w="2409" w:type="dxa"/>
            <w:gridSpan w:val="2"/>
            <w:tcBorders>
              <w:top w:val="nil"/>
              <w:left w:val="nil"/>
              <w:bottom w:val="single" w:sz="4" w:space="0" w:color="auto"/>
            </w:tcBorders>
          </w:tcPr>
          <w:p w14:paraId="50A703D1" w14:textId="77777777" w:rsidR="006452D8" w:rsidRPr="006452D8" w:rsidRDefault="006452D8" w:rsidP="006452D8">
            <w:pPr>
              <w:rPr>
                <w:rFonts w:cs="Arial"/>
                <w:lang w:eastAsia="zh-CN"/>
              </w:rPr>
            </w:pPr>
            <w:r w:rsidRPr="006452D8">
              <w:rPr>
                <w:rFonts w:cs="Arial"/>
                <w:lang w:eastAsia="zh-CN"/>
              </w:rPr>
              <w:t>(5.5, 7.9)</w:t>
            </w:r>
          </w:p>
        </w:tc>
      </w:tr>
    </w:tbl>
    <w:p w14:paraId="45B7FF1B" w14:textId="77777777" w:rsidR="006452D8" w:rsidRPr="001750CE" w:rsidRDefault="006452D8" w:rsidP="006452D8">
      <w:pPr>
        <w:rPr>
          <w:rFonts w:cs="Arial"/>
          <w:sz w:val="22"/>
          <w:lang w:eastAsia="zh-CN"/>
        </w:rPr>
      </w:pPr>
      <w:r w:rsidRPr="001750CE">
        <w:rPr>
          <w:rFonts w:cs="Arial"/>
          <w:sz w:val="22"/>
          <w:lang w:eastAsia="zh-CN"/>
        </w:rPr>
        <w:t>‡ Stratified by sex and PD-L1 tumour expression on TC and IC</w:t>
      </w:r>
    </w:p>
    <w:p w14:paraId="3EC29383" w14:textId="35447D6C" w:rsidR="006452D8" w:rsidRDefault="006452D8" w:rsidP="006452D8">
      <w:pPr>
        <w:rPr>
          <w:rFonts w:cs="Arial"/>
          <w:sz w:val="22"/>
          <w:lang w:eastAsia="zh-CN"/>
        </w:rPr>
      </w:pPr>
      <w:r w:rsidRPr="001750CE">
        <w:rPr>
          <w:rFonts w:cs="Arial"/>
          <w:sz w:val="22"/>
          <w:lang w:eastAsia="zh-CN"/>
        </w:rPr>
        <w:t>PFS = progression-free survival; RECIST = Response Evaluation Criteria in Solid Tumours v1.1.; CI = confidence interval; ORR = objective response rate; DOR = duration of response; OS = overall survival</w:t>
      </w:r>
    </w:p>
    <w:p w14:paraId="1F8C7AEB" w14:textId="65A47059" w:rsidR="006452D8" w:rsidRDefault="006452D8" w:rsidP="006452D8">
      <w:pPr>
        <w:rPr>
          <w:rFonts w:cs="Arial"/>
          <w:sz w:val="22"/>
          <w:lang w:eastAsia="zh-CN"/>
        </w:rPr>
      </w:pPr>
    </w:p>
    <w:p w14:paraId="7DFE6005" w14:textId="77777777" w:rsidR="006452D8" w:rsidRPr="006452D8" w:rsidRDefault="006452D8" w:rsidP="006452D8">
      <w:pPr>
        <w:rPr>
          <w:rFonts w:cs="Arial"/>
          <w:b/>
          <w:sz w:val="22"/>
          <w:lang w:eastAsia="zh-CN"/>
        </w:rPr>
      </w:pPr>
      <w:r w:rsidRPr="006452D8">
        <w:rPr>
          <w:rFonts w:cs="Arial"/>
          <w:b/>
          <w:sz w:val="22"/>
          <w:lang w:eastAsia="zh-CN"/>
        </w:rPr>
        <w:t xml:space="preserve">Figure 5. Kaplan-Meier Plot for Overall Survival (IMpower130) </w:t>
      </w:r>
    </w:p>
    <w:p w14:paraId="7076F8F8" w14:textId="54E5AB4E" w:rsidR="006452D8" w:rsidRPr="001750CE" w:rsidRDefault="006452D8" w:rsidP="006452D8">
      <w:pPr>
        <w:rPr>
          <w:rFonts w:cs="Arial"/>
          <w:sz w:val="22"/>
          <w:lang w:eastAsia="zh-CN"/>
        </w:rPr>
      </w:pPr>
      <w:r w:rsidRPr="00EE242A">
        <w:rPr>
          <w:noProof/>
          <w:lang w:eastAsia="en-AU"/>
        </w:rPr>
        <w:drawing>
          <wp:inline distT="0" distB="0" distL="0" distR="0" wp14:anchorId="09E9AE93" wp14:editId="64DAEBB5">
            <wp:extent cx="5585425" cy="3139414"/>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585425" cy="3139414"/>
                    </a:xfrm>
                    <a:prstGeom prst="rect">
                      <a:avLst/>
                    </a:prstGeom>
                  </pic:spPr>
                </pic:pic>
              </a:graphicData>
            </a:graphic>
          </wp:inline>
        </w:drawing>
      </w:r>
    </w:p>
    <w:p w14:paraId="24C77BEC" w14:textId="0990A34A" w:rsidR="006452D8" w:rsidRDefault="006452D8" w:rsidP="00364F3A">
      <w:pPr>
        <w:rPr>
          <w:rFonts w:cs="Arial"/>
          <w:lang w:eastAsia="zh-CN"/>
        </w:rPr>
      </w:pPr>
    </w:p>
    <w:p w14:paraId="366BEEFE" w14:textId="77777777" w:rsidR="006452D8" w:rsidRPr="006452D8" w:rsidRDefault="006452D8" w:rsidP="007846E2">
      <w:pPr>
        <w:pageBreakBefore/>
        <w:rPr>
          <w:rFonts w:cs="Arial"/>
          <w:b/>
          <w:lang w:eastAsia="zh-CN"/>
        </w:rPr>
      </w:pPr>
      <w:r w:rsidRPr="006452D8">
        <w:rPr>
          <w:rFonts w:cs="Arial"/>
          <w:b/>
          <w:lang w:eastAsia="zh-CN"/>
        </w:rPr>
        <w:lastRenderedPageBreak/>
        <w:t>Figure 6. Forest Plot of Overall Survival by PD-L1 expression (IMpower130)</w:t>
      </w:r>
    </w:p>
    <w:p w14:paraId="0CD4FFDD" w14:textId="3500D6AE" w:rsidR="006452D8" w:rsidRDefault="006452D8" w:rsidP="00364F3A">
      <w:pPr>
        <w:rPr>
          <w:rFonts w:cs="Arial"/>
          <w:lang w:eastAsia="zh-CN"/>
        </w:rPr>
      </w:pPr>
      <w:r w:rsidRPr="00EE242A">
        <w:rPr>
          <w:noProof/>
          <w:lang w:eastAsia="en-AU"/>
        </w:rPr>
        <w:drawing>
          <wp:inline distT="0" distB="0" distL="0" distR="0" wp14:anchorId="7D0891E9" wp14:editId="4CD2A4F5">
            <wp:extent cx="5582093" cy="243441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2921" cy="2434774"/>
                    </a:xfrm>
                    <a:prstGeom prst="rect">
                      <a:avLst/>
                    </a:prstGeom>
                  </pic:spPr>
                </pic:pic>
              </a:graphicData>
            </a:graphic>
          </wp:inline>
        </w:drawing>
      </w:r>
    </w:p>
    <w:p w14:paraId="7C38A1E8" w14:textId="5001887F" w:rsidR="006452D8" w:rsidRDefault="006452D8" w:rsidP="00364F3A">
      <w:pPr>
        <w:rPr>
          <w:rFonts w:cs="Arial"/>
          <w:lang w:eastAsia="zh-CN"/>
        </w:rPr>
      </w:pPr>
    </w:p>
    <w:p w14:paraId="778A08EC" w14:textId="77777777" w:rsidR="006452D8" w:rsidRPr="006452D8" w:rsidRDefault="006452D8" w:rsidP="006452D8">
      <w:pPr>
        <w:rPr>
          <w:rFonts w:cs="Arial"/>
          <w:b/>
          <w:lang w:eastAsia="zh-CN"/>
        </w:rPr>
      </w:pPr>
      <w:r w:rsidRPr="006452D8">
        <w:rPr>
          <w:rFonts w:cs="Arial"/>
          <w:b/>
          <w:lang w:eastAsia="zh-CN"/>
        </w:rPr>
        <w:t>Figure 7. Kaplan-Meier Plot for Progression Free Survival (IMpower130)</w:t>
      </w:r>
    </w:p>
    <w:p w14:paraId="65DE4B2C" w14:textId="2359DF03" w:rsidR="006452D8" w:rsidRDefault="006452D8" w:rsidP="00364F3A">
      <w:pPr>
        <w:rPr>
          <w:rFonts w:cs="Arial"/>
          <w:lang w:eastAsia="zh-CN"/>
        </w:rPr>
      </w:pPr>
    </w:p>
    <w:p w14:paraId="49CD3D0C" w14:textId="4C119C68" w:rsidR="006452D8" w:rsidRDefault="006452D8" w:rsidP="00364F3A">
      <w:pPr>
        <w:rPr>
          <w:rFonts w:cs="Arial"/>
          <w:lang w:eastAsia="zh-CN"/>
        </w:rPr>
      </w:pPr>
      <w:r w:rsidRPr="00EE242A">
        <w:rPr>
          <w:noProof/>
          <w:lang w:eastAsia="en-AU"/>
        </w:rPr>
        <w:drawing>
          <wp:inline distT="0" distB="0" distL="0" distR="0" wp14:anchorId="13430C3E" wp14:editId="0E397367">
            <wp:extent cx="5597718" cy="3008773"/>
            <wp:effectExtent l="0" t="0" r="317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7901" cy="3008872"/>
                    </a:xfrm>
                    <a:prstGeom prst="rect">
                      <a:avLst/>
                    </a:prstGeom>
                  </pic:spPr>
                </pic:pic>
              </a:graphicData>
            </a:graphic>
          </wp:inline>
        </w:drawing>
      </w:r>
    </w:p>
    <w:p w14:paraId="5AAA2702" w14:textId="2C66835B" w:rsidR="006452D8" w:rsidRDefault="006452D8" w:rsidP="00364F3A">
      <w:pPr>
        <w:rPr>
          <w:rFonts w:cs="Arial"/>
          <w:lang w:eastAsia="zh-CN"/>
        </w:rPr>
      </w:pPr>
    </w:p>
    <w:p w14:paraId="7B6E949C" w14:textId="0261899B" w:rsidR="006452D8" w:rsidRDefault="006452D8" w:rsidP="006452D8">
      <w:pPr>
        <w:rPr>
          <w:rFonts w:cs="Arial"/>
          <w:b/>
          <w:lang w:eastAsia="zh-CN"/>
        </w:rPr>
      </w:pPr>
    </w:p>
    <w:p w14:paraId="60127D0D" w14:textId="77777777" w:rsidR="006452D8" w:rsidRPr="006452D8" w:rsidRDefault="006452D8" w:rsidP="007846E2">
      <w:pPr>
        <w:pageBreakBefore/>
        <w:rPr>
          <w:rFonts w:cs="Arial"/>
          <w:b/>
          <w:lang w:eastAsia="zh-CN"/>
        </w:rPr>
      </w:pPr>
      <w:r w:rsidRPr="006452D8">
        <w:rPr>
          <w:rFonts w:cs="Arial"/>
          <w:b/>
          <w:lang w:eastAsia="zh-CN"/>
        </w:rPr>
        <w:lastRenderedPageBreak/>
        <w:t xml:space="preserve">Figure 8. Forest Plot of Progression Free Survival by PD-L1 expression (IMpower130) </w:t>
      </w:r>
    </w:p>
    <w:p w14:paraId="73C9FA7E" w14:textId="3529205C" w:rsidR="006452D8" w:rsidRPr="00A91197" w:rsidRDefault="006452D8" w:rsidP="00364F3A">
      <w:pPr>
        <w:rPr>
          <w:rFonts w:cs="Arial"/>
          <w:lang w:eastAsia="zh-CN"/>
        </w:rPr>
      </w:pPr>
      <w:r w:rsidRPr="00EE242A">
        <w:rPr>
          <w:noProof/>
          <w:lang w:eastAsia="en-AU"/>
        </w:rPr>
        <w:drawing>
          <wp:inline distT="0" distB="0" distL="0" distR="0" wp14:anchorId="05CB2D63" wp14:editId="5E98D8C6">
            <wp:extent cx="5597718" cy="2416110"/>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94507" cy="2414724"/>
                    </a:xfrm>
                    <a:prstGeom prst="rect">
                      <a:avLst/>
                    </a:prstGeom>
                  </pic:spPr>
                </pic:pic>
              </a:graphicData>
            </a:graphic>
          </wp:inline>
        </w:drawing>
      </w:r>
    </w:p>
    <w:p w14:paraId="1BE46171" w14:textId="77777777" w:rsidR="006452D8" w:rsidRDefault="006452D8" w:rsidP="00A94F3F">
      <w:pPr>
        <w:pStyle w:val="Heading5"/>
        <w:rPr>
          <w:lang w:val="en-US"/>
        </w:rPr>
      </w:pPr>
    </w:p>
    <w:p w14:paraId="67DE9F87" w14:textId="77777777" w:rsidR="006452D8" w:rsidRPr="001750CE" w:rsidRDefault="006452D8" w:rsidP="006452D8">
      <w:pPr>
        <w:pStyle w:val="Heading5"/>
        <w:rPr>
          <w:i w:val="0"/>
        </w:rPr>
      </w:pPr>
      <w:r w:rsidRPr="001750CE">
        <w:rPr>
          <w:i w:val="0"/>
        </w:rPr>
        <w:t xml:space="preserve">The study also evaluated Physical Function and Patient Reported Treatment-Related Symptoms using the EORTC QLQ-C30 and EORTC QLQ-LC13 measures. On average, patients who received </w:t>
      </w:r>
      <w:proofErr w:type="spellStart"/>
      <w:r w:rsidRPr="001750CE">
        <w:rPr>
          <w:i w:val="0"/>
        </w:rPr>
        <w:t>Tecentriq</w:t>
      </w:r>
      <w:proofErr w:type="spellEnd"/>
      <w:r w:rsidRPr="001750CE">
        <w:rPr>
          <w:i w:val="0"/>
        </w:rPr>
        <w:t xml:space="preserve"> with nab-paclitaxel and carboplatin reported high functioning and no clinically meaningful worsening in treatment-related symptoms. There was no difference in delay of lung-related symptoms (</w:t>
      </w:r>
      <w:proofErr w:type="spellStart"/>
      <w:r w:rsidRPr="001750CE">
        <w:rPr>
          <w:i w:val="0"/>
        </w:rPr>
        <w:t>dyspnea</w:t>
      </w:r>
      <w:proofErr w:type="spellEnd"/>
      <w:r w:rsidRPr="001750CE">
        <w:rPr>
          <w:i w:val="0"/>
        </w:rPr>
        <w:t xml:space="preserve">, cough and chest pain) however patients receiving </w:t>
      </w:r>
      <w:proofErr w:type="spellStart"/>
      <w:r w:rsidRPr="001750CE">
        <w:rPr>
          <w:i w:val="0"/>
        </w:rPr>
        <w:t>Tecentriq</w:t>
      </w:r>
      <w:proofErr w:type="spellEnd"/>
      <w:r w:rsidRPr="001750CE">
        <w:rPr>
          <w:i w:val="0"/>
        </w:rPr>
        <w:t>, nab-paclitaxel and carboplatin reported less worsening of these symptoms over time.</w:t>
      </w:r>
    </w:p>
    <w:p w14:paraId="629AFA59" w14:textId="77777777" w:rsidR="006452D8" w:rsidRPr="006452D8" w:rsidRDefault="006452D8" w:rsidP="006452D8">
      <w:pPr>
        <w:pStyle w:val="Heading5"/>
      </w:pPr>
    </w:p>
    <w:p w14:paraId="6E830F48" w14:textId="77777777" w:rsidR="006452D8" w:rsidRPr="006452D8" w:rsidRDefault="006452D8" w:rsidP="006452D8">
      <w:pPr>
        <w:pStyle w:val="Heading5"/>
        <w:rPr>
          <w:bCs/>
          <w:iCs/>
          <w:u w:val="single"/>
          <w:lang w:val="en-US"/>
        </w:rPr>
      </w:pPr>
      <w:r w:rsidRPr="006452D8">
        <w:rPr>
          <w:bCs/>
          <w:iCs/>
          <w:u w:val="single"/>
          <w:lang w:val="en-US"/>
        </w:rPr>
        <w:t>2L NSCLC</w:t>
      </w:r>
    </w:p>
    <w:p w14:paraId="4CD24898" w14:textId="62240BC5" w:rsidR="00366B5F" w:rsidRPr="0046175F" w:rsidRDefault="00366B5F" w:rsidP="00A94F3F">
      <w:pPr>
        <w:pStyle w:val="Heading5"/>
      </w:pPr>
      <w:r w:rsidRPr="0046175F">
        <w:rPr>
          <w:lang w:val="en-US"/>
        </w:rPr>
        <w:t>GO28915</w:t>
      </w:r>
    </w:p>
    <w:p w14:paraId="3A37CB15" w14:textId="2EF65352" w:rsidR="00366B5F" w:rsidRPr="0046175F" w:rsidRDefault="00366B5F" w:rsidP="00CD75CF">
      <w:pPr>
        <w:rPr>
          <w:lang w:val="en-US"/>
        </w:rPr>
      </w:pPr>
      <w:r w:rsidRPr="0046175F">
        <w:rPr>
          <w:lang w:val="en-US"/>
        </w:rPr>
        <w:t xml:space="preserve">A phase III, open-label, </w:t>
      </w:r>
      <w:proofErr w:type="spellStart"/>
      <w:r w:rsidRPr="0046175F">
        <w:rPr>
          <w:lang w:val="en-US"/>
        </w:rPr>
        <w:t>multicentre</w:t>
      </w:r>
      <w:proofErr w:type="spellEnd"/>
      <w:r w:rsidRPr="0046175F">
        <w:rPr>
          <w:lang w:val="en-US"/>
        </w:rPr>
        <w:t xml:space="preserve">, international, </w:t>
      </w:r>
      <w:proofErr w:type="spellStart"/>
      <w:r w:rsidRPr="0046175F">
        <w:rPr>
          <w:lang w:val="en-US"/>
        </w:rPr>
        <w:t>randomised</w:t>
      </w:r>
      <w:proofErr w:type="spellEnd"/>
      <w:r w:rsidRPr="0046175F">
        <w:rPr>
          <w:lang w:val="en-US"/>
        </w:rPr>
        <w:t xml:space="preserve"> study, GO28915 (OAK), was conducted to evaluate the efficacy and safety of </w:t>
      </w:r>
      <w:proofErr w:type="spellStart"/>
      <w:r w:rsidRPr="0046175F">
        <w:rPr>
          <w:lang w:val="en-US"/>
        </w:rPr>
        <w:t>Tecentriq</w:t>
      </w:r>
      <w:proofErr w:type="spellEnd"/>
      <w:r w:rsidRPr="0046175F">
        <w:rPr>
          <w:lang w:val="en-US"/>
        </w:rPr>
        <w:t xml:space="preserve"> compared with docetaxel in patients with locally advanced or metastatic NSCLC who have progressed during or following a platinum-containing regimen. A total of 1225 patients were enrolled, with the primary analysis population consisting of the first 850 </w:t>
      </w:r>
      <w:proofErr w:type="spellStart"/>
      <w:r w:rsidRPr="0046175F">
        <w:rPr>
          <w:lang w:val="en-US"/>
        </w:rPr>
        <w:t>randomised</w:t>
      </w:r>
      <w:proofErr w:type="spellEnd"/>
      <w:r w:rsidRPr="0046175F">
        <w:rPr>
          <w:lang w:val="en-US"/>
        </w:rPr>
        <w:t xml:space="preserve"> patients. Eligible patients were stratified by PD-L1 expression status in </w:t>
      </w:r>
      <w:proofErr w:type="spellStart"/>
      <w:r w:rsidRPr="0046175F">
        <w:rPr>
          <w:lang w:val="en-US"/>
        </w:rPr>
        <w:t>tumour</w:t>
      </w:r>
      <w:proofErr w:type="spellEnd"/>
      <w:r w:rsidRPr="0046175F">
        <w:rPr>
          <w:lang w:val="en-US"/>
        </w:rPr>
        <w:t xml:space="preserve">-infiltrating immune cells (IC), by the number of prior chemotherapy regimens, and by histology. Patients were </w:t>
      </w:r>
      <w:proofErr w:type="spellStart"/>
      <w:r w:rsidRPr="0046175F">
        <w:rPr>
          <w:lang w:val="en-US"/>
        </w:rPr>
        <w:t>randomised</w:t>
      </w:r>
      <w:proofErr w:type="spellEnd"/>
      <w:r w:rsidRPr="0046175F">
        <w:rPr>
          <w:lang w:val="en-US"/>
        </w:rPr>
        <w:t xml:space="preserve"> (1:1) to receive either </w:t>
      </w:r>
      <w:proofErr w:type="spellStart"/>
      <w:r w:rsidRPr="0046175F">
        <w:rPr>
          <w:lang w:val="en-US"/>
        </w:rPr>
        <w:t>Tecentriq</w:t>
      </w:r>
      <w:proofErr w:type="spellEnd"/>
      <w:r w:rsidRPr="0046175F">
        <w:rPr>
          <w:lang w:val="en-US"/>
        </w:rPr>
        <w:t xml:space="preserve"> or docetaxel. This study excluded patients who had a history of autoimmune disease, active or corticosteroid-dependent brain metastases, administration of a live, attenuated vaccine within 28 days prior to enrollment, administration of systemic </w:t>
      </w:r>
      <w:proofErr w:type="spellStart"/>
      <w:r w:rsidRPr="0046175F">
        <w:rPr>
          <w:lang w:val="en-US"/>
        </w:rPr>
        <w:t>immunostimulatory</w:t>
      </w:r>
      <w:proofErr w:type="spellEnd"/>
      <w:r w:rsidRPr="0046175F">
        <w:rPr>
          <w:lang w:val="en-US"/>
        </w:rPr>
        <w:t xml:space="preserve"> agents within 4 weeks or systemic immunosuppressive medications within 2 weeks prior to enrollment. </w:t>
      </w:r>
      <w:proofErr w:type="spellStart"/>
      <w:r w:rsidRPr="0046175F">
        <w:rPr>
          <w:lang w:val="en-US"/>
        </w:rPr>
        <w:t>Tumour</w:t>
      </w:r>
      <w:proofErr w:type="spellEnd"/>
      <w:r w:rsidRPr="0046175F">
        <w:rPr>
          <w:lang w:val="en-US"/>
        </w:rPr>
        <w:t xml:space="preserve"> assessments were conducted every 6 weeks for the first 36 weeks, and every 9 weeks thereafter. </w:t>
      </w:r>
    </w:p>
    <w:p w14:paraId="0976B2A2" w14:textId="77777777" w:rsidR="00366B5F" w:rsidRPr="0046175F" w:rsidRDefault="00366B5F" w:rsidP="00CD75CF">
      <w:pPr>
        <w:rPr>
          <w:lang w:val="en-US"/>
        </w:rPr>
      </w:pPr>
    </w:p>
    <w:p w14:paraId="29AFA7B3" w14:textId="77777777" w:rsidR="00366B5F" w:rsidRPr="0046175F" w:rsidRDefault="00366B5F" w:rsidP="00CD75CF">
      <w:pPr>
        <w:rPr>
          <w:lang w:val="en-US"/>
        </w:rPr>
      </w:pPr>
      <w:r w:rsidRPr="0046175F">
        <w:rPr>
          <w:lang w:val="en-US"/>
        </w:rPr>
        <w:t xml:space="preserve">The demographic and baseline disease characteristics of the primary analysis population were well balanced between the treatment arms. The median age was 64 years (range: 33 to 85), and 61% of patients were male. The majority of patients were white (70%). Approximately three-quarters of patients had non-squamous disease (74%), 10% had known EGFR mutation, 0.2% had known ALK rearrangements, 10% had CNS metastases at baseline, and most patients were current or previous smokers (82%). Baseline ECOG performance status was 0 (37%) or 1 (63%). Seventy five percent of patients received only one prior platinum-based therapeutic regimen. </w:t>
      </w:r>
    </w:p>
    <w:p w14:paraId="52C1565E" w14:textId="77777777" w:rsidR="00366B5F" w:rsidRPr="0046175F" w:rsidRDefault="00366B5F" w:rsidP="00CD75CF">
      <w:pPr>
        <w:rPr>
          <w:lang w:val="en-US"/>
        </w:rPr>
      </w:pPr>
    </w:p>
    <w:p w14:paraId="5E1B33E8" w14:textId="77777777" w:rsidR="00366B5F" w:rsidRPr="0046175F" w:rsidRDefault="00366B5F" w:rsidP="00CD75CF">
      <w:pPr>
        <w:rPr>
          <w:lang w:val="en-US"/>
        </w:rPr>
      </w:pPr>
      <w:proofErr w:type="spellStart"/>
      <w:r w:rsidRPr="0046175F">
        <w:rPr>
          <w:lang w:val="en-US"/>
        </w:rPr>
        <w:t>Tecentriq</w:t>
      </w:r>
      <w:proofErr w:type="spellEnd"/>
      <w:r w:rsidRPr="0046175F">
        <w:rPr>
          <w:lang w:val="en-US"/>
        </w:rPr>
        <w:t xml:space="preserve"> was administered as a fixed dose of 1200 mg by IV infusion every 3 weeks. No dose reduction was allowed. Patients were treated until loss of clinical benefit as assessed by the investigator. Docetaxel was administered at 75 mg/m</w:t>
      </w:r>
      <w:r w:rsidRPr="0046175F">
        <w:rPr>
          <w:vertAlign w:val="superscript"/>
          <w:lang w:val="en-US"/>
        </w:rPr>
        <w:t>2</w:t>
      </w:r>
      <w:r w:rsidRPr="0046175F">
        <w:rPr>
          <w:lang w:val="en-US"/>
        </w:rPr>
        <w:t xml:space="preserve"> by IV infusion on day 1 of each 21 day cycle </w:t>
      </w:r>
      <w:r w:rsidRPr="0046175F">
        <w:rPr>
          <w:lang w:val="en-US"/>
        </w:rPr>
        <w:lastRenderedPageBreak/>
        <w:t xml:space="preserve">until disease progression. For all treated patients, the median duration of treatment was 2.1 months for the docetaxel arm and 3.4 months for the </w:t>
      </w:r>
      <w:proofErr w:type="spellStart"/>
      <w:r w:rsidRPr="0046175F">
        <w:rPr>
          <w:lang w:val="en-US"/>
        </w:rPr>
        <w:t>Tecentriq</w:t>
      </w:r>
      <w:proofErr w:type="spellEnd"/>
      <w:r w:rsidRPr="0046175F">
        <w:rPr>
          <w:lang w:val="en-US"/>
        </w:rPr>
        <w:t xml:space="preserve"> arm. </w:t>
      </w:r>
    </w:p>
    <w:p w14:paraId="54A32A5D" w14:textId="77777777" w:rsidR="00366B5F" w:rsidRPr="0046175F" w:rsidRDefault="00366B5F" w:rsidP="00CD75CF">
      <w:pPr>
        <w:rPr>
          <w:lang w:val="en-US"/>
        </w:rPr>
      </w:pPr>
    </w:p>
    <w:p w14:paraId="5B6E504D" w14:textId="381C3BC4" w:rsidR="00D65A49" w:rsidRDefault="00366B5F" w:rsidP="00722ABA">
      <w:pPr>
        <w:rPr>
          <w:b/>
          <w:lang w:val="en-US"/>
        </w:rPr>
      </w:pPr>
      <w:r w:rsidRPr="0046175F">
        <w:rPr>
          <w:lang w:val="en-US"/>
        </w:rPr>
        <w:t xml:space="preserve">The primary efficacy endpoint was OS. The key results of this study with a median survival follow-up of 21 months are </w:t>
      </w:r>
      <w:proofErr w:type="spellStart"/>
      <w:r w:rsidRPr="0046175F">
        <w:rPr>
          <w:lang w:val="en-US"/>
        </w:rPr>
        <w:t>summarised</w:t>
      </w:r>
      <w:proofErr w:type="spellEnd"/>
      <w:r w:rsidRPr="0046175F">
        <w:rPr>
          <w:lang w:val="en-US"/>
        </w:rPr>
        <w:t xml:space="preserve"> in Table </w:t>
      </w:r>
      <w:r w:rsidR="003520F3">
        <w:rPr>
          <w:lang w:val="en-US"/>
        </w:rPr>
        <w:t>12</w:t>
      </w:r>
      <w:r w:rsidRPr="0046175F">
        <w:rPr>
          <w:lang w:val="en-US"/>
        </w:rPr>
        <w:t xml:space="preserve">. Kaplan-Meier curves for OS in the ITT population are presented in Figure </w:t>
      </w:r>
      <w:r w:rsidR="003520F3">
        <w:rPr>
          <w:lang w:val="en-US"/>
        </w:rPr>
        <w:t>9</w:t>
      </w:r>
      <w:r w:rsidRPr="0046175F">
        <w:rPr>
          <w:lang w:val="en-US"/>
        </w:rPr>
        <w:t xml:space="preserve">. Figure </w:t>
      </w:r>
      <w:r w:rsidR="003520F3">
        <w:rPr>
          <w:lang w:val="en-US"/>
        </w:rPr>
        <w:t>10</w:t>
      </w:r>
      <w:r w:rsidR="003520F3" w:rsidRPr="0046175F">
        <w:rPr>
          <w:lang w:val="en-US"/>
        </w:rPr>
        <w:t xml:space="preserve"> </w:t>
      </w:r>
      <w:proofErr w:type="spellStart"/>
      <w:r w:rsidRPr="0046175F">
        <w:rPr>
          <w:lang w:val="en-US"/>
        </w:rPr>
        <w:t>summarises</w:t>
      </w:r>
      <w:proofErr w:type="spellEnd"/>
      <w:r w:rsidRPr="0046175F">
        <w:rPr>
          <w:lang w:val="en-US"/>
        </w:rPr>
        <w:t xml:space="preserve"> the results of OS in the ITT and PD-L1 subgroups, demonstrating OS benefit with </w:t>
      </w:r>
      <w:proofErr w:type="spellStart"/>
      <w:r w:rsidRPr="0046175F">
        <w:rPr>
          <w:lang w:val="en-US"/>
        </w:rPr>
        <w:t>Tecentriq</w:t>
      </w:r>
      <w:proofErr w:type="spellEnd"/>
      <w:r w:rsidRPr="0046175F">
        <w:rPr>
          <w:lang w:val="en-US"/>
        </w:rPr>
        <w:t xml:space="preserve"> in all subgroups, including the TC0/IC0 subgroup (PD-L1 expression &lt; 1% in TC and IC).</w:t>
      </w:r>
    </w:p>
    <w:p w14:paraId="63BD2B8C" w14:textId="77777777" w:rsidR="002712E6" w:rsidRDefault="002712E6">
      <w:pPr>
        <w:jc w:val="left"/>
        <w:rPr>
          <w:b/>
          <w:lang w:val="en-US"/>
        </w:rPr>
      </w:pPr>
    </w:p>
    <w:p w14:paraId="567341E0" w14:textId="77777777" w:rsidR="002712E6" w:rsidRDefault="002712E6" w:rsidP="00CD75CF">
      <w:pPr>
        <w:rPr>
          <w:b/>
          <w:lang w:val="en-US"/>
        </w:rPr>
      </w:pPr>
      <w:r>
        <w:rPr>
          <w:b/>
          <w:lang w:val="en-US"/>
        </w:rPr>
        <w:br w:type="page"/>
      </w:r>
    </w:p>
    <w:p w14:paraId="48CFF9D6" w14:textId="2E2D9264" w:rsidR="00366B5F" w:rsidRPr="0046175F" w:rsidRDefault="00366B5F" w:rsidP="00CD75CF">
      <w:pPr>
        <w:rPr>
          <w:b/>
          <w:lang w:val="en-US"/>
        </w:rPr>
      </w:pPr>
      <w:r w:rsidRPr="0046175F">
        <w:rPr>
          <w:b/>
          <w:lang w:val="en-US"/>
        </w:rPr>
        <w:lastRenderedPageBreak/>
        <w:t xml:space="preserve">Table </w:t>
      </w:r>
      <w:r w:rsidR="003520F3">
        <w:rPr>
          <w:b/>
          <w:lang w:val="en-US"/>
        </w:rPr>
        <w:t>12</w:t>
      </w:r>
      <w:r w:rsidR="009E3BF9">
        <w:rPr>
          <w:b/>
          <w:lang w:val="en-US"/>
        </w:rPr>
        <w:t>.</w:t>
      </w:r>
      <w:r w:rsidRPr="0046175F">
        <w:rPr>
          <w:b/>
          <w:lang w:val="en-US"/>
        </w:rPr>
        <w:t xml:space="preserve"> Summary of Efficacy in the Primary Analysis Population (GO28915)</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2626"/>
        <w:gridCol w:w="2583"/>
      </w:tblGrid>
      <w:tr w:rsidR="00366B5F" w:rsidRPr="0046175F" w14:paraId="2227FAA4" w14:textId="77777777" w:rsidTr="00366B5F">
        <w:trPr>
          <w:tblHeader/>
        </w:trPr>
        <w:tc>
          <w:tcPr>
            <w:tcW w:w="3629" w:type="dxa"/>
            <w:tcBorders>
              <w:top w:val="single" w:sz="4" w:space="0" w:color="auto"/>
              <w:left w:val="single" w:sz="4" w:space="0" w:color="auto"/>
              <w:bottom w:val="single" w:sz="4" w:space="0" w:color="auto"/>
              <w:right w:val="nil"/>
            </w:tcBorders>
            <w:hideMark/>
          </w:tcPr>
          <w:p w14:paraId="6DB06227" w14:textId="77777777" w:rsidR="00366B5F" w:rsidRPr="0046175F" w:rsidRDefault="00366B5F">
            <w:pPr>
              <w:keepNext/>
              <w:spacing w:beforeLines="20" w:before="48" w:after="20"/>
              <w:rPr>
                <w:b/>
                <w:sz w:val="22"/>
                <w:lang w:eastAsia="zh-CN"/>
              </w:rPr>
            </w:pPr>
            <w:r w:rsidRPr="0046175F">
              <w:rPr>
                <w:rFonts w:eastAsia="Times New Roman"/>
                <w:b/>
                <w:sz w:val="22"/>
                <w:lang w:eastAsia="zh-CN"/>
              </w:rPr>
              <w:t>Efficacy endpoints</w:t>
            </w:r>
          </w:p>
        </w:tc>
        <w:tc>
          <w:tcPr>
            <w:tcW w:w="2626" w:type="dxa"/>
            <w:tcBorders>
              <w:top w:val="single" w:sz="4" w:space="0" w:color="auto"/>
              <w:left w:val="nil"/>
              <w:bottom w:val="single" w:sz="4" w:space="0" w:color="auto"/>
              <w:right w:val="nil"/>
            </w:tcBorders>
            <w:hideMark/>
          </w:tcPr>
          <w:p w14:paraId="22B26316" w14:textId="77777777" w:rsidR="00366B5F" w:rsidRPr="0046175F" w:rsidRDefault="00366B5F">
            <w:pPr>
              <w:keepNext/>
              <w:spacing w:beforeLines="20" w:before="48" w:after="20"/>
              <w:jc w:val="center"/>
              <w:rPr>
                <w:b/>
                <w:sz w:val="22"/>
                <w:lang w:eastAsia="zh-CN"/>
              </w:rPr>
            </w:pPr>
            <w:proofErr w:type="spellStart"/>
            <w:r w:rsidRPr="0046175F">
              <w:rPr>
                <w:rFonts w:eastAsia="Times New Roman"/>
                <w:b/>
                <w:sz w:val="22"/>
                <w:lang w:eastAsia="zh-CN"/>
              </w:rPr>
              <w:t>Tecentriq</w:t>
            </w:r>
            <w:proofErr w:type="spellEnd"/>
          </w:p>
        </w:tc>
        <w:tc>
          <w:tcPr>
            <w:tcW w:w="2583" w:type="dxa"/>
            <w:tcBorders>
              <w:top w:val="single" w:sz="4" w:space="0" w:color="auto"/>
              <w:left w:val="nil"/>
              <w:bottom w:val="single" w:sz="4" w:space="0" w:color="auto"/>
              <w:right w:val="single" w:sz="4" w:space="0" w:color="auto"/>
            </w:tcBorders>
            <w:hideMark/>
          </w:tcPr>
          <w:p w14:paraId="309012A4" w14:textId="77777777" w:rsidR="00366B5F" w:rsidRPr="0046175F" w:rsidRDefault="00366B5F">
            <w:pPr>
              <w:keepNext/>
              <w:spacing w:beforeLines="20" w:before="48" w:after="20"/>
              <w:jc w:val="center"/>
              <w:rPr>
                <w:b/>
                <w:sz w:val="22"/>
                <w:lang w:eastAsia="zh-CN"/>
              </w:rPr>
            </w:pPr>
            <w:r w:rsidRPr="0046175F">
              <w:rPr>
                <w:rFonts w:eastAsia="Times New Roman"/>
                <w:b/>
                <w:sz w:val="22"/>
                <w:lang w:eastAsia="zh-CN"/>
              </w:rPr>
              <w:t>Docetaxel</w:t>
            </w:r>
          </w:p>
        </w:tc>
      </w:tr>
      <w:tr w:rsidR="00366B5F" w:rsidRPr="0046175F" w14:paraId="5F6586EB" w14:textId="77777777" w:rsidTr="00366B5F">
        <w:tc>
          <w:tcPr>
            <w:tcW w:w="3629" w:type="dxa"/>
            <w:tcBorders>
              <w:top w:val="single" w:sz="4" w:space="0" w:color="auto"/>
              <w:left w:val="single" w:sz="4" w:space="0" w:color="auto"/>
              <w:bottom w:val="single" w:sz="4" w:space="0" w:color="auto"/>
              <w:right w:val="nil"/>
            </w:tcBorders>
            <w:hideMark/>
          </w:tcPr>
          <w:p w14:paraId="72C72FFB" w14:textId="77777777" w:rsidR="00366B5F" w:rsidRPr="0046175F" w:rsidRDefault="00366B5F">
            <w:pPr>
              <w:keepNext/>
              <w:spacing w:beforeLines="20" w:before="48" w:after="20"/>
              <w:rPr>
                <w:b/>
                <w:i/>
                <w:sz w:val="22"/>
                <w:lang w:eastAsia="zh-CN"/>
              </w:rPr>
            </w:pPr>
            <w:r w:rsidRPr="0046175F">
              <w:rPr>
                <w:rFonts w:eastAsia="Times New Roman"/>
                <w:b/>
                <w:i/>
                <w:sz w:val="22"/>
                <w:lang w:eastAsia="zh-CN"/>
              </w:rPr>
              <w:t>Primary Efficacy Endpoint</w:t>
            </w:r>
          </w:p>
        </w:tc>
        <w:tc>
          <w:tcPr>
            <w:tcW w:w="2626" w:type="dxa"/>
            <w:tcBorders>
              <w:top w:val="single" w:sz="4" w:space="0" w:color="auto"/>
              <w:left w:val="nil"/>
              <w:bottom w:val="single" w:sz="4" w:space="0" w:color="auto"/>
              <w:right w:val="nil"/>
            </w:tcBorders>
          </w:tcPr>
          <w:p w14:paraId="5E88982F" w14:textId="77777777" w:rsidR="00366B5F" w:rsidRPr="0046175F" w:rsidRDefault="00366B5F">
            <w:pPr>
              <w:keepNext/>
              <w:spacing w:beforeLines="20" w:before="48" w:after="20"/>
              <w:rPr>
                <w:sz w:val="22"/>
                <w:lang w:eastAsia="zh-CN"/>
              </w:rPr>
            </w:pPr>
          </w:p>
        </w:tc>
        <w:tc>
          <w:tcPr>
            <w:tcW w:w="2583" w:type="dxa"/>
            <w:tcBorders>
              <w:top w:val="single" w:sz="4" w:space="0" w:color="auto"/>
              <w:left w:val="nil"/>
              <w:bottom w:val="single" w:sz="4" w:space="0" w:color="auto"/>
              <w:right w:val="single" w:sz="4" w:space="0" w:color="auto"/>
            </w:tcBorders>
          </w:tcPr>
          <w:p w14:paraId="39432169" w14:textId="77777777" w:rsidR="00366B5F" w:rsidRPr="0046175F" w:rsidRDefault="00366B5F">
            <w:pPr>
              <w:keepNext/>
              <w:spacing w:beforeLines="20" w:before="48" w:after="20"/>
              <w:rPr>
                <w:sz w:val="22"/>
                <w:lang w:eastAsia="zh-CN"/>
              </w:rPr>
            </w:pPr>
          </w:p>
        </w:tc>
      </w:tr>
      <w:tr w:rsidR="00366B5F" w:rsidRPr="0046175F" w14:paraId="32BD401A" w14:textId="77777777" w:rsidTr="00366B5F">
        <w:tc>
          <w:tcPr>
            <w:tcW w:w="3629" w:type="dxa"/>
            <w:tcBorders>
              <w:top w:val="single" w:sz="4" w:space="0" w:color="auto"/>
              <w:left w:val="single" w:sz="4" w:space="0" w:color="auto"/>
              <w:bottom w:val="nil"/>
              <w:right w:val="nil"/>
            </w:tcBorders>
            <w:hideMark/>
          </w:tcPr>
          <w:p w14:paraId="54F5D40A" w14:textId="77777777" w:rsidR="00366B5F" w:rsidRPr="0046175F" w:rsidRDefault="00366B5F">
            <w:pPr>
              <w:keepNext/>
              <w:spacing w:beforeLines="20" w:before="48" w:after="20"/>
              <w:rPr>
                <w:b/>
                <w:i/>
                <w:sz w:val="22"/>
                <w:lang w:eastAsia="zh-CN"/>
              </w:rPr>
            </w:pPr>
            <w:r w:rsidRPr="0046175F">
              <w:rPr>
                <w:rFonts w:eastAsia="Times New Roman"/>
                <w:b/>
                <w:i/>
                <w:sz w:val="22"/>
                <w:lang w:eastAsia="zh-CN"/>
              </w:rPr>
              <w:t>OS</w:t>
            </w:r>
          </w:p>
        </w:tc>
        <w:tc>
          <w:tcPr>
            <w:tcW w:w="2626" w:type="dxa"/>
            <w:tcBorders>
              <w:top w:val="single" w:sz="4" w:space="0" w:color="auto"/>
              <w:left w:val="nil"/>
              <w:bottom w:val="nil"/>
              <w:right w:val="nil"/>
            </w:tcBorders>
          </w:tcPr>
          <w:p w14:paraId="75D46855" w14:textId="77777777" w:rsidR="00366B5F" w:rsidRPr="0046175F" w:rsidRDefault="00366B5F">
            <w:pPr>
              <w:keepNext/>
              <w:spacing w:beforeLines="20" w:before="48" w:after="20"/>
              <w:rPr>
                <w:sz w:val="22"/>
                <w:lang w:eastAsia="zh-CN"/>
              </w:rPr>
            </w:pPr>
          </w:p>
        </w:tc>
        <w:tc>
          <w:tcPr>
            <w:tcW w:w="2583" w:type="dxa"/>
            <w:tcBorders>
              <w:top w:val="single" w:sz="4" w:space="0" w:color="auto"/>
              <w:left w:val="nil"/>
              <w:bottom w:val="nil"/>
              <w:right w:val="single" w:sz="4" w:space="0" w:color="auto"/>
            </w:tcBorders>
          </w:tcPr>
          <w:p w14:paraId="70B389E0" w14:textId="77777777" w:rsidR="00366B5F" w:rsidRPr="0046175F" w:rsidRDefault="00366B5F">
            <w:pPr>
              <w:keepNext/>
              <w:spacing w:beforeLines="20" w:before="48" w:after="20"/>
              <w:rPr>
                <w:sz w:val="22"/>
                <w:lang w:eastAsia="zh-CN"/>
              </w:rPr>
            </w:pPr>
          </w:p>
        </w:tc>
      </w:tr>
      <w:tr w:rsidR="00366B5F" w:rsidRPr="0046175F" w14:paraId="760D7707" w14:textId="77777777" w:rsidTr="00366B5F">
        <w:tc>
          <w:tcPr>
            <w:tcW w:w="3629" w:type="dxa"/>
            <w:tcBorders>
              <w:top w:val="nil"/>
              <w:left w:val="single" w:sz="4" w:space="0" w:color="auto"/>
              <w:bottom w:val="nil"/>
              <w:right w:val="nil"/>
            </w:tcBorders>
            <w:hideMark/>
          </w:tcPr>
          <w:p w14:paraId="2150E450" w14:textId="77777777" w:rsidR="00366B5F" w:rsidRPr="0046175F" w:rsidRDefault="00366B5F">
            <w:pPr>
              <w:keepNext/>
              <w:spacing w:beforeLines="20" w:before="48" w:after="20"/>
              <w:rPr>
                <w:b/>
                <w:sz w:val="22"/>
                <w:lang w:eastAsia="zh-CN"/>
              </w:rPr>
            </w:pPr>
            <w:r w:rsidRPr="0046175F">
              <w:rPr>
                <w:rFonts w:eastAsia="Times New Roman"/>
                <w:b/>
                <w:sz w:val="22"/>
                <w:lang w:eastAsia="zh-CN"/>
              </w:rPr>
              <w:t xml:space="preserve">All comers* </w:t>
            </w:r>
          </w:p>
        </w:tc>
        <w:tc>
          <w:tcPr>
            <w:tcW w:w="2626" w:type="dxa"/>
            <w:tcBorders>
              <w:top w:val="nil"/>
              <w:left w:val="nil"/>
              <w:bottom w:val="nil"/>
              <w:right w:val="nil"/>
            </w:tcBorders>
            <w:hideMark/>
          </w:tcPr>
          <w:p w14:paraId="375393C0" w14:textId="77777777" w:rsidR="00366B5F" w:rsidRPr="0046175F" w:rsidRDefault="00366B5F">
            <w:pPr>
              <w:keepNext/>
              <w:spacing w:beforeLines="20" w:before="48" w:after="20"/>
              <w:jc w:val="center"/>
              <w:rPr>
                <w:sz w:val="22"/>
                <w:lang w:eastAsia="zh-CN"/>
              </w:rPr>
            </w:pPr>
            <w:r w:rsidRPr="0046175F">
              <w:rPr>
                <w:sz w:val="22"/>
                <w:lang w:eastAsia="zh-CN"/>
              </w:rPr>
              <w:t>n = 425</w:t>
            </w:r>
          </w:p>
        </w:tc>
        <w:tc>
          <w:tcPr>
            <w:tcW w:w="2583" w:type="dxa"/>
            <w:tcBorders>
              <w:top w:val="nil"/>
              <w:left w:val="nil"/>
              <w:bottom w:val="nil"/>
              <w:right w:val="single" w:sz="4" w:space="0" w:color="auto"/>
            </w:tcBorders>
            <w:hideMark/>
          </w:tcPr>
          <w:p w14:paraId="1C57F98E" w14:textId="77777777" w:rsidR="00366B5F" w:rsidRPr="0046175F" w:rsidRDefault="00366B5F">
            <w:pPr>
              <w:keepNext/>
              <w:spacing w:beforeLines="20" w:before="48" w:after="20"/>
              <w:jc w:val="center"/>
              <w:rPr>
                <w:sz w:val="22"/>
                <w:lang w:eastAsia="zh-CN"/>
              </w:rPr>
            </w:pPr>
            <w:r w:rsidRPr="0046175F">
              <w:rPr>
                <w:sz w:val="22"/>
                <w:lang w:eastAsia="zh-CN"/>
              </w:rPr>
              <w:t>n = 425</w:t>
            </w:r>
          </w:p>
        </w:tc>
      </w:tr>
      <w:tr w:rsidR="00366B5F" w:rsidRPr="0046175F" w14:paraId="4A1AC2EA" w14:textId="77777777" w:rsidTr="00366B5F">
        <w:tc>
          <w:tcPr>
            <w:tcW w:w="3629" w:type="dxa"/>
            <w:tcBorders>
              <w:top w:val="nil"/>
              <w:left w:val="single" w:sz="4" w:space="0" w:color="auto"/>
              <w:bottom w:val="nil"/>
              <w:right w:val="nil"/>
            </w:tcBorders>
            <w:hideMark/>
          </w:tcPr>
          <w:p w14:paraId="7D9C3B74"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No. of deaths (%)</w:t>
            </w:r>
          </w:p>
        </w:tc>
        <w:tc>
          <w:tcPr>
            <w:tcW w:w="2626" w:type="dxa"/>
            <w:tcBorders>
              <w:top w:val="nil"/>
              <w:left w:val="nil"/>
              <w:bottom w:val="nil"/>
              <w:right w:val="nil"/>
            </w:tcBorders>
            <w:hideMark/>
          </w:tcPr>
          <w:p w14:paraId="6DA1D157" w14:textId="77777777" w:rsidR="00366B5F" w:rsidRPr="0046175F" w:rsidRDefault="00366B5F">
            <w:pPr>
              <w:keepNext/>
              <w:spacing w:beforeLines="20" w:before="48" w:after="20"/>
              <w:jc w:val="center"/>
              <w:rPr>
                <w:sz w:val="22"/>
                <w:lang w:eastAsia="zh-CN"/>
              </w:rPr>
            </w:pPr>
            <w:r w:rsidRPr="0046175F">
              <w:rPr>
                <w:sz w:val="22"/>
                <w:lang w:eastAsia="zh-CN"/>
              </w:rPr>
              <w:t>271 (64%)</w:t>
            </w:r>
          </w:p>
        </w:tc>
        <w:tc>
          <w:tcPr>
            <w:tcW w:w="2583" w:type="dxa"/>
            <w:tcBorders>
              <w:top w:val="nil"/>
              <w:left w:val="nil"/>
              <w:bottom w:val="nil"/>
              <w:right w:val="single" w:sz="4" w:space="0" w:color="auto"/>
            </w:tcBorders>
            <w:hideMark/>
          </w:tcPr>
          <w:p w14:paraId="73E8EEB6" w14:textId="77777777" w:rsidR="00366B5F" w:rsidRPr="0046175F" w:rsidRDefault="00366B5F">
            <w:pPr>
              <w:keepNext/>
              <w:spacing w:beforeLines="20" w:before="48" w:after="20"/>
              <w:jc w:val="center"/>
              <w:rPr>
                <w:sz w:val="22"/>
                <w:lang w:eastAsia="zh-CN"/>
              </w:rPr>
            </w:pPr>
            <w:r w:rsidRPr="0046175F">
              <w:rPr>
                <w:sz w:val="22"/>
                <w:lang w:eastAsia="zh-CN"/>
              </w:rPr>
              <w:t>298 (70%)</w:t>
            </w:r>
          </w:p>
        </w:tc>
      </w:tr>
      <w:tr w:rsidR="00366B5F" w:rsidRPr="0046175F" w14:paraId="0FC36452" w14:textId="77777777" w:rsidTr="00366B5F">
        <w:tc>
          <w:tcPr>
            <w:tcW w:w="3629" w:type="dxa"/>
            <w:tcBorders>
              <w:top w:val="nil"/>
              <w:left w:val="single" w:sz="4" w:space="0" w:color="auto"/>
              <w:bottom w:val="nil"/>
              <w:right w:val="nil"/>
            </w:tcBorders>
            <w:hideMark/>
          </w:tcPr>
          <w:p w14:paraId="7FB45C27"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Median time to events (months) </w:t>
            </w:r>
          </w:p>
        </w:tc>
        <w:tc>
          <w:tcPr>
            <w:tcW w:w="2626" w:type="dxa"/>
            <w:tcBorders>
              <w:top w:val="nil"/>
              <w:left w:val="nil"/>
              <w:bottom w:val="nil"/>
              <w:right w:val="nil"/>
            </w:tcBorders>
            <w:hideMark/>
          </w:tcPr>
          <w:p w14:paraId="45403981" w14:textId="77777777" w:rsidR="00366B5F" w:rsidRPr="0046175F" w:rsidRDefault="00366B5F">
            <w:pPr>
              <w:keepNext/>
              <w:spacing w:beforeLines="20" w:before="48" w:after="20"/>
              <w:jc w:val="center"/>
              <w:rPr>
                <w:sz w:val="22"/>
                <w:lang w:eastAsia="zh-CN"/>
              </w:rPr>
            </w:pPr>
            <w:r w:rsidRPr="0046175F">
              <w:rPr>
                <w:sz w:val="22"/>
                <w:lang w:eastAsia="zh-CN"/>
              </w:rPr>
              <w:t>13.8</w:t>
            </w:r>
          </w:p>
        </w:tc>
        <w:tc>
          <w:tcPr>
            <w:tcW w:w="2583" w:type="dxa"/>
            <w:tcBorders>
              <w:top w:val="nil"/>
              <w:left w:val="nil"/>
              <w:bottom w:val="nil"/>
              <w:right w:val="single" w:sz="4" w:space="0" w:color="auto"/>
            </w:tcBorders>
            <w:hideMark/>
          </w:tcPr>
          <w:p w14:paraId="4BEAF4EF" w14:textId="77777777" w:rsidR="00366B5F" w:rsidRPr="0046175F" w:rsidRDefault="00366B5F">
            <w:pPr>
              <w:keepNext/>
              <w:spacing w:beforeLines="20" w:before="48" w:after="20"/>
              <w:jc w:val="center"/>
              <w:rPr>
                <w:sz w:val="22"/>
                <w:lang w:eastAsia="zh-CN"/>
              </w:rPr>
            </w:pPr>
            <w:r w:rsidRPr="0046175F">
              <w:rPr>
                <w:sz w:val="22"/>
                <w:lang w:eastAsia="zh-CN"/>
              </w:rPr>
              <w:t>9.6</w:t>
            </w:r>
          </w:p>
        </w:tc>
      </w:tr>
      <w:tr w:rsidR="00366B5F" w:rsidRPr="0046175F" w14:paraId="29410F21" w14:textId="77777777" w:rsidTr="00366B5F">
        <w:tc>
          <w:tcPr>
            <w:tcW w:w="3629" w:type="dxa"/>
            <w:tcBorders>
              <w:top w:val="nil"/>
              <w:left w:val="single" w:sz="4" w:space="0" w:color="auto"/>
              <w:bottom w:val="nil"/>
              <w:right w:val="nil"/>
            </w:tcBorders>
            <w:hideMark/>
          </w:tcPr>
          <w:p w14:paraId="55EC5C0E"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95% CI</w:t>
            </w:r>
          </w:p>
        </w:tc>
        <w:tc>
          <w:tcPr>
            <w:tcW w:w="2626" w:type="dxa"/>
            <w:tcBorders>
              <w:top w:val="nil"/>
              <w:left w:val="nil"/>
              <w:bottom w:val="nil"/>
              <w:right w:val="nil"/>
            </w:tcBorders>
            <w:hideMark/>
          </w:tcPr>
          <w:p w14:paraId="67945CC0" w14:textId="77777777" w:rsidR="00366B5F" w:rsidRPr="0046175F" w:rsidRDefault="00366B5F">
            <w:pPr>
              <w:keepNext/>
              <w:spacing w:beforeLines="20" w:before="48" w:after="20"/>
              <w:jc w:val="center"/>
              <w:rPr>
                <w:sz w:val="22"/>
                <w:lang w:eastAsia="zh-CN"/>
              </w:rPr>
            </w:pPr>
            <w:r w:rsidRPr="0046175F">
              <w:rPr>
                <w:sz w:val="22"/>
                <w:lang w:eastAsia="zh-CN"/>
              </w:rPr>
              <w:t>(11.8, 15.7)</w:t>
            </w:r>
          </w:p>
        </w:tc>
        <w:tc>
          <w:tcPr>
            <w:tcW w:w="2583" w:type="dxa"/>
            <w:tcBorders>
              <w:top w:val="nil"/>
              <w:left w:val="nil"/>
              <w:bottom w:val="nil"/>
              <w:right w:val="single" w:sz="4" w:space="0" w:color="auto"/>
            </w:tcBorders>
            <w:hideMark/>
          </w:tcPr>
          <w:p w14:paraId="41B71F85" w14:textId="77777777" w:rsidR="00366B5F" w:rsidRPr="0046175F" w:rsidRDefault="00366B5F">
            <w:pPr>
              <w:keepNext/>
              <w:spacing w:beforeLines="20" w:before="48" w:after="20"/>
              <w:jc w:val="center"/>
              <w:rPr>
                <w:sz w:val="22"/>
                <w:lang w:eastAsia="zh-CN"/>
              </w:rPr>
            </w:pPr>
            <w:r w:rsidRPr="0046175F">
              <w:rPr>
                <w:sz w:val="22"/>
                <w:lang w:eastAsia="zh-CN"/>
              </w:rPr>
              <w:t>(8.6, 11.2)</w:t>
            </w:r>
          </w:p>
        </w:tc>
      </w:tr>
      <w:tr w:rsidR="00366B5F" w:rsidRPr="0046175F" w14:paraId="35EE4E21" w14:textId="77777777" w:rsidTr="00366B5F">
        <w:tc>
          <w:tcPr>
            <w:tcW w:w="3629" w:type="dxa"/>
            <w:tcBorders>
              <w:top w:val="nil"/>
              <w:left w:val="single" w:sz="4" w:space="0" w:color="auto"/>
              <w:bottom w:val="nil"/>
              <w:right w:val="nil"/>
            </w:tcBorders>
            <w:hideMark/>
          </w:tcPr>
          <w:p w14:paraId="3FEE2859"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Stratified</w:t>
            </w:r>
            <w:r w:rsidRPr="0046175F">
              <w:rPr>
                <w:rFonts w:eastAsia="Times New Roman"/>
                <w:sz w:val="22"/>
                <w:vertAlign w:val="superscript"/>
                <w:lang w:eastAsia="zh-CN"/>
              </w:rPr>
              <w:t>#</w:t>
            </w:r>
            <w:r w:rsidRPr="0046175F">
              <w:rPr>
                <w:rFonts w:eastAsia="Times New Roman"/>
                <w:sz w:val="22"/>
                <w:lang w:eastAsia="zh-CN"/>
              </w:rPr>
              <w:t xml:space="preserve"> hazard ratio (95% CI)</w:t>
            </w:r>
          </w:p>
        </w:tc>
        <w:tc>
          <w:tcPr>
            <w:tcW w:w="5209" w:type="dxa"/>
            <w:gridSpan w:val="2"/>
            <w:tcBorders>
              <w:top w:val="nil"/>
              <w:left w:val="nil"/>
              <w:bottom w:val="nil"/>
              <w:right w:val="single" w:sz="4" w:space="0" w:color="auto"/>
            </w:tcBorders>
            <w:hideMark/>
          </w:tcPr>
          <w:p w14:paraId="2E8EC37D" w14:textId="77777777" w:rsidR="00366B5F" w:rsidRPr="0046175F" w:rsidRDefault="00366B5F">
            <w:pPr>
              <w:keepNext/>
              <w:spacing w:beforeLines="20" w:before="48" w:after="20"/>
              <w:jc w:val="center"/>
              <w:rPr>
                <w:sz w:val="22"/>
                <w:lang w:eastAsia="zh-CN"/>
              </w:rPr>
            </w:pPr>
            <w:r w:rsidRPr="0046175F">
              <w:rPr>
                <w:sz w:val="22"/>
                <w:lang w:eastAsia="zh-CN"/>
              </w:rPr>
              <w:t>0.73 (0.62, 0.87)</w:t>
            </w:r>
          </w:p>
        </w:tc>
      </w:tr>
      <w:tr w:rsidR="00366B5F" w:rsidRPr="0046175F" w14:paraId="33516757" w14:textId="77777777" w:rsidTr="00366B5F">
        <w:tc>
          <w:tcPr>
            <w:tcW w:w="3629" w:type="dxa"/>
            <w:tcBorders>
              <w:top w:val="nil"/>
              <w:left w:val="single" w:sz="4" w:space="0" w:color="auto"/>
              <w:bottom w:val="nil"/>
              <w:right w:val="nil"/>
            </w:tcBorders>
            <w:hideMark/>
          </w:tcPr>
          <w:p w14:paraId="123818EA"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p-value**</w:t>
            </w:r>
          </w:p>
        </w:tc>
        <w:tc>
          <w:tcPr>
            <w:tcW w:w="5209" w:type="dxa"/>
            <w:gridSpan w:val="2"/>
            <w:tcBorders>
              <w:top w:val="nil"/>
              <w:left w:val="nil"/>
              <w:bottom w:val="nil"/>
              <w:right w:val="single" w:sz="4" w:space="0" w:color="auto"/>
            </w:tcBorders>
            <w:hideMark/>
          </w:tcPr>
          <w:p w14:paraId="0D208315" w14:textId="77777777" w:rsidR="00366B5F" w:rsidRPr="0046175F" w:rsidRDefault="00366B5F">
            <w:pPr>
              <w:keepNext/>
              <w:spacing w:beforeLines="20" w:before="48" w:after="20"/>
              <w:jc w:val="center"/>
              <w:rPr>
                <w:sz w:val="22"/>
                <w:lang w:eastAsia="zh-CN"/>
              </w:rPr>
            </w:pPr>
            <w:r w:rsidRPr="0046175F">
              <w:rPr>
                <w:sz w:val="22"/>
                <w:lang w:eastAsia="zh-CN"/>
              </w:rPr>
              <w:t>0.0003</w:t>
            </w:r>
          </w:p>
        </w:tc>
      </w:tr>
      <w:tr w:rsidR="00366B5F" w:rsidRPr="0046175F" w14:paraId="5B494391" w14:textId="77777777" w:rsidTr="00366B5F">
        <w:tc>
          <w:tcPr>
            <w:tcW w:w="3629" w:type="dxa"/>
            <w:tcBorders>
              <w:top w:val="nil"/>
              <w:left w:val="single" w:sz="4" w:space="0" w:color="auto"/>
              <w:bottom w:val="nil"/>
              <w:right w:val="nil"/>
            </w:tcBorders>
            <w:vAlign w:val="center"/>
            <w:hideMark/>
          </w:tcPr>
          <w:p w14:paraId="54F63C9C" w14:textId="77777777" w:rsidR="00366B5F" w:rsidRPr="0046175F" w:rsidRDefault="00366B5F">
            <w:pPr>
              <w:keepNext/>
              <w:spacing w:beforeLines="20" w:before="48" w:after="20"/>
              <w:ind w:left="180"/>
              <w:rPr>
                <w:rFonts w:eastAsia="Times New Roman"/>
                <w:sz w:val="22"/>
                <w:lang w:eastAsia="zh-CN"/>
              </w:rPr>
            </w:pPr>
            <w:r w:rsidRPr="0046175F">
              <w:rPr>
                <w:rFonts w:eastAsia="Times New Roman"/>
                <w:sz w:val="22"/>
                <w:lang w:eastAsia="zh-CN"/>
              </w:rPr>
              <w:t>12-month OS (%)</w:t>
            </w:r>
          </w:p>
        </w:tc>
        <w:tc>
          <w:tcPr>
            <w:tcW w:w="2626" w:type="dxa"/>
            <w:tcBorders>
              <w:top w:val="nil"/>
              <w:left w:val="nil"/>
              <w:bottom w:val="nil"/>
              <w:right w:val="nil"/>
            </w:tcBorders>
            <w:vAlign w:val="center"/>
            <w:hideMark/>
          </w:tcPr>
          <w:p w14:paraId="05801BDF" w14:textId="77777777" w:rsidR="00366B5F" w:rsidRPr="0046175F" w:rsidRDefault="00366B5F">
            <w:pPr>
              <w:keepNext/>
              <w:jc w:val="center"/>
              <w:rPr>
                <w:sz w:val="22"/>
                <w:lang w:eastAsia="zh-CN"/>
              </w:rPr>
            </w:pPr>
            <w:r w:rsidRPr="0046175F">
              <w:rPr>
                <w:rFonts w:eastAsia="Times New Roman"/>
                <w:sz w:val="22"/>
                <w:lang w:eastAsia="zh-CN"/>
              </w:rPr>
              <w:t>218 (55%)</w:t>
            </w:r>
          </w:p>
        </w:tc>
        <w:tc>
          <w:tcPr>
            <w:tcW w:w="2583" w:type="dxa"/>
            <w:tcBorders>
              <w:top w:val="nil"/>
              <w:left w:val="nil"/>
              <w:bottom w:val="nil"/>
              <w:right w:val="single" w:sz="4" w:space="0" w:color="auto"/>
            </w:tcBorders>
            <w:vAlign w:val="center"/>
            <w:hideMark/>
          </w:tcPr>
          <w:p w14:paraId="1EB9DC68" w14:textId="77777777" w:rsidR="00366B5F" w:rsidRPr="0046175F" w:rsidRDefault="00366B5F">
            <w:pPr>
              <w:keepNext/>
              <w:jc w:val="center"/>
              <w:rPr>
                <w:sz w:val="22"/>
                <w:lang w:eastAsia="zh-CN"/>
              </w:rPr>
            </w:pPr>
            <w:r w:rsidRPr="0046175F">
              <w:rPr>
                <w:rFonts w:eastAsia="Times New Roman"/>
                <w:sz w:val="22"/>
                <w:lang w:eastAsia="zh-CN"/>
              </w:rPr>
              <w:t>151 (41%)</w:t>
            </w:r>
          </w:p>
        </w:tc>
      </w:tr>
      <w:tr w:rsidR="00366B5F" w:rsidRPr="0046175F" w14:paraId="06C70710" w14:textId="77777777" w:rsidTr="00366B5F">
        <w:tc>
          <w:tcPr>
            <w:tcW w:w="3629" w:type="dxa"/>
            <w:tcBorders>
              <w:top w:val="nil"/>
              <w:left w:val="single" w:sz="4" w:space="0" w:color="auto"/>
              <w:bottom w:val="single" w:sz="4" w:space="0" w:color="auto"/>
              <w:right w:val="nil"/>
            </w:tcBorders>
            <w:vAlign w:val="center"/>
            <w:hideMark/>
          </w:tcPr>
          <w:p w14:paraId="24B1FDF3" w14:textId="77777777" w:rsidR="00366B5F" w:rsidRPr="0046175F" w:rsidRDefault="00366B5F">
            <w:pPr>
              <w:keepNext/>
              <w:ind w:left="180"/>
              <w:rPr>
                <w:sz w:val="22"/>
                <w:lang w:eastAsia="zh-CN"/>
              </w:rPr>
            </w:pPr>
            <w:r w:rsidRPr="0046175F">
              <w:rPr>
                <w:rFonts w:eastAsia="Times New Roman"/>
                <w:sz w:val="22"/>
                <w:lang w:eastAsia="zh-CN"/>
              </w:rPr>
              <w:t>18-month OS (%)</w:t>
            </w:r>
          </w:p>
        </w:tc>
        <w:tc>
          <w:tcPr>
            <w:tcW w:w="2626" w:type="dxa"/>
            <w:tcBorders>
              <w:top w:val="nil"/>
              <w:left w:val="nil"/>
              <w:bottom w:val="single" w:sz="4" w:space="0" w:color="auto"/>
              <w:right w:val="nil"/>
            </w:tcBorders>
            <w:vAlign w:val="center"/>
            <w:hideMark/>
          </w:tcPr>
          <w:p w14:paraId="5B6818CF" w14:textId="77777777" w:rsidR="00366B5F" w:rsidRPr="0046175F" w:rsidRDefault="00366B5F">
            <w:pPr>
              <w:keepNext/>
              <w:jc w:val="center"/>
              <w:rPr>
                <w:sz w:val="22"/>
                <w:lang w:eastAsia="zh-CN"/>
              </w:rPr>
            </w:pPr>
            <w:r w:rsidRPr="0046175F">
              <w:rPr>
                <w:rFonts w:eastAsia="Times New Roman"/>
                <w:sz w:val="22"/>
                <w:lang w:eastAsia="zh-CN"/>
              </w:rPr>
              <w:t>157 (40%)</w:t>
            </w:r>
          </w:p>
        </w:tc>
        <w:tc>
          <w:tcPr>
            <w:tcW w:w="2583" w:type="dxa"/>
            <w:tcBorders>
              <w:top w:val="nil"/>
              <w:left w:val="nil"/>
              <w:bottom w:val="single" w:sz="4" w:space="0" w:color="auto"/>
              <w:right w:val="single" w:sz="4" w:space="0" w:color="auto"/>
            </w:tcBorders>
            <w:vAlign w:val="center"/>
            <w:hideMark/>
          </w:tcPr>
          <w:p w14:paraId="438CAC9E" w14:textId="77777777" w:rsidR="00366B5F" w:rsidRPr="0046175F" w:rsidRDefault="00366B5F">
            <w:pPr>
              <w:keepNext/>
              <w:jc w:val="center"/>
              <w:rPr>
                <w:sz w:val="22"/>
                <w:lang w:eastAsia="zh-CN"/>
              </w:rPr>
            </w:pPr>
            <w:r w:rsidRPr="0046175F">
              <w:rPr>
                <w:rFonts w:eastAsia="Times New Roman"/>
                <w:sz w:val="22"/>
                <w:lang w:eastAsia="zh-CN"/>
              </w:rPr>
              <w:t>98 (27%)</w:t>
            </w:r>
          </w:p>
        </w:tc>
      </w:tr>
      <w:tr w:rsidR="00366B5F" w:rsidRPr="0046175F" w14:paraId="4B466651" w14:textId="77777777" w:rsidTr="00366B5F">
        <w:tc>
          <w:tcPr>
            <w:tcW w:w="3629" w:type="dxa"/>
            <w:tcBorders>
              <w:top w:val="single" w:sz="4" w:space="0" w:color="auto"/>
              <w:left w:val="single" w:sz="4" w:space="0" w:color="auto"/>
              <w:bottom w:val="nil"/>
              <w:right w:val="nil"/>
            </w:tcBorders>
            <w:hideMark/>
          </w:tcPr>
          <w:p w14:paraId="1C66A63D" w14:textId="77777777" w:rsidR="00366B5F" w:rsidRPr="0046175F" w:rsidRDefault="00366B5F">
            <w:pPr>
              <w:keepNext/>
              <w:spacing w:beforeLines="20" w:before="48" w:after="20"/>
              <w:rPr>
                <w:rFonts w:eastAsia="Times New Roman"/>
                <w:b/>
                <w:sz w:val="22"/>
                <w:lang w:eastAsia="zh-CN"/>
              </w:rPr>
            </w:pPr>
            <w:r w:rsidRPr="0046175F">
              <w:rPr>
                <w:rFonts w:eastAsia="Times New Roman"/>
                <w:b/>
                <w:sz w:val="22"/>
                <w:lang w:eastAsia="zh-CN"/>
              </w:rPr>
              <w:t>TC1/2/3 or IC1/2/3</w:t>
            </w:r>
          </w:p>
        </w:tc>
        <w:tc>
          <w:tcPr>
            <w:tcW w:w="2626" w:type="dxa"/>
            <w:tcBorders>
              <w:top w:val="single" w:sz="4" w:space="0" w:color="auto"/>
              <w:left w:val="nil"/>
              <w:bottom w:val="nil"/>
              <w:right w:val="nil"/>
            </w:tcBorders>
            <w:hideMark/>
          </w:tcPr>
          <w:p w14:paraId="29043932" w14:textId="77777777" w:rsidR="00366B5F" w:rsidRPr="0046175F" w:rsidRDefault="00366B5F">
            <w:pPr>
              <w:keepNext/>
              <w:spacing w:beforeLines="20" w:before="48" w:after="20"/>
              <w:jc w:val="center"/>
              <w:rPr>
                <w:sz w:val="22"/>
                <w:lang w:eastAsia="zh-CN"/>
              </w:rPr>
            </w:pPr>
            <w:r w:rsidRPr="0046175F">
              <w:rPr>
                <w:sz w:val="22"/>
                <w:lang w:eastAsia="zh-CN"/>
              </w:rPr>
              <w:t>n = 241</w:t>
            </w:r>
          </w:p>
        </w:tc>
        <w:tc>
          <w:tcPr>
            <w:tcW w:w="2583" w:type="dxa"/>
            <w:tcBorders>
              <w:top w:val="single" w:sz="4" w:space="0" w:color="auto"/>
              <w:left w:val="nil"/>
              <w:bottom w:val="nil"/>
              <w:right w:val="single" w:sz="4" w:space="0" w:color="auto"/>
            </w:tcBorders>
            <w:hideMark/>
          </w:tcPr>
          <w:p w14:paraId="2212EE23" w14:textId="77777777" w:rsidR="00366B5F" w:rsidRPr="0046175F" w:rsidRDefault="00366B5F">
            <w:pPr>
              <w:keepNext/>
              <w:spacing w:beforeLines="20" w:before="48" w:after="20"/>
              <w:jc w:val="center"/>
              <w:rPr>
                <w:sz w:val="22"/>
                <w:lang w:eastAsia="zh-CN"/>
              </w:rPr>
            </w:pPr>
            <w:r w:rsidRPr="0046175F">
              <w:rPr>
                <w:sz w:val="22"/>
                <w:lang w:eastAsia="zh-CN"/>
              </w:rPr>
              <w:t>n = 222</w:t>
            </w:r>
          </w:p>
        </w:tc>
      </w:tr>
      <w:tr w:rsidR="00366B5F" w:rsidRPr="0046175F" w14:paraId="79A60D79" w14:textId="77777777" w:rsidTr="00366B5F">
        <w:tc>
          <w:tcPr>
            <w:tcW w:w="3629" w:type="dxa"/>
            <w:tcBorders>
              <w:top w:val="nil"/>
              <w:left w:val="single" w:sz="4" w:space="0" w:color="auto"/>
              <w:bottom w:val="nil"/>
              <w:right w:val="nil"/>
            </w:tcBorders>
            <w:hideMark/>
          </w:tcPr>
          <w:p w14:paraId="66D014B4"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No. of deaths (%)</w:t>
            </w:r>
          </w:p>
        </w:tc>
        <w:tc>
          <w:tcPr>
            <w:tcW w:w="2626" w:type="dxa"/>
            <w:tcBorders>
              <w:top w:val="nil"/>
              <w:left w:val="nil"/>
              <w:bottom w:val="nil"/>
              <w:right w:val="nil"/>
            </w:tcBorders>
            <w:hideMark/>
          </w:tcPr>
          <w:p w14:paraId="57B73114" w14:textId="77777777" w:rsidR="00366B5F" w:rsidRPr="0046175F" w:rsidRDefault="00366B5F">
            <w:pPr>
              <w:keepNext/>
              <w:spacing w:beforeLines="20" w:before="48" w:after="20"/>
              <w:jc w:val="center"/>
              <w:rPr>
                <w:sz w:val="22"/>
                <w:lang w:eastAsia="zh-CN"/>
              </w:rPr>
            </w:pPr>
            <w:r w:rsidRPr="0046175F">
              <w:rPr>
                <w:sz w:val="22"/>
                <w:lang w:eastAsia="zh-CN"/>
              </w:rPr>
              <w:t>151 (63%)</w:t>
            </w:r>
          </w:p>
        </w:tc>
        <w:tc>
          <w:tcPr>
            <w:tcW w:w="2583" w:type="dxa"/>
            <w:tcBorders>
              <w:top w:val="nil"/>
              <w:left w:val="nil"/>
              <w:bottom w:val="nil"/>
              <w:right w:val="single" w:sz="4" w:space="0" w:color="auto"/>
            </w:tcBorders>
            <w:hideMark/>
          </w:tcPr>
          <w:p w14:paraId="29E2B77D" w14:textId="77777777" w:rsidR="00366B5F" w:rsidRPr="0046175F" w:rsidRDefault="00366B5F">
            <w:pPr>
              <w:keepNext/>
              <w:spacing w:beforeLines="20" w:before="48" w:after="20"/>
              <w:jc w:val="center"/>
              <w:rPr>
                <w:sz w:val="22"/>
                <w:lang w:eastAsia="zh-CN"/>
              </w:rPr>
            </w:pPr>
            <w:r w:rsidRPr="0046175F">
              <w:rPr>
                <w:sz w:val="22"/>
                <w:lang w:eastAsia="zh-CN"/>
              </w:rPr>
              <w:t>149 (67%)</w:t>
            </w:r>
          </w:p>
        </w:tc>
      </w:tr>
      <w:tr w:rsidR="00366B5F" w:rsidRPr="0046175F" w14:paraId="627B7C0E" w14:textId="77777777" w:rsidTr="00366B5F">
        <w:tc>
          <w:tcPr>
            <w:tcW w:w="3629" w:type="dxa"/>
            <w:tcBorders>
              <w:top w:val="nil"/>
              <w:left w:val="single" w:sz="4" w:space="0" w:color="auto"/>
              <w:bottom w:val="nil"/>
              <w:right w:val="nil"/>
            </w:tcBorders>
            <w:hideMark/>
          </w:tcPr>
          <w:p w14:paraId="725FDDB4"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Median time to events (months) </w:t>
            </w:r>
          </w:p>
        </w:tc>
        <w:tc>
          <w:tcPr>
            <w:tcW w:w="2626" w:type="dxa"/>
            <w:tcBorders>
              <w:top w:val="nil"/>
              <w:left w:val="nil"/>
              <w:bottom w:val="nil"/>
              <w:right w:val="nil"/>
            </w:tcBorders>
            <w:hideMark/>
          </w:tcPr>
          <w:p w14:paraId="62C9413E" w14:textId="77777777" w:rsidR="00366B5F" w:rsidRPr="0046175F" w:rsidRDefault="00366B5F">
            <w:pPr>
              <w:keepNext/>
              <w:spacing w:beforeLines="20" w:before="48" w:after="20"/>
              <w:jc w:val="center"/>
              <w:rPr>
                <w:sz w:val="22"/>
                <w:lang w:eastAsia="zh-CN"/>
              </w:rPr>
            </w:pPr>
            <w:r w:rsidRPr="0046175F">
              <w:rPr>
                <w:sz w:val="22"/>
                <w:lang w:eastAsia="zh-CN"/>
              </w:rPr>
              <w:t>15.7</w:t>
            </w:r>
          </w:p>
        </w:tc>
        <w:tc>
          <w:tcPr>
            <w:tcW w:w="2583" w:type="dxa"/>
            <w:tcBorders>
              <w:top w:val="nil"/>
              <w:left w:val="nil"/>
              <w:bottom w:val="nil"/>
              <w:right w:val="single" w:sz="4" w:space="0" w:color="auto"/>
            </w:tcBorders>
            <w:hideMark/>
          </w:tcPr>
          <w:p w14:paraId="5DD8D54B" w14:textId="77777777" w:rsidR="00366B5F" w:rsidRPr="0046175F" w:rsidRDefault="00366B5F">
            <w:pPr>
              <w:keepNext/>
              <w:spacing w:beforeLines="20" w:before="48" w:after="20"/>
              <w:jc w:val="center"/>
              <w:rPr>
                <w:sz w:val="22"/>
                <w:lang w:eastAsia="zh-CN"/>
              </w:rPr>
            </w:pPr>
            <w:r w:rsidRPr="0046175F">
              <w:rPr>
                <w:sz w:val="22"/>
                <w:lang w:eastAsia="zh-CN"/>
              </w:rPr>
              <w:t>10.3</w:t>
            </w:r>
          </w:p>
        </w:tc>
      </w:tr>
      <w:tr w:rsidR="00366B5F" w:rsidRPr="0046175F" w14:paraId="317EC937" w14:textId="77777777" w:rsidTr="00366B5F">
        <w:tc>
          <w:tcPr>
            <w:tcW w:w="3629" w:type="dxa"/>
            <w:tcBorders>
              <w:top w:val="nil"/>
              <w:left w:val="single" w:sz="4" w:space="0" w:color="auto"/>
              <w:bottom w:val="nil"/>
              <w:right w:val="nil"/>
            </w:tcBorders>
            <w:hideMark/>
          </w:tcPr>
          <w:p w14:paraId="36530ED0"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95% CI</w:t>
            </w:r>
          </w:p>
        </w:tc>
        <w:tc>
          <w:tcPr>
            <w:tcW w:w="2626" w:type="dxa"/>
            <w:tcBorders>
              <w:top w:val="nil"/>
              <w:left w:val="nil"/>
              <w:bottom w:val="nil"/>
              <w:right w:val="nil"/>
            </w:tcBorders>
            <w:hideMark/>
          </w:tcPr>
          <w:p w14:paraId="2B6C005B" w14:textId="77777777" w:rsidR="00366B5F" w:rsidRPr="0046175F" w:rsidRDefault="00366B5F">
            <w:pPr>
              <w:keepNext/>
              <w:spacing w:beforeLines="20" w:before="48" w:after="20"/>
              <w:jc w:val="center"/>
              <w:rPr>
                <w:sz w:val="22"/>
                <w:lang w:eastAsia="zh-CN"/>
              </w:rPr>
            </w:pPr>
            <w:r w:rsidRPr="0046175F">
              <w:rPr>
                <w:sz w:val="22"/>
                <w:lang w:eastAsia="zh-CN"/>
              </w:rPr>
              <w:t>(12.6, 18.0)</w:t>
            </w:r>
          </w:p>
        </w:tc>
        <w:tc>
          <w:tcPr>
            <w:tcW w:w="2583" w:type="dxa"/>
            <w:tcBorders>
              <w:top w:val="nil"/>
              <w:left w:val="nil"/>
              <w:bottom w:val="nil"/>
              <w:right w:val="single" w:sz="4" w:space="0" w:color="auto"/>
            </w:tcBorders>
            <w:hideMark/>
          </w:tcPr>
          <w:p w14:paraId="69565EC6" w14:textId="77777777" w:rsidR="00366B5F" w:rsidRPr="0046175F" w:rsidRDefault="00366B5F">
            <w:pPr>
              <w:keepNext/>
              <w:spacing w:beforeLines="20" w:before="48" w:after="20"/>
              <w:jc w:val="center"/>
              <w:rPr>
                <w:sz w:val="22"/>
                <w:lang w:eastAsia="zh-CN"/>
              </w:rPr>
            </w:pPr>
            <w:r w:rsidRPr="0046175F">
              <w:rPr>
                <w:sz w:val="22"/>
                <w:lang w:eastAsia="zh-CN"/>
              </w:rPr>
              <w:t>(8.8, 12.0)</w:t>
            </w:r>
          </w:p>
        </w:tc>
      </w:tr>
      <w:tr w:rsidR="00366B5F" w:rsidRPr="0046175F" w14:paraId="235E9E23" w14:textId="77777777" w:rsidTr="00366B5F">
        <w:tc>
          <w:tcPr>
            <w:tcW w:w="3629" w:type="dxa"/>
            <w:tcBorders>
              <w:top w:val="nil"/>
              <w:left w:val="single" w:sz="4" w:space="0" w:color="auto"/>
              <w:bottom w:val="nil"/>
              <w:right w:val="nil"/>
            </w:tcBorders>
            <w:hideMark/>
          </w:tcPr>
          <w:p w14:paraId="67FA2369"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Stratified</w:t>
            </w:r>
            <w:r w:rsidRPr="0046175F">
              <w:rPr>
                <w:rFonts w:eastAsia="Times New Roman"/>
                <w:sz w:val="22"/>
                <w:vertAlign w:val="superscript"/>
                <w:lang w:eastAsia="zh-CN"/>
              </w:rPr>
              <w:t>#</w:t>
            </w:r>
            <w:r w:rsidRPr="0046175F">
              <w:rPr>
                <w:rFonts w:eastAsia="Times New Roman"/>
                <w:sz w:val="22"/>
                <w:lang w:eastAsia="zh-CN"/>
              </w:rPr>
              <w:t xml:space="preserve"> hazard ratio (95% CI)</w:t>
            </w:r>
          </w:p>
        </w:tc>
        <w:tc>
          <w:tcPr>
            <w:tcW w:w="5209" w:type="dxa"/>
            <w:gridSpan w:val="2"/>
            <w:tcBorders>
              <w:top w:val="nil"/>
              <w:left w:val="nil"/>
              <w:bottom w:val="nil"/>
              <w:right w:val="single" w:sz="4" w:space="0" w:color="auto"/>
            </w:tcBorders>
            <w:hideMark/>
          </w:tcPr>
          <w:p w14:paraId="022D6A96" w14:textId="77777777" w:rsidR="00366B5F" w:rsidRPr="0046175F" w:rsidRDefault="00366B5F">
            <w:pPr>
              <w:keepNext/>
              <w:spacing w:beforeLines="20" w:before="48" w:after="20"/>
              <w:jc w:val="center"/>
              <w:rPr>
                <w:sz w:val="22"/>
                <w:lang w:eastAsia="zh-CN"/>
              </w:rPr>
            </w:pPr>
            <w:r w:rsidRPr="0046175F">
              <w:rPr>
                <w:sz w:val="22"/>
                <w:lang w:eastAsia="zh-CN"/>
              </w:rPr>
              <w:t>0.74 (0.58, 0.93)</w:t>
            </w:r>
          </w:p>
        </w:tc>
      </w:tr>
      <w:tr w:rsidR="00366B5F" w:rsidRPr="0046175F" w14:paraId="1C68537C" w14:textId="77777777" w:rsidTr="00366B5F">
        <w:tc>
          <w:tcPr>
            <w:tcW w:w="3629" w:type="dxa"/>
            <w:tcBorders>
              <w:top w:val="nil"/>
              <w:left w:val="single" w:sz="4" w:space="0" w:color="auto"/>
              <w:bottom w:val="nil"/>
              <w:right w:val="nil"/>
            </w:tcBorders>
            <w:hideMark/>
          </w:tcPr>
          <w:p w14:paraId="7FE56D8B" w14:textId="77777777" w:rsidR="00366B5F" w:rsidRPr="0046175F" w:rsidRDefault="00366B5F">
            <w:pPr>
              <w:keepNext/>
              <w:spacing w:beforeLines="20" w:before="48" w:after="20"/>
              <w:rPr>
                <w:rFonts w:eastAsia="Times New Roman"/>
                <w:sz w:val="22"/>
                <w:lang w:eastAsia="zh-CN"/>
              </w:rPr>
            </w:pPr>
            <w:r w:rsidRPr="0046175F">
              <w:rPr>
                <w:rFonts w:eastAsia="Times New Roman"/>
                <w:sz w:val="22"/>
                <w:lang w:eastAsia="zh-CN"/>
              </w:rPr>
              <w:t xml:space="preserve">        p-value**</w:t>
            </w:r>
          </w:p>
        </w:tc>
        <w:tc>
          <w:tcPr>
            <w:tcW w:w="5209" w:type="dxa"/>
            <w:gridSpan w:val="2"/>
            <w:tcBorders>
              <w:top w:val="nil"/>
              <w:left w:val="nil"/>
              <w:bottom w:val="nil"/>
              <w:right w:val="single" w:sz="4" w:space="0" w:color="auto"/>
            </w:tcBorders>
            <w:hideMark/>
          </w:tcPr>
          <w:p w14:paraId="1FA8739F" w14:textId="77777777" w:rsidR="00366B5F" w:rsidRPr="0046175F" w:rsidRDefault="00366B5F">
            <w:pPr>
              <w:keepNext/>
              <w:spacing w:beforeLines="20" w:before="48" w:after="20"/>
              <w:jc w:val="center"/>
              <w:rPr>
                <w:sz w:val="22"/>
                <w:lang w:eastAsia="zh-CN"/>
              </w:rPr>
            </w:pPr>
            <w:r w:rsidRPr="0046175F">
              <w:rPr>
                <w:sz w:val="22"/>
                <w:lang w:eastAsia="zh-CN"/>
              </w:rPr>
              <w:t>0.0102</w:t>
            </w:r>
          </w:p>
        </w:tc>
      </w:tr>
      <w:tr w:rsidR="00366B5F" w:rsidRPr="0046175F" w14:paraId="37119D54" w14:textId="77777777" w:rsidTr="00366B5F">
        <w:tc>
          <w:tcPr>
            <w:tcW w:w="3629" w:type="dxa"/>
            <w:tcBorders>
              <w:top w:val="nil"/>
              <w:left w:val="single" w:sz="4" w:space="0" w:color="auto"/>
              <w:bottom w:val="nil"/>
              <w:right w:val="nil"/>
            </w:tcBorders>
            <w:vAlign w:val="center"/>
            <w:hideMark/>
          </w:tcPr>
          <w:p w14:paraId="695782C7" w14:textId="77777777" w:rsidR="00366B5F" w:rsidRPr="0046175F" w:rsidRDefault="00366B5F">
            <w:pPr>
              <w:keepNext/>
              <w:spacing w:beforeLines="20" w:before="48" w:after="20"/>
              <w:ind w:left="180"/>
              <w:rPr>
                <w:rFonts w:eastAsia="Times New Roman"/>
                <w:sz w:val="22"/>
                <w:lang w:eastAsia="zh-CN"/>
              </w:rPr>
            </w:pPr>
            <w:r w:rsidRPr="0046175F">
              <w:rPr>
                <w:rFonts w:eastAsia="Times New Roman"/>
                <w:sz w:val="22"/>
                <w:lang w:eastAsia="zh-CN"/>
              </w:rPr>
              <w:t>12-month OS (%)</w:t>
            </w:r>
          </w:p>
        </w:tc>
        <w:tc>
          <w:tcPr>
            <w:tcW w:w="2626" w:type="dxa"/>
            <w:tcBorders>
              <w:top w:val="nil"/>
              <w:left w:val="nil"/>
              <w:bottom w:val="nil"/>
              <w:right w:val="nil"/>
            </w:tcBorders>
            <w:vAlign w:val="center"/>
            <w:hideMark/>
          </w:tcPr>
          <w:p w14:paraId="5D40F81D" w14:textId="77777777" w:rsidR="00366B5F" w:rsidRPr="0046175F" w:rsidRDefault="00366B5F">
            <w:pPr>
              <w:keepNext/>
              <w:jc w:val="center"/>
              <w:rPr>
                <w:sz w:val="22"/>
                <w:lang w:eastAsia="zh-CN"/>
              </w:rPr>
            </w:pPr>
            <w:r w:rsidRPr="0046175F">
              <w:rPr>
                <w:rFonts w:eastAsia="Times New Roman"/>
                <w:sz w:val="22"/>
                <w:lang w:eastAsia="zh-CN"/>
              </w:rPr>
              <w:t>58%</w:t>
            </w:r>
          </w:p>
        </w:tc>
        <w:tc>
          <w:tcPr>
            <w:tcW w:w="2583" w:type="dxa"/>
            <w:tcBorders>
              <w:top w:val="nil"/>
              <w:left w:val="nil"/>
              <w:bottom w:val="nil"/>
              <w:right w:val="single" w:sz="4" w:space="0" w:color="auto"/>
            </w:tcBorders>
            <w:vAlign w:val="center"/>
            <w:hideMark/>
          </w:tcPr>
          <w:p w14:paraId="207B58FD" w14:textId="77777777" w:rsidR="00366B5F" w:rsidRPr="0046175F" w:rsidRDefault="00366B5F">
            <w:pPr>
              <w:keepNext/>
              <w:jc w:val="center"/>
              <w:rPr>
                <w:sz w:val="22"/>
                <w:lang w:eastAsia="zh-CN"/>
              </w:rPr>
            </w:pPr>
            <w:r w:rsidRPr="0046175F">
              <w:rPr>
                <w:rFonts w:eastAsia="Times New Roman"/>
                <w:sz w:val="22"/>
                <w:lang w:eastAsia="zh-CN"/>
              </w:rPr>
              <w:t>43%</w:t>
            </w:r>
          </w:p>
        </w:tc>
      </w:tr>
      <w:tr w:rsidR="00366B5F" w:rsidRPr="0046175F" w14:paraId="0D4346A4" w14:textId="77777777" w:rsidTr="00366B5F">
        <w:tc>
          <w:tcPr>
            <w:tcW w:w="3629" w:type="dxa"/>
            <w:tcBorders>
              <w:top w:val="nil"/>
              <w:left w:val="single" w:sz="4" w:space="0" w:color="auto"/>
              <w:bottom w:val="single" w:sz="4" w:space="0" w:color="auto"/>
              <w:right w:val="nil"/>
            </w:tcBorders>
            <w:vAlign w:val="center"/>
            <w:hideMark/>
          </w:tcPr>
          <w:p w14:paraId="39CD7AEE" w14:textId="77777777" w:rsidR="00366B5F" w:rsidRPr="0046175F" w:rsidRDefault="00366B5F">
            <w:pPr>
              <w:keepNext/>
              <w:ind w:left="180"/>
              <w:rPr>
                <w:sz w:val="22"/>
                <w:lang w:eastAsia="zh-CN"/>
              </w:rPr>
            </w:pPr>
            <w:r w:rsidRPr="0046175F">
              <w:rPr>
                <w:rFonts w:eastAsia="Times New Roman"/>
                <w:sz w:val="22"/>
                <w:lang w:eastAsia="zh-CN"/>
              </w:rPr>
              <w:t>18-month OS (%)</w:t>
            </w:r>
          </w:p>
        </w:tc>
        <w:tc>
          <w:tcPr>
            <w:tcW w:w="2626" w:type="dxa"/>
            <w:tcBorders>
              <w:top w:val="nil"/>
              <w:left w:val="nil"/>
              <w:bottom w:val="single" w:sz="4" w:space="0" w:color="auto"/>
              <w:right w:val="nil"/>
            </w:tcBorders>
            <w:vAlign w:val="center"/>
            <w:hideMark/>
          </w:tcPr>
          <w:p w14:paraId="1AF1C704" w14:textId="77777777" w:rsidR="00366B5F" w:rsidRPr="0046175F" w:rsidRDefault="00366B5F">
            <w:pPr>
              <w:keepNext/>
              <w:jc w:val="center"/>
              <w:rPr>
                <w:sz w:val="22"/>
                <w:lang w:eastAsia="zh-CN"/>
              </w:rPr>
            </w:pPr>
            <w:r w:rsidRPr="0046175F">
              <w:rPr>
                <w:rFonts w:eastAsia="Times New Roman"/>
                <w:sz w:val="22"/>
                <w:lang w:eastAsia="zh-CN"/>
              </w:rPr>
              <w:t>44%</w:t>
            </w:r>
          </w:p>
        </w:tc>
        <w:tc>
          <w:tcPr>
            <w:tcW w:w="2583" w:type="dxa"/>
            <w:tcBorders>
              <w:top w:val="nil"/>
              <w:left w:val="nil"/>
              <w:bottom w:val="single" w:sz="4" w:space="0" w:color="auto"/>
              <w:right w:val="single" w:sz="4" w:space="0" w:color="auto"/>
            </w:tcBorders>
            <w:vAlign w:val="center"/>
            <w:hideMark/>
          </w:tcPr>
          <w:p w14:paraId="486CB407" w14:textId="77777777" w:rsidR="00366B5F" w:rsidRPr="0046175F" w:rsidRDefault="00366B5F">
            <w:pPr>
              <w:keepNext/>
              <w:jc w:val="center"/>
              <w:rPr>
                <w:sz w:val="22"/>
                <w:lang w:eastAsia="zh-CN"/>
              </w:rPr>
            </w:pPr>
            <w:r w:rsidRPr="0046175F">
              <w:rPr>
                <w:rFonts w:eastAsia="Times New Roman"/>
                <w:sz w:val="22"/>
                <w:lang w:eastAsia="zh-CN"/>
              </w:rPr>
              <w:t>29%</w:t>
            </w:r>
          </w:p>
        </w:tc>
      </w:tr>
      <w:tr w:rsidR="00366B5F" w:rsidRPr="0046175F" w14:paraId="4CF19F49" w14:textId="77777777" w:rsidTr="00366B5F">
        <w:tc>
          <w:tcPr>
            <w:tcW w:w="8838" w:type="dxa"/>
            <w:gridSpan w:val="3"/>
            <w:tcBorders>
              <w:top w:val="single" w:sz="4" w:space="0" w:color="auto"/>
              <w:left w:val="single" w:sz="4" w:space="0" w:color="auto"/>
              <w:bottom w:val="single" w:sz="4" w:space="0" w:color="auto"/>
              <w:right w:val="single" w:sz="4" w:space="0" w:color="auto"/>
            </w:tcBorders>
            <w:hideMark/>
          </w:tcPr>
          <w:p w14:paraId="68F9A9BD" w14:textId="77777777" w:rsidR="00366B5F" w:rsidRPr="0046175F" w:rsidRDefault="00366B5F">
            <w:pPr>
              <w:keepNext/>
              <w:spacing w:beforeLines="20" w:before="48" w:after="20"/>
              <w:rPr>
                <w:b/>
                <w:i/>
                <w:sz w:val="22"/>
                <w:lang w:eastAsia="zh-CN"/>
              </w:rPr>
            </w:pPr>
            <w:r w:rsidRPr="0046175F">
              <w:rPr>
                <w:rFonts w:eastAsia="Times New Roman"/>
                <w:b/>
                <w:i/>
                <w:sz w:val="22"/>
                <w:lang w:eastAsia="zh-CN"/>
              </w:rPr>
              <w:t>Secondary Endpoints</w:t>
            </w:r>
          </w:p>
        </w:tc>
      </w:tr>
      <w:tr w:rsidR="00366B5F" w:rsidRPr="0046175F" w14:paraId="69076641" w14:textId="77777777" w:rsidTr="00366B5F">
        <w:tc>
          <w:tcPr>
            <w:tcW w:w="8838" w:type="dxa"/>
            <w:gridSpan w:val="3"/>
            <w:tcBorders>
              <w:top w:val="single" w:sz="4" w:space="0" w:color="auto"/>
              <w:left w:val="single" w:sz="4" w:space="0" w:color="auto"/>
              <w:bottom w:val="nil"/>
              <w:right w:val="single" w:sz="4" w:space="0" w:color="auto"/>
            </w:tcBorders>
            <w:hideMark/>
          </w:tcPr>
          <w:p w14:paraId="6C789560" w14:textId="77777777" w:rsidR="00366B5F" w:rsidRPr="0046175F" w:rsidRDefault="00366B5F">
            <w:pPr>
              <w:keepNext/>
              <w:spacing w:beforeLines="20" w:before="48" w:after="20"/>
              <w:rPr>
                <w:sz w:val="22"/>
                <w:lang w:eastAsia="zh-CN"/>
              </w:rPr>
            </w:pPr>
            <w:r w:rsidRPr="0046175F">
              <w:rPr>
                <w:rFonts w:eastAsia="Times New Roman"/>
                <w:b/>
                <w:i/>
                <w:sz w:val="22"/>
                <w:lang w:eastAsia="zh-CN"/>
              </w:rPr>
              <w:t>Investigator-assessed PFS (RECIST v1.1)</w:t>
            </w:r>
          </w:p>
        </w:tc>
      </w:tr>
      <w:tr w:rsidR="00366B5F" w:rsidRPr="0046175F" w14:paraId="0758AA5F" w14:textId="77777777" w:rsidTr="00366B5F">
        <w:tc>
          <w:tcPr>
            <w:tcW w:w="3629" w:type="dxa"/>
            <w:tcBorders>
              <w:top w:val="nil"/>
              <w:left w:val="single" w:sz="4" w:space="0" w:color="auto"/>
              <w:bottom w:val="nil"/>
              <w:right w:val="nil"/>
            </w:tcBorders>
            <w:hideMark/>
          </w:tcPr>
          <w:p w14:paraId="5BEAB87C" w14:textId="77777777" w:rsidR="00366B5F" w:rsidRPr="0046175F" w:rsidRDefault="00366B5F">
            <w:pPr>
              <w:keepNext/>
              <w:spacing w:beforeLines="20" w:before="48" w:after="20"/>
              <w:rPr>
                <w:b/>
                <w:sz w:val="22"/>
                <w:lang w:eastAsia="zh-CN"/>
              </w:rPr>
            </w:pPr>
            <w:r w:rsidRPr="0046175F">
              <w:rPr>
                <w:rFonts w:eastAsia="Times New Roman"/>
                <w:b/>
                <w:sz w:val="22"/>
                <w:lang w:eastAsia="zh-CN"/>
              </w:rPr>
              <w:t>All comers*</w:t>
            </w:r>
          </w:p>
        </w:tc>
        <w:tc>
          <w:tcPr>
            <w:tcW w:w="2626" w:type="dxa"/>
            <w:tcBorders>
              <w:top w:val="nil"/>
              <w:left w:val="nil"/>
              <w:bottom w:val="nil"/>
              <w:right w:val="nil"/>
            </w:tcBorders>
            <w:hideMark/>
          </w:tcPr>
          <w:p w14:paraId="56B443F6" w14:textId="77777777" w:rsidR="00366B5F" w:rsidRPr="0046175F" w:rsidRDefault="00366B5F">
            <w:pPr>
              <w:keepNext/>
              <w:spacing w:beforeLines="20" w:before="48" w:after="20"/>
              <w:jc w:val="center"/>
              <w:rPr>
                <w:sz w:val="22"/>
                <w:lang w:eastAsia="zh-CN"/>
              </w:rPr>
            </w:pPr>
            <w:r w:rsidRPr="0046175F">
              <w:rPr>
                <w:sz w:val="22"/>
                <w:lang w:eastAsia="zh-CN"/>
              </w:rPr>
              <w:t>n = 425</w:t>
            </w:r>
          </w:p>
        </w:tc>
        <w:tc>
          <w:tcPr>
            <w:tcW w:w="2583" w:type="dxa"/>
            <w:tcBorders>
              <w:top w:val="nil"/>
              <w:left w:val="nil"/>
              <w:bottom w:val="nil"/>
              <w:right w:val="single" w:sz="4" w:space="0" w:color="auto"/>
            </w:tcBorders>
            <w:hideMark/>
          </w:tcPr>
          <w:p w14:paraId="5CA0292E" w14:textId="77777777" w:rsidR="00366B5F" w:rsidRPr="0046175F" w:rsidRDefault="00366B5F">
            <w:pPr>
              <w:keepNext/>
              <w:spacing w:beforeLines="20" w:before="48" w:after="20"/>
              <w:jc w:val="center"/>
              <w:rPr>
                <w:sz w:val="22"/>
                <w:lang w:eastAsia="zh-CN"/>
              </w:rPr>
            </w:pPr>
            <w:r w:rsidRPr="0046175F">
              <w:rPr>
                <w:sz w:val="22"/>
                <w:lang w:eastAsia="zh-CN"/>
              </w:rPr>
              <w:t>n = 425</w:t>
            </w:r>
          </w:p>
        </w:tc>
      </w:tr>
      <w:tr w:rsidR="00366B5F" w:rsidRPr="0046175F" w14:paraId="14CC1E65" w14:textId="77777777" w:rsidTr="00366B5F">
        <w:tc>
          <w:tcPr>
            <w:tcW w:w="3629" w:type="dxa"/>
            <w:tcBorders>
              <w:top w:val="nil"/>
              <w:left w:val="single" w:sz="4" w:space="0" w:color="auto"/>
              <w:bottom w:val="nil"/>
              <w:right w:val="nil"/>
            </w:tcBorders>
            <w:hideMark/>
          </w:tcPr>
          <w:p w14:paraId="6F8CBE20"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No. of events (%)</w:t>
            </w:r>
          </w:p>
        </w:tc>
        <w:tc>
          <w:tcPr>
            <w:tcW w:w="2626" w:type="dxa"/>
            <w:tcBorders>
              <w:top w:val="nil"/>
              <w:left w:val="nil"/>
              <w:bottom w:val="nil"/>
              <w:right w:val="nil"/>
            </w:tcBorders>
            <w:vAlign w:val="center"/>
            <w:hideMark/>
          </w:tcPr>
          <w:p w14:paraId="0566B3A3" w14:textId="77777777" w:rsidR="00366B5F" w:rsidRPr="0046175F" w:rsidRDefault="00366B5F">
            <w:pPr>
              <w:keepNext/>
              <w:spacing w:beforeLines="20" w:before="48" w:after="20"/>
              <w:jc w:val="center"/>
              <w:rPr>
                <w:sz w:val="22"/>
                <w:lang w:eastAsia="zh-CN"/>
              </w:rPr>
            </w:pPr>
            <w:r w:rsidRPr="0046175F">
              <w:rPr>
                <w:sz w:val="22"/>
                <w:lang w:eastAsia="zh-CN"/>
              </w:rPr>
              <w:t>380 (89%)</w:t>
            </w:r>
          </w:p>
        </w:tc>
        <w:tc>
          <w:tcPr>
            <w:tcW w:w="2583" w:type="dxa"/>
            <w:tcBorders>
              <w:top w:val="nil"/>
              <w:left w:val="nil"/>
              <w:bottom w:val="nil"/>
              <w:right w:val="single" w:sz="4" w:space="0" w:color="auto"/>
            </w:tcBorders>
            <w:vAlign w:val="center"/>
            <w:hideMark/>
          </w:tcPr>
          <w:p w14:paraId="500617CE" w14:textId="77777777" w:rsidR="00366B5F" w:rsidRPr="0046175F" w:rsidRDefault="00366B5F">
            <w:pPr>
              <w:keepNext/>
              <w:spacing w:beforeLines="20" w:before="48" w:after="20"/>
              <w:jc w:val="center"/>
              <w:rPr>
                <w:sz w:val="22"/>
                <w:lang w:eastAsia="zh-CN"/>
              </w:rPr>
            </w:pPr>
            <w:r w:rsidRPr="0046175F">
              <w:rPr>
                <w:sz w:val="22"/>
                <w:lang w:eastAsia="zh-CN"/>
              </w:rPr>
              <w:t>375 (88%)</w:t>
            </w:r>
          </w:p>
        </w:tc>
      </w:tr>
      <w:tr w:rsidR="00366B5F" w:rsidRPr="0046175F" w14:paraId="6ED347C6" w14:textId="77777777" w:rsidTr="00366B5F">
        <w:tc>
          <w:tcPr>
            <w:tcW w:w="3629" w:type="dxa"/>
            <w:tcBorders>
              <w:top w:val="nil"/>
              <w:left w:val="single" w:sz="4" w:space="0" w:color="auto"/>
              <w:bottom w:val="nil"/>
              <w:right w:val="nil"/>
            </w:tcBorders>
            <w:hideMark/>
          </w:tcPr>
          <w:p w14:paraId="75B6B306"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Median duration of PFS (months)</w:t>
            </w:r>
          </w:p>
        </w:tc>
        <w:tc>
          <w:tcPr>
            <w:tcW w:w="2626" w:type="dxa"/>
            <w:tcBorders>
              <w:top w:val="nil"/>
              <w:left w:val="nil"/>
              <w:bottom w:val="nil"/>
              <w:right w:val="nil"/>
            </w:tcBorders>
            <w:vAlign w:val="center"/>
            <w:hideMark/>
          </w:tcPr>
          <w:p w14:paraId="7CFEDF11" w14:textId="77777777" w:rsidR="00366B5F" w:rsidRPr="0046175F" w:rsidRDefault="00366B5F">
            <w:pPr>
              <w:keepNext/>
              <w:spacing w:beforeLines="20" w:before="48" w:after="20"/>
              <w:jc w:val="center"/>
              <w:rPr>
                <w:sz w:val="22"/>
                <w:lang w:eastAsia="zh-CN"/>
              </w:rPr>
            </w:pPr>
            <w:r w:rsidRPr="0046175F">
              <w:rPr>
                <w:sz w:val="22"/>
                <w:lang w:eastAsia="zh-CN"/>
              </w:rPr>
              <w:t>2.8</w:t>
            </w:r>
          </w:p>
        </w:tc>
        <w:tc>
          <w:tcPr>
            <w:tcW w:w="2583" w:type="dxa"/>
            <w:tcBorders>
              <w:top w:val="nil"/>
              <w:left w:val="nil"/>
              <w:bottom w:val="nil"/>
              <w:right w:val="single" w:sz="4" w:space="0" w:color="auto"/>
            </w:tcBorders>
            <w:vAlign w:val="center"/>
            <w:hideMark/>
          </w:tcPr>
          <w:p w14:paraId="58C092F9" w14:textId="77777777" w:rsidR="00366B5F" w:rsidRPr="0046175F" w:rsidRDefault="00366B5F">
            <w:pPr>
              <w:keepNext/>
              <w:spacing w:beforeLines="20" w:before="48" w:after="20"/>
              <w:jc w:val="center"/>
              <w:rPr>
                <w:sz w:val="22"/>
                <w:lang w:eastAsia="zh-CN"/>
              </w:rPr>
            </w:pPr>
            <w:r w:rsidRPr="0046175F">
              <w:rPr>
                <w:sz w:val="22"/>
                <w:lang w:eastAsia="zh-CN"/>
              </w:rPr>
              <w:t>4.0</w:t>
            </w:r>
          </w:p>
        </w:tc>
      </w:tr>
      <w:tr w:rsidR="00366B5F" w:rsidRPr="0046175F" w14:paraId="1FA750B0" w14:textId="77777777" w:rsidTr="00366B5F">
        <w:tc>
          <w:tcPr>
            <w:tcW w:w="3629" w:type="dxa"/>
            <w:tcBorders>
              <w:top w:val="nil"/>
              <w:left w:val="single" w:sz="4" w:space="0" w:color="auto"/>
              <w:bottom w:val="nil"/>
              <w:right w:val="nil"/>
            </w:tcBorders>
            <w:hideMark/>
          </w:tcPr>
          <w:p w14:paraId="3A7577A8"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95% CI</w:t>
            </w:r>
          </w:p>
        </w:tc>
        <w:tc>
          <w:tcPr>
            <w:tcW w:w="2626" w:type="dxa"/>
            <w:tcBorders>
              <w:top w:val="nil"/>
              <w:left w:val="nil"/>
              <w:bottom w:val="nil"/>
              <w:right w:val="nil"/>
            </w:tcBorders>
            <w:vAlign w:val="center"/>
            <w:hideMark/>
          </w:tcPr>
          <w:p w14:paraId="477C441E" w14:textId="77777777" w:rsidR="00366B5F" w:rsidRPr="0046175F" w:rsidRDefault="00366B5F">
            <w:pPr>
              <w:keepNext/>
              <w:spacing w:beforeLines="20" w:before="48" w:after="20"/>
              <w:jc w:val="center"/>
              <w:rPr>
                <w:sz w:val="22"/>
                <w:lang w:eastAsia="zh-CN"/>
              </w:rPr>
            </w:pPr>
            <w:r w:rsidRPr="0046175F">
              <w:rPr>
                <w:sz w:val="22"/>
                <w:lang w:eastAsia="zh-CN"/>
              </w:rPr>
              <w:t>(2.6, 3.0)</w:t>
            </w:r>
          </w:p>
        </w:tc>
        <w:tc>
          <w:tcPr>
            <w:tcW w:w="2583" w:type="dxa"/>
            <w:tcBorders>
              <w:top w:val="nil"/>
              <w:left w:val="nil"/>
              <w:bottom w:val="nil"/>
              <w:right w:val="single" w:sz="4" w:space="0" w:color="auto"/>
            </w:tcBorders>
            <w:vAlign w:val="center"/>
            <w:hideMark/>
          </w:tcPr>
          <w:p w14:paraId="054E15CF" w14:textId="77777777" w:rsidR="00366B5F" w:rsidRPr="0046175F" w:rsidRDefault="00366B5F">
            <w:pPr>
              <w:keepNext/>
              <w:spacing w:beforeLines="20" w:before="48" w:after="20"/>
              <w:jc w:val="center"/>
              <w:rPr>
                <w:sz w:val="22"/>
                <w:lang w:eastAsia="zh-CN"/>
              </w:rPr>
            </w:pPr>
            <w:r w:rsidRPr="0046175F">
              <w:rPr>
                <w:sz w:val="22"/>
                <w:lang w:eastAsia="zh-CN"/>
              </w:rPr>
              <w:t>(3.3, 4.2)</w:t>
            </w:r>
          </w:p>
        </w:tc>
      </w:tr>
      <w:tr w:rsidR="00366B5F" w:rsidRPr="0046175F" w14:paraId="2C528BB9" w14:textId="77777777" w:rsidTr="00366B5F">
        <w:tc>
          <w:tcPr>
            <w:tcW w:w="3629" w:type="dxa"/>
            <w:tcBorders>
              <w:top w:val="nil"/>
              <w:left w:val="single" w:sz="4" w:space="0" w:color="auto"/>
              <w:bottom w:val="single" w:sz="4" w:space="0" w:color="auto"/>
              <w:right w:val="nil"/>
            </w:tcBorders>
            <w:hideMark/>
          </w:tcPr>
          <w:p w14:paraId="70CF2309"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Stratified</w:t>
            </w:r>
            <w:r w:rsidRPr="0046175F">
              <w:rPr>
                <w:rFonts w:eastAsia="Times New Roman"/>
                <w:sz w:val="22"/>
                <w:vertAlign w:val="superscript"/>
                <w:lang w:eastAsia="zh-CN"/>
              </w:rPr>
              <w:t>#</w:t>
            </w:r>
            <w:r w:rsidRPr="0046175F">
              <w:rPr>
                <w:rFonts w:eastAsia="Times New Roman"/>
                <w:sz w:val="22"/>
                <w:lang w:eastAsia="zh-CN"/>
              </w:rPr>
              <w:t xml:space="preserve"> hazard ratio (95% CI)</w:t>
            </w:r>
          </w:p>
        </w:tc>
        <w:tc>
          <w:tcPr>
            <w:tcW w:w="5209" w:type="dxa"/>
            <w:gridSpan w:val="2"/>
            <w:tcBorders>
              <w:top w:val="nil"/>
              <w:left w:val="nil"/>
              <w:bottom w:val="single" w:sz="4" w:space="0" w:color="auto"/>
              <w:right w:val="single" w:sz="4" w:space="0" w:color="auto"/>
            </w:tcBorders>
            <w:vAlign w:val="center"/>
            <w:hideMark/>
          </w:tcPr>
          <w:p w14:paraId="55800BD3" w14:textId="77777777" w:rsidR="00366B5F" w:rsidRPr="0046175F" w:rsidRDefault="00366B5F">
            <w:pPr>
              <w:keepNext/>
              <w:spacing w:beforeLines="20" w:before="48" w:after="20"/>
              <w:jc w:val="center"/>
              <w:rPr>
                <w:sz w:val="22"/>
                <w:lang w:eastAsia="zh-CN"/>
              </w:rPr>
            </w:pPr>
            <w:r w:rsidRPr="0046175F">
              <w:rPr>
                <w:sz w:val="22"/>
                <w:lang w:eastAsia="zh-CN"/>
              </w:rPr>
              <w:t>0.95 (0.82, 1.10)</w:t>
            </w:r>
          </w:p>
        </w:tc>
      </w:tr>
      <w:tr w:rsidR="00366B5F" w:rsidRPr="0046175F" w14:paraId="70121348" w14:textId="77777777" w:rsidTr="00366B5F">
        <w:tc>
          <w:tcPr>
            <w:tcW w:w="8838" w:type="dxa"/>
            <w:gridSpan w:val="3"/>
            <w:tcBorders>
              <w:top w:val="single" w:sz="4" w:space="0" w:color="auto"/>
              <w:left w:val="single" w:sz="4" w:space="0" w:color="auto"/>
              <w:bottom w:val="nil"/>
              <w:right w:val="single" w:sz="4" w:space="0" w:color="auto"/>
            </w:tcBorders>
            <w:hideMark/>
          </w:tcPr>
          <w:p w14:paraId="75C70B86" w14:textId="77777777" w:rsidR="00366B5F" w:rsidRPr="0046175F" w:rsidRDefault="00366B5F">
            <w:pPr>
              <w:keepNext/>
              <w:spacing w:beforeLines="20" w:before="48" w:after="20"/>
              <w:rPr>
                <w:sz w:val="22"/>
                <w:lang w:eastAsia="zh-CN"/>
              </w:rPr>
            </w:pPr>
            <w:r w:rsidRPr="0046175F">
              <w:rPr>
                <w:rFonts w:eastAsia="Times New Roman"/>
                <w:b/>
                <w:i/>
                <w:sz w:val="22"/>
                <w:lang w:eastAsia="zh-CN"/>
              </w:rPr>
              <w:t>Investigator-assessed ORR (RECIST v1.1)</w:t>
            </w:r>
          </w:p>
        </w:tc>
      </w:tr>
      <w:tr w:rsidR="00366B5F" w:rsidRPr="0046175F" w14:paraId="3EE282E3" w14:textId="77777777" w:rsidTr="00366B5F">
        <w:tc>
          <w:tcPr>
            <w:tcW w:w="3629" w:type="dxa"/>
            <w:tcBorders>
              <w:top w:val="nil"/>
              <w:left w:val="single" w:sz="4" w:space="0" w:color="auto"/>
              <w:bottom w:val="nil"/>
              <w:right w:val="nil"/>
            </w:tcBorders>
            <w:hideMark/>
          </w:tcPr>
          <w:p w14:paraId="007A97E3" w14:textId="77777777" w:rsidR="00366B5F" w:rsidRPr="0046175F" w:rsidRDefault="00366B5F">
            <w:pPr>
              <w:keepNext/>
              <w:spacing w:beforeLines="20" w:before="48" w:after="20"/>
              <w:rPr>
                <w:b/>
                <w:sz w:val="22"/>
                <w:lang w:eastAsia="zh-CN"/>
              </w:rPr>
            </w:pPr>
            <w:r w:rsidRPr="0046175F">
              <w:rPr>
                <w:rFonts w:eastAsia="Times New Roman"/>
                <w:b/>
                <w:sz w:val="22"/>
                <w:lang w:eastAsia="zh-CN"/>
              </w:rPr>
              <w:t>All comers*</w:t>
            </w:r>
          </w:p>
        </w:tc>
        <w:tc>
          <w:tcPr>
            <w:tcW w:w="2626" w:type="dxa"/>
            <w:tcBorders>
              <w:top w:val="nil"/>
              <w:left w:val="nil"/>
              <w:bottom w:val="nil"/>
              <w:right w:val="nil"/>
            </w:tcBorders>
            <w:hideMark/>
          </w:tcPr>
          <w:p w14:paraId="7A219423" w14:textId="77777777" w:rsidR="00366B5F" w:rsidRPr="0046175F" w:rsidRDefault="00366B5F">
            <w:pPr>
              <w:keepNext/>
              <w:spacing w:beforeLines="20" w:before="48" w:after="20"/>
              <w:jc w:val="center"/>
              <w:rPr>
                <w:sz w:val="22"/>
                <w:lang w:eastAsia="zh-CN"/>
              </w:rPr>
            </w:pPr>
            <w:r w:rsidRPr="0046175F">
              <w:rPr>
                <w:sz w:val="22"/>
                <w:lang w:eastAsia="zh-CN"/>
              </w:rPr>
              <w:t>n = 425</w:t>
            </w:r>
          </w:p>
        </w:tc>
        <w:tc>
          <w:tcPr>
            <w:tcW w:w="2583" w:type="dxa"/>
            <w:tcBorders>
              <w:top w:val="nil"/>
              <w:left w:val="nil"/>
              <w:bottom w:val="nil"/>
              <w:right w:val="single" w:sz="4" w:space="0" w:color="auto"/>
            </w:tcBorders>
            <w:hideMark/>
          </w:tcPr>
          <w:p w14:paraId="753CF727" w14:textId="77777777" w:rsidR="00366B5F" w:rsidRPr="0046175F" w:rsidRDefault="00366B5F">
            <w:pPr>
              <w:keepNext/>
              <w:spacing w:beforeLines="20" w:before="48" w:after="20"/>
              <w:jc w:val="center"/>
              <w:rPr>
                <w:sz w:val="22"/>
                <w:lang w:eastAsia="zh-CN"/>
              </w:rPr>
            </w:pPr>
            <w:r w:rsidRPr="0046175F">
              <w:rPr>
                <w:sz w:val="22"/>
                <w:lang w:eastAsia="zh-CN"/>
              </w:rPr>
              <w:t>n = 425</w:t>
            </w:r>
          </w:p>
        </w:tc>
      </w:tr>
      <w:tr w:rsidR="00366B5F" w:rsidRPr="0046175F" w14:paraId="750D1347" w14:textId="77777777" w:rsidTr="00366B5F">
        <w:tc>
          <w:tcPr>
            <w:tcW w:w="3629" w:type="dxa"/>
            <w:tcBorders>
              <w:top w:val="nil"/>
              <w:left w:val="single" w:sz="4" w:space="0" w:color="auto"/>
              <w:bottom w:val="nil"/>
              <w:right w:val="nil"/>
            </w:tcBorders>
            <w:hideMark/>
          </w:tcPr>
          <w:p w14:paraId="12C411B7"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No. of responders (%)</w:t>
            </w:r>
          </w:p>
        </w:tc>
        <w:tc>
          <w:tcPr>
            <w:tcW w:w="2626" w:type="dxa"/>
            <w:tcBorders>
              <w:top w:val="nil"/>
              <w:left w:val="nil"/>
              <w:bottom w:val="nil"/>
              <w:right w:val="nil"/>
            </w:tcBorders>
            <w:vAlign w:val="center"/>
            <w:hideMark/>
          </w:tcPr>
          <w:p w14:paraId="06E84564" w14:textId="77777777" w:rsidR="00366B5F" w:rsidRPr="0046175F" w:rsidRDefault="00366B5F">
            <w:pPr>
              <w:keepNext/>
              <w:spacing w:beforeLines="20" w:before="48" w:after="20"/>
              <w:jc w:val="center"/>
              <w:rPr>
                <w:sz w:val="22"/>
                <w:lang w:eastAsia="zh-CN"/>
              </w:rPr>
            </w:pPr>
            <w:r w:rsidRPr="0046175F">
              <w:rPr>
                <w:sz w:val="22"/>
                <w:lang w:eastAsia="zh-CN"/>
              </w:rPr>
              <w:t>58 (14%)</w:t>
            </w:r>
          </w:p>
        </w:tc>
        <w:tc>
          <w:tcPr>
            <w:tcW w:w="2583" w:type="dxa"/>
            <w:tcBorders>
              <w:top w:val="nil"/>
              <w:left w:val="nil"/>
              <w:bottom w:val="nil"/>
              <w:right w:val="single" w:sz="4" w:space="0" w:color="auto"/>
            </w:tcBorders>
            <w:vAlign w:val="center"/>
            <w:hideMark/>
          </w:tcPr>
          <w:p w14:paraId="17BAD1BE" w14:textId="77777777" w:rsidR="00366B5F" w:rsidRPr="0046175F" w:rsidRDefault="00366B5F">
            <w:pPr>
              <w:keepNext/>
              <w:spacing w:beforeLines="20" w:before="48" w:after="20"/>
              <w:jc w:val="center"/>
              <w:rPr>
                <w:sz w:val="22"/>
                <w:lang w:eastAsia="zh-CN"/>
              </w:rPr>
            </w:pPr>
            <w:r w:rsidRPr="0046175F">
              <w:rPr>
                <w:sz w:val="22"/>
                <w:lang w:eastAsia="zh-CN"/>
              </w:rPr>
              <w:t>57 (13%)</w:t>
            </w:r>
          </w:p>
        </w:tc>
      </w:tr>
      <w:tr w:rsidR="00366B5F" w:rsidRPr="0046175F" w14:paraId="2D693677" w14:textId="77777777" w:rsidTr="00366B5F">
        <w:tc>
          <w:tcPr>
            <w:tcW w:w="3629" w:type="dxa"/>
            <w:tcBorders>
              <w:top w:val="nil"/>
              <w:left w:val="single" w:sz="4" w:space="0" w:color="auto"/>
              <w:bottom w:val="single" w:sz="4" w:space="0" w:color="auto"/>
              <w:right w:val="nil"/>
            </w:tcBorders>
            <w:hideMark/>
          </w:tcPr>
          <w:p w14:paraId="11A97FE9"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95% CI</w:t>
            </w:r>
          </w:p>
        </w:tc>
        <w:tc>
          <w:tcPr>
            <w:tcW w:w="2626" w:type="dxa"/>
            <w:tcBorders>
              <w:top w:val="nil"/>
              <w:left w:val="nil"/>
              <w:bottom w:val="single" w:sz="4" w:space="0" w:color="auto"/>
              <w:right w:val="nil"/>
            </w:tcBorders>
            <w:vAlign w:val="center"/>
            <w:hideMark/>
          </w:tcPr>
          <w:p w14:paraId="2E9CBD86" w14:textId="77777777" w:rsidR="00366B5F" w:rsidRPr="0046175F" w:rsidRDefault="00366B5F">
            <w:pPr>
              <w:keepNext/>
              <w:spacing w:beforeLines="20" w:before="48" w:after="20"/>
              <w:jc w:val="center"/>
              <w:rPr>
                <w:sz w:val="22"/>
                <w:lang w:eastAsia="zh-CN"/>
              </w:rPr>
            </w:pPr>
            <w:r w:rsidRPr="0046175F">
              <w:rPr>
                <w:sz w:val="22"/>
                <w:lang w:eastAsia="zh-CN"/>
              </w:rPr>
              <w:t>(10.5, 17.3)</w:t>
            </w:r>
          </w:p>
        </w:tc>
        <w:tc>
          <w:tcPr>
            <w:tcW w:w="2583" w:type="dxa"/>
            <w:tcBorders>
              <w:top w:val="nil"/>
              <w:left w:val="nil"/>
              <w:bottom w:val="single" w:sz="4" w:space="0" w:color="auto"/>
              <w:right w:val="single" w:sz="4" w:space="0" w:color="auto"/>
            </w:tcBorders>
            <w:vAlign w:val="center"/>
            <w:hideMark/>
          </w:tcPr>
          <w:p w14:paraId="4E1F9A24" w14:textId="77777777" w:rsidR="00366B5F" w:rsidRPr="0046175F" w:rsidRDefault="00366B5F">
            <w:pPr>
              <w:keepNext/>
              <w:spacing w:beforeLines="20" w:before="48" w:after="20"/>
              <w:jc w:val="center"/>
              <w:rPr>
                <w:sz w:val="22"/>
                <w:lang w:eastAsia="zh-CN"/>
              </w:rPr>
            </w:pPr>
            <w:r w:rsidRPr="0046175F">
              <w:rPr>
                <w:sz w:val="22"/>
                <w:lang w:eastAsia="zh-CN"/>
              </w:rPr>
              <w:t>(10.3, 17.0)</w:t>
            </w:r>
          </w:p>
        </w:tc>
      </w:tr>
      <w:tr w:rsidR="00366B5F" w:rsidRPr="0046175F" w14:paraId="3132F732" w14:textId="77777777" w:rsidTr="00366B5F">
        <w:tc>
          <w:tcPr>
            <w:tcW w:w="6255" w:type="dxa"/>
            <w:gridSpan w:val="2"/>
            <w:tcBorders>
              <w:top w:val="single" w:sz="4" w:space="0" w:color="auto"/>
              <w:left w:val="single" w:sz="4" w:space="0" w:color="auto"/>
              <w:bottom w:val="nil"/>
              <w:right w:val="nil"/>
            </w:tcBorders>
            <w:hideMark/>
          </w:tcPr>
          <w:p w14:paraId="385B2F79" w14:textId="77777777" w:rsidR="00366B5F" w:rsidRPr="0046175F" w:rsidRDefault="00366B5F">
            <w:pPr>
              <w:keepNext/>
              <w:spacing w:beforeLines="20" w:before="48" w:after="20"/>
              <w:rPr>
                <w:sz w:val="22"/>
                <w:lang w:eastAsia="zh-CN"/>
              </w:rPr>
            </w:pPr>
            <w:r w:rsidRPr="0046175F">
              <w:rPr>
                <w:rFonts w:eastAsia="Times New Roman"/>
                <w:b/>
                <w:i/>
                <w:sz w:val="22"/>
                <w:lang w:eastAsia="zh-CN"/>
              </w:rPr>
              <w:t>Investigator-assessed DOR (RECIST v1.1)</w:t>
            </w:r>
          </w:p>
        </w:tc>
        <w:tc>
          <w:tcPr>
            <w:tcW w:w="2583" w:type="dxa"/>
            <w:tcBorders>
              <w:top w:val="single" w:sz="4" w:space="0" w:color="auto"/>
              <w:left w:val="nil"/>
              <w:bottom w:val="nil"/>
              <w:right w:val="single" w:sz="4" w:space="0" w:color="auto"/>
            </w:tcBorders>
          </w:tcPr>
          <w:p w14:paraId="1D39104C" w14:textId="77777777" w:rsidR="00366B5F" w:rsidRPr="0046175F" w:rsidRDefault="00366B5F">
            <w:pPr>
              <w:keepNext/>
              <w:spacing w:beforeLines="20" w:before="48" w:after="20"/>
              <w:rPr>
                <w:sz w:val="22"/>
                <w:lang w:eastAsia="zh-CN"/>
              </w:rPr>
            </w:pPr>
          </w:p>
        </w:tc>
      </w:tr>
      <w:tr w:rsidR="00366B5F" w:rsidRPr="0046175F" w14:paraId="54B1B211" w14:textId="77777777" w:rsidTr="00366B5F">
        <w:tc>
          <w:tcPr>
            <w:tcW w:w="3629" w:type="dxa"/>
            <w:tcBorders>
              <w:top w:val="nil"/>
              <w:left w:val="single" w:sz="4" w:space="0" w:color="auto"/>
              <w:bottom w:val="nil"/>
              <w:right w:val="nil"/>
            </w:tcBorders>
            <w:hideMark/>
          </w:tcPr>
          <w:p w14:paraId="0B420CDD" w14:textId="77777777" w:rsidR="00366B5F" w:rsidRPr="0046175F" w:rsidRDefault="00366B5F">
            <w:pPr>
              <w:keepNext/>
              <w:spacing w:beforeLines="20" w:before="48" w:after="20"/>
              <w:rPr>
                <w:b/>
                <w:sz w:val="22"/>
                <w:lang w:eastAsia="zh-CN"/>
              </w:rPr>
            </w:pPr>
            <w:r w:rsidRPr="0046175F">
              <w:rPr>
                <w:rFonts w:eastAsia="Times New Roman"/>
                <w:b/>
                <w:sz w:val="22"/>
                <w:lang w:eastAsia="zh-CN"/>
              </w:rPr>
              <w:t>All comers*</w:t>
            </w:r>
          </w:p>
        </w:tc>
        <w:tc>
          <w:tcPr>
            <w:tcW w:w="2626" w:type="dxa"/>
            <w:tcBorders>
              <w:top w:val="nil"/>
              <w:left w:val="nil"/>
              <w:bottom w:val="nil"/>
              <w:right w:val="nil"/>
            </w:tcBorders>
            <w:hideMark/>
          </w:tcPr>
          <w:p w14:paraId="7FF429A3" w14:textId="77777777" w:rsidR="00366B5F" w:rsidRPr="0046175F" w:rsidRDefault="00366B5F">
            <w:pPr>
              <w:keepNext/>
              <w:spacing w:beforeLines="20" w:before="48" w:after="20"/>
              <w:jc w:val="center"/>
              <w:rPr>
                <w:sz w:val="22"/>
                <w:lang w:eastAsia="zh-CN"/>
              </w:rPr>
            </w:pPr>
            <w:r w:rsidRPr="0046175F">
              <w:rPr>
                <w:sz w:val="22"/>
                <w:lang w:eastAsia="zh-CN"/>
              </w:rPr>
              <w:t>n = 58</w:t>
            </w:r>
          </w:p>
        </w:tc>
        <w:tc>
          <w:tcPr>
            <w:tcW w:w="2583" w:type="dxa"/>
            <w:tcBorders>
              <w:top w:val="nil"/>
              <w:left w:val="nil"/>
              <w:bottom w:val="nil"/>
              <w:right w:val="single" w:sz="4" w:space="0" w:color="auto"/>
            </w:tcBorders>
            <w:hideMark/>
          </w:tcPr>
          <w:p w14:paraId="54EE4AA0" w14:textId="77777777" w:rsidR="00366B5F" w:rsidRPr="0046175F" w:rsidRDefault="00366B5F">
            <w:pPr>
              <w:keepNext/>
              <w:spacing w:beforeLines="20" w:before="48" w:after="20"/>
              <w:jc w:val="center"/>
              <w:rPr>
                <w:sz w:val="22"/>
                <w:lang w:eastAsia="zh-CN"/>
              </w:rPr>
            </w:pPr>
            <w:r w:rsidRPr="0046175F">
              <w:rPr>
                <w:sz w:val="22"/>
                <w:lang w:eastAsia="zh-CN"/>
              </w:rPr>
              <w:t>n = 57</w:t>
            </w:r>
          </w:p>
        </w:tc>
      </w:tr>
      <w:tr w:rsidR="00366B5F" w:rsidRPr="0046175F" w14:paraId="4F547F29" w14:textId="77777777" w:rsidTr="00366B5F">
        <w:tc>
          <w:tcPr>
            <w:tcW w:w="3629" w:type="dxa"/>
            <w:tcBorders>
              <w:top w:val="nil"/>
              <w:left w:val="single" w:sz="4" w:space="0" w:color="auto"/>
              <w:bottom w:val="nil"/>
              <w:right w:val="nil"/>
            </w:tcBorders>
            <w:hideMark/>
          </w:tcPr>
          <w:p w14:paraId="40091D21"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Median in months</w:t>
            </w:r>
          </w:p>
        </w:tc>
        <w:tc>
          <w:tcPr>
            <w:tcW w:w="2626" w:type="dxa"/>
            <w:tcBorders>
              <w:top w:val="nil"/>
              <w:left w:val="nil"/>
              <w:bottom w:val="nil"/>
              <w:right w:val="nil"/>
            </w:tcBorders>
            <w:hideMark/>
          </w:tcPr>
          <w:p w14:paraId="38AF447E" w14:textId="77777777" w:rsidR="00366B5F" w:rsidRPr="0046175F" w:rsidRDefault="00366B5F">
            <w:pPr>
              <w:keepNext/>
              <w:spacing w:beforeLines="20" w:before="48" w:after="20"/>
              <w:jc w:val="center"/>
              <w:rPr>
                <w:sz w:val="22"/>
                <w:lang w:eastAsia="zh-CN"/>
              </w:rPr>
            </w:pPr>
            <w:r w:rsidRPr="0046175F">
              <w:rPr>
                <w:sz w:val="22"/>
                <w:lang w:eastAsia="zh-CN"/>
              </w:rPr>
              <w:t>16.3</w:t>
            </w:r>
          </w:p>
        </w:tc>
        <w:tc>
          <w:tcPr>
            <w:tcW w:w="2583" w:type="dxa"/>
            <w:tcBorders>
              <w:top w:val="nil"/>
              <w:left w:val="nil"/>
              <w:bottom w:val="nil"/>
              <w:right w:val="single" w:sz="4" w:space="0" w:color="auto"/>
            </w:tcBorders>
            <w:hideMark/>
          </w:tcPr>
          <w:p w14:paraId="36E376E2" w14:textId="77777777" w:rsidR="00366B5F" w:rsidRPr="0046175F" w:rsidRDefault="00366B5F">
            <w:pPr>
              <w:keepNext/>
              <w:spacing w:beforeLines="20" w:before="48" w:after="20"/>
              <w:jc w:val="center"/>
              <w:rPr>
                <w:sz w:val="22"/>
                <w:lang w:eastAsia="zh-CN"/>
              </w:rPr>
            </w:pPr>
            <w:r w:rsidRPr="0046175F">
              <w:rPr>
                <w:sz w:val="22"/>
                <w:lang w:eastAsia="zh-CN"/>
              </w:rPr>
              <w:t>6.2</w:t>
            </w:r>
          </w:p>
        </w:tc>
      </w:tr>
      <w:tr w:rsidR="00366B5F" w:rsidRPr="0046175F" w14:paraId="5C59CF25" w14:textId="77777777" w:rsidTr="00366B5F">
        <w:tc>
          <w:tcPr>
            <w:tcW w:w="3629" w:type="dxa"/>
            <w:tcBorders>
              <w:top w:val="nil"/>
              <w:left w:val="single" w:sz="4" w:space="0" w:color="auto"/>
              <w:bottom w:val="single" w:sz="4" w:space="0" w:color="auto"/>
              <w:right w:val="nil"/>
            </w:tcBorders>
            <w:hideMark/>
          </w:tcPr>
          <w:p w14:paraId="779F3789" w14:textId="77777777" w:rsidR="00366B5F" w:rsidRPr="0046175F" w:rsidRDefault="00366B5F">
            <w:pPr>
              <w:keepNext/>
              <w:spacing w:beforeLines="20" w:before="48" w:after="20"/>
              <w:rPr>
                <w:sz w:val="22"/>
                <w:lang w:eastAsia="zh-CN"/>
              </w:rPr>
            </w:pPr>
            <w:r w:rsidRPr="0046175F">
              <w:rPr>
                <w:rFonts w:eastAsia="Times New Roman"/>
                <w:sz w:val="22"/>
                <w:lang w:eastAsia="zh-CN"/>
              </w:rPr>
              <w:t xml:space="preserve">   95% CI</w:t>
            </w:r>
          </w:p>
        </w:tc>
        <w:tc>
          <w:tcPr>
            <w:tcW w:w="2626" w:type="dxa"/>
            <w:tcBorders>
              <w:top w:val="nil"/>
              <w:left w:val="nil"/>
              <w:bottom w:val="single" w:sz="4" w:space="0" w:color="auto"/>
              <w:right w:val="nil"/>
            </w:tcBorders>
            <w:hideMark/>
          </w:tcPr>
          <w:p w14:paraId="32227556" w14:textId="77777777" w:rsidR="00366B5F" w:rsidRPr="0046175F" w:rsidRDefault="00366B5F">
            <w:pPr>
              <w:keepNext/>
              <w:spacing w:beforeLines="20" w:before="48" w:after="20"/>
              <w:jc w:val="center"/>
              <w:rPr>
                <w:sz w:val="22"/>
                <w:lang w:eastAsia="zh-CN"/>
              </w:rPr>
            </w:pPr>
            <w:r w:rsidRPr="0046175F">
              <w:rPr>
                <w:sz w:val="22"/>
                <w:lang w:eastAsia="zh-CN"/>
              </w:rPr>
              <w:t>(10.0, NE)</w:t>
            </w:r>
          </w:p>
        </w:tc>
        <w:tc>
          <w:tcPr>
            <w:tcW w:w="2583" w:type="dxa"/>
            <w:tcBorders>
              <w:top w:val="nil"/>
              <w:left w:val="nil"/>
              <w:bottom w:val="single" w:sz="4" w:space="0" w:color="auto"/>
              <w:right w:val="single" w:sz="4" w:space="0" w:color="auto"/>
            </w:tcBorders>
            <w:hideMark/>
          </w:tcPr>
          <w:p w14:paraId="6EFC33BD" w14:textId="77777777" w:rsidR="00366B5F" w:rsidRPr="0046175F" w:rsidRDefault="00366B5F">
            <w:pPr>
              <w:keepNext/>
              <w:spacing w:beforeLines="20" w:before="48" w:after="20"/>
              <w:jc w:val="center"/>
              <w:rPr>
                <w:sz w:val="22"/>
                <w:lang w:eastAsia="zh-CN"/>
              </w:rPr>
            </w:pPr>
            <w:r w:rsidRPr="0046175F">
              <w:rPr>
                <w:sz w:val="22"/>
                <w:lang w:eastAsia="zh-CN"/>
              </w:rPr>
              <w:t>(4.9, 7.6)</w:t>
            </w:r>
          </w:p>
        </w:tc>
      </w:tr>
    </w:tbl>
    <w:p w14:paraId="7C6CB772" w14:textId="6ADE2F34" w:rsidR="00366B5F" w:rsidRPr="0046175F" w:rsidRDefault="00366B5F" w:rsidP="00CD75CF">
      <w:pPr>
        <w:rPr>
          <w:sz w:val="22"/>
          <w:lang w:val="en-US"/>
        </w:rPr>
      </w:pPr>
      <w:r w:rsidRPr="0046175F">
        <w:rPr>
          <w:sz w:val="22"/>
          <w:lang w:val="en-US"/>
        </w:rPr>
        <w:t xml:space="preserve">CI = confidence interval; DOR = duration of objective response; IC = </w:t>
      </w:r>
      <w:proofErr w:type="spellStart"/>
      <w:r w:rsidRPr="0046175F">
        <w:rPr>
          <w:sz w:val="22"/>
          <w:lang w:val="en-US"/>
        </w:rPr>
        <w:t>tumo</w:t>
      </w:r>
      <w:r w:rsidR="00CC18D6" w:rsidRPr="0046175F">
        <w:rPr>
          <w:sz w:val="22"/>
          <w:lang w:val="en-US"/>
        </w:rPr>
        <w:t>u</w:t>
      </w:r>
      <w:r w:rsidRPr="0046175F">
        <w:rPr>
          <w:sz w:val="22"/>
          <w:lang w:val="en-US"/>
        </w:rPr>
        <w:t>r</w:t>
      </w:r>
      <w:proofErr w:type="spellEnd"/>
      <w:r w:rsidRPr="0046175F">
        <w:rPr>
          <w:sz w:val="22"/>
          <w:lang w:val="en-US"/>
        </w:rPr>
        <w:t xml:space="preserve">-infiltrating immune cells; NE = not estimable; ORR = objective response rate; OS = overall survival; PFS = progression-free survival; RECIST = Response Evaluation Criteria in Solid </w:t>
      </w:r>
      <w:proofErr w:type="spellStart"/>
      <w:r w:rsidRPr="0046175F">
        <w:rPr>
          <w:sz w:val="22"/>
          <w:lang w:val="en-US"/>
        </w:rPr>
        <w:t>Tumo</w:t>
      </w:r>
      <w:r w:rsidR="00CC18D6" w:rsidRPr="0046175F">
        <w:rPr>
          <w:sz w:val="22"/>
          <w:lang w:val="en-US"/>
        </w:rPr>
        <w:t>u</w:t>
      </w:r>
      <w:r w:rsidRPr="0046175F">
        <w:rPr>
          <w:sz w:val="22"/>
          <w:lang w:val="en-US"/>
        </w:rPr>
        <w:t>rs</w:t>
      </w:r>
      <w:proofErr w:type="spellEnd"/>
      <w:r w:rsidRPr="0046175F">
        <w:rPr>
          <w:sz w:val="22"/>
          <w:lang w:val="en-US"/>
        </w:rPr>
        <w:t xml:space="preserve"> v1.1; TC = </w:t>
      </w:r>
      <w:proofErr w:type="spellStart"/>
      <w:r w:rsidRPr="0046175F">
        <w:rPr>
          <w:sz w:val="22"/>
          <w:lang w:val="en-US"/>
        </w:rPr>
        <w:t>tumour</w:t>
      </w:r>
      <w:proofErr w:type="spellEnd"/>
      <w:r w:rsidRPr="0046175F">
        <w:rPr>
          <w:sz w:val="22"/>
          <w:lang w:val="en-US"/>
        </w:rPr>
        <w:t xml:space="preserve"> cells.</w:t>
      </w:r>
    </w:p>
    <w:p w14:paraId="71C69E07" w14:textId="77777777" w:rsidR="00366B5F" w:rsidRPr="0046175F" w:rsidRDefault="00366B5F" w:rsidP="00CD75CF">
      <w:pPr>
        <w:rPr>
          <w:sz w:val="22"/>
          <w:lang w:val="en-US"/>
        </w:rPr>
      </w:pPr>
      <w:r w:rsidRPr="0046175F">
        <w:rPr>
          <w:sz w:val="22"/>
          <w:lang w:val="en-US"/>
        </w:rPr>
        <w:t xml:space="preserve">* All comers refers to the primary analysis population consisting of the first 850 </w:t>
      </w:r>
      <w:proofErr w:type="spellStart"/>
      <w:r w:rsidRPr="0046175F">
        <w:rPr>
          <w:sz w:val="22"/>
          <w:lang w:val="en-US"/>
        </w:rPr>
        <w:t>randomised</w:t>
      </w:r>
      <w:proofErr w:type="spellEnd"/>
      <w:r w:rsidRPr="0046175F">
        <w:rPr>
          <w:sz w:val="22"/>
          <w:lang w:val="en-US"/>
        </w:rPr>
        <w:t xml:space="preserve"> patients</w:t>
      </w:r>
    </w:p>
    <w:p w14:paraId="6BA957EB" w14:textId="77777777" w:rsidR="00366B5F" w:rsidRPr="0046175F" w:rsidRDefault="00366B5F" w:rsidP="00CD75CF">
      <w:pPr>
        <w:rPr>
          <w:sz w:val="22"/>
          <w:lang w:val="en-US"/>
        </w:rPr>
      </w:pPr>
      <w:r w:rsidRPr="0046175F">
        <w:rPr>
          <w:sz w:val="22"/>
          <w:vertAlign w:val="superscript"/>
          <w:lang w:val="en-US"/>
        </w:rPr>
        <w:t>#</w:t>
      </w:r>
      <w:r w:rsidRPr="0046175F">
        <w:rPr>
          <w:sz w:val="22"/>
          <w:lang w:val="en-US"/>
        </w:rPr>
        <w:t xml:space="preserve"> Stratified by PD-L1 expression in ICs, the number of prior chemotherapy regimens, and histology</w:t>
      </w:r>
    </w:p>
    <w:p w14:paraId="5A9EC96E" w14:textId="77777777" w:rsidR="00366B5F" w:rsidRPr="0046175F" w:rsidRDefault="00366B5F" w:rsidP="00CD75CF">
      <w:pPr>
        <w:rPr>
          <w:sz w:val="22"/>
          <w:lang w:val="en-US"/>
        </w:rPr>
      </w:pPr>
      <w:r w:rsidRPr="0046175F">
        <w:rPr>
          <w:sz w:val="22"/>
          <w:lang w:val="en-US"/>
        </w:rPr>
        <w:t>** Based on the stratified log-rank test</w:t>
      </w:r>
    </w:p>
    <w:p w14:paraId="18A272EE" w14:textId="77777777" w:rsidR="00366B5F" w:rsidRPr="0046175F" w:rsidRDefault="00366B5F" w:rsidP="00CD75CF">
      <w:pPr>
        <w:rPr>
          <w:lang w:val="en-US"/>
        </w:rPr>
      </w:pPr>
      <w:r w:rsidRPr="0046175F">
        <w:rPr>
          <w:lang w:val="en-US"/>
        </w:rPr>
        <w:br w:type="page"/>
      </w:r>
    </w:p>
    <w:p w14:paraId="2B1FD281" w14:textId="2555C50C" w:rsidR="00366B5F" w:rsidRPr="0046175F" w:rsidRDefault="00366B5F" w:rsidP="00CD75CF">
      <w:pPr>
        <w:rPr>
          <w:b/>
          <w:lang w:val="en-US"/>
        </w:rPr>
      </w:pPr>
      <w:r w:rsidRPr="0046175F">
        <w:rPr>
          <w:b/>
          <w:lang w:val="en-US"/>
        </w:rPr>
        <w:lastRenderedPageBreak/>
        <w:t xml:space="preserve">Figure </w:t>
      </w:r>
      <w:r w:rsidR="003520F3">
        <w:rPr>
          <w:b/>
          <w:lang w:val="en-US"/>
        </w:rPr>
        <w:t>9</w:t>
      </w:r>
      <w:r w:rsidRPr="0046175F">
        <w:rPr>
          <w:b/>
          <w:lang w:val="en-US"/>
        </w:rPr>
        <w:t xml:space="preserve">. Kaplan-Meier Plot for Overall Survival in the Primary Analysis Population (all comers) (GO28915) </w:t>
      </w:r>
    </w:p>
    <w:p w14:paraId="7EDB619F" w14:textId="42C81E93" w:rsidR="00366B5F" w:rsidRPr="0046175F" w:rsidRDefault="00366B5F" w:rsidP="00366B5F">
      <w:pPr>
        <w:rPr>
          <w:lang w:val="en-US"/>
        </w:rPr>
      </w:pPr>
      <w:r w:rsidRPr="0046175F">
        <w:rPr>
          <w:rFonts w:eastAsia="Times New Roman" w:cs="Arial"/>
          <w:b/>
          <w:noProof/>
          <w:color w:val="FF0000"/>
          <w:sz w:val="22"/>
          <w:lang w:eastAsia="en-AU"/>
        </w:rPr>
        <w:drawing>
          <wp:inline distT="0" distB="0" distL="0" distR="0" wp14:anchorId="1F35F014" wp14:editId="3C41C8FB">
            <wp:extent cx="5486400" cy="3114675"/>
            <wp:effectExtent l="0" t="0" r="0" b="9525"/>
            <wp:docPr id="4" name="Picture 4" descr="OAK_g_kmg01_IT850_os_with_table_08NOV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K_g_kmg01_IT850_os_with_table_08NOV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114675"/>
                    </a:xfrm>
                    <a:prstGeom prst="rect">
                      <a:avLst/>
                    </a:prstGeom>
                    <a:noFill/>
                    <a:ln>
                      <a:noFill/>
                    </a:ln>
                  </pic:spPr>
                </pic:pic>
              </a:graphicData>
            </a:graphic>
          </wp:inline>
        </w:drawing>
      </w:r>
    </w:p>
    <w:p w14:paraId="413D0AE5" w14:textId="77777777" w:rsidR="00366B5F" w:rsidRPr="0046175F" w:rsidRDefault="00366B5F" w:rsidP="00366B5F">
      <w:pPr>
        <w:rPr>
          <w:lang w:val="en-US"/>
        </w:rPr>
      </w:pPr>
    </w:p>
    <w:p w14:paraId="5DD7CFE0" w14:textId="6675121B" w:rsidR="00366B5F" w:rsidRPr="0046175F" w:rsidRDefault="00366B5F" w:rsidP="00CD75CF">
      <w:pPr>
        <w:rPr>
          <w:b/>
          <w:lang w:val="en-US"/>
        </w:rPr>
      </w:pPr>
      <w:r w:rsidRPr="0046175F">
        <w:rPr>
          <w:b/>
          <w:lang w:val="en-US"/>
        </w:rPr>
        <w:t xml:space="preserve">Figure </w:t>
      </w:r>
      <w:r w:rsidR="003520F3">
        <w:rPr>
          <w:b/>
          <w:lang w:val="en-US"/>
        </w:rPr>
        <w:t>10</w:t>
      </w:r>
      <w:r w:rsidRPr="0046175F">
        <w:rPr>
          <w:b/>
          <w:lang w:val="en-US"/>
        </w:rPr>
        <w:t xml:space="preserve">. Forest Plot of Overall Survival by PD-L1 Expression in the Primary Analysis Population (GO28915) </w:t>
      </w:r>
    </w:p>
    <w:p w14:paraId="3B4EB8AA" w14:textId="10D7D8AB" w:rsidR="00366B5F" w:rsidRPr="0046175F" w:rsidRDefault="00366B5F" w:rsidP="00366B5F">
      <w:pPr>
        <w:rPr>
          <w:lang w:val="en-US"/>
        </w:rPr>
      </w:pPr>
      <w:r w:rsidRPr="0046175F">
        <w:rPr>
          <w:lang w:val="en-US"/>
        </w:rPr>
        <w:t xml:space="preserve"> </w:t>
      </w:r>
      <w:r w:rsidRPr="0046175F">
        <w:rPr>
          <w:rFonts w:eastAsia="Times New Roman" w:cs="Arial"/>
          <w:b/>
          <w:noProof/>
          <w:sz w:val="22"/>
          <w:lang w:eastAsia="en-AU"/>
        </w:rPr>
        <w:drawing>
          <wp:inline distT="0" distB="0" distL="0" distR="0" wp14:anchorId="7347FB17" wp14:editId="37A00475">
            <wp:extent cx="5600700" cy="3629025"/>
            <wp:effectExtent l="0" t="0" r="0" b="9525"/>
            <wp:docPr id="3" name="Picture 3" descr="OAK_FP_without on-study preva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K_FP_without on-study preval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0700" cy="3629025"/>
                    </a:xfrm>
                    <a:prstGeom prst="rect">
                      <a:avLst/>
                    </a:prstGeom>
                    <a:noFill/>
                    <a:ln>
                      <a:noFill/>
                    </a:ln>
                  </pic:spPr>
                </pic:pic>
              </a:graphicData>
            </a:graphic>
          </wp:inline>
        </w:drawing>
      </w:r>
    </w:p>
    <w:p w14:paraId="560F2800" w14:textId="77777777" w:rsidR="00366B5F" w:rsidRPr="0046175F" w:rsidRDefault="00366B5F" w:rsidP="00CD75CF">
      <w:pPr>
        <w:rPr>
          <w:lang w:val="en-US"/>
        </w:rPr>
      </w:pPr>
      <w:r w:rsidRPr="0046175F">
        <w:rPr>
          <w:lang w:val="en-US"/>
        </w:rPr>
        <w:t xml:space="preserve">An improvement in OS was observed with </w:t>
      </w:r>
      <w:proofErr w:type="spellStart"/>
      <w:r w:rsidRPr="0046175F">
        <w:rPr>
          <w:lang w:val="en-US"/>
        </w:rPr>
        <w:t>Tecentriq</w:t>
      </w:r>
      <w:proofErr w:type="spellEnd"/>
      <w:r w:rsidRPr="0046175F">
        <w:rPr>
          <w:lang w:val="en-US"/>
        </w:rPr>
        <w:t xml:space="preserve"> compared to docetaxel in both non-squamous NSCLC patients (hazard ratio [HR] of 0.73, 95% CI: 0.60, 0.89; median OS of 15.6 vs. 11.2 months for </w:t>
      </w:r>
      <w:proofErr w:type="spellStart"/>
      <w:r w:rsidRPr="0046175F">
        <w:rPr>
          <w:lang w:val="en-US"/>
        </w:rPr>
        <w:t>Tecentriq</w:t>
      </w:r>
      <w:proofErr w:type="spellEnd"/>
      <w:r w:rsidRPr="0046175F">
        <w:rPr>
          <w:lang w:val="en-US"/>
        </w:rPr>
        <w:t xml:space="preserve"> and docetaxel, respectively) and squamous NSCLC patients (HR of 0.73, 95% CI: 0.54, 0.98; median OS of 8.9 vs. 7.7 months for </w:t>
      </w:r>
      <w:proofErr w:type="spellStart"/>
      <w:r w:rsidRPr="0046175F">
        <w:rPr>
          <w:lang w:val="en-US"/>
        </w:rPr>
        <w:t>Tecentriq</w:t>
      </w:r>
      <w:proofErr w:type="spellEnd"/>
      <w:r w:rsidRPr="0046175F">
        <w:rPr>
          <w:lang w:val="en-US"/>
        </w:rPr>
        <w:t xml:space="preserve"> and docetaxel, respectively). The observed OS improvement was consistently demonstrated across subgroups of patients including those with brain metastases at baseline (HR of 0.54, 95% CI: 0.31, 0.94; median OS of 20.1 vs. 11.9 months for </w:t>
      </w:r>
      <w:proofErr w:type="spellStart"/>
      <w:r w:rsidRPr="0046175F">
        <w:rPr>
          <w:lang w:val="en-US"/>
        </w:rPr>
        <w:lastRenderedPageBreak/>
        <w:t>Tecentriq</w:t>
      </w:r>
      <w:proofErr w:type="spellEnd"/>
      <w:r w:rsidRPr="0046175F">
        <w:rPr>
          <w:lang w:val="en-US"/>
        </w:rPr>
        <w:t xml:space="preserve"> and docetaxel respectively) and patients who were never smokers (HR of 0.71, 95% CI: 0.47, 1.08; median OS of 16.3 vs. 12.6 months for </w:t>
      </w:r>
      <w:proofErr w:type="spellStart"/>
      <w:r w:rsidRPr="0046175F">
        <w:rPr>
          <w:lang w:val="en-US"/>
        </w:rPr>
        <w:t>Tecentriq</w:t>
      </w:r>
      <w:proofErr w:type="spellEnd"/>
      <w:r w:rsidRPr="0046175F">
        <w:rPr>
          <w:lang w:val="en-US"/>
        </w:rPr>
        <w:t xml:space="preserve"> and docetaxel, respectively). However, patients with EGFR mutations did not show improved OS with </w:t>
      </w:r>
      <w:proofErr w:type="spellStart"/>
      <w:r w:rsidRPr="0046175F">
        <w:rPr>
          <w:lang w:val="en-US"/>
        </w:rPr>
        <w:t>Tecentriq</w:t>
      </w:r>
      <w:proofErr w:type="spellEnd"/>
      <w:r w:rsidRPr="0046175F">
        <w:rPr>
          <w:lang w:val="en-US"/>
        </w:rPr>
        <w:t xml:space="preserve"> compared to docetaxel (HR of 1.24, 95% CI: 0.71, 2.18; median OS of 10.5 vs. 16.2 months for </w:t>
      </w:r>
      <w:proofErr w:type="spellStart"/>
      <w:r w:rsidRPr="0046175F">
        <w:rPr>
          <w:lang w:val="en-US"/>
        </w:rPr>
        <w:t>Tecentriq</w:t>
      </w:r>
      <w:proofErr w:type="spellEnd"/>
      <w:r w:rsidRPr="0046175F">
        <w:rPr>
          <w:lang w:val="en-US"/>
        </w:rPr>
        <w:t xml:space="preserve"> and docetaxel respectively). </w:t>
      </w:r>
    </w:p>
    <w:p w14:paraId="1E7E6477" w14:textId="77777777" w:rsidR="00366B5F" w:rsidRPr="0046175F" w:rsidRDefault="00366B5F" w:rsidP="00CD75CF">
      <w:pPr>
        <w:rPr>
          <w:lang w:val="en-US"/>
        </w:rPr>
      </w:pPr>
    </w:p>
    <w:p w14:paraId="71E0E240" w14:textId="77777777" w:rsidR="00366B5F" w:rsidRPr="0046175F" w:rsidRDefault="00366B5F" w:rsidP="00CD75CF">
      <w:pPr>
        <w:rPr>
          <w:lang w:val="en-US"/>
        </w:rPr>
      </w:pPr>
      <w:r w:rsidRPr="0046175F">
        <w:rPr>
          <w:lang w:val="en-US"/>
        </w:rPr>
        <w:t xml:space="preserve">Prolonged time to deterioration of patient-reported pain in chest as measured by the EORTC QLQ-LC13 was observed with </w:t>
      </w:r>
      <w:proofErr w:type="spellStart"/>
      <w:r w:rsidRPr="0046175F">
        <w:rPr>
          <w:lang w:val="en-US"/>
        </w:rPr>
        <w:t>Tecentriq</w:t>
      </w:r>
      <w:proofErr w:type="spellEnd"/>
      <w:r w:rsidRPr="0046175F">
        <w:rPr>
          <w:lang w:val="en-US"/>
        </w:rPr>
        <w:t xml:space="preserve"> compared with docetaxel (HR 0.71, 95% CI: 0.49, 1.05; median not reached in either arm). The time to deterioration in other lung cancer symptoms (i.e. cough, </w:t>
      </w:r>
      <w:proofErr w:type="spellStart"/>
      <w:r w:rsidRPr="0046175F">
        <w:rPr>
          <w:lang w:val="en-US"/>
        </w:rPr>
        <w:t>dyspnoea</w:t>
      </w:r>
      <w:proofErr w:type="spellEnd"/>
      <w:r w:rsidRPr="0046175F">
        <w:rPr>
          <w:lang w:val="en-US"/>
        </w:rPr>
        <w:t xml:space="preserve">, and arm/shoulder pain) as measured by the EORTC QLQ-LC13 was similar between </w:t>
      </w:r>
      <w:proofErr w:type="spellStart"/>
      <w:r w:rsidRPr="0046175F">
        <w:rPr>
          <w:lang w:val="en-US"/>
        </w:rPr>
        <w:t>Tecentriq</w:t>
      </w:r>
      <w:proofErr w:type="spellEnd"/>
      <w:r w:rsidRPr="0046175F">
        <w:rPr>
          <w:lang w:val="en-US"/>
        </w:rPr>
        <w:t xml:space="preserve"> and docetaxel. The average global health status and functioning scores (i.e. physical, role, social, emotional, and cognitive) as measured by the EORTC QLQ-C30 did not show clinically meaningful deterioration over time for both treatment groups, suggesting maintained health-related quality of life and patient-reported functioning for patients remaining on treatment. </w:t>
      </w:r>
    </w:p>
    <w:p w14:paraId="7C9FB45F" w14:textId="77777777" w:rsidR="006E5FC5" w:rsidRPr="0046175F" w:rsidRDefault="006E5FC5" w:rsidP="00CD75CF">
      <w:pPr>
        <w:rPr>
          <w:lang w:val="en-US"/>
        </w:rPr>
      </w:pPr>
    </w:p>
    <w:p w14:paraId="5B5493DB" w14:textId="77777777" w:rsidR="00366B5F" w:rsidRPr="0046175F" w:rsidRDefault="00366B5F" w:rsidP="0098436B">
      <w:pPr>
        <w:pStyle w:val="Heading5"/>
        <w:rPr>
          <w:lang w:val="en-US"/>
        </w:rPr>
      </w:pPr>
      <w:r w:rsidRPr="0046175F">
        <w:rPr>
          <w:lang w:val="en-US"/>
        </w:rPr>
        <w:t xml:space="preserve">GO28753 </w:t>
      </w:r>
    </w:p>
    <w:p w14:paraId="47DB6090" w14:textId="7B5AC9D6" w:rsidR="00741E3A" w:rsidRDefault="00596F3D" w:rsidP="00CD75CF">
      <w:pPr>
        <w:rPr>
          <w:lang w:val="en-US"/>
        </w:rPr>
      </w:pPr>
      <w:r>
        <w:rPr>
          <w:lang w:val="en-US"/>
        </w:rPr>
        <w:t xml:space="preserve">A phase II, </w:t>
      </w:r>
      <w:proofErr w:type="spellStart"/>
      <w:r>
        <w:rPr>
          <w:lang w:val="en-US"/>
        </w:rPr>
        <w:t>multi</w:t>
      </w:r>
      <w:r w:rsidR="002C2519" w:rsidRPr="002C2519">
        <w:rPr>
          <w:lang w:val="en-US"/>
        </w:rPr>
        <w:t>centre</w:t>
      </w:r>
      <w:proofErr w:type="spellEnd"/>
      <w:r w:rsidR="002C2519" w:rsidRPr="002C2519">
        <w:rPr>
          <w:lang w:val="en-US"/>
        </w:rPr>
        <w:t xml:space="preserve">, </w:t>
      </w:r>
      <w:r>
        <w:rPr>
          <w:lang w:val="en-US"/>
        </w:rPr>
        <w:t xml:space="preserve">international, </w:t>
      </w:r>
      <w:proofErr w:type="spellStart"/>
      <w:r>
        <w:rPr>
          <w:lang w:val="en-US"/>
        </w:rPr>
        <w:t>randomised</w:t>
      </w:r>
      <w:proofErr w:type="spellEnd"/>
      <w:r>
        <w:rPr>
          <w:lang w:val="en-US"/>
        </w:rPr>
        <w:t>, open-</w:t>
      </w:r>
      <w:r w:rsidR="002C2519" w:rsidRPr="002C2519">
        <w:rPr>
          <w:lang w:val="en-US"/>
        </w:rPr>
        <w:t xml:space="preserve">label, controlled study, GO28753 </w:t>
      </w:r>
      <w:r w:rsidR="002C2519">
        <w:rPr>
          <w:lang w:val="en-US"/>
        </w:rPr>
        <w:t>(</w:t>
      </w:r>
      <w:r w:rsidR="002C2519" w:rsidRPr="002C2519">
        <w:rPr>
          <w:lang w:val="en-US"/>
        </w:rPr>
        <w:t>POPLAR</w:t>
      </w:r>
      <w:r w:rsidR="002C2519">
        <w:rPr>
          <w:lang w:val="en-US"/>
        </w:rPr>
        <w:t>)</w:t>
      </w:r>
      <w:r w:rsidR="002C2519" w:rsidRPr="002C2519">
        <w:rPr>
          <w:lang w:val="en-US"/>
        </w:rPr>
        <w:t xml:space="preserve"> was conducted in patients with locally advanced or metastatic NSCLC who progressed during or following a platinum conta</w:t>
      </w:r>
      <w:r>
        <w:rPr>
          <w:lang w:val="en-US"/>
        </w:rPr>
        <w:t>ining regimen, regardless of PD-</w:t>
      </w:r>
      <w:r w:rsidR="002C2519" w:rsidRPr="002C2519">
        <w:rPr>
          <w:lang w:val="en-US"/>
        </w:rPr>
        <w:t xml:space="preserve">L1 expression. The primary efficacy outcome was overall survival. A total of 287 patients were </w:t>
      </w:r>
      <w:proofErr w:type="spellStart"/>
      <w:r w:rsidR="002C2519" w:rsidRPr="002C2519">
        <w:rPr>
          <w:lang w:val="en-US"/>
        </w:rPr>
        <w:t>randomised</w:t>
      </w:r>
      <w:proofErr w:type="spellEnd"/>
      <w:r w:rsidR="002C2519" w:rsidRPr="002C2519">
        <w:rPr>
          <w:lang w:val="en-US"/>
        </w:rPr>
        <w:t xml:space="preserve"> 1:1 to</w:t>
      </w:r>
      <w:r>
        <w:rPr>
          <w:lang w:val="en-US"/>
        </w:rPr>
        <w:t xml:space="preserve"> receive either </w:t>
      </w:r>
      <w:proofErr w:type="spellStart"/>
      <w:r w:rsidR="00013B67">
        <w:rPr>
          <w:lang w:val="en-US"/>
        </w:rPr>
        <w:t>Tecentriq</w:t>
      </w:r>
      <w:proofErr w:type="spellEnd"/>
      <w:r>
        <w:rPr>
          <w:lang w:val="en-US"/>
        </w:rPr>
        <w:t xml:space="preserve"> (1</w:t>
      </w:r>
      <w:r w:rsidR="002C2519" w:rsidRPr="002C2519">
        <w:rPr>
          <w:lang w:val="en-US"/>
        </w:rPr>
        <w:t>200 mg by intravenous infusion every 3 weeks until loss of clinical benefit) or docetaxel (75 mg/m</w:t>
      </w:r>
      <w:r w:rsidR="002C2519" w:rsidRPr="00364F3A">
        <w:rPr>
          <w:vertAlign w:val="superscript"/>
          <w:lang w:val="en-US"/>
        </w:rPr>
        <w:t>2</w:t>
      </w:r>
      <w:r w:rsidR="002C2519" w:rsidRPr="002C2519">
        <w:rPr>
          <w:lang w:val="en-US"/>
        </w:rPr>
        <w:t xml:space="preserve"> by intravenous infusion on day 1 of each 3 week cycle until disease progression). </w:t>
      </w:r>
      <w:proofErr w:type="spellStart"/>
      <w:r w:rsidR="002C2519" w:rsidRPr="002C2519">
        <w:rPr>
          <w:lang w:val="en-US"/>
        </w:rPr>
        <w:t>Randomisation</w:t>
      </w:r>
      <w:proofErr w:type="spellEnd"/>
      <w:r w:rsidR="002C2519" w:rsidRPr="002C2519">
        <w:rPr>
          <w:lang w:val="en-US"/>
        </w:rPr>
        <w:t xml:space="preserve"> was stratified by PD</w:t>
      </w:r>
      <w:r>
        <w:rPr>
          <w:lang w:val="en-US"/>
        </w:rPr>
        <w:t>-</w:t>
      </w:r>
      <w:r w:rsidR="002C2519" w:rsidRPr="002C2519">
        <w:rPr>
          <w:lang w:val="en-US"/>
        </w:rPr>
        <w:t xml:space="preserve">L1 expression status on IC, by the number of prior chemotherapy regimens and by histology. An updated analysis with a total of 200 deaths observed and a median survival follow up of 22 months showed a median OS of 12.6 months in patients treated with </w:t>
      </w:r>
      <w:proofErr w:type="spellStart"/>
      <w:r>
        <w:rPr>
          <w:lang w:val="en-US"/>
        </w:rPr>
        <w:t>Tecentriq</w:t>
      </w:r>
      <w:proofErr w:type="spellEnd"/>
      <w:r w:rsidR="002C2519" w:rsidRPr="002C2519">
        <w:rPr>
          <w:lang w:val="en-US"/>
        </w:rPr>
        <w:t xml:space="preserve">, vs. 9.7 months in patients treated with docetaxel (HR of 0.69, 95% CI: 0.52, 0.92). ORR was 15.3% vs. 14.7% and median DOR was 18.6 months vs. 7.2 months for </w:t>
      </w:r>
      <w:proofErr w:type="spellStart"/>
      <w:r>
        <w:rPr>
          <w:lang w:val="en-US"/>
        </w:rPr>
        <w:t>Tecentriq</w:t>
      </w:r>
      <w:proofErr w:type="spellEnd"/>
      <w:r w:rsidR="002C2519" w:rsidRPr="002C2519">
        <w:rPr>
          <w:lang w:val="en-US"/>
        </w:rPr>
        <w:t xml:space="preserve"> vs. docetaxel, respectively. </w:t>
      </w:r>
    </w:p>
    <w:p w14:paraId="64FE1DFC" w14:textId="1790C7E2" w:rsidR="00AB5E12" w:rsidRDefault="00AB5E12" w:rsidP="00CD75CF">
      <w:pPr>
        <w:rPr>
          <w:lang w:val="en-US"/>
        </w:rPr>
      </w:pPr>
    </w:p>
    <w:p w14:paraId="46A67AED" w14:textId="77777777" w:rsidR="00AB5E12" w:rsidRDefault="00AB5E12" w:rsidP="00AB5E12">
      <w:pPr>
        <w:pStyle w:val="Heading4"/>
        <w:rPr>
          <w:lang w:val="en-US"/>
        </w:rPr>
      </w:pPr>
      <w:r>
        <w:rPr>
          <w:lang w:val="en-US"/>
        </w:rPr>
        <w:t>Small cell lung cancer</w:t>
      </w:r>
    </w:p>
    <w:p w14:paraId="7BC6A478" w14:textId="77777777" w:rsidR="00AB5E12" w:rsidRDefault="00AB5E12" w:rsidP="00AB5E12">
      <w:pPr>
        <w:pStyle w:val="Heading5"/>
        <w:rPr>
          <w:lang w:val="en-US"/>
        </w:rPr>
      </w:pPr>
      <w:r>
        <w:rPr>
          <w:lang w:val="en-US"/>
        </w:rPr>
        <w:t>GO30081</w:t>
      </w:r>
    </w:p>
    <w:p w14:paraId="0EA08FA6" w14:textId="34449137" w:rsidR="00AB5E12" w:rsidRDefault="00AB5E12" w:rsidP="00AB5E12">
      <w:pPr>
        <w:rPr>
          <w:lang w:val="en-US"/>
        </w:rPr>
      </w:pPr>
      <w:r>
        <w:rPr>
          <w:lang w:val="en-US"/>
        </w:rPr>
        <w:t xml:space="preserve">A Phase I/III, </w:t>
      </w:r>
      <w:proofErr w:type="spellStart"/>
      <w:r>
        <w:rPr>
          <w:lang w:val="en-US"/>
        </w:rPr>
        <w:t>randomised</w:t>
      </w:r>
      <w:proofErr w:type="spellEnd"/>
      <w:r>
        <w:rPr>
          <w:lang w:val="en-US"/>
        </w:rPr>
        <w:t xml:space="preserve">, multicenter, double-blind, placebo controlled study, GO30081 (IMpower133), was conducted to evaluate the efficacy and safety of </w:t>
      </w:r>
      <w:proofErr w:type="spellStart"/>
      <w:r>
        <w:rPr>
          <w:lang w:val="en-US"/>
        </w:rPr>
        <w:t>Tecentriq</w:t>
      </w:r>
      <w:proofErr w:type="spellEnd"/>
      <w:r>
        <w:rPr>
          <w:lang w:val="en-US"/>
        </w:rPr>
        <w:t xml:space="preserve"> in combination with carboplatin and etoposide in patients with chemotherapy-naïve ES-SCLC. A total of 403 patients were </w:t>
      </w:r>
      <w:proofErr w:type="spellStart"/>
      <w:r>
        <w:rPr>
          <w:lang w:val="en-US"/>
        </w:rPr>
        <w:t>randomised</w:t>
      </w:r>
      <w:proofErr w:type="spellEnd"/>
      <w:r>
        <w:rPr>
          <w:lang w:val="en-US"/>
        </w:rPr>
        <w:t xml:space="preserve"> (1:1) to receive one of the treatment regimens described in Table </w:t>
      </w:r>
      <w:r w:rsidR="003520F3">
        <w:rPr>
          <w:lang w:val="en-US"/>
        </w:rPr>
        <w:t>13</w:t>
      </w:r>
      <w:r>
        <w:rPr>
          <w:lang w:val="en-US"/>
        </w:rPr>
        <w:t xml:space="preserve">. </w:t>
      </w:r>
      <w:proofErr w:type="spellStart"/>
      <w:r>
        <w:rPr>
          <w:lang w:val="en-US"/>
        </w:rPr>
        <w:t>Randomisation</w:t>
      </w:r>
      <w:proofErr w:type="spellEnd"/>
      <w:r>
        <w:rPr>
          <w:lang w:val="en-US"/>
        </w:rPr>
        <w:t xml:space="preserve"> was stratified by sex, ECOG performance status, and presence of brain metastases. </w:t>
      </w:r>
    </w:p>
    <w:p w14:paraId="40B3971D" w14:textId="77777777" w:rsidR="00AB5E12" w:rsidRDefault="00AB5E12" w:rsidP="00AB5E12">
      <w:pPr>
        <w:rPr>
          <w:lang w:val="en-US"/>
        </w:rPr>
      </w:pPr>
    </w:p>
    <w:p w14:paraId="44B91C23" w14:textId="77777777" w:rsidR="00AB5E12" w:rsidRDefault="00AB5E12" w:rsidP="00AB5E12">
      <w:pPr>
        <w:rPr>
          <w:lang w:val="en-US"/>
        </w:rPr>
      </w:pPr>
      <w:r>
        <w:rPr>
          <w:lang w:val="en-US"/>
        </w:rPr>
        <w:t xml:space="preserve">This study excluded patients who had active or untreated CNS metastases; history of autoimmune disease; administration of live, attenuated vaccine within 4 weeks prior to </w:t>
      </w:r>
      <w:proofErr w:type="spellStart"/>
      <w:r>
        <w:rPr>
          <w:lang w:val="en-US"/>
        </w:rPr>
        <w:t>randomisation</w:t>
      </w:r>
      <w:proofErr w:type="spellEnd"/>
      <w:r>
        <w:rPr>
          <w:lang w:val="en-US"/>
        </w:rPr>
        <w:t xml:space="preserve">; administration of systemic immunosuppressive medications within 1 week prior to </w:t>
      </w:r>
      <w:proofErr w:type="spellStart"/>
      <w:r>
        <w:rPr>
          <w:lang w:val="en-US"/>
        </w:rPr>
        <w:t>randomisation</w:t>
      </w:r>
      <w:proofErr w:type="spellEnd"/>
      <w:r>
        <w:rPr>
          <w:lang w:val="en-US"/>
        </w:rPr>
        <w:t xml:space="preserve">. </w:t>
      </w:r>
      <w:proofErr w:type="spellStart"/>
      <w:r>
        <w:rPr>
          <w:lang w:val="en-US"/>
        </w:rPr>
        <w:t>Tumour</w:t>
      </w:r>
      <w:proofErr w:type="spellEnd"/>
      <w:r>
        <w:rPr>
          <w:lang w:val="en-US"/>
        </w:rPr>
        <w:t xml:space="preserve"> assessments were conducted every 6 weeks for the first 48 weeks following Cycle 1, Day 1 and then every 9 weeks thereafter. Patients treated beyond disease progression had </w:t>
      </w:r>
      <w:proofErr w:type="spellStart"/>
      <w:r>
        <w:rPr>
          <w:lang w:val="en-US"/>
        </w:rPr>
        <w:t>tumour</w:t>
      </w:r>
      <w:proofErr w:type="spellEnd"/>
      <w:r>
        <w:rPr>
          <w:lang w:val="en-US"/>
        </w:rPr>
        <w:t xml:space="preserve"> assessment conducted every 6 weeks until treatment discontinuation.</w:t>
      </w:r>
    </w:p>
    <w:p w14:paraId="2CAD49AB" w14:textId="77777777" w:rsidR="000E153D" w:rsidRDefault="000E153D" w:rsidP="00AB5E12">
      <w:pPr>
        <w:rPr>
          <w:b/>
          <w:lang w:val="en-US"/>
        </w:rPr>
      </w:pPr>
    </w:p>
    <w:p w14:paraId="35E32D32" w14:textId="77777777" w:rsidR="000E153D" w:rsidRDefault="000E153D" w:rsidP="00AB5E12">
      <w:pPr>
        <w:rPr>
          <w:b/>
          <w:lang w:val="en-US"/>
        </w:rPr>
      </w:pPr>
      <w:r>
        <w:rPr>
          <w:b/>
          <w:lang w:val="en-US"/>
        </w:rPr>
        <w:br w:type="page"/>
      </w:r>
    </w:p>
    <w:p w14:paraId="20CF69B6" w14:textId="4583CB0A" w:rsidR="00AB5E12" w:rsidRDefault="00AB5E12" w:rsidP="00AB5E12">
      <w:pPr>
        <w:rPr>
          <w:b/>
          <w:lang w:val="en-US"/>
        </w:rPr>
      </w:pPr>
      <w:r>
        <w:rPr>
          <w:b/>
          <w:lang w:val="en-US"/>
        </w:rPr>
        <w:lastRenderedPageBreak/>
        <w:t xml:space="preserve">Table </w:t>
      </w:r>
      <w:r w:rsidR="003520F3">
        <w:rPr>
          <w:b/>
          <w:lang w:val="en-US"/>
        </w:rPr>
        <w:t>13</w:t>
      </w:r>
      <w:r>
        <w:rPr>
          <w:b/>
          <w:lang w:val="en-US"/>
        </w:rPr>
        <w:t>. Intravenous treatment regimen in study GO30081</w:t>
      </w:r>
    </w:p>
    <w:tbl>
      <w:tblPr>
        <w:tblW w:w="8783"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76"/>
        <w:gridCol w:w="4770"/>
        <w:gridCol w:w="2537"/>
      </w:tblGrid>
      <w:tr w:rsidR="00AB5E12" w14:paraId="669B350C" w14:textId="77777777" w:rsidTr="0032145D">
        <w:trPr>
          <w:jc w:val="center"/>
        </w:trPr>
        <w:tc>
          <w:tcPr>
            <w:tcW w:w="1476" w:type="dxa"/>
            <w:tcBorders>
              <w:top w:val="single" w:sz="4" w:space="0" w:color="auto"/>
              <w:left w:val="single" w:sz="4" w:space="0" w:color="auto"/>
              <w:bottom w:val="single" w:sz="4" w:space="0" w:color="auto"/>
              <w:right w:val="nil"/>
            </w:tcBorders>
            <w:vAlign w:val="bottom"/>
            <w:hideMark/>
          </w:tcPr>
          <w:p w14:paraId="5017366B" w14:textId="77777777" w:rsidR="00AB5E12" w:rsidRDefault="00AB5E12" w:rsidP="0032145D">
            <w:pPr>
              <w:pStyle w:val="TableCell10Center"/>
              <w:rPr>
                <w:rFonts w:ascii="Times New Roman" w:hAnsi="Times New Roman"/>
                <w:b/>
                <w:sz w:val="22"/>
                <w:szCs w:val="22"/>
              </w:rPr>
            </w:pPr>
            <w:r>
              <w:rPr>
                <w:rFonts w:ascii="Times New Roman" w:hAnsi="Times New Roman"/>
                <w:b/>
                <w:sz w:val="22"/>
                <w:szCs w:val="22"/>
              </w:rPr>
              <w:t>Treatment regimen</w:t>
            </w:r>
          </w:p>
        </w:tc>
        <w:tc>
          <w:tcPr>
            <w:tcW w:w="4770" w:type="dxa"/>
            <w:tcBorders>
              <w:top w:val="single" w:sz="4" w:space="0" w:color="auto"/>
              <w:left w:val="nil"/>
              <w:bottom w:val="single" w:sz="4" w:space="0" w:color="auto"/>
              <w:right w:val="nil"/>
            </w:tcBorders>
            <w:vAlign w:val="bottom"/>
            <w:hideMark/>
          </w:tcPr>
          <w:p w14:paraId="258F95C4" w14:textId="77777777" w:rsidR="00AB5E12" w:rsidRDefault="00AB5E12" w:rsidP="0032145D">
            <w:pPr>
              <w:pStyle w:val="TableCell10Center"/>
              <w:rPr>
                <w:rFonts w:ascii="Times New Roman" w:hAnsi="Times New Roman"/>
                <w:b/>
                <w:sz w:val="22"/>
                <w:szCs w:val="22"/>
              </w:rPr>
            </w:pPr>
            <w:r>
              <w:rPr>
                <w:rFonts w:ascii="Times New Roman" w:hAnsi="Times New Roman"/>
                <w:b/>
                <w:sz w:val="22"/>
                <w:szCs w:val="22"/>
              </w:rPr>
              <w:t>Induction</w:t>
            </w:r>
            <w:r>
              <w:rPr>
                <w:rFonts w:ascii="Times New Roman" w:hAnsi="Times New Roman"/>
                <w:b/>
                <w:sz w:val="22"/>
                <w:szCs w:val="22"/>
              </w:rPr>
              <w:br/>
              <w:t>(four 21-day cycles)</w:t>
            </w:r>
          </w:p>
        </w:tc>
        <w:tc>
          <w:tcPr>
            <w:tcW w:w="2537" w:type="dxa"/>
            <w:tcBorders>
              <w:top w:val="single" w:sz="4" w:space="0" w:color="auto"/>
              <w:left w:val="nil"/>
              <w:bottom w:val="single" w:sz="4" w:space="0" w:color="auto"/>
              <w:right w:val="single" w:sz="4" w:space="0" w:color="auto"/>
            </w:tcBorders>
            <w:vAlign w:val="bottom"/>
            <w:hideMark/>
          </w:tcPr>
          <w:p w14:paraId="10715374" w14:textId="77777777" w:rsidR="00AB5E12" w:rsidRDefault="00AB5E12" w:rsidP="0032145D">
            <w:pPr>
              <w:pStyle w:val="TableCell10Center"/>
              <w:rPr>
                <w:rFonts w:ascii="Times New Roman" w:hAnsi="Times New Roman"/>
                <w:b/>
                <w:sz w:val="22"/>
                <w:szCs w:val="22"/>
              </w:rPr>
            </w:pPr>
            <w:r>
              <w:rPr>
                <w:rFonts w:ascii="Times New Roman" w:hAnsi="Times New Roman"/>
                <w:b/>
                <w:sz w:val="22"/>
                <w:szCs w:val="22"/>
              </w:rPr>
              <w:t>Maintenance</w:t>
            </w:r>
            <w:r>
              <w:rPr>
                <w:rFonts w:ascii="Times New Roman" w:hAnsi="Times New Roman"/>
                <w:b/>
                <w:sz w:val="22"/>
                <w:szCs w:val="22"/>
              </w:rPr>
              <w:br/>
              <w:t>(21-day cycles)</w:t>
            </w:r>
          </w:p>
        </w:tc>
      </w:tr>
      <w:tr w:rsidR="00AB5E12" w14:paraId="6FBF656B" w14:textId="77777777" w:rsidTr="0032145D">
        <w:trPr>
          <w:jc w:val="center"/>
        </w:trPr>
        <w:tc>
          <w:tcPr>
            <w:tcW w:w="1476" w:type="dxa"/>
            <w:tcBorders>
              <w:top w:val="single" w:sz="4" w:space="0" w:color="auto"/>
              <w:left w:val="single" w:sz="4" w:space="0" w:color="auto"/>
              <w:bottom w:val="nil"/>
              <w:right w:val="nil"/>
            </w:tcBorders>
            <w:hideMark/>
          </w:tcPr>
          <w:p w14:paraId="6B4EF821" w14:textId="77777777" w:rsidR="00AB5E12" w:rsidRDefault="00AB5E12" w:rsidP="0032145D">
            <w:pPr>
              <w:pStyle w:val="TableCell10Center"/>
              <w:rPr>
                <w:rFonts w:ascii="Times New Roman" w:hAnsi="Times New Roman"/>
                <w:sz w:val="22"/>
                <w:szCs w:val="22"/>
              </w:rPr>
            </w:pPr>
            <w:r>
              <w:rPr>
                <w:rFonts w:ascii="Times New Roman" w:hAnsi="Times New Roman"/>
                <w:sz w:val="22"/>
                <w:szCs w:val="22"/>
              </w:rPr>
              <w:t>A</w:t>
            </w:r>
          </w:p>
        </w:tc>
        <w:tc>
          <w:tcPr>
            <w:tcW w:w="4770" w:type="dxa"/>
            <w:tcBorders>
              <w:top w:val="single" w:sz="4" w:space="0" w:color="auto"/>
              <w:left w:val="nil"/>
              <w:bottom w:val="nil"/>
              <w:right w:val="nil"/>
            </w:tcBorders>
            <w:vAlign w:val="center"/>
            <w:hideMark/>
          </w:tcPr>
          <w:p w14:paraId="4F9203F9" w14:textId="77777777" w:rsidR="00AB5E12" w:rsidRDefault="00AB5E12" w:rsidP="0032145D">
            <w:pPr>
              <w:pStyle w:val="TableCell10Left"/>
              <w:jc w:val="center"/>
              <w:rPr>
                <w:rFonts w:ascii="Times New Roman" w:hAnsi="Times New Roman"/>
                <w:sz w:val="22"/>
                <w:szCs w:val="22"/>
                <w:lang w:val="fr-FR"/>
              </w:rPr>
            </w:pPr>
            <w:proofErr w:type="spellStart"/>
            <w:r>
              <w:rPr>
                <w:rFonts w:ascii="Times New Roman" w:hAnsi="Times New Roman"/>
                <w:sz w:val="22"/>
                <w:szCs w:val="22"/>
                <w:lang w:val="en-AU"/>
              </w:rPr>
              <w:t>Tecentriq</w:t>
            </w:r>
            <w:proofErr w:type="spellEnd"/>
            <w:r>
              <w:rPr>
                <w:rFonts w:ascii="Times New Roman" w:hAnsi="Times New Roman"/>
                <w:sz w:val="22"/>
                <w:szCs w:val="22"/>
                <w:lang w:val="en-AU"/>
              </w:rPr>
              <w:t xml:space="preserve"> (1200 mg)</w:t>
            </w:r>
            <w:r>
              <w:rPr>
                <w:rFonts w:ascii="Times New Roman" w:hAnsi="Times New Roman"/>
                <w:sz w:val="22"/>
                <w:szCs w:val="22"/>
                <w:vertAlign w:val="superscript"/>
                <w:lang w:val="en-AU"/>
              </w:rPr>
              <w:t>a</w:t>
            </w:r>
            <w:r>
              <w:rPr>
                <w:rFonts w:ascii="Times New Roman" w:hAnsi="Times New Roman"/>
                <w:sz w:val="22"/>
                <w:szCs w:val="22"/>
                <w:lang w:val="en-AU"/>
              </w:rPr>
              <w:t xml:space="preserve"> + carboplatin (AUC 5)</w:t>
            </w:r>
            <w:r>
              <w:rPr>
                <w:rFonts w:ascii="Times New Roman" w:hAnsi="Times New Roman"/>
                <w:sz w:val="22"/>
                <w:szCs w:val="22"/>
                <w:vertAlign w:val="superscript"/>
                <w:lang w:val="en-AU"/>
              </w:rPr>
              <w:t>b</w:t>
            </w:r>
            <w:r>
              <w:rPr>
                <w:rFonts w:ascii="Times New Roman" w:hAnsi="Times New Roman"/>
                <w:sz w:val="22"/>
                <w:szCs w:val="22"/>
                <w:lang w:val="en-AU"/>
              </w:rPr>
              <w:t xml:space="preserve"> + e</w:t>
            </w:r>
            <w:proofErr w:type="spellStart"/>
            <w:r>
              <w:rPr>
                <w:rFonts w:ascii="Times New Roman" w:hAnsi="Times New Roman"/>
                <w:sz w:val="22"/>
                <w:szCs w:val="22"/>
                <w:lang w:val="fr-FR"/>
              </w:rPr>
              <w:t>toposide</w:t>
            </w:r>
            <w:proofErr w:type="spellEnd"/>
            <w:r>
              <w:rPr>
                <w:rFonts w:ascii="Times New Roman" w:hAnsi="Times New Roman"/>
                <w:sz w:val="22"/>
                <w:szCs w:val="22"/>
                <w:lang w:val="fr-FR"/>
              </w:rPr>
              <w:t xml:space="preserve"> (100 mg/m</w:t>
            </w:r>
            <w:r>
              <w:rPr>
                <w:rFonts w:ascii="Times New Roman" w:hAnsi="Times New Roman"/>
                <w:sz w:val="22"/>
                <w:szCs w:val="22"/>
                <w:vertAlign w:val="superscript"/>
                <w:lang w:val="fr-FR"/>
              </w:rPr>
              <w:t>2</w:t>
            </w:r>
            <w:r>
              <w:rPr>
                <w:rFonts w:ascii="Times New Roman" w:hAnsi="Times New Roman"/>
                <w:sz w:val="22"/>
                <w:szCs w:val="22"/>
                <w:lang w:val="fr-FR"/>
              </w:rPr>
              <w:t>)</w:t>
            </w:r>
            <w:proofErr w:type="spellStart"/>
            <w:r>
              <w:rPr>
                <w:rFonts w:ascii="Times New Roman" w:hAnsi="Times New Roman"/>
                <w:sz w:val="22"/>
                <w:szCs w:val="22"/>
                <w:vertAlign w:val="superscript"/>
                <w:lang w:val="fr-FR"/>
              </w:rPr>
              <w:t>b,c</w:t>
            </w:r>
            <w:proofErr w:type="spellEnd"/>
          </w:p>
        </w:tc>
        <w:tc>
          <w:tcPr>
            <w:tcW w:w="2537" w:type="dxa"/>
            <w:tcBorders>
              <w:top w:val="single" w:sz="4" w:space="0" w:color="auto"/>
              <w:left w:val="nil"/>
              <w:bottom w:val="nil"/>
              <w:right w:val="single" w:sz="4" w:space="0" w:color="auto"/>
            </w:tcBorders>
            <w:vAlign w:val="center"/>
            <w:hideMark/>
          </w:tcPr>
          <w:p w14:paraId="2FAF3635" w14:textId="77777777" w:rsidR="00AB5E12" w:rsidRDefault="00AB5E12" w:rsidP="0032145D">
            <w:pPr>
              <w:pStyle w:val="TableCell10Left"/>
              <w:jc w:val="center"/>
              <w:rPr>
                <w:rFonts w:ascii="Times New Roman" w:hAnsi="Times New Roman"/>
                <w:sz w:val="22"/>
                <w:szCs w:val="22"/>
              </w:rPr>
            </w:pPr>
            <w:proofErr w:type="spellStart"/>
            <w:r>
              <w:rPr>
                <w:rFonts w:ascii="Times New Roman" w:hAnsi="Times New Roman"/>
                <w:sz w:val="22"/>
                <w:szCs w:val="22"/>
              </w:rPr>
              <w:t>Tecentriq</w:t>
            </w:r>
            <w:proofErr w:type="spellEnd"/>
            <w:r>
              <w:rPr>
                <w:rFonts w:ascii="Times New Roman" w:hAnsi="Times New Roman"/>
                <w:sz w:val="22"/>
                <w:szCs w:val="22"/>
              </w:rPr>
              <w:t xml:space="preserve"> (1200 mg)</w:t>
            </w:r>
            <w:r>
              <w:rPr>
                <w:rFonts w:ascii="Times New Roman" w:hAnsi="Times New Roman"/>
                <w:sz w:val="22"/>
                <w:szCs w:val="22"/>
                <w:vertAlign w:val="superscript"/>
                <w:lang w:val="pt-BR"/>
              </w:rPr>
              <w:t xml:space="preserve"> a</w:t>
            </w:r>
          </w:p>
        </w:tc>
      </w:tr>
      <w:tr w:rsidR="00AB5E12" w14:paraId="775EF419" w14:textId="77777777" w:rsidTr="0032145D">
        <w:trPr>
          <w:jc w:val="center"/>
        </w:trPr>
        <w:tc>
          <w:tcPr>
            <w:tcW w:w="1476" w:type="dxa"/>
            <w:tcBorders>
              <w:top w:val="nil"/>
              <w:left w:val="single" w:sz="4" w:space="0" w:color="auto"/>
              <w:bottom w:val="single" w:sz="4" w:space="0" w:color="auto"/>
              <w:right w:val="nil"/>
            </w:tcBorders>
            <w:hideMark/>
          </w:tcPr>
          <w:p w14:paraId="1CA2B5BB" w14:textId="77777777" w:rsidR="00AB5E12" w:rsidRDefault="00AB5E12" w:rsidP="0032145D">
            <w:pPr>
              <w:pStyle w:val="TableCell10Center"/>
              <w:rPr>
                <w:rFonts w:ascii="Times New Roman" w:hAnsi="Times New Roman"/>
                <w:sz w:val="22"/>
                <w:szCs w:val="22"/>
              </w:rPr>
            </w:pPr>
            <w:r>
              <w:rPr>
                <w:rFonts w:ascii="Times New Roman" w:hAnsi="Times New Roman"/>
                <w:sz w:val="22"/>
                <w:szCs w:val="22"/>
              </w:rPr>
              <w:t>B</w:t>
            </w:r>
          </w:p>
        </w:tc>
        <w:tc>
          <w:tcPr>
            <w:tcW w:w="4770" w:type="dxa"/>
            <w:tcBorders>
              <w:top w:val="nil"/>
              <w:left w:val="nil"/>
              <w:bottom w:val="single" w:sz="4" w:space="0" w:color="auto"/>
              <w:right w:val="nil"/>
            </w:tcBorders>
            <w:vAlign w:val="center"/>
            <w:hideMark/>
          </w:tcPr>
          <w:p w14:paraId="29228427" w14:textId="77777777" w:rsidR="00AB5E12" w:rsidRDefault="00AB5E12" w:rsidP="0032145D">
            <w:pPr>
              <w:pStyle w:val="TableCell10Left"/>
              <w:jc w:val="center"/>
              <w:rPr>
                <w:rFonts w:ascii="Times New Roman" w:hAnsi="Times New Roman"/>
                <w:sz w:val="22"/>
                <w:szCs w:val="22"/>
              </w:rPr>
            </w:pPr>
            <w:r>
              <w:rPr>
                <w:rFonts w:ascii="Times New Roman" w:hAnsi="Times New Roman"/>
                <w:sz w:val="22"/>
                <w:szCs w:val="22"/>
                <w:lang w:val="pt-BR"/>
              </w:rPr>
              <w:t xml:space="preserve">placebo + </w:t>
            </w:r>
            <w:proofErr w:type="spellStart"/>
            <w:r>
              <w:rPr>
                <w:rFonts w:ascii="Times New Roman" w:hAnsi="Times New Roman"/>
                <w:sz w:val="22"/>
                <w:szCs w:val="22"/>
                <w:lang w:val="fr-FR"/>
              </w:rPr>
              <w:t>carboplatin</w:t>
            </w:r>
            <w:proofErr w:type="spellEnd"/>
            <w:r>
              <w:rPr>
                <w:rFonts w:ascii="Times New Roman" w:hAnsi="Times New Roman"/>
                <w:sz w:val="22"/>
                <w:szCs w:val="22"/>
                <w:lang w:val="fr-FR"/>
              </w:rPr>
              <w:t xml:space="preserve"> (AUC 5)</w:t>
            </w:r>
            <w:r>
              <w:rPr>
                <w:rFonts w:ascii="Times New Roman" w:hAnsi="Times New Roman"/>
                <w:sz w:val="22"/>
                <w:szCs w:val="22"/>
                <w:vertAlign w:val="superscript"/>
                <w:lang w:val="fr-FR"/>
              </w:rPr>
              <w:t>b</w:t>
            </w:r>
            <w:r>
              <w:rPr>
                <w:rFonts w:ascii="Times New Roman" w:hAnsi="Times New Roman"/>
                <w:sz w:val="22"/>
                <w:szCs w:val="22"/>
                <w:lang w:val="fr-FR"/>
              </w:rPr>
              <w:t xml:space="preserve"> + </w:t>
            </w:r>
            <w:proofErr w:type="spellStart"/>
            <w:r>
              <w:rPr>
                <w:rFonts w:ascii="Times New Roman" w:hAnsi="Times New Roman"/>
                <w:sz w:val="22"/>
                <w:szCs w:val="22"/>
                <w:lang w:val="fr-FR"/>
              </w:rPr>
              <w:t>etoposide</w:t>
            </w:r>
            <w:proofErr w:type="spellEnd"/>
            <w:r>
              <w:rPr>
                <w:rFonts w:ascii="Times New Roman" w:hAnsi="Times New Roman"/>
                <w:sz w:val="22"/>
                <w:szCs w:val="22"/>
                <w:lang w:val="fr-FR"/>
              </w:rPr>
              <w:t xml:space="preserve"> (100 mg/m</w:t>
            </w:r>
            <w:r>
              <w:rPr>
                <w:rFonts w:ascii="Times New Roman" w:hAnsi="Times New Roman"/>
                <w:sz w:val="22"/>
                <w:szCs w:val="22"/>
                <w:vertAlign w:val="superscript"/>
                <w:lang w:val="fr-FR"/>
              </w:rPr>
              <w:t>2</w:t>
            </w:r>
            <w:r>
              <w:rPr>
                <w:rFonts w:ascii="Times New Roman" w:hAnsi="Times New Roman"/>
                <w:sz w:val="22"/>
                <w:szCs w:val="22"/>
                <w:lang w:val="fr-FR"/>
              </w:rPr>
              <w:t>)</w:t>
            </w:r>
            <w:proofErr w:type="spellStart"/>
            <w:r>
              <w:rPr>
                <w:rFonts w:ascii="Times New Roman" w:hAnsi="Times New Roman"/>
                <w:sz w:val="22"/>
                <w:szCs w:val="22"/>
                <w:vertAlign w:val="superscript"/>
                <w:lang w:val="fr-FR"/>
              </w:rPr>
              <w:t>b,c</w:t>
            </w:r>
            <w:proofErr w:type="spellEnd"/>
          </w:p>
        </w:tc>
        <w:tc>
          <w:tcPr>
            <w:tcW w:w="2537" w:type="dxa"/>
            <w:tcBorders>
              <w:top w:val="nil"/>
              <w:left w:val="nil"/>
              <w:bottom w:val="single" w:sz="4" w:space="0" w:color="auto"/>
              <w:right w:val="single" w:sz="4" w:space="0" w:color="auto"/>
            </w:tcBorders>
            <w:vAlign w:val="center"/>
            <w:hideMark/>
          </w:tcPr>
          <w:p w14:paraId="2C348F01" w14:textId="77777777" w:rsidR="00AB5E12" w:rsidRDefault="00AB5E12" w:rsidP="0032145D">
            <w:pPr>
              <w:pStyle w:val="TableCell10Left"/>
              <w:jc w:val="center"/>
              <w:rPr>
                <w:rFonts w:ascii="Times New Roman" w:hAnsi="Times New Roman"/>
                <w:sz w:val="22"/>
                <w:szCs w:val="22"/>
              </w:rPr>
            </w:pPr>
            <w:r>
              <w:rPr>
                <w:rFonts w:ascii="Times New Roman" w:hAnsi="Times New Roman"/>
                <w:sz w:val="22"/>
                <w:szCs w:val="22"/>
              </w:rPr>
              <w:t>placebo</w:t>
            </w:r>
          </w:p>
        </w:tc>
      </w:tr>
    </w:tbl>
    <w:p w14:paraId="10C76204" w14:textId="21CDF905" w:rsidR="00AB5E12" w:rsidRDefault="00AB5E12" w:rsidP="00AB5E12">
      <w:pPr>
        <w:rPr>
          <w:sz w:val="22"/>
          <w:lang w:val="en-US"/>
        </w:rPr>
      </w:pPr>
      <w:r>
        <w:rPr>
          <w:sz w:val="22"/>
          <w:vertAlign w:val="superscript"/>
          <w:lang w:val="en-US"/>
        </w:rPr>
        <w:t xml:space="preserve">a </w:t>
      </w:r>
      <w:proofErr w:type="spellStart"/>
      <w:r>
        <w:rPr>
          <w:sz w:val="22"/>
          <w:lang w:val="en-US"/>
        </w:rPr>
        <w:t>Tecentriq</w:t>
      </w:r>
      <w:proofErr w:type="spellEnd"/>
      <w:r>
        <w:rPr>
          <w:sz w:val="22"/>
          <w:lang w:val="en-US"/>
        </w:rPr>
        <w:t xml:space="preserve"> is administered until loss of clinical benefit as assessed by investigator</w:t>
      </w:r>
    </w:p>
    <w:p w14:paraId="4C07DB8A" w14:textId="3FC37025" w:rsidR="00AB5E12" w:rsidRDefault="00AB5E12" w:rsidP="00AB5E12">
      <w:pPr>
        <w:rPr>
          <w:sz w:val="22"/>
          <w:lang w:val="en-US"/>
        </w:rPr>
      </w:pPr>
      <w:r>
        <w:rPr>
          <w:sz w:val="22"/>
          <w:vertAlign w:val="superscript"/>
          <w:lang w:val="en-US"/>
        </w:rPr>
        <w:t xml:space="preserve">b </w:t>
      </w:r>
      <w:r>
        <w:rPr>
          <w:sz w:val="22"/>
          <w:lang w:val="en-US"/>
        </w:rPr>
        <w:t>Carboplatin and etoposide is administered until completion of 4 cycles, or progressive disease or unacceptable toxicity whichever occurs first</w:t>
      </w:r>
    </w:p>
    <w:p w14:paraId="647E1DCA" w14:textId="34B53D0B" w:rsidR="00AB5E12" w:rsidRDefault="00AB5E12" w:rsidP="00AB5E12">
      <w:pPr>
        <w:rPr>
          <w:sz w:val="22"/>
          <w:lang w:val="en-US"/>
        </w:rPr>
      </w:pPr>
      <w:r>
        <w:rPr>
          <w:sz w:val="22"/>
          <w:vertAlign w:val="superscript"/>
          <w:lang w:val="en-US"/>
        </w:rPr>
        <w:t xml:space="preserve">c </w:t>
      </w:r>
      <w:r>
        <w:rPr>
          <w:sz w:val="22"/>
          <w:lang w:val="en-US"/>
        </w:rPr>
        <w:t>Etoposide is administered on day 1, 2 and 3 of each cycle</w:t>
      </w:r>
    </w:p>
    <w:p w14:paraId="5549B45C" w14:textId="77777777" w:rsidR="00AB5E12" w:rsidRDefault="00AB5E12" w:rsidP="00AB5E12">
      <w:pPr>
        <w:rPr>
          <w:sz w:val="22"/>
          <w:lang w:val="en-US"/>
        </w:rPr>
      </w:pPr>
    </w:p>
    <w:p w14:paraId="07990F6F" w14:textId="77777777" w:rsidR="00AB5E12" w:rsidRDefault="00AB5E12" w:rsidP="00AB5E12">
      <w:pPr>
        <w:rPr>
          <w:lang w:val="en-US"/>
        </w:rPr>
      </w:pPr>
      <w:r>
        <w:rPr>
          <w:lang w:val="en-US"/>
        </w:rPr>
        <w:t xml:space="preserve">The demographic and baseline disease characteristics of the primary analysis population were well balanced between the treatment arms. The median age was 64 years (range: 26 to 90 years). The majority of patients were male (65%), white (80%), and 9% had brain metastases and most patients were current or previous smokers (97%). Baseline ECOG performance status was 0 (35%) or 1 (65%). </w:t>
      </w:r>
    </w:p>
    <w:p w14:paraId="15F1B8EB" w14:textId="77777777" w:rsidR="00AB5E12" w:rsidRDefault="00AB5E12" w:rsidP="00AB5E12">
      <w:pPr>
        <w:rPr>
          <w:lang w:val="en-US"/>
        </w:rPr>
      </w:pPr>
    </w:p>
    <w:p w14:paraId="754FCD8F" w14:textId="46582488" w:rsidR="00AB5E12" w:rsidRDefault="00AB5E12" w:rsidP="00AB5E12">
      <w:pPr>
        <w:rPr>
          <w:lang w:val="en-US"/>
        </w:rPr>
      </w:pPr>
      <w:r>
        <w:rPr>
          <w:lang w:val="en-US"/>
        </w:rPr>
        <w:t xml:space="preserve">At the time of the primary analysis, patients had a median survival follow up time of 13.9 months. The key results are </w:t>
      </w:r>
      <w:proofErr w:type="spellStart"/>
      <w:r>
        <w:rPr>
          <w:lang w:val="en-US"/>
        </w:rPr>
        <w:t>summarised</w:t>
      </w:r>
      <w:proofErr w:type="spellEnd"/>
      <w:r>
        <w:rPr>
          <w:lang w:val="en-US"/>
        </w:rPr>
        <w:t xml:space="preserve"> in Table </w:t>
      </w:r>
      <w:r w:rsidR="003520F3">
        <w:rPr>
          <w:lang w:val="en-US"/>
        </w:rPr>
        <w:t>14</w:t>
      </w:r>
      <w:r>
        <w:rPr>
          <w:lang w:val="en-US"/>
        </w:rPr>
        <w:t xml:space="preserve">. Kaplan-Meier curves for OS and PFS are presented in Figure </w:t>
      </w:r>
      <w:r w:rsidR="003520F3">
        <w:rPr>
          <w:lang w:val="en-US"/>
        </w:rPr>
        <w:t xml:space="preserve">11 </w:t>
      </w:r>
      <w:r>
        <w:rPr>
          <w:lang w:val="en-US"/>
        </w:rPr>
        <w:t xml:space="preserve">and </w:t>
      </w:r>
      <w:r w:rsidR="003520F3">
        <w:rPr>
          <w:lang w:val="en-US"/>
        </w:rPr>
        <w:t>12</w:t>
      </w:r>
      <w:r>
        <w:rPr>
          <w:lang w:val="en-US"/>
        </w:rPr>
        <w:t>.</w:t>
      </w:r>
    </w:p>
    <w:p w14:paraId="118DDE03" w14:textId="77777777" w:rsidR="00AB5E12" w:rsidRDefault="00AB5E12" w:rsidP="00AB5E12">
      <w:pPr>
        <w:rPr>
          <w:sz w:val="22"/>
          <w:lang w:val="en-US"/>
        </w:rPr>
      </w:pPr>
    </w:p>
    <w:p w14:paraId="0A8AE4B2" w14:textId="3E7E4FC5" w:rsidR="00AB5E12" w:rsidRDefault="00AB5E12" w:rsidP="00AB5E12">
      <w:pPr>
        <w:rPr>
          <w:b/>
          <w:lang w:val="en-US"/>
        </w:rPr>
      </w:pPr>
      <w:r>
        <w:rPr>
          <w:b/>
          <w:lang w:val="en-US"/>
        </w:rPr>
        <w:t xml:space="preserve">Table </w:t>
      </w:r>
      <w:r w:rsidR="003520F3">
        <w:rPr>
          <w:b/>
          <w:lang w:val="en-US"/>
        </w:rPr>
        <w:t>14</w:t>
      </w:r>
      <w:r>
        <w:rPr>
          <w:b/>
          <w:lang w:val="en-US"/>
        </w:rPr>
        <w:t>. Summary of efficacy from GO30081</w:t>
      </w:r>
    </w:p>
    <w:tbl>
      <w:tblPr>
        <w:tblW w:w="9214" w:type="dxa"/>
        <w:tblInd w:w="-34"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686"/>
        <w:gridCol w:w="2693"/>
        <w:gridCol w:w="993"/>
        <w:gridCol w:w="1842"/>
      </w:tblGrid>
      <w:tr w:rsidR="00AB5E12" w14:paraId="1D058425" w14:textId="77777777" w:rsidTr="0032145D">
        <w:trPr>
          <w:tblHeader/>
        </w:trPr>
        <w:tc>
          <w:tcPr>
            <w:tcW w:w="3686" w:type="dxa"/>
            <w:tcBorders>
              <w:top w:val="single" w:sz="4" w:space="0" w:color="auto"/>
              <w:left w:val="single" w:sz="4" w:space="0" w:color="auto"/>
              <w:bottom w:val="single" w:sz="4" w:space="0" w:color="auto"/>
              <w:right w:val="nil"/>
            </w:tcBorders>
            <w:hideMark/>
          </w:tcPr>
          <w:p w14:paraId="0D743EB5" w14:textId="77777777" w:rsidR="00AB5E12" w:rsidRDefault="00AB5E12" w:rsidP="0032145D">
            <w:pPr>
              <w:spacing w:beforeLines="20" w:before="48" w:afterLines="20" w:after="48"/>
              <w:jc w:val="left"/>
              <w:rPr>
                <w:rFonts w:eastAsia="Times New Roman"/>
                <w:b/>
                <w:sz w:val="22"/>
                <w:lang w:eastAsia="zh-CN"/>
              </w:rPr>
            </w:pPr>
            <w:r>
              <w:rPr>
                <w:rFonts w:eastAsia="Times New Roman"/>
                <w:b/>
                <w:sz w:val="22"/>
                <w:lang w:eastAsia="zh-CN"/>
              </w:rPr>
              <w:t>Key efficacy endpoints</w:t>
            </w:r>
          </w:p>
        </w:tc>
        <w:tc>
          <w:tcPr>
            <w:tcW w:w="2693" w:type="dxa"/>
            <w:tcBorders>
              <w:top w:val="single" w:sz="4" w:space="0" w:color="auto"/>
              <w:left w:val="nil"/>
              <w:bottom w:val="single" w:sz="4" w:space="0" w:color="auto"/>
              <w:right w:val="nil"/>
            </w:tcBorders>
            <w:hideMark/>
          </w:tcPr>
          <w:p w14:paraId="3F966884" w14:textId="77777777" w:rsidR="00AB5E12" w:rsidRDefault="00AB5E12" w:rsidP="0032145D">
            <w:pPr>
              <w:keepNext/>
              <w:spacing w:beforeLines="20" w:before="48" w:afterLines="20" w:after="48"/>
              <w:jc w:val="center"/>
              <w:rPr>
                <w:rFonts w:eastAsia="Times New Roman"/>
                <w:b/>
                <w:sz w:val="22"/>
                <w:lang w:eastAsia="zh-CN"/>
              </w:rPr>
            </w:pPr>
            <w:r>
              <w:rPr>
                <w:rFonts w:eastAsia="Times New Roman"/>
                <w:b/>
                <w:sz w:val="22"/>
                <w:lang w:eastAsia="zh-CN"/>
              </w:rPr>
              <w:t xml:space="preserve">Arm A </w:t>
            </w:r>
          </w:p>
          <w:p w14:paraId="083463BA"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w:t>
            </w:r>
            <w:proofErr w:type="spellStart"/>
            <w:r>
              <w:rPr>
                <w:rFonts w:eastAsia="Times New Roman"/>
                <w:sz w:val="22"/>
                <w:lang w:eastAsia="zh-CN"/>
              </w:rPr>
              <w:t>Tecentriq</w:t>
            </w:r>
            <w:proofErr w:type="spellEnd"/>
            <w:r>
              <w:rPr>
                <w:rFonts w:eastAsia="Times New Roman"/>
                <w:sz w:val="22"/>
                <w:lang w:eastAsia="zh-CN"/>
              </w:rPr>
              <w:t xml:space="preserve"> + carboplatin + etoposide)</w:t>
            </w:r>
          </w:p>
        </w:tc>
        <w:tc>
          <w:tcPr>
            <w:tcW w:w="2835" w:type="dxa"/>
            <w:gridSpan w:val="2"/>
            <w:tcBorders>
              <w:top w:val="single" w:sz="4" w:space="0" w:color="auto"/>
              <w:left w:val="nil"/>
              <w:bottom w:val="single" w:sz="4" w:space="0" w:color="auto"/>
              <w:right w:val="single" w:sz="4" w:space="0" w:color="auto"/>
            </w:tcBorders>
            <w:hideMark/>
          </w:tcPr>
          <w:p w14:paraId="5CE28CE4" w14:textId="77777777" w:rsidR="00AB5E12" w:rsidRDefault="00AB5E12" w:rsidP="0032145D">
            <w:pPr>
              <w:keepNext/>
              <w:spacing w:beforeLines="20" w:before="48" w:afterLines="20" w:after="48"/>
              <w:jc w:val="center"/>
              <w:rPr>
                <w:rFonts w:eastAsia="Times New Roman"/>
                <w:b/>
                <w:sz w:val="22"/>
                <w:lang w:eastAsia="zh-CN"/>
              </w:rPr>
            </w:pPr>
            <w:r>
              <w:rPr>
                <w:rFonts w:eastAsia="Times New Roman"/>
                <w:b/>
                <w:sz w:val="22"/>
                <w:lang w:eastAsia="zh-CN"/>
              </w:rPr>
              <w:t>Arm B</w:t>
            </w:r>
          </w:p>
          <w:p w14:paraId="7A43FB1D" w14:textId="77777777" w:rsidR="00AB5E12" w:rsidRDefault="00AB5E12" w:rsidP="0032145D">
            <w:pPr>
              <w:keepNext/>
              <w:spacing w:beforeLines="20" w:before="48" w:afterLines="20" w:after="48"/>
              <w:jc w:val="center"/>
              <w:rPr>
                <w:rFonts w:eastAsia="Times New Roman"/>
                <w:b/>
                <w:sz w:val="22"/>
                <w:lang w:eastAsia="zh-CN"/>
              </w:rPr>
            </w:pPr>
            <w:r>
              <w:rPr>
                <w:rFonts w:eastAsia="Times New Roman"/>
                <w:sz w:val="22"/>
                <w:lang w:eastAsia="zh-CN"/>
              </w:rPr>
              <w:t>(placebo + carboplatin + etoposide)</w:t>
            </w:r>
          </w:p>
        </w:tc>
      </w:tr>
      <w:tr w:rsidR="00AB5E12" w14:paraId="5EBED94E" w14:textId="77777777" w:rsidTr="0032145D">
        <w:tc>
          <w:tcPr>
            <w:tcW w:w="3686" w:type="dxa"/>
            <w:tcBorders>
              <w:top w:val="single" w:sz="4" w:space="0" w:color="auto"/>
              <w:left w:val="single" w:sz="4" w:space="0" w:color="auto"/>
              <w:bottom w:val="nil"/>
              <w:right w:val="nil"/>
            </w:tcBorders>
            <w:hideMark/>
          </w:tcPr>
          <w:p w14:paraId="77AB359D" w14:textId="77777777" w:rsidR="00AB5E12" w:rsidRDefault="00AB5E12" w:rsidP="0032145D">
            <w:pPr>
              <w:pStyle w:val="Paragraph"/>
              <w:spacing w:beforeLines="20" w:before="48" w:afterLines="20" w:after="48" w:line="240" w:lineRule="auto"/>
              <w:rPr>
                <w:b/>
                <w:i/>
                <w:szCs w:val="22"/>
              </w:rPr>
            </w:pPr>
            <w:r>
              <w:rPr>
                <w:b/>
                <w:i/>
                <w:szCs w:val="22"/>
              </w:rPr>
              <w:t>Co-primary endpoints</w:t>
            </w:r>
          </w:p>
        </w:tc>
        <w:tc>
          <w:tcPr>
            <w:tcW w:w="2693" w:type="dxa"/>
            <w:tcBorders>
              <w:top w:val="single" w:sz="4" w:space="0" w:color="auto"/>
              <w:left w:val="nil"/>
              <w:bottom w:val="nil"/>
              <w:right w:val="nil"/>
            </w:tcBorders>
          </w:tcPr>
          <w:p w14:paraId="7E34AE62" w14:textId="77777777" w:rsidR="00AB5E12" w:rsidRDefault="00AB5E12" w:rsidP="0032145D">
            <w:pPr>
              <w:pStyle w:val="Paragraph"/>
              <w:spacing w:beforeLines="20" w:before="48" w:afterLines="20" w:after="48" w:line="240" w:lineRule="auto"/>
              <w:jc w:val="center"/>
              <w:rPr>
                <w:szCs w:val="22"/>
              </w:rPr>
            </w:pPr>
          </w:p>
        </w:tc>
        <w:tc>
          <w:tcPr>
            <w:tcW w:w="2835" w:type="dxa"/>
            <w:gridSpan w:val="2"/>
            <w:tcBorders>
              <w:top w:val="single" w:sz="4" w:space="0" w:color="auto"/>
              <w:left w:val="nil"/>
              <w:bottom w:val="nil"/>
              <w:right w:val="single" w:sz="4" w:space="0" w:color="auto"/>
            </w:tcBorders>
          </w:tcPr>
          <w:p w14:paraId="4612EA99" w14:textId="77777777" w:rsidR="00AB5E12" w:rsidRDefault="00AB5E12" w:rsidP="0032145D">
            <w:pPr>
              <w:pStyle w:val="Paragraph"/>
              <w:spacing w:beforeLines="20" w:before="48" w:afterLines="20" w:after="48" w:line="240" w:lineRule="auto"/>
              <w:jc w:val="center"/>
              <w:rPr>
                <w:szCs w:val="22"/>
              </w:rPr>
            </w:pPr>
          </w:p>
        </w:tc>
      </w:tr>
      <w:tr w:rsidR="00AB5E12" w14:paraId="3DD38E19" w14:textId="77777777" w:rsidTr="0032145D">
        <w:tc>
          <w:tcPr>
            <w:tcW w:w="3686" w:type="dxa"/>
            <w:tcBorders>
              <w:top w:val="single" w:sz="4" w:space="0" w:color="auto"/>
              <w:left w:val="single" w:sz="4" w:space="0" w:color="auto"/>
              <w:bottom w:val="nil"/>
              <w:right w:val="nil"/>
            </w:tcBorders>
            <w:hideMark/>
          </w:tcPr>
          <w:p w14:paraId="5AA36A7D" w14:textId="77777777" w:rsidR="00AB5E12" w:rsidRDefault="00AB5E12" w:rsidP="0032145D">
            <w:pPr>
              <w:spacing w:beforeLines="20" w:before="48" w:afterLines="20" w:after="48"/>
              <w:jc w:val="left"/>
              <w:rPr>
                <w:rFonts w:eastAsia="Times New Roman"/>
                <w:b/>
                <w:i/>
                <w:sz w:val="22"/>
                <w:lang w:eastAsia="zh-CN"/>
              </w:rPr>
            </w:pPr>
            <w:r>
              <w:rPr>
                <w:rFonts w:eastAsia="Times New Roman"/>
                <w:b/>
                <w:i/>
                <w:sz w:val="22"/>
                <w:lang w:eastAsia="zh-CN"/>
              </w:rPr>
              <w:t>OS analysis</w:t>
            </w:r>
          </w:p>
        </w:tc>
        <w:tc>
          <w:tcPr>
            <w:tcW w:w="2693" w:type="dxa"/>
            <w:tcBorders>
              <w:top w:val="single" w:sz="4" w:space="0" w:color="auto"/>
              <w:left w:val="nil"/>
              <w:bottom w:val="nil"/>
              <w:right w:val="nil"/>
            </w:tcBorders>
            <w:hideMark/>
          </w:tcPr>
          <w:p w14:paraId="4A391F7E"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201</w:t>
            </w:r>
          </w:p>
        </w:tc>
        <w:tc>
          <w:tcPr>
            <w:tcW w:w="2835" w:type="dxa"/>
            <w:gridSpan w:val="2"/>
            <w:tcBorders>
              <w:top w:val="single" w:sz="4" w:space="0" w:color="auto"/>
              <w:left w:val="nil"/>
              <w:bottom w:val="nil"/>
              <w:right w:val="single" w:sz="4" w:space="0" w:color="auto"/>
            </w:tcBorders>
            <w:hideMark/>
          </w:tcPr>
          <w:p w14:paraId="0C79F5B3"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202</w:t>
            </w:r>
          </w:p>
        </w:tc>
      </w:tr>
      <w:tr w:rsidR="00AB5E12" w14:paraId="4577BE5B" w14:textId="77777777" w:rsidTr="0032145D">
        <w:tc>
          <w:tcPr>
            <w:tcW w:w="3686" w:type="dxa"/>
            <w:tcBorders>
              <w:top w:val="nil"/>
              <w:left w:val="single" w:sz="4" w:space="0" w:color="auto"/>
              <w:bottom w:val="nil"/>
              <w:right w:val="nil"/>
            </w:tcBorders>
            <w:hideMark/>
          </w:tcPr>
          <w:p w14:paraId="77FF2627"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No. of deaths (%)</w:t>
            </w:r>
          </w:p>
        </w:tc>
        <w:tc>
          <w:tcPr>
            <w:tcW w:w="2693" w:type="dxa"/>
            <w:tcBorders>
              <w:top w:val="nil"/>
              <w:left w:val="nil"/>
              <w:bottom w:val="nil"/>
              <w:right w:val="nil"/>
            </w:tcBorders>
            <w:hideMark/>
          </w:tcPr>
          <w:p w14:paraId="1267948A"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104 (51.7%)</w:t>
            </w:r>
          </w:p>
        </w:tc>
        <w:tc>
          <w:tcPr>
            <w:tcW w:w="2835" w:type="dxa"/>
            <w:gridSpan w:val="2"/>
            <w:tcBorders>
              <w:top w:val="nil"/>
              <w:left w:val="nil"/>
              <w:bottom w:val="nil"/>
              <w:right w:val="single" w:sz="4" w:space="0" w:color="auto"/>
            </w:tcBorders>
            <w:hideMark/>
          </w:tcPr>
          <w:p w14:paraId="2ABA3B0A"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134 (66.3%)</w:t>
            </w:r>
          </w:p>
        </w:tc>
      </w:tr>
      <w:tr w:rsidR="00AB5E12" w14:paraId="2D9615AC" w14:textId="77777777" w:rsidTr="0032145D">
        <w:tc>
          <w:tcPr>
            <w:tcW w:w="3686" w:type="dxa"/>
            <w:tcBorders>
              <w:top w:val="nil"/>
              <w:left w:val="single" w:sz="4" w:space="0" w:color="auto"/>
              <w:bottom w:val="nil"/>
              <w:right w:val="nil"/>
            </w:tcBorders>
            <w:hideMark/>
          </w:tcPr>
          <w:p w14:paraId="1DCE8D17"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Median time to events (months)</w:t>
            </w:r>
          </w:p>
        </w:tc>
        <w:tc>
          <w:tcPr>
            <w:tcW w:w="2693" w:type="dxa"/>
            <w:tcBorders>
              <w:top w:val="nil"/>
              <w:left w:val="nil"/>
              <w:bottom w:val="nil"/>
              <w:right w:val="nil"/>
            </w:tcBorders>
            <w:hideMark/>
          </w:tcPr>
          <w:p w14:paraId="180771A4"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12.3</w:t>
            </w:r>
          </w:p>
        </w:tc>
        <w:tc>
          <w:tcPr>
            <w:tcW w:w="2835" w:type="dxa"/>
            <w:gridSpan w:val="2"/>
            <w:tcBorders>
              <w:top w:val="nil"/>
              <w:left w:val="nil"/>
              <w:bottom w:val="nil"/>
              <w:right w:val="single" w:sz="4" w:space="0" w:color="auto"/>
            </w:tcBorders>
            <w:hideMark/>
          </w:tcPr>
          <w:p w14:paraId="709F6296"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10.3</w:t>
            </w:r>
          </w:p>
        </w:tc>
      </w:tr>
      <w:tr w:rsidR="00AB5E12" w14:paraId="2F9F81A2" w14:textId="77777777" w:rsidTr="0032145D">
        <w:tc>
          <w:tcPr>
            <w:tcW w:w="3686" w:type="dxa"/>
            <w:tcBorders>
              <w:top w:val="nil"/>
              <w:left w:val="single" w:sz="4" w:space="0" w:color="auto"/>
              <w:bottom w:val="nil"/>
              <w:right w:val="nil"/>
            </w:tcBorders>
            <w:hideMark/>
          </w:tcPr>
          <w:p w14:paraId="71CA20A7"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95% CI</w:t>
            </w:r>
          </w:p>
        </w:tc>
        <w:tc>
          <w:tcPr>
            <w:tcW w:w="2693" w:type="dxa"/>
            <w:tcBorders>
              <w:top w:val="nil"/>
              <w:left w:val="nil"/>
              <w:bottom w:val="nil"/>
              <w:right w:val="nil"/>
            </w:tcBorders>
            <w:hideMark/>
          </w:tcPr>
          <w:p w14:paraId="72539735"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(10.8, 15.9)</w:t>
            </w:r>
          </w:p>
        </w:tc>
        <w:tc>
          <w:tcPr>
            <w:tcW w:w="2835" w:type="dxa"/>
            <w:gridSpan w:val="2"/>
            <w:tcBorders>
              <w:top w:val="nil"/>
              <w:left w:val="nil"/>
              <w:bottom w:val="nil"/>
              <w:right w:val="single" w:sz="4" w:space="0" w:color="auto"/>
            </w:tcBorders>
            <w:hideMark/>
          </w:tcPr>
          <w:p w14:paraId="0BDCC5DE"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(9.3, 11.3)</w:t>
            </w:r>
          </w:p>
        </w:tc>
      </w:tr>
      <w:tr w:rsidR="00AB5E12" w14:paraId="22FC94F3" w14:textId="77777777" w:rsidTr="0032145D">
        <w:tc>
          <w:tcPr>
            <w:tcW w:w="3686" w:type="dxa"/>
            <w:tcBorders>
              <w:top w:val="nil"/>
              <w:left w:val="single" w:sz="4" w:space="0" w:color="auto"/>
              <w:bottom w:val="nil"/>
              <w:right w:val="nil"/>
            </w:tcBorders>
            <w:hideMark/>
          </w:tcPr>
          <w:p w14:paraId="153CEF3B"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Stratified hazard ratio</w:t>
            </w:r>
            <w:r>
              <w:rPr>
                <w:rFonts w:eastAsia="Times New Roman"/>
                <w:sz w:val="22"/>
                <w:vertAlign w:val="superscript"/>
                <w:lang w:eastAsia="zh-CN"/>
              </w:rPr>
              <w:t>‡</w:t>
            </w:r>
            <w:r>
              <w:rPr>
                <w:rFonts w:eastAsia="Times New Roman"/>
                <w:sz w:val="22"/>
                <w:lang w:eastAsia="zh-CN"/>
              </w:rPr>
              <w:t xml:space="preserve"> (95% CI)</w:t>
            </w:r>
          </w:p>
        </w:tc>
        <w:tc>
          <w:tcPr>
            <w:tcW w:w="5528" w:type="dxa"/>
            <w:gridSpan w:val="3"/>
            <w:tcBorders>
              <w:top w:val="nil"/>
              <w:left w:val="nil"/>
              <w:bottom w:val="nil"/>
              <w:right w:val="single" w:sz="4" w:space="0" w:color="auto"/>
            </w:tcBorders>
            <w:hideMark/>
          </w:tcPr>
          <w:p w14:paraId="5DB279EE"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 xml:space="preserve">0.70 </w:t>
            </w:r>
            <w:r>
              <w:rPr>
                <w:rFonts w:eastAsia="Times New Roman"/>
                <w:sz w:val="22"/>
                <w:lang w:eastAsia="zh-CN"/>
              </w:rPr>
              <w:t>(0.54, 0.91)</w:t>
            </w:r>
          </w:p>
        </w:tc>
      </w:tr>
      <w:tr w:rsidR="00AB5E12" w14:paraId="1B565CED" w14:textId="77777777" w:rsidTr="0032145D">
        <w:tc>
          <w:tcPr>
            <w:tcW w:w="3686" w:type="dxa"/>
            <w:tcBorders>
              <w:top w:val="nil"/>
              <w:left w:val="single" w:sz="4" w:space="0" w:color="auto"/>
              <w:bottom w:val="nil"/>
              <w:right w:val="nil"/>
            </w:tcBorders>
            <w:hideMark/>
          </w:tcPr>
          <w:p w14:paraId="4EEB00EC"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p-value</w:t>
            </w:r>
          </w:p>
        </w:tc>
        <w:tc>
          <w:tcPr>
            <w:tcW w:w="5528" w:type="dxa"/>
            <w:gridSpan w:val="3"/>
            <w:tcBorders>
              <w:top w:val="nil"/>
              <w:left w:val="nil"/>
              <w:bottom w:val="nil"/>
              <w:right w:val="single" w:sz="4" w:space="0" w:color="auto"/>
            </w:tcBorders>
            <w:hideMark/>
          </w:tcPr>
          <w:p w14:paraId="288F44FD"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0.0069</w:t>
            </w:r>
          </w:p>
        </w:tc>
      </w:tr>
      <w:tr w:rsidR="00AB5E12" w14:paraId="4F2D2459" w14:textId="77777777" w:rsidTr="0032145D">
        <w:tc>
          <w:tcPr>
            <w:tcW w:w="3686" w:type="dxa"/>
            <w:tcBorders>
              <w:top w:val="nil"/>
              <w:left w:val="single" w:sz="4" w:space="0" w:color="auto"/>
              <w:bottom w:val="single" w:sz="4" w:space="0" w:color="auto"/>
              <w:right w:val="nil"/>
            </w:tcBorders>
            <w:hideMark/>
          </w:tcPr>
          <w:p w14:paraId="5B37C0B8" w14:textId="77777777" w:rsidR="00AB5E12" w:rsidRDefault="00AB5E12" w:rsidP="0032145D">
            <w:pPr>
              <w:spacing w:beforeLines="20" w:before="48" w:afterLines="20" w:after="48"/>
              <w:jc w:val="left"/>
              <w:rPr>
                <w:rFonts w:eastAsia="Times New Roman"/>
                <w:b/>
                <w:i/>
                <w:sz w:val="22"/>
                <w:lang w:eastAsia="zh-CN"/>
              </w:rPr>
            </w:pPr>
            <w:r>
              <w:rPr>
                <w:rFonts w:eastAsia="Times New Roman"/>
                <w:sz w:val="22"/>
                <w:lang w:eastAsia="zh-CN"/>
              </w:rPr>
              <w:t>12-month OS (%)</w:t>
            </w:r>
          </w:p>
        </w:tc>
        <w:tc>
          <w:tcPr>
            <w:tcW w:w="2693" w:type="dxa"/>
            <w:tcBorders>
              <w:top w:val="nil"/>
              <w:left w:val="nil"/>
              <w:bottom w:val="single" w:sz="4" w:space="0" w:color="auto"/>
              <w:right w:val="nil"/>
            </w:tcBorders>
            <w:hideMark/>
          </w:tcPr>
          <w:p w14:paraId="04E93DC5"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51.7</w:t>
            </w:r>
          </w:p>
        </w:tc>
        <w:tc>
          <w:tcPr>
            <w:tcW w:w="2835" w:type="dxa"/>
            <w:gridSpan w:val="2"/>
            <w:tcBorders>
              <w:top w:val="nil"/>
              <w:left w:val="nil"/>
              <w:bottom w:val="single" w:sz="4" w:space="0" w:color="auto"/>
              <w:right w:val="single" w:sz="4" w:space="0" w:color="auto"/>
            </w:tcBorders>
            <w:hideMark/>
          </w:tcPr>
          <w:p w14:paraId="02F369C4" w14:textId="77777777" w:rsidR="00AB5E12" w:rsidRDefault="00AB5E12" w:rsidP="0032145D">
            <w:pPr>
              <w:keepNext/>
              <w:spacing w:beforeLines="20" w:before="48" w:afterLines="20" w:after="48"/>
              <w:jc w:val="center"/>
              <w:rPr>
                <w:rFonts w:eastAsia="Times New Roman"/>
                <w:sz w:val="22"/>
                <w:lang w:eastAsia="zh-CN"/>
              </w:rPr>
            </w:pPr>
            <w:r>
              <w:rPr>
                <w:sz w:val="22"/>
                <w:lang w:eastAsia="zh-CN"/>
              </w:rPr>
              <w:t>38.2</w:t>
            </w:r>
          </w:p>
        </w:tc>
      </w:tr>
      <w:tr w:rsidR="00AB5E12" w14:paraId="22BDB4FD" w14:textId="77777777" w:rsidTr="0032145D">
        <w:tc>
          <w:tcPr>
            <w:tcW w:w="3686" w:type="dxa"/>
            <w:tcBorders>
              <w:top w:val="single" w:sz="4" w:space="0" w:color="auto"/>
              <w:left w:val="single" w:sz="4" w:space="0" w:color="auto"/>
              <w:bottom w:val="nil"/>
              <w:right w:val="nil"/>
            </w:tcBorders>
            <w:hideMark/>
          </w:tcPr>
          <w:p w14:paraId="11D84141" w14:textId="77777777" w:rsidR="00AB5E12" w:rsidRDefault="00AB5E12" w:rsidP="0032145D">
            <w:pPr>
              <w:spacing w:beforeLines="20" w:before="48" w:afterLines="20" w:after="48"/>
              <w:jc w:val="left"/>
              <w:rPr>
                <w:rFonts w:eastAsia="Times New Roman"/>
                <w:b/>
                <w:i/>
                <w:sz w:val="22"/>
                <w:vertAlign w:val="superscript"/>
                <w:lang w:eastAsia="zh-CN"/>
              </w:rPr>
            </w:pPr>
            <w:r>
              <w:rPr>
                <w:rFonts w:eastAsia="Times New Roman"/>
                <w:b/>
                <w:i/>
                <w:sz w:val="22"/>
                <w:lang w:eastAsia="zh-CN"/>
              </w:rPr>
              <w:t>Investigator-assessed PFS (RECIST v1.1</w:t>
            </w:r>
            <w:r>
              <w:rPr>
                <w:rFonts w:eastAsia="Times New Roman"/>
                <w:sz w:val="22"/>
                <w:lang w:eastAsia="zh-CN"/>
              </w:rPr>
              <w:t xml:space="preserve">) </w:t>
            </w:r>
          </w:p>
        </w:tc>
        <w:tc>
          <w:tcPr>
            <w:tcW w:w="2693" w:type="dxa"/>
            <w:tcBorders>
              <w:top w:val="single" w:sz="4" w:space="0" w:color="auto"/>
              <w:left w:val="nil"/>
              <w:bottom w:val="nil"/>
              <w:right w:val="nil"/>
            </w:tcBorders>
            <w:hideMark/>
          </w:tcPr>
          <w:p w14:paraId="304C19B4"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201</w:t>
            </w:r>
          </w:p>
        </w:tc>
        <w:tc>
          <w:tcPr>
            <w:tcW w:w="2835" w:type="dxa"/>
            <w:gridSpan w:val="2"/>
            <w:tcBorders>
              <w:top w:val="single" w:sz="4" w:space="0" w:color="auto"/>
              <w:left w:val="nil"/>
              <w:bottom w:val="nil"/>
              <w:right w:val="single" w:sz="4" w:space="0" w:color="auto"/>
            </w:tcBorders>
            <w:hideMark/>
          </w:tcPr>
          <w:p w14:paraId="7282E5FB"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202</w:t>
            </w:r>
          </w:p>
        </w:tc>
      </w:tr>
      <w:tr w:rsidR="00AB5E12" w14:paraId="5A36706E" w14:textId="77777777" w:rsidTr="0032145D">
        <w:tc>
          <w:tcPr>
            <w:tcW w:w="3686" w:type="dxa"/>
            <w:tcBorders>
              <w:top w:val="nil"/>
              <w:left w:val="single" w:sz="4" w:space="0" w:color="auto"/>
              <w:bottom w:val="nil"/>
              <w:right w:val="nil"/>
            </w:tcBorders>
            <w:hideMark/>
          </w:tcPr>
          <w:p w14:paraId="62D5097A"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No. of events (%)</w:t>
            </w:r>
          </w:p>
        </w:tc>
        <w:tc>
          <w:tcPr>
            <w:tcW w:w="2693" w:type="dxa"/>
            <w:tcBorders>
              <w:top w:val="nil"/>
              <w:left w:val="nil"/>
              <w:bottom w:val="nil"/>
              <w:right w:val="nil"/>
            </w:tcBorders>
            <w:hideMark/>
          </w:tcPr>
          <w:p w14:paraId="21D976AC" w14:textId="77777777" w:rsidR="00AB5E12" w:rsidRDefault="00AB5E12" w:rsidP="0032145D">
            <w:pPr>
              <w:keepNext/>
              <w:spacing w:beforeLines="20" w:before="48" w:afterLines="20" w:after="48"/>
              <w:jc w:val="center"/>
              <w:rPr>
                <w:sz w:val="22"/>
                <w:lang w:eastAsia="zh-CN"/>
              </w:rPr>
            </w:pPr>
            <w:r>
              <w:rPr>
                <w:sz w:val="22"/>
                <w:lang w:eastAsia="zh-CN"/>
              </w:rPr>
              <w:t>171 (85.1%)</w:t>
            </w:r>
          </w:p>
        </w:tc>
        <w:tc>
          <w:tcPr>
            <w:tcW w:w="2835" w:type="dxa"/>
            <w:gridSpan w:val="2"/>
            <w:tcBorders>
              <w:top w:val="nil"/>
              <w:left w:val="nil"/>
              <w:bottom w:val="nil"/>
              <w:right w:val="single" w:sz="4" w:space="0" w:color="auto"/>
            </w:tcBorders>
            <w:hideMark/>
          </w:tcPr>
          <w:p w14:paraId="2EAA66CC" w14:textId="77777777" w:rsidR="00AB5E12" w:rsidRDefault="00AB5E12" w:rsidP="0032145D">
            <w:pPr>
              <w:keepNext/>
              <w:spacing w:beforeLines="20" w:before="48" w:afterLines="20" w:after="48"/>
              <w:jc w:val="center"/>
              <w:rPr>
                <w:sz w:val="22"/>
                <w:lang w:eastAsia="zh-CN"/>
              </w:rPr>
            </w:pPr>
            <w:r>
              <w:rPr>
                <w:sz w:val="22"/>
                <w:lang w:eastAsia="zh-CN"/>
              </w:rPr>
              <w:t>189 (93.6%)</w:t>
            </w:r>
          </w:p>
        </w:tc>
      </w:tr>
      <w:tr w:rsidR="00AB5E12" w14:paraId="67F98AF6" w14:textId="77777777" w:rsidTr="0032145D">
        <w:tc>
          <w:tcPr>
            <w:tcW w:w="3686" w:type="dxa"/>
            <w:tcBorders>
              <w:top w:val="nil"/>
              <w:left w:val="single" w:sz="4" w:space="0" w:color="auto"/>
              <w:bottom w:val="nil"/>
              <w:right w:val="nil"/>
            </w:tcBorders>
            <w:hideMark/>
          </w:tcPr>
          <w:p w14:paraId="7584215F"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Median duration of PFS (months)</w:t>
            </w:r>
          </w:p>
        </w:tc>
        <w:tc>
          <w:tcPr>
            <w:tcW w:w="2693" w:type="dxa"/>
            <w:tcBorders>
              <w:top w:val="nil"/>
              <w:left w:val="nil"/>
              <w:bottom w:val="nil"/>
              <w:right w:val="nil"/>
            </w:tcBorders>
            <w:hideMark/>
          </w:tcPr>
          <w:p w14:paraId="69012B8D" w14:textId="77777777" w:rsidR="00AB5E12" w:rsidRDefault="00AB5E12" w:rsidP="0032145D">
            <w:pPr>
              <w:keepNext/>
              <w:spacing w:beforeLines="20" w:before="48" w:afterLines="20" w:after="48"/>
              <w:jc w:val="center"/>
              <w:rPr>
                <w:sz w:val="22"/>
                <w:lang w:eastAsia="zh-CN"/>
              </w:rPr>
            </w:pPr>
            <w:r>
              <w:rPr>
                <w:sz w:val="22"/>
                <w:lang w:eastAsia="zh-CN"/>
              </w:rPr>
              <w:t>5.2</w:t>
            </w:r>
          </w:p>
        </w:tc>
        <w:tc>
          <w:tcPr>
            <w:tcW w:w="2835" w:type="dxa"/>
            <w:gridSpan w:val="2"/>
            <w:tcBorders>
              <w:top w:val="nil"/>
              <w:left w:val="nil"/>
              <w:bottom w:val="nil"/>
              <w:right w:val="single" w:sz="4" w:space="0" w:color="auto"/>
            </w:tcBorders>
            <w:hideMark/>
          </w:tcPr>
          <w:p w14:paraId="6CF0ABBE" w14:textId="77777777" w:rsidR="00AB5E12" w:rsidRDefault="00AB5E12" w:rsidP="0032145D">
            <w:pPr>
              <w:keepNext/>
              <w:spacing w:beforeLines="20" w:before="48" w:afterLines="20" w:after="48"/>
              <w:jc w:val="center"/>
              <w:rPr>
                <w:sz w:val="22"/>
                <w:lang w:eastAsia="zh-CN"/>
              </w:rPr>
            </w:pPr>
            <w:r>
              <w:rPr>
                <w:sz w:val="22"/>
                <w:lang w:eastAsia="zh-CN"/>
              </w:rPr>
              <w:t>4.3</w:t>
            </w:r>
          </w:p>
        </w:tc>
      </w:tr>
      <w:tr w:rsidR="00AB5E12" w14:paraId="750263E2" w14:textId="77777777" w:rsidTr="0032145D">
        <w:tc>
          <w:tcPr>
            <w:tcW w:w="3686" w:type="dxa"/>
            <w:tcBorders>
              <w:top w:val="nil"/>
              <w:left w:val="single" w:sz="4" w:space="0" w:color="auto"/>
              <w:bottom w:val="nil"/>
              <w:right w:val="nil"/>
            </w:tcBorders>
            <w:hideMark/>
          </w:tcPr>
          <w:p w14:paraId="6B54F1C8"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95% CI</w:t>
            </w:r>
          </w:p>
        </w:tc>
        <w:tc>
          <w:tcPr>
            <w:tcW w:w="2693" w:type="dxa"/>
            <w:tcBorders>
              <w:top w:val="nil"/>
              <w:left w:val="nil"/>
              <w:bottom w:val="nil"/>
              <w:right w:val="nil"/>
            </w:tcBorders>
            <w:hideMark/>
          </w:tcPr>
          <w:p w14:paraId="34CC6D82" w14:textId="77777777" w:rsidR="00AB5E12" w:rsidRDefault="00AB5E12" w:rsidP="0032145D">
            <w:pPr>
              <w:keepNext/>
              <w:spacing w:beforeLines="20" w:before="48" w:afterLines="20" w:after="48"/>
              <w:jc w:val="center"/>
              <w:rPr>
                <w:sz w:val="22"/>
                <w:lang w:eastAsia="zh-CN"/>
              </w:rPr>
            </w:pPr>
            <w:r>
              <w:rPr>
                <w:sz w:val="22"/>
                <w:lang w:eastAsia="zh-CN"/>
              </w:rPr>
              <w:t>(4.4, 5.6)</w:t>
            </w:r>
          </w:p>
        </w:tc>
        <w:tc>
          <w:tcPr>
            <w:tcW w:w="2835" w:type="dxa"/>
            <w:gridSpan w:val="2"/>
            <w:tcBorders>
              <w:top w:val="nil"/>
              <w:left w:val="nil"/>
              <w:bottom w:val="nil"/>
              <w:right w:val="single" w:sz="4" w:space="0" w:color="auto"/>
            </w:tcBorders>
            <w:hideMark/>
          </w:tcPr>
          <w:p w14:paraId="2191E4C7" w14:textId="77777777" w:rsidR="00AB5E12" w:rsidRDefault="00AB5E12" w:rsidP="0032145D">
            <w:pPr>
              <w:keepNext/>
              <w:spacing w:beforeLines="20" w:before="48" w:afterLines="20" w:after="48"/>
              <w:jc w:val="center"/>
              <w:rPr>
                <w:sz w:val="22"/>
                <w:lang w:eastAsia="zh-CN"/>
              </w:rPr>
            </w:pPr>
            <w:r>
              <w:rPr>
                <w:sz w:val="22"/>
                <w:lang w:eastAsia="zh-CN"/>
              </w:rPr>
              <w:t>(4.2, 4.5)</w:t>
            </w:r>
          </w:p>
        </w:tc>
      </w:tr>
      <w:tr w:rsidR="00AB5E12" w14:paraId="6BFB0FC4" w14:textId="77777777" w:rsidTr="0032145D">
        <w:tc>
          <w:tcPr>
            <w:tcW w:w="3686" w:type="dxa"/>
            <w:tcBorders>
              <w:top w:val="nil"/>
              <w:left w:val="single" w:sz="4" w:space="0" w:color="auto"/>
              <w:bottom w:val="nil"/>
              <w:right w:val="nil"/>
            </w:tcBorders>
            <w:hideMark/>
          </w:tcPr>
          <w:p w14:paraId="77BEBAC7"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Stratified hazard ratio</w:t>
            </w:r>
            <w:r>
              <w:rPr>
                <w:rFonts w:eastAsia="Times New Roman"/>
                <w:sz w:val="22"/>
                <w:vertAlign w:val="superscript"/>
                <w:lang w:eastAsia="zh-CN"/>
              </w:rPr>
              <w:t>‡</w:t>
            </w:r>
            <w:r>
              <w:rPr>
                <w:rFonts w:eastAsia="Times New Roman"/>
                <w:sz w:val="22"/>
                <w:lang w:eastAsia="zh-CN"/>
              </w:rPr>
              <w:t xml:space="preserve"> (95% CI)</w:t>
            </w:r>
          </w:p>
        </w:tc>
        <w:tc>
          <w:tcPr>
            <w:tcW w:w="5528" w:type="dxa"/>
            <w:gridSpan w:val="3"/>
            <w:tcBorders>
              <w:top w:val="nil"/>
              <w:left w:val="nil"/>
              <w:bottom w:val="nil"/>
              <w:right w:val="single" w:sz="4" w:space="0" w:color="auto"/>
            </w:tcBorders>
            <w:hideMark/>
          </w:tcPr>
          <w:p w14:paraId="6B1050DD" w14:textId="77777777" w:rsidR="00AB5E12" w:rsidRDefault="00AB5E12" w:rsidP="0032145D">
            <w:pPr>
              <w:keepNext/>
              <w:spacing w:beforeLines="20" w:before="48" w:afterLines="20" w:after="48"/>
              <w:jc w:val="center"/>
              <w:rPr>
                <w:sz w:val="22"/>
                <w:lang w:eastAsia="zh-CN"/>
              </w:rPr>
            </w:pPr>
            <w:r>
              <w:rPr>
                <w:sz w:val="22"/>
                <w:lang w:eastAsia="zh-CN"/>
              </w:rPr>
              <w:t>0.77</w:t>
            </w:r>
            <w:r>
              <w:rPr>
                <w:rFonts w:eastAsia="Times New Roman"/>
                <w:sz w:val="22"/>
                <w:lang w:eastAsia="zh-CN"/>
              </w:rPr>
              <w:t xml:space="preserve"> (0.62, 0.96)</w:t>
            </w:r>
          </w:p>
        </w:tc>
      </w:tr>
      <w:tr w:rsidR="00AB5E12" w14:paraId="017EA2AC" w14:textId="77777777" w:rsidTr="0032145D">
        <w:tc>
          <w:tcPr>
            <w:tcW w:w="3686" w:type="dxa"/>
            <w:tcBorders>
              <w:top w:val="nil"/>
              <w:left w:val="single" w:sz="4" w:space="0" w:color="auto"/>
              <w:bottom w:val="nil"/>
              <w:right w:val="nil"/>
            </w:tcBorders>
            <w:hideMark/>
          </w:tcPr>
          <w:p w14:paraId="1998B82F"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p-value</w:t>
            </w:r>
          </w:p>
        </w:tc>
        <w:tc>
          <w:tcPr>
            <w:tcW w:w="5528" w:type="dxa"/>
            <w:gridSpan w:val="3"/>
            <w:tcBorders>
              <w:top w:val="nil"/>
              <w:left w:val="nil"/>
              <w:bottom w:val="nil"/>
              <w:right w:val="single" w:sz="4" w:space="0" w:color="auto"/>
            </w:tcBorders>
            <w:hideMark/>
          </w:tcPr>
          <w:p w14:paraId="12DE9ECC" w14:textId="77777777" w:rsidR="00AB5E12" w:rsidRDefault="00AB5E12" w:rsidP="0032145D">
            <w:pPr>
              <w:keepNext/>
              <w:spacing w:beforeLines="20" w:before="48" w:afterLines="20" w:after="48"/>
              <w:jc w:val="center"/>
              <w:rPr>
                <w:sz w:val="22"/>
                <w:lang w:eastAsia="zh-CN"/>
              </w:rPr>
            </w:pPr>
            <w:r>
              <w:rPr>
                <w:sz w:val="22"/>
                <w:lang w:eastAsia="zh-CN"/>
              </w:rPr>
              <w:t>0.0170</w:t>
            </w:r>
          </w:p>
        </w:tc>
      </w:tr>
      <w:tr w:rsidR="00AB5E12" w14:paraId="79BFB7AF" w14:textId="77777777" w:rsidTr="0032145D">
        <w:tc>
          <w:tcPr>
            <w:tcW w:w="3686" w:type="dxa"/>
            <w:tcBorders>
              <w:top w:val="nil"/>
              <w:left w:val="single" w:sz="4" w:space="0" w:color="auto"/>
              <w:bottom w:val="single" w:sz="4" w:space="0" w:color="auto"/>
              <w:right w:val="nil"/>
            </w:tcBorders>
            <w:hideMark/>
          </w:tcPr>
          <w:p w14:paraId="72335A8D"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6-month PFS (%)</w:t>
            </w:r>
          </w:p>
          <w:p w14:paraId="3725CAA9"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12-month PFS (%)</w:t>
            </w:r>
          </w:p>
        </w:tc>
        <w:tc>
          <w:tcPr>
            <w:tcW w:w="3686" w:type="dxa"/>
            <w:gridSpan w:val="2"/>
            <w:tcBorders>
              <w:top w:val="nil"/>
              <w:left w:val="nil"/>
              <w:bottom w:val="single" w:sz="4" w:space="0" w:color="auto"/>
              <w:right w:val="nil"/>
            </w:tcBorders>
            <w:hideMark/>
          </w:tcPr>
          <w:p w14:paraId="3FDC88F1" w14:textId="77777777" w:rsidR="00AB5E12" w:rsidRDefault="00AB5E12" w:rsidP="0032145D">
            <w:pPr>
              <w:keepNext/>
              <w:spacing w:beforeLines="20" w:before="48" w:afterLines="20" w:after="48"/>
              <w:jc w:val="center"/>
              <w:rPr>
                <w:sz w:val="22"/>
                <w:lang w:eastAsia="zh-CN"/>
              </w:rPr>
            </w:pPr>
            <w:r>
              <w:rPr>
                <w:sz w:val="22"/>
                <w:lang w:eastAsia="zh-CN"/>
              </w:rPr>
              <w:t>30.9</w:t>
            </w:r>
          </w:p>
          <w:p w14:paraId="0A7E4D56" w14:textId="77777777" w:rsidR="00AB5E12" w:rsidRDefault="00AB5E12" w:rsidP="0032145D">
            <w:pPr>
              <w:spacing w:beforeLines="20" w:before="48" w:afterLines="20" w:after="48"/>
              <w:jc w:val="center"/>
              <w:rPr>
                <w:rFonts w:eastAsia="Times New Roman"/>
                <w:sz w:val="22"/>
                <w:lang w:eastAsia="zh-CN"/>
              </w:rPr>
            </w:pPr>
            <w:r>
              <w:rPr>
                <w:rFonts w:eastAsia="Times New Roman"/>
                <w:sz w:val="22"/>
                <w:lang w:eastAsia="zh-CN"/>
              </w:rPr>
              <w:t>12.6</w:t>
            </w:r>
          </w:p>
        </w:tc>
        <w:tc>
          <w:tcPr>
            <w:tcW w:w="1842" w:type="dxa"/>
            <w:tcBorders>
              <w:top w:val="nil"/>
              <w:left w:val="nil"/>
              <w:bottom w:val="single" w:sz="4" w:space="0" w:color="auto"/>
              <w:right w:val="single" w:sz="4" w:space="0" w:color="auto"/>
            </w:tcBorders>
            <w:hideMark/>
          </w:tcPr>
          <w:p w14:paraId="2A69902B" w14:textId="77777777" w:rsidR="00AB5E12" w:rsidRDefault="00AB5E12" w:rsidP="0032145D">
            <w:pPr>
              <w:keepNext/>
              <w:spacing w:beforeLines="20" w:before="48" w:afterLines="20" w:after="48"/>
              <w:jc w:val="center"/>
              <w:rPr>
                <w:sz w:val="22"/>
                <w:lang w:eastAsia="zh-CN"/>
              </w:rPr>
            </w:pPr>
            <w:r>
              <w:rPr>
                <w:sz w:val="22"/>
                <w:lang w:eastAsia="zh-CN"/>
              </w:rPr>
              <w:t>22.4</w:t>
            </w:r>
          </w:p>
          <w:p w14:paraId="2ECC96BE" w14:textId="77777777" w:rsidR="00AB5E12" w:rsidRDefault="00AB5E12" w:rsidP="0032145D">
            <w:pPr>
              <w:keepNext/>
              <w:spacing w:beforeLines="20" w:before="48" w:afterLines="20" w:after="48"/>
              <w:jc w:val="center"/>
              <w:rPr>
                <w:sz w:val="22"/>
                <w:lang w:eastAsia="zh-CN"/>
              </w:rPr>
            </w:pPr>
            <w:r>
              <w:rPr>
                <w:rFonts w:eastAsia="Times New Roman"/>
                <w:sz w:val="22"/>
                <w:lang w:eastAsia="zh-CN"/>
              </w:rPr>
              <w:t>5.4</w:t>
            </w:r>
          </w:p>
        </w:tc>
      </w:tr>
      <w:tr w:rsidR="00AB5E12" w14:paraId="1E88E613" w14:textId="77777777" w:rsidTr="0032145D">
        <w:tc>
          <w:tcPr>
            <w:tcW w:w="3686" w:type="dxa"/>
            <w:tcBorders>
              <w:top w:val="single" w:sz="4" w:space="0" w:color="auto"/>
              <w:left w:val="single" w:sz="4" w:space="0" w:color="auto"/>
              <w:bottom w:val="nil"/>
              <w:right w:val="nil"/>
            </w:tcBorders>
            <w:hideMark/>
          </w:tcPr>
          <w:p w14:paraId="4AF6AB69" w14:textId="77777777" w:rsidR="00AB5E12" w:rsidRDefault="00AB5E12" w:rsidP="0032145D">
            <w:pPr>
              <w:pStyle w:val="Paragraph"/>
              <w:spacing w:beforeLines="20" w:before="48" w:afterLines="20" w:after="48" w:line="240" w:lineRule="auto"/>
              <w:rPr>
                <w:b/>
                <w:i/>
                <w:szCs w:val="22"/>
              </w:rPr>
            </w:pPr>
            <w:r>
              <w:rPr>
                <w:b/>
                <w:i/>
                <w:szCs w:val="22"/>
              </w:rPr>
              <w:t>Secondary  endpoints</w:t>
            </w:r>
          </w:p>
        </w:tc>
        <w:tc>
          <w:tcPr>
            <w:tcW w:w="2693" w:type="dxa"/>
            <w:tcBorders>
              <w:top w:val="single" w:sz="4" w:space="0" w:color="auto"/>
              <w:left w:val="nil"/>
              <w:bottom w:val="nil"/>
              <w:right w:val="nil"/>
            </w:tcBorders>
          </w:tcPr>
          <w:p w14:paraId="741AB847" w14:textId="77777777" w:rsidR="00AB5E12" w:rsidRDefault="00AB5E12" w:rsidP="0032145D">
            <w:pPr>
              <w:pStyle w:val="Paragraph"/>
              <w:spacing w:beforeLines="20" w:before="48" w:afterLines="20" w:after="48" w:line="240" w:lineRule="auto"/>
              <w:jc w:val="center"/>
              <w:rPr>
                <w:szCs w:val="22"/>
              </w:rPr>
            </w:pPr>
          </w:p>
        </w:tc>
        <w:tc>
          <w:tcPr>
            <w:tcW w:w="2835" w:type="dxa"/>
            <w:gridSpan w:val="2"/>
            <w:tcBorders>
              <w:top w:val="single" w:sz="4" w:space="0" w:color="auto"/>
              <w:left w:val="nil"/>
              <w:bottom w:val="nil"/>
              <w:right w:val="single" w:sz="4" w:space="0" w:color="auto"/>
            </w:tcBorders>
          </w:tcPr>
          <w:p w14:paraId="401C7387" w14:textId="77777777" w:rsidR="00AB5E12" w:rsidRDefault="00AB5E12" w:rsidP="0032145D">
            <w:pPr>
              <w:pStyle w:val="Paragraph"/>
              <w:spacing w:beforeLines="20" w:before="48" w:afterLines="20" w:after="48" w:line="240" w:lineRule="auto"/>
              <w:jc w:val="center"/>
              <w:rPr>
                <w:szCs w:val="22"/>
              </w:rPr>
            </w:pPr>
          </w:p>
        </w:tc>
      </w:tr>
      <w:tr w:rsidR="00AB5E12" w14:paraId="413A2A64" w14:textId="77777777" w:rsidTr="0032145D">
        <w:tc>
          <w:tcPr>
            <w:tcW w:w="3686" w:type="dxa"/>
            <w:tcBorders>
              <w:top w:val="single" w:sz="4" w:space="0" w:color="auto"/>
              <w:left w:val="single" w:sz="4" w:space="0" w:color="auto"/>
              <w:bottom w:val="nil"/>
              <w:right w:val="nil"/>
            </w:tcBorders>
            <w:hideMark/>
          </w:tcPr>
          <w:p w14:paraId="04EF2D30" w14:textId="77777777" w:rsidR="00AB5E12" w:rsidRDefault="00AB5E12" w:rsidP="0032145D">
            <w:pPr>
              <w:spacing w:beforeLines="20" w:before="48" w:afterLines="20" w:after="48"/>
              <w:jc w:val="left"/>
              <w:rPr>
                <w:rFonts w:eastAsia="Times New Roman"/>
                <w:b/>
                <w:i/>
                <w:sz w:val="22"/>
                <w:lang w:eastAsia="zh-CN"/>
              </w:rPr>
            </w:pPr>
            <w:r>
              <w:rPr>
                <w:rFonts w:eastAsia="Times New Roman"/>
                <w:b/>
                <w:i/>
                <w:sz w:val="22"/>
                <w:lang w:eastAsia="zh-CN"/>
              </w:rPr>
              <w:t>Investigator-assessed ORR (RECIST 1.1)</w:t>
            </w:r>
          </w:p>
        </w:tc>
        <w:tc>
          <w:tcPr>
            <w:tcW w:w="2693" w:type="dxa"/>
            <w:tcBorders>
              <w:top w:val="single" w:sz="4" w:space="0" w:color="auto"/>
              <w:left w:val="nil"/>
              <w:bottom w:val="nil"/>
              <w:right w:val="nil"/>
            </w:tcBorders>
            <w:hideMark/>
          </w:tcPr>
          <w:p w14:paraId="66A54C73"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201</w:t>
            </w:r>
          </w:p>
        </w:tc>
        <w:tc>
          <w:tcPr>
            <w:tcW w:w="2835" w:type="dxa"/>
            <w:gridSpan w:val="2"/>
            <w:tcBorders>
              <w:top w:val="single" w:sz="4" w:space="0" w:color="auto"/>
              <w:left w:val="nil"/>
              <w:bottom w:val="nil"/>
              <w:right w:val="single" w:sz="4" w:space="0" w:color="auto"/>
            </w:tcBorders>
            <w:hideMark/>
          </w:tcPr>
          <w:p w14:paraId="6E72B297"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202</w:t>
            </w:r>
          </w:p>
        </w:tc>
      </w:tr>
      <w:tr w:rsidR="00AB5E12" w14:paraId="5FE1E201" w14:textId="77777777" w:rsidTr="0032145D">
        <w:tc>
          <w:tcPr>
            <w:tcW w:w="3686" w:type="dxa"/>
            <w:tcBorders>
              <w:top w:val="nil"/>
              <w:left w:val="single" w:sz="4" w:space="0" w:color="auto"/>
              <w:bottom w:val="nil"/>
              <w:right w:val="nil"/>
            </w:tcBorders>
            <w:hideMark/>
          </w:tcPr>
          <w:p w14:paraId="6F790894"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lastRenderedPageBreak/>
              <w:t>No. of responders (%)</w:t>
            </w:r>
          </w:p>
        </w:tc>
        <w:tc>
          <w:tcPr>
            <w:tcW w:w="2693" w:type="dxa"/>
            <w:tcBorders>
              <w:top w:val="nil"/>
              <w:left w:val="nil"/>
              <w:bottom w:val="nil"/>
              <w:right w:val="nil"/>
            </w:tcBorders>
            <w:hideMark/>
          </w:tcPr>
          <w:p w14:paraId="114B1632" w14:textId="77777777" w:rsidR="00AB5E12" w:rsidRDefault="00AB5E12" w:rsidP="0032145D">
            <w:pPr>
              <w:keepNext/>
              <w:spacing w:beforeLines="20" w:before="48" w:afterLines="20" w:after="48"/>
              <w:jc w:val="center"/>
              <w:rPr>
                <w:sz w:val="22"/>
                <w:lang w:eastAsia="zh-CN"/>
              </w:rPr>
            </w:pPr>
            <w:r>
              <w:rPr>
                <w:sz w:val="22"/>
                <w:lang w:eastAsia="zh-CN"/>
              </w:rPr>
              <w:t>121 (60.2%)</w:t>
            </w:r>
          </w:p>
        </w:tc>
        <w:tc>
          <w:tcPr>
            <w:tcW w:w="2835" w:type="dxa"/>
            <w:gridSpan w:val="2"/>
            <w:tcBorders>
              <w:top w:val="nil"/>
              <w:left w:val="nil"/>
              <w:bottom w:val="nil"/>
              <w:right w:val="single" w:sz="4" w:space="0" w:color="auto"/>
            </w:tcBorders>
            <w:hideMark/>
          </w:tcPr>
          <w:p w14:paraId="089F3C88" w14:textId="77777777" w:rsidR="00AB5E12" w:rsidRDefault="00AB5E12" w:rsidP="0032145D">
            <w:pPr>
              <w:keepNext/>
              <w:spacing w:beforeLines="20" w:before="48" w:afterLines="20" w:after="48"/>
              <w:jc w:val="center"/>
              <w:rPr>
                <w:sz w:val="22"/>
                <w:lang w:eastAsia="zh-CN"/>
              </w:rPr>
            </w:pPr>
            <w:r>
              <w:rPr>
                <w:sz w:val="22"/>
                <w:lang w:eastAsia="zh-CN"/>
              </w:rPr>
              <w:t>130 (64.4%)</w:t>
            </w:r>
          </w:p>
        </w:tc>
      </w:tr>
      <w:tr w:rsidR="00AB5E12" w14:paraId="69E473BD" w14:textId="77777777" w:rsidTr="0032145D">
        <w:tc>
          <w:tcPr>
            <w:tcW w:w="3686" w:type="dxa"/>
            <w:tcBorders>
              <w:top w:val="nil"/>
              <w:left w:val="single" w:sz="4" w:space="0" w:color="auto"/>
              <w:bottom w:val="nil"/>
              <w:right w:val="nil"/>
            </w:tcBorders>
            <w:hideMark/>
          </w:tcPr>
          <w:p w14:paraId="77A82DD5"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95% CI</w:t>
            </w:r>
          </w:p>
        </w:tc>
        <w:tc>
          <w:tcPr>
            <w:tcW w:w="2693" w:type="dxa"/>
            <w:tcBorders>
              <w:top w:val="nil"/>
              <w:left w:val="nil"/>
              <w:bottom w:val="nil"/>
              <w:right w:val="nil"/>
            </w:tcBorders>
            <w:hideMark/>
          </w:tcPr>
          <w:p w14:paraId="09F32CAF" w14:textId="77777777" w:rsidR="00AB5E12" w:rsidRDefault="00AB5E12" w:rsidP="0032145D">
            <w:pPr>
              <w:keepNext/>
              <w:spacing w:beforeLines="20" w:before="48" w:afterLines="20" w:after="48"/>
              <w:jc w:val="center"/>
              <w:rPr>
                <w:sz w:val="22"/>
                <w:lang w:eastAsia="zh-CN"/>
              </w:rPr>
            </w:pPr>
            <w:r>
              <w:rPr>
                <w:sz w:val="22"/>
                <w:lang w:eastAsia="zh-CN"/>
              </w:rPr>
              <w:t>(53.1, 67.0)</w:t>
            </w:r>
          </w:p>
        </w:tc>
        <w:tc>
          <w:tcPr>
            <w:tcW w:w="2835" w:type="dxa"/>
            <w:gridSpan w:val="2"/>
            <w:tcBorders>
              <w:top w:val="nil"/>
              <w:left w:val="nil"/>
              <w:bottom w:val="nil"/>
              <w:right w:val="single" w:sz="4" w:space="0" w:color="auto"/>
            </w:tcBorders>
            <w:hideMark/>
          </w:tcPr>
          <w:p w14:paraId="5105E30E" w14:textId="77777777" w:rsidR="00AB5E12" w:rsidRDefault="00AB5E12" w:rsidP="0032145D">
            <w:pPr>
              <w:keepNext/>
              <w:spacing w:beforeLines="20" w:before="48" w:afterLines="20" w:after="48"/>
              <w:jc w:val="center"/>
              <w:rPr>
                <w:sz w:val="22"/>
                <w:lang w:eastAsia="zh-CN"/>
              </w:rPr>
            </w:pPr>
            <w:r>
              <w:rPr>
                <w:sz w:val="22"/>
                <w:lang w:eastAsia="zh-CN"/>
              </w:rPr>
              <w:t>(57.3, 71.0.)</w:t>
            </w:r>
          </w:p>
        </w:tc>
      </w:tr>
      <w:tr w:rsidR="00AB5E12" w14:paraId="4ADB5986" w14:textId="77777777" w:rsidTr="0032145D">
        <w:tc>
          <w:tcPr>
            <w:tcW w:w="3686" w:type="dxa"/>
            <w:tcBorders>
              <w:top w:val="nil"/>
              <w:left w:val="single" w:sz="4" w:space="0" w:color="auto"/>
              <w:bottom w:val="nil"/>
              <w:right w:val="nil"/>
            </w:tcBorders>
            <w:hideMark/>
          </w:tcPr>
          <w:p w14:paraId="7C3909D3"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ab/>
              <w:t>No. of complete response (%)</w:t>
            </w:r>
          </w:p>
        </w:tc>
        <w:tc>
          <w:tcPr>
            <w:tcW w:w="2693" w:type="dxa"/>
            <w:tcBorders>
              <w:top w:val="nil"/>
              <w:left w:val="nil"/>
              <w:bottom w:val="nil"/>
              <w:right w:val="nil"/>
            </w:tcBorders>
            <w:hideMark/>
          </w:tcPr>
          <w:p w14:paraId="333AE0A2" w14:textId="77777777" w:rsidR="00AB5E12" w:rsidRDefault="00AB5E12" w:rsidP="0032145D">
            <w:pPr>
              <w:keepNext/>
              <w:spacing w:beforeLines="20" w:before="48" w:afterLines="20" w:after="48"/>
              <w:jc w:val="center"/>
              <w:rPr>
                <w:sz w:val="22"/>
                <w:lang w:eastAsia="zh-CN"/>
              </w:rPr>
            </w:pPr>
            <w:r>
              <w:rPr>
                <w:sz w:val="22"/>
                <w:lang w:eastAsia="zh-CN"/>
              </w:rPr>
              <w:t>5 (2.5%)</w:t>
            </w:r>
          </w:p>
        </w:tc>
        <w:tc>
          <w:tcPr>
            <w:tcW w:w="2835" w:type="dxa"/>
            <w:gridSpan w:val="2"/>
            <w:tcBorders>
              <w:top w:val="nil"/>
              <w:left w:val="nil"/>
              <w:bottom w:val="nil"/>
              <w:right w:val="single" w:sz="4" w:space="0" w:color="auto"/>
            </w:tcBorders>
            <w:hideMark/>
          </w:tcPr>
          <w:p w14:paraId="74C87FCA" w14:textId="77777777" w:rsidR="00AB5E12" w:rsidRDefault="00AB5E12" w:rsidP="0032145D">
            <w:pPr>
              <w:keepNext/>
              <w:spacing w:beforeLines="20" w:before="48" w:afterLines="20" w:after="48"/>
              <w:jc w:val="center"/>
              <w:rPr>
                <w:sz w:val="22"/>
                <w:lang w:eastAsia="zh-CN"/>
              </w:rPr>
            </w:pPr>
            <w:r>
              <w:rPr>
                <w:sz w:val="22"/>
                <w:lang w:eastAsia="zh-CN"/>
              </w:rPr>
              <w:t>2 (1.0%)</w:t>
            </w:r>
          </w:p>
        </w:tc>
      </w:tr>
      <w:tr w:rsidR="00AB5E12" w14:paraId="44989279" w14:textId="77777777" w:rsidTr="0032145D">
        <w:tc>
          <w:tcPr>
            <w:tcW w:w="3686" w:type="dxa"/>
            <w:tcBorders>
              <w:top w:val="nil"/>
              <w:left w:val="single" w:sz="4" w:space="0" w:color="auto"/>
              <w:bottom w:val="nil"/>
              <w:right w:val="nil"/>
            </w:tcBorders>
            <w:hideMark/>
          </w:tcPr>
          <w:p w14:paraId="5C064E4F"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ab/>
              <w:t>No. of partial response (%)</w:t>
            </w:r>
          </w:p>
        </w:tc>
        <w:tc>
          <w:tcPr>
            <w:tcW w:w="2693" w:type="dxa"/>
            <w:tcBorders>
              <w:top w:val="nil"/>
              <w:left w:val="nil"/>
              <w:bottom w:val="nil"/>
              <w:right w:val="nil"/>
            </w:tcBorders>
            <w:hideMark/>
          </w:tcPr>
          <w:p w14:paraId="78F7045D" w14:textId="77777777" w:rsidR="00AB5E12" w:rsidRDefault="00AB5E12" w:rsidP="0032145D">
            <w:pPr>
              <w:keepNext/>
              <w:spacing w:beforeLines="20" w:before="48" w:afterLines="20" w:after="48"/>
              <w:jc w:val="center"/>
              <w:rPr>
                <w:sz w:val="22"/>
                <w:lang w:eastAsia="zh-CN"/>
              </w:rPr>
            </w:pPr>
            <w:r>
              <w:rPr>
                <w:sz w:val="22"/>
                <w:lang w:eastAsia="zh-CN"/>
              </w:rPr>
              <w:t>116 (57.7%)</w:t>
            </w:r>
          </w:p>
        </w:tc>
        <w:tc>
          <w:tcPr>
            <w:tcW w:w="2835" w:type="dxa"/>
            <w:gridSpan w:val="2"/>
            <w:tcBorders>
              <w:top w:val="nil"/>
              <w:left w:val="nil"/>
              <w:bottom w:val="nil"/>
              <w:right w:val="single" w:sz="4" w:space="0" w:color="auto"/>
            </w:tcBorders>
            <w:hideMark/>
          </w:tcPr>
          <w:p w14:paraId="376F518E" w14:textId="77777777" w:rsidR="00AB5E12" w:rsidRDefault="00AB5E12" w:rsidP="0032145D">
            <w:pPr>
              <w:keepNext/>
              <w:spacing w:beforeLines="20" w:before="48" w:afterLines="20" w:after="48"/>
              <w:jc w:val="center"/>
              <w:rPr>
                <w:sz w:val="22"/>
                <w:lang w:eastAsia="zh-CN"/>
              </w:rPr>
            </w:pPr>
            <w:r>
              <w:rPr>
                <w:sz w:val="22"/>
                <w:lang w:eastAsia="zh-CN"/>
              </w:rPr>
              <w:t>128 (63.4%)</w:t>
            </w:r>
          </w:p>
        </w:tc>
      </w:tr>
      <w:tr w:rsidR="00AB5E12" w14:paraId="243BDEC4" w14:textId="77777777" w:rsidTr="0032145D">
        <w:tc>
          <w:tcPr>
            <w:tcW w:w="3686" w:type="dxa"/>
            <w:tcBorders>
              <w:top w:val="single" w:sz="4" w:space="0" w:color="auto"/>
              <w:left w:val="single" w:sz="4" w:space="0" w:color="auto"/>
              <w:bottom w:val="nil"/>
              <w:right w:val="nil"/>
            </w:tcBorders>
            <w:hideMark/>
          </w:tcPr>
          <w:p w14:paraId="2C37F64A" w14:textId="77777777" w:rsidR="00AB5E12" w:rsidRDefault="00AB5E12" w:rsidP="0032145D">
            <w:pPr>
              <w:spacing w:beforeLines="20" w:before="48" w:afterLines="20" w:after="48"/>
              <w:jc w:val="left"/>
              <w:rPr>
                <w:rFonts w:eastAsia="Times New Roman"/>
                <w:b/>
                <w:i/>
                <w:sz w:val="22"/>
                <w:lang w:eastAsia="zh-CN"/>
              </w:rPr>
            </w:pPr>
            <w:r>
              <w:rPr>
                <w:rFonts w:eastAsia="Times New Roman"/>
                <w:b/>
                <w:i/>
                <w:sz w:val="22"/>
                <w:lang w:eastAsia="zh-CN"/>
              </w:rPr>
              <w:t>Investigator-assessed DOR (RECIST 1.1)</w:t>
            </w:r>
          </w:p>
        </w:tc>
        <w:tc>
          <w:tcPr>
            <w:tcW w:w="2693" w:type="dxa"/>
            <w:tcBorders>
              <w:top w:val="single" w:sz="4" w:space="0" w:color="auto"/>
              <w:left w:val="nil"/>
              <w:bottom w:val="nil"/>
              <w:right w:val="nil"/>
            </w:tcBorders>
            <w:hideMark/>
          </w:tcPr>
          <w:p w14:paraId="79F02F8C"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121</w:t>
            </w:r>
          </w:p>
        </w:tc>
        <w:tc>
          <w:tcPr>
            <w:tcW w:w="2835" w:type="dxa"/>
            <w:gridSpan w:val="2"/>
            <w:tcBorders>
              <w:top w:val="single" w:sz="4" w:space="0" w:color="auto"/>
              <w:left w:val="nil"/>
              <w:bottom w:val="nil"/>
              <w:right w:val="single" w:sz="4" w:space="0" w:color="auto"/>
            </w:tcBorders>
            <w:hideMark/>
          </w:tcPr>
          <w:p w14:paraId="0E5D16AF" w14:textId="77777777" w:rsidR="00AB5E12" w:rsidRDefault="00AB5E12" w:rsidP="0032145D">
            <w:pPr>
              <w:keepNext/>
              <w:spacing w:beforeLines="20" w:before="48" w:afterLines="20" w:after="48"/>
              <w:jc w:val="center"/>
              <w:rPr>
                <w:rFonts w:eastAsia="Times New Roman"/>
                <w:sz w:val="22"/>
                <w:lang w:eastAsia="zh-CN"/>
              </w:rPr>
            </w:pPr>
            <w:r>
              <w:rPr>
                <w:rFonts w:eastAsia="Times New Roman"/>
                <w:sz w:val="22"/>
                <w:lang w:eastAsia="zh-CN"/>
              </w:rPr>
              <w:t>n = 130</w:t>
            </w:r>
          </w:p>
        </w:tc>
      </w:tr>
      <w:tr w:rsidR="00AB5E12" w14:paraId="31E776CC" w14:textId="77777777" w:rsidTr="0032145D">
        <w:tc>
          <w:tcPr>
            <w:tcW w:w="3686" w:type="dxa"/>
            <w:tcBorders>
              <w:top w:val="nil"/>
              <w:left w:val="single" w:sz="4" w:space="0" w:color="auto"/>
              <w:bottom w:val="nil"/>
              <w:right w:val="nil"/>
            </w:tcBorders>
            <w:hideMark/>
          </w:tcPr>
          <w:p w14:paraId="27DDB89B"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Median in months</w:t>
            </w:r>
          </w:p>
        </w:tc>
        <w:tc>
          <w:tcPr>
            <w:tcW w:w="2693" w:type="dxa"/>
            <w:tcBorders>
              <w:top w:val="nil"/>
              <w:left w:val="nil"/>
              <w:bottom w:val="nil"/>
              <w:right w:val="nil"/>
            </w:tcBorders>
            <w:hideMark/>
          </w:tcPr>
          <w:p w14:paraId="7FFFDD02" w14:textId="77777777" w:rsidR="00AB5E12" w:rsidRDefault="00AB5E12" w:rsidP="0032145D">
            <w:pPr>
              <w:keepNext/>
              <w:spacing w:beforeLines="20" w:before="48" w:afterLines="20" w:after="48"/>
              <w:jc w:val="center"/>
              <w:rPr>
                <w:sz w:val="22"/>
                <w:lang w:eastAsia="zh-CN"/>
              </w:rPr>
            </w:pPr>
            <w:r>
              <w:rPr>
                <w:sz w:val="22"/>
                <w:lang w:eastAsia="zh-CN"/>
              </w:rPr>
              <w:t>4.2</w:t>
            </w:r>
          </w:p>
        </w:tc>
        <w:tc>
          <w:tcPr>
            <w:tcW w:w="2835" w:type="dxa"/>
            <w:gridSpan w:val="2"/>
            <w:tcBorders>
              <w:top w:val="nil"/>
              <w:left w:val="nil"/>
              <w:bottom w:val="nil"/>
              <w:right w:val="single" w:sz="4" w:space="0" w:color="auto"/>
            </w:tcBorders>
            <w:hideMark/>
          </w:tcPr>
          <w:p w14:paraId="15CE999A" w14:textId="77777777" w:rsidR="00AB5E12" w:rsidRDefault="00AB5E12" w:rsidP="0032145D">
            <w:pPr>
              <w:keepNext/>
              <w:spacing w:beforeLines="20" w:before="48" w:afterLines="20" w:after="48"/>
              <w:jc w:val="center"/>
              <w:rPr>
                <w:sz w:val="22"/>
                <w:lang w:eastAsia="zh-CN"/>
              </w:rPr>
            </w:pPr>
            <w:r>
              <w:rPr>
                <w:sz w:val="22"/>
                <w:lang w:eastAsia="zh-CN"/>
              </w:rPr>
              <w:t>3.9</w:t>
            </w:r>
          </w:p>
        </w:tc>
      </w:tr>
      <w:tr w:rsidR="00AB5E12" w14:paraId="750E58C1" w14:textId="77777777" w:rsidTr="0032145D">
        <w:tc>
          <w:tcPr>
            <w:tcW w:w="3686" w:type="dxa"/>
            <w:tcBorders>
              <w:top w:val="nil"/>
              <w:left w:val="single" w:sz="4" w:space="0" w:color="auto"/>
              <w:bottom w:val="single" w:sz="4" w:space="0" w:color="auto"/>
              <w:right w:val="nil"/>
            </w:tcBorders>
            <w:hideMark/>
          </w:tcPr>
          <w:p w14:paraId="17C53F63" w14:textId="77777777" w:rsidR="00AB5E12" w:rsidRDefault="00AB5E12" w:rsidP="0032145D">
            <w:pPr>
              <w:spacing w:beforeLines="20" w:before="48" w:afterLines="20" w:after="48"/>
              <w:jc w:val="left"/>
              <w:rPr>
                <w:rFonts w:eastAsia="Times New Roman"/>
                <w:sz w:val="22"/>
                <w:lang w:eastAsia="zh-CN"/>
              </w:rPr>
            </w:pPr>
            <w:r>
              <w:rPr>
                <w:rFonts w:eastAsia="Times New Roman"/>
                <w:sz w:val="22"/>
                <w:lang w:eastAsia="zh-CN"/>
              </w:rPr>
              <w:t>95% CI</w:t>
            </w:r>
          </w:p>
        </w:tc>
        <w:tc>
          <w:tcPr>
            <w:tcW w:w="2693" w:type="dxa"/>
            <w:tcBorders>
              <w:top w:val="nil"/>
              <w:left w:val="nil"/>
              <w:bottom w:val="single" w:sz="4" w:space="0" w:color="auto"/>
              <w:right w:val="nil"/>
            </w:tcBorders>
            <w:hideMark/>
          </w:tcPr>
          <w:p w14:paraId="051D7330" w14:textId="77777777" w:rsidR="00AB5E12" w:rsidRDefault="00AB5E12" w:rsidP="0032145D">
            <w:pPr>
              <w:keepNext/>
              <w:spacing w:beforeLines="20" w:before="48" w:afterLines="20" w:after="48"/>
              <w:jc w:val="center"/>
              <w:rPr>
                <w:sz w:val="22"/>
                <w:lang w:eastAsia="zh-CN"/>
              </w:rPr>
            </w:pPr>
            <w:r>
              <w:rPr>
                <w:sz w:val="22"/>
                <w:lang w:eastAsia="zh-CN"/>
              </w:rPr>
              <w:t>(4.1, 4.5)</w:t>
            </w:r>
          </w:p>
        </w:tc>
        <w:tc>
          <w:tcPr>
            <w:tcW w:w="2835" w:type="dxa"/>
            <w:gridSpan w:val="2"/>
            <w:tcBorders>
              <w:top w:val="nil"/>
              <w:left w:val="nil"/>
              <w:bottom w:val="single" w:sz="4" w:space="0" w:color="auto"/>
              <w:right w:val="single" w:sz="4" w:space="0" w:color="auto"/>
            </w:tcBorders>
            <w:hideMark/>
          </w:tcPr>
          <w:p w14:paraId="55D8B115" w14:textId="77777777" w:rsidR="00AB5E12" w:rsidRDefault="00AB5E12" w:rsidP="0032145D">
            <w:pPr>
              <w:keepNext/>
              <w:spacing w:beforeLines="20" w:before="48" w:afterLines="20" w:after="48"/>
              <w:jc w:val="center"/>
              <w:rPr>
                <w:sz w:val="22"/>
                <w:lang w:eastAsia="zh-CN"/>
              </w:rPr>
            </w:pPr>
            <w:r>
              <w:rPr>
                <w:sz w:val="22"/>
                <w:lang w:eastAsia="zh-CN"/>
              </w:rPr>
              <w:t>(3.1, 4.2)</w:t>
            </w:r>
          </w:p>
        </w:tc>
      </w:tr>
    </w:tbl>
    <w:p w14:paraId="426FD40E" w14:textId="77777777" w:rsidR="00AB5E12" w:rsidRDefault="00AB5E12" w:rsidP="00AB5E12">
      <w:pPr>
        <w:rPr>
          <w:sz w:val="22"/>
          <w:lang w:val="en-US"/>
        </w:rPr>
      </w:pPr>
      <w:r>
        <w:rPr>
          <w:sz w:val="22"/>
          <w:lang w:val="en-US"/>
        </w:rPr>
        <w:t xml:space="preserve">PFS = progression-free survival; RECIST = Response Evaluation Criteria in Solid </w:t>
      </w:r>
      <w:proofErr w:type="spellStart"/>
      <w:r>
        <w:rPr>
          <w:sz w:val="22"/>
          <w:lang w:val="en-US"/>
        </w:rPr>
        <w:t>Tumours</w:t>
      </w:r>
      <w:proofErr w:type="spellEnd"/>
      <w:r>
        <w:rPr>
          <w:sz w:val="22"/>
          <w:lang w:val="en-US"/>
        </w:rPr>
        <w:t xml:space="preserve"> v1.1.; CI = confidence interval; ORR = objective response rate; DOR = duration of response; OS = overall survival</w:t>
      </w:r>
    </w:p>
    <w:p w14:paraId="5727054F" w14:textId="77777777" w:rsidR="00AB5E12" w:rsidRDefault="00AB5E12" w:rsidP="00AB5E12">
      <w:pPr>
        <w:rPr>
          <w:sz w:val="22"/>
          <w:lang w:val="en-US"/>
        </w:rPr>
      </w:pPr>
      <w:r>
        <w:rPr>
          <w:sz w:val="22"/>
          <w:lang w:val="en-US"/>
        </w:rPr>
        <w:t xml:space="preserve">‡ Stratified by sex and ECOG performance status </w:t>
      </w:r>
    </w:p>
    <w:p w14:paraId="521C0317" w14:textId="77777777" w:rsidR="00AB5E12" w:rsidRDefault="00AB5E12" w:rsidP="00AB5E12">
      <w:pPr>
        <w:rPr>
          <w:lang w:val="en-US"/>
        </w:rPr>
      </w:pPr>
    </w:p>
    <w:p w14:paraId="0F039AF1" w14:textId="0EC714A8" w:rsidR="00AB5E12" w:rsidRDefault="00AB5E12" w:rsidP="00AB5E12">
      <w:pPr>
        <w:rPr>
          <w:b/>
          <w:lang w:val="en-US"/>
        </w:rPr>
      </w:pPr>
      <w:r>
        <w:rPr>
          <w:b/>
          <w:lang w:val="en-US"/>
        </w:rPr>
        <w:t xml:space="preserve">Figure </w:t>
      </w:r>
      <w:r w:rsidR="003520F3">
        <w:rPr>
          <w:b/>
          <w:lang w:val="en-US"/>
        </w:rPr>
        <w:t>11</w:t>
      </w:r>
      <w:r>
        <w:rPr>
          <w:b/>
          <w:lang w:val="en-US"/>
        </w:rPr>
        <w:t xml:space="preserve">. Kaplan-Meier plot of overall survival (GO30081) </w:t>
      </w:r>
    </w:p>
    <w:p w14:paraId="185BD0F7" w14:textId="77777777" w:rsidR="00AB5E12" w:rsidRDefault="00AB5E12" w:rsidP="00AB5E12">
      <w:pPr>
        <w:rPr>
          <w:b/>
          <w:lang w:val="en-US"/>
        </w:rPr>
      </w:pPr>
    </w:p>
    <w:p w14:paraId="156C5D2A" w14:textId="77777777" w:rsidR="00AB5E12" w:rsidRDefault="00AB5E12" w:rsidP="00AB5E12">
      <w:pPr>
        <w:rPr>
          <w:b/>
          <w:lang w:val="en-US"/>
        </w:rPr>
      </w:pPr>
      <w:r>
        <w:rPr>
          <w:noProof/>
          <w:lang w:eastAsia="en-AU"/>
        </w:rPr>
        <w:drawing>
          <wp:inline distT="0" distB="0" distL="0" distR="0" wp14:anchorId="16CA492B" wp14:editId="6965A4B3">
            <wp:extent cx="5666105" cy="32766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a:stretch>
                      <a:fillRect/>
                    </a:stretch>
                  </pic:blipFill>
                  <pic:spPr>
                    <a:xfrm>
                      <a:off x="0" y="0"/>
                      <a:ext cx="5666105" cy="3276600"/>
                    </a:xfrm>
                    <a:prstGeom prst="rect">
                      <a:avLst/>
                    </a:prstGeom>
                  </pic:spPr>
                </pic:pic>
              </a:graphicData>
            </a:graphic>
          </wp:inline>
        </w:drawing>
      </w:r>
    </w:p>
    <w:p w14:paraId="793EC808" w14:textId="77777777" w:rsidR="00AB5E12" w:rsidRDefault="00AB5E12" w:rsidP="00AB5E12">
      <w:pPr>
        <w:rPr>
          <w:b/>
          <w:lang w:val="en-US"/>
        </w:rPr>
      </w:pPr>
    </w:p>
    <w:p w14:paraId="788CC873" w14:textId="77777777" w:rsidR="00AB5E12" w:rsidRDefault="00AB5E12" w:rsidP="00AB5E12">
      <w:pPr>
        <w:rPr>
          <w:b/>
          <w:lang w:val="en-US"/>
        </w:rPr>
      </w:pPr>
    </w:p>
    <w:p w14:paraId="00C3C5E1" w14:textId="77777777" w:rsidR="000E153D" w:rsidRDefault="000E153D" w:rsidP="00AB5E12">
      <w:pPr>
        <w:rPr>
          <w:b/>
          <w:lang w:val="en-US"/>
        </w:rPr>
      </w:pPr>
      <w:r>
        <w:rPr>
          <w:b/>
          <w:lang w:val="en-US"/>
        </w:rPr>
        <w:br w:type="page"/>
      </w:r>
    </w:p>
    <w:p w14:paraId="4BF2D332" w14:textId="06702D94" w:rsidR="00AB5E12" w:rsidRDefault="00AB5E12" w:rsidP="00AB5E12">
      <w:pPr>
        <w:rPr>
          <w:b/>
          <w:lang w:val="en-US"/>
        </w:rPr>
      </w:pPr>
      <w:r>
        <w:rPr>
          <w:b/>
          <w:lang w:val="en-US"/>
        </w:rPr>
        <w:lastRenderedPageBreak/>
        <w:t xml:space="preserve">Figure </w:t>
      </w:r>
      <w:r w:rsidR="003520F3">
        <w:rPr>
          <w:b/>
          <w:lang w:val="en-US"/>
        </w:rPr>
        <w:t>12</w:t>
      </w:r>
      <w:r>
        <w:rPr>
          <w:b/>
          <w:lang w:val="en-US"/>
        </w:rPr>
        <w:t xml:space="preserve">. Kaplan-Meier plot of progression-free survival (GO30081) </w:t>
      </w:r>
    </w:p>
    <w:p w14:paraId="3D9D02E6" w14:textId="77777777" w:rsidR="00AB5E12" w:rsidRDefault="00AB5E12" w:rsidP="00AB5E12">
      <w:pPr>
        <w:rPr>
          <w:b/>
          <w:lang w:val="en-US"/>
        </w:rPr>
      </w:pPr>
    </w:p>
    <w:p w14:paraId="4B85144F" w14:textId="77777777" w:rsidR="00AB5E12" w:rsidRDefault="00AB5E12" w:rsidP="00AB5E12">
      <w:pPr>
        <w:rPr>
          <w:b/>
          <w:lang w:val="en-US"/>
        </w:rPr>
      </w:pPr>
      <w:r>
        <w:rPr>
          <w:noProof/>
          <w:lang w:eastAsia="en-AU"/>
        </w:rPr>
        <w:drawing>
          <wp:inline distT="0" distB="0" distL="0" distR="0" wp14:anchorId="7B6C5C10" wp14:editId="0714C761">
            <wp:extent cx="5671185" cy="3324225"/>
            <wp:effectExtent l="0" t="0" r="5715"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stretch>
                      <a:fillRect/>
                    </a:stretch>
                  </pic:blipFill>
                  <pic:spPr>
                    <a:xfrm>
                      <a:off x="0" y="0"/>
                      <a:ext cx="5671185" cy="3324225"/>
                    </a:xfrm>
                    <a:prstGeom prst="rect">
                      <a:avLst/>
                    </a:prstGeom>
                  </pic:spPr>
                </pic:pic>
              </a:graphicData>
            </a:graphic>
          </wp:inline>
        </w:drawing>
      </w:r>
    </w:p>
    <w:p w14:paraId="4B6903F9" w14:textId="77777777" w:rsidR="00AB5E12" w:rsidRDefault="00AB5E12" w:rsidP="00AB5E12">
      <w:pPr>
        <w:rPr>
          <w:b/>
          <w:lang w:val="en-US"/>
        </w:rPr>
      </w:pPr>
    </w:p>
    <w:p w14:paraId="50BAD3EA" w14:textId="76CFEB28" w:rsidR="00741E3A" w:rsidRPr="0046175F" w:rsidRDefault="00741E3A" w:rsidP="00A94F3F">
      <w:pPr>
        <w:pStyle w:val="Heading4"/>
        <w:rPr>
          <w:lang w:val="en-US"/>
        </w:rPr>
      </w:pPr>
      <w:r w:rsidRPr="0046175F">
        <w:rPr>
          <w:lang w:val="en-US"/>
        </w:rPr>
        <w:t>Urothelial carcinoma</w:t>
      </w:r>
    </w:p>
    <w:p w14:paraId="2630D46C" w14:textId="77777777" w:rsidR="008C39B9" w:rsidRPr="0046175F" w:rsidRDefault="008C39B9" w:rsidP="008C39B9">
      <w:pPr>
        <w:pStyle w:val="Heading5"/>
      </w:pPr>
      <w:r w:rsidRPr="0046175F">
        <w:t xml:space="preserve">GO29293 </w:t>
      </w:r>
    </w:p>
    <w:p w14:paraId="1B97641B" w14:textId="5A827518" w:rsidR="00FB5DE3" w:rsidRPr="0046175F" w:rsidRDefault="00FB5DE3" w:rsidP="00FB5DE3">
      <w:r w:rsidRPr="0046175F">
        <w:t xml:space="preserve">The efficacy of </w:t>
      </w:r>
      <w:proofErr w:type="spellStart"/>
      <w:r w:rsidRPr="0046175F">
        <w:t>Tecentriq</w:t>
      </w:r>
      <w:proofErr w:type="spellEnd"/>
      <w:r w:rsidRPr="0046175F">
        <w:t xml:space="preserve"> was investigated in IMvigor210 (Cohort 1) (GO29293), a multi</w:t>
      </w:r>
      <w:r w:rsidR="00C30988" w:rsidRPr="0046175F">
        <w:t>centre</w:t>
      </w:r>
      <w:r w:rsidRPr="0046175F">
        <w:t xml:space="preserve">, open-label, single-arm trial that included 119 patients with locally advanced or metastatic urothelial carcinoma who were ineligible for cisplatin-containing chemotherapy and were either previously untreated or had disease progression at least 12 months after </w:t>
      </w:r>
      <w:proofErr w:type="spellStart"/>
      <w:r w:rsidRPr="0046175F">
        <w:t>neoadjuvant</w:t>
      </w:r>
      <w:proofErr w:type="spellEnd"/>
      <w:r w:rsidRPr="0046175F">
        <w:t xml:space="preserve"> or adjuvant chemotherapy. Patients were considered cisplatin-ineligible if they met any one of the following criteria at study entry: impaired renal function [creatinine clearance (</w:t>
      </w:r>
      <w:proofErr w:type="spellStart"/>
      <w:r w:rsidRPr="0046175F">
        <w:t>CLcr</w:t>
      </w:r>
      <w:proofErr w:type="spellEnd"/>
      <w:r w:rsidRPr="0046175F">
        <w:t xml:space="preserve">) of 30 to 59 mL/min], Eastern Cooperative Oncology Group (ECOG) performance status (PS) of 2, hearing loss of ≥ 25 decibels (dB) at two contiguous frequencies, or Grades 2 to 4 peripheral neuropathy. This study excluded patients who had: a history of autoimmune disease; active or corticosteroid-dependent brain metastases; administration of a live, attenuated vaccine within 28 days prior to </w:t>
      </w:r>
      <w:proofErr w:type="spellStart"/>
      <w:r w:rsidRPr="0046175F">
        <w:t>enrollment</w:t>
      </w:r>
      <w:proofErr w:type="spellEnd"/>
      <w:r w:rsidRPr="0046175F">
        <w:t xml:space="preserve">; or administration of systemic </w:t>
      </w:r>
      <w:proofErr w:type="spellStart"/>
      <w:r w:rsidRPr="0046175F">
        <w:t>immunostimulatory</w:t>
      </w:r>
      <w:proofErr w:type="spellEnd"/>
      <w:r w:rsidRPr="0046175F">
        <w:t xml:space="preserve"> agents within 6 weeks or systemic immunosuppressive medications within 2 weeks prior to </w:t>
      </w:r>
      <w:proofErr w:type="spellStart"/>
      <w:r w:rsidRPr="0046175F">
        <w:t>enrollment</w:t>
      </w:r>
      <w:proofErr w:type="spellEnd"/>
      <w:r w:rsidRPr="0046175F">
        <w:t xml:space="preserve">. </w:t>
      </w:r>
    </w:p>
    <w:p w14:paraId="60FE74C7" w14:textId="77777777" w:rsidR="00FB5DE3" w:rsidRPr="0046175F" w:rsidRDefault="00FB5DE3" w:rsidP="00FB5DE3"/>
    <w:p w14:paraId="3E0BA0AA" w14:textId="505B7DDB" w:rsidR="00FB5DE3" w:rsidRPr="0046175F" w:rsidRDefault="00FB5DE3" w:rsidP="00FB5DE3">
      <w:r w:rsidRPr="0046175F">
        <w:t xml:space="preserve">Patients received </w:t>
      </w:r>
      <w:proofErr w:type="spellStart"/>
      <w:r w:rsidRPr="0046175F">
        <w:t>Tecentriq</w:t>
      </w:r>
      <w:proofErr w:type="spellEnd"/>
      <w:r w:rsidRPr="0046175F">
        <w:t xml:space="preserve"> 1200 mg as an intravenous infusion every 3 weeks until unacceptable toxicity or disease progression. Tumour response assessments were conducted every 9 weeks for the first 54 weeks and every 12 weeks thereafter. Major efficacy outcome measures included confirmed overall response rate (ORR) as assessed by independent review facility (IRF) using Response Evaluation Criteria in Solid Tumours (RECIST v1.1), duration of response (</w:t>
      </w:r>
      <w:proofErr w:type="spellStart"/>
      <w:r w:rsidRPr="0046175F">
        <w:t>DoR</w:t>
      </w:r>
      <w:proofErr w:type="spellEnd"/>
      <w:r w:rsidRPr="0046175F">
        <w:t>) and overall survival (OS).</w:t>
      </w:r>
    </w:p>
    <w:p w14:paraId="7767F39C" w14:textId="77777777" w:rsidR="008C39B9" w:rsidRPr="0046175F" w:rsidRDefault="008C39B9" w:rsidP="008C39B9"/>
    <w:p w14:paraId="66228BA3" w14:textId="60F825C7" w:rsidR="00FB5DE3" w:rsidRPr="0046175F" w:rsidRDefault="00FB5DE3" w:rsidP="008C39B9">
      <w:r w:rsidRPr="0046175F">
        <w:t xml:space="preserve">In this study, the median age was 73 years, 81% were male, and 91% were White. Thirty-five percent of patients had non-bladder urothelial carcinoma and 66% had visceral metastases. Eighty percent of patients had an ECOG PS of 0 or 1. Reasons for ineligibility for cisplatin containing chemotherapy were: 70% had impaired renal function, 20% had an ECOG PS of 2, 14% had a hearing loss of ≥ </w:t>
      </w:r>
      <w:r w:rsidRPr="0046175F">
        <w:lastRenderedPageBreak/>
        <w:t xml:space="preserve">25dB, and 6% had Grades 2 to 4 peripheral neuropathy at baseline. Twenty percent of patients had disease progression following prior platinum-containing </w:t>
      </w:r>
      <w:proofErr w:type="spellStart"/>
      <w:r w:rsidRPr="0046175F">
        <w:t>neoadjuvant</w:t>
      </w:r>
      <w:proofErr w:type="spellEnd"/>
      <w:r w:rsidRPr="0046175F">
        <w:t xml:space="preserve"> or adjuvant chemotherapy.</w:t>
      </w:r>
    </w:p>
    <w:p w14:paraId="25B07BE8" w14:textId="77777777" w:rsidR="008C39B9" w:rsidRPr="0046175F" w:rsidRDefault="008C39B9" w:rsidP="008C39B9"/>
    <w:p w14:paraId="0725E782" w14:textId="47FCEE19" w:rsidR="00FB5DE3" w:rsidRPr="0046175F" w:rsidRDefault="00FB5DE3" w:rsidP="008C39B9">
      <w:r w:rsidRPr="0046175F">
        <w:t>Tumour specimens were evaluated prospectively using the VENTANA PD-L1 (SP142) Assay at a central laboratory, and the results were used to define subgroups for pre-specified analyses. Of the 119 patients, 27% were classified as having PD-L1 expression of ≥ 5% (defined as PD-L1 stained tumour-infiltrating immune cells [IC] covering ≥ 5% of the tumour area</w:t>
      </w:r>
      <w:r w:rsidR="00C30988" w:rsidRPr="0046175F">
        <w:t>, IC2/3</w:t>
      </w:r>
      <w:r w:rsidRPr="0046175F">
        <w:t>). The remaining 73% of patients were classified as having PD-L1 expression of &lt; 5% (PD-L1 stained tumour infiltrating IC covering &lt; 5% of the tumour area</w:t>
      </w:r>
      <w:r w:rsidR="00C30988" w:rsidRPr="0046175F">
        <w:t>, IC0/1</w:t>
      </w:r>
      <w:r w:rsidRPr="0046175F">
        <w:t>).</w:t>
      </w:r>
    </w:p>
    <w:p w14:paraId="7791A75B" w14:textId="77777777" w:rsidR="00FB5DE3" w:rsidRPr="0046175F" w:rsidRDefault="00FB5DE3" w:rsidP="008C39B9"/>
    <w:p w14:paraId="256C021A" w14:textId="559A1F27" w:rsidR="00FB5DE3" w:rsidRPr="0046175F" w:rsidRDefault="00FB5DE3" w:rsidP="008C39B9">
      <w:r w:rsidRPr="0046175F">
        <w:t>Among the 32 patients with PD-L1 expression of ≥ 5%, median age was 67 years, 81% were male, 19% female, and 88% were White. Twenty-eight percent of patients had non-bladder urothelial carcinoma and 56% had visceral metastases. Seventy-two percent of patients had an ECOG PS of 0 or 1. Reasons for ineligibility for cisplatin-containing chemotherapy were: 66% had impaired renal function, 28% had an ECOG PS of 2, 16% had a hearing loss ≥ 25 dB, and 9% had Grades 2</w:t>
      </w:r>
      <w:r w:rsidR="00C30988" w:rsidRPr="0046175F">
        <w:t xml:space="preserve"> </w:t>
      </w:r>
      <w:r w:rsidRPr="0046175F">
        <w:t>-</w:t>
      </w:r>
      <w:r w:rsidR="00C30988" w:rsidRPr="0046175F">
        <w:t xml:space="preserve"> </w:t>
      </w:r>
      <w:r w:rsidRPr="0046175F">
        <w:t xml:space="preserve">4 peripheral neuropathy at baseline. Thirty-one percent of patients had disease progression following prior platinum-containing </w:t>
      </w:r>
      <w:proofErr w:type="spellStart"/>
      <w:r w:rsidRPr="0046175F">
        <w:t>neoadjuvant</w:t>
      </w:r>
      <w:proofErr w:type="spellEnd"/>
      <w:r w:rsidRPr="0046175F">
        <w:t xml:space="preserve"> or adjuvant chemotherapy.</w:t>
      </w:r>
    </w:p>
    <w:p w14:paraId="5B7786F4" w14:textId="77777777" w:rsidR="00FB5DE3" w:rsidRPr="0046175F" w:rsidRDefault="00FB5DE3" w:rsidP="008C39B9"/>
    <w:p w14:paraId="3BE7E41D" w14:textId="18913141" w:rsidR="00FB5DE3" w:rsidRPr="0046175F" w:rsidRDefault="00FB5DE3" w:rsidP="008C39B9">
      <w:r w:rsidRPr="0046175F">
        <w:t xml:space="preserve">Confirmed ORR in all patients and the two PD-L1 subgroups are summarised in Table </w:t>
      </w:r>
      <w:r w:rsidR="003520F3">
        <w:t>15</w:t>
      </w:r>
      <w:r w:rsidRPr="0046175F">
        <w:t xml:space="preserve">. The median follow-up time for this study was 14.4 months. In 24 patients with disease progression following </w:t>
      </w:r>
      <w:proofErr w:type="spellStart"/>
      <w:r w:rsidRPr="0046175F">
        <w:t>neoadjuvant</w:t>
      </w:r>
      <w:proofErr w:type="spellEnd"/>
      <w:r w:rsidRPr="0046175F">
        <w:t xml:space="preserve"> or adjuvant therapy, the ORR was 33% (95% CI: 16%, 55%).</w:t>
      </w:r>
    </w:p>
    <w:p w14:paraId="2F940516" w14:textId="77777777" w:rsidR="008C39B9" w:rsidRPr="0046175F" w:rsidRDefault="008C39B9" w:rsidP="008C39B9"/>
    <w:p w14:paraId="57CD1829" w14:textId="151B3DB8" w:rsidR="008C39B9" w:rsidRPr="0046175F" w:rsidRDefault="008C39B9" w:rsidP="008C39B9">
      <w:pPr>
        <w:rPr>
          <w:b/>
        </w:rPr>
      </w:pPr>
      <w:r w:rsidRPr="0046175F">
        <w:rPr>
          <w:b/>
        </w:rPr>
        <w:t xml:space="preserve">Table </w:t>
      </w:r>
      <w:r w:rsidR="003520F3">
        <w:rPr>
          <w:b/>
        </w:rPr>
        <w:t>15</w:t>
      </w:r>
      <w:r w:rsidRPr="0046175F">
        <w:rPr>
          <w:b/>
        </w:rPr>
        <w:t xml:space="preserve">. </w:t>
      </w:r>
      <w:r w:rsidR="00870B24" w:rsidRPr="0046175F">
        <w:rPr>
          <w:b/>
        </w:rPr>
        <w:t>E</w:t>
      </w:r>
      <w:r w:rsidRPr="0046175F">
        <w:rPr>
          <w:b/>
        </w:rPr>
        <w:t xml:space="preserve">fficacy </w:t>
      </w:r>
      <w:r w:rsidR="00870B24" w:rsidRPr="0046175F">
        <w:rPr>
          <w:b/>
        </w:rPr>
        <w:t xml:space="preserve">results </w:t>
      </w:r>
      <w:r w:rsidRPr="0046175F">
        <w:rPr>
          <w:b/>
        </w:rPr>
        <w:t xml:space="preserve">from GO29293 Cohort 1 </w:t>
      </w:r>
    </w:p>
    <w:tbl>
      <w:tblPr>
        <w:tblStyle w:val="TableGrid"/>
        <w:tblW w:w="0" w:type="auto"/>
        <w:tblLook w:val="04A0" w:firstRow="1" w:lastRow="0" w:firstColumn="1" w:lastColumn="0" w:noHBand="0" w:noVBand="1"/>
      </w:tblPr>
      <w:tblGrid>
        <w:gridCol w:w="2943"/>
        <w:gridCol w:w="1985"/>
        <w:gridCol w:w="2037"/>
        <w:gridCol w:w="2322"/>
      </w:tblGrid>
      <w:tr w:rsidR="00870B24" w:rsidRPr="0046175F" w14:paraId="120A3C69" w14:textId="77777777" w:rsidTr="00B334C3">
        <w:tc>
          <w:tcPr>
            <w:tcW w:w="2943" w:type="dxa"/>
            <w:tcBorders>
              <w:top w:val="single" w:sz="4" w:space="0" w:color="auto"/>
              <w:left w:val="single" w:sz="4" w:space="0" w:color="auto"/>
              <w:bottom w:val="nil"/>
              <w:right w:val="nil"/>
            </w:tcBorders>
          </w:tcPr>
          <w:p w14:paraId="384B5C5D" w14:textId="77777777" w:rsidR="00870B24" w:rsidRPr="0046175F" w:rsidRDefault="00870B24" w:rsidP="008C39B9">
            <w:pPr>
              <w:rPr>
                <w:b/>
                <w:sz w:val="22"/>
              </w:rPr>
            </w:pPr>
          </w:p>
        </w:tc>
        <w:tc>
          <w:tcPr>
            <w:tcW w:w="1985" w:type="dxa"/>
            <w:tcBorders>
              <w:top w:val="single" w:sz="4" w:space="0" w:color="auto"/>
              <w:left w:val="nil"/>
              <w:bottom w:val="nil"/>
              <w:right w:val="nil"/>
            </w:tcBorders>
          </w:tcPr>
          <w:p w14:paraId="3E233D44" w14:textId="55BDAD3A" w:rsidR="00870B24" w:rsidRPr="0046175F" w:rsidRDefault="00870B24" w:rsidP="00B334C3">
            <w:pPr>
              <w:jc w:val="center"/>
              <w:rPr>
                <w:b/>
                <w:sz w:val="22"/>
              </w:rPr>
            </w:pPr>
            <w:r w:rsidRPr="0046175F">
              <w:rPr>
                <w:b/>
                <w:sz w:val="22"/>
              </w:rPr>
              <w:t>All patients</w:t>
            </w:r>
          </w:p>
        </w:tc>
        <w:tc>
          <w:tcPr>
            <w:tcW w:w="4359" w:type="dxa"/>
            <w:gridSpan w:val="2"/>
            <w:tcBorders>
              <w:top w:val="single" w:sz="4" w:space="0" w:color="auto"/>
              <w:left w:val="nil"/>
              <w:bottom w:val="nil"/>
              <w:right w:val="single" w:sz="4" w:space="0" w:color="auto"/>
            </w:tcBorders>
          </w:tcPr>
          <w:p w14:paraId="307EF859" w14:textId="3101059F" w:rsidR="00870B24" w:rsidRPr="0046175F" w:rsidRDefault="00870B24" w:rsidP="00B334C3">
            <w:pPr>
              <w:jc w:val="center"/>
              <w:rPr>
                <w:b/>
                <w:sz w:val="22"/>
              </w:rPr>
            </w:pPr>
            <w:r w:rsidRPr="0046175F">
              <w:rPr>
                <w:b/>
                <w:sz w:val="22"/>
              </w:rPr>
              <w:t>PD-L1 expression subgroups</w:t>
            </w:r>
          </w:p>
        </w:tc>
      </w:tr>
      <w:tr w:rsidR="00870B24" w:rsidRPr="0046175F" w14:paraId="5781B4CE" w14:textId="77777777" w:rsidTr="00B334C3">
        <w:tc>
          <w:tcPr>
            <w:tcW w:w="2943" w:type="dxa"/>
            <w:tcBorders>
              <w:top w:val="nil"/>
              <w:left w:val="single" w:sz="4" w:space="0" w:color="auto"/>
              <w:bottom w:val="nil"/>
              <w:right w:val="nil"/>
            </w:tcBorders>
          </w:tcPr>
          <w:p w14:paraId="2498254F" w14:textId="77777777" w:rsidR="00870B24" w:rsidRPr="0046175F" w:rsidRDefault="00870B24" w:rsidP="008C39B9">
            <w:pPr>
              <w:rPr>
                <w:b/>
                <w:sz w:val="22"/>
              </w:rPr>
            </w:pPr>
          </w:p>
        </w:tc>
        <w:tc>
          <w:tcPr>
            <w:tcW w:w="1985" w:type="dxa"/>
            <w:tcBorders>
              <w:top w:val="nil"/>
              <w:left w:val="nil"/>
              <w:bottom w:val="single" w:sz="4" w:space="0" w:color="auto"/>
              <w:right w:val="nil"/>
            </w:tcBorders>
          </w:tcPr>
          <w:p w14:paraId="7BDBFE9E" w14:textId="15D5FCBB" w:rsidR="00870B24" w:rsidRPr="0046175F" w:rsidRDefault="00870B24" w:rsidP="00B334C3">
            <w:pPr>
              <w:jc w:val="center"/>
              <w:rPr>
                <w:sz w:val="22"/>
              </w:rPr>
            </w:pPr>
          </w:p>
        </w:tc>
        <w:tc>
          <w:tcPr>
            <w:tcW w:w="2037" w:type="dxa"/>
            <w:tcBorders>
              <w:top w:val="nil"/>
              <w:left w:val="nil"/>
              <w:bottom w:val="single" w:sz="4" w:space="0" w:color="auto"/>
              <w:right w:val="nil"/>
            </w:tcBorders>
          </w:tcPr>
          <w:p w14:paraId="41C3F912" w14:textId="47CF037D" w:rsidR="00870B24" w:rsidRPr="0046175F" w:rsidRDefault="00870B24" w:rsidP="00B334C3">
            <w:pPr>
              <w:jc w:val="center"/>
              <w:rPr>
                <w:sz w:val="22"/>
              </w:rPr>
            </w:pPr>
            <w:r w:rsidRPr="0046175F">
              <w:rPr>
                <w:sz w:val="22"/>
              </w:rPr>
              <w:t>PD-L1 expression of &lt; 5% in ICs</w:t>
            </w:r>
            <w:r w:rsidRPr="0046175F">
              <w:rPr>
                <w:sz w:val="22"/>
                <w:vertAlign w:val="superscript"/>
              </w:rPr>
              <w:t>1</w:t>
            </w:r>
          </w:p>
        </w:tc>
        <w:tc>
          <w:tcPr>
            <w:tcW w:w="2322" w:type="dxa"/>
            <w:tcBorders>
              <w:top w:val="nil"/>
              <w:left w:val="nil"/>
              <w:bottom w:val="single" w:sz="4" w:space="0" w:color="auto"/>
              <w:right w:val="single" w:sz="4" w:space="0" w:color="auto"/>
            </w:tcBorders>
          </w:tcPr>
          <w:p w14:paraId="1637032E" w14:textId="0402CE06" w:rsidR="00870B24" w:rsidRPr="0046175F" w:rsidRDefault="00870B24" w:rsidP="00B334C3">
            <w:pPr>
              <w:jc w:val="center"/>
              <w:rPr>
                <w:sz w:val="22"/>
              </w:rPr>
            </w:pPr>
            <w:r w:rsidRPr="0046175F">
              <w:rPr>
                <w:sz w:val="22"/>
              </w:rPr>
              <w:t>PD-L1 expression of ≥ 5% in ICs</w:t>
            </w:r>
            <w:r w:rsidRPr="0046175F">
              <w:rPr>
                <w:sz w:val="22"/>
                <w:vertAlign w:val="superscript"/>
              </w:rPr>
              <w:t>1</w:t>
            </w:r>
          </w:p>
        </w:tc>
      </w:tr>
      <w:tr w:rsidR="00870B24" w:rsidRPr="0046175F" w14:paraId="25C03FB8" w14:textId="77777777" w:rsidTr="00B334C3">
        <w:trPr>
          <w:trHeight w:val="334"/>
        </w:trPr>
        <w:tc>
          <w:tcPr>
            <w:tcW w:w="2943" w:type="dxa"/>
            <w:tcBorders>
              <w:top w:val="nil"/>
              <w:left w:val="single" w:sz="4" w:space="0" w:color="auto"/>
              <w:bottom w:val="single" w:sz="4" w:space="0" w:color="auto"/>
              <w:right w:val="nil"/>
            </w:tcBorders>
          </w:tcPr>
          <w:p w14:paraId="457E1EF2" w14:textId="77777777" w:rsidR="00870B24" w:rsidRPr="0046175F" w:rsidRDefault="00870B24" w:rsidP="008C39B9">
            <w:pPr>
              <w:rPr>
                <w:b/>
                <w:sz w:val="22"/>
              </w:rPr>
            </w:pPr>
          </w:p>
        </w:tc>
        <w:tc>
          <w:tcPr>
            <w:tcW w:w="1985" w:type="dxa"/>
            <w:tcBorders>
              <w:top w:val="single" w:sz="4" w:space="0" w:color="auto"/>
              <w:left w:val="nil"/>
              <w:bottom w:val="single" w:sz="4" w:space="0" w:color="auto"/>
              <w:right w:val="nil"/>
            </w:tcBorders>
          </w:tcPr>
          <w:p w14:paraId="12760D1F" w14:textId="5C1D9D23" w:rsidR="00870B24" w:rsidRPr="0046175F" w:rsidRDefault="00870B24" w:rsidP="00B334C3">
            <w:pPr>
              <w:jc w:val="center"/>
              <w:rPr>
                <w:sz w:val="22"/>
              </w:rPr>
            </w:pPr>
            <w:r w:rsidRPr="0046175F">
              <w:rPr>
                <w:sz w:val="22"/>
              </w:rPr>
              <w:t>n = 119</w:t>
            </w:r>
          </w:p>
        </w:tc>
        <w:tc>
          <w:tcPr>
            <w:tcW w:w="2037" w:type="dxa"/>
            <w:tcBorders>
              <w:top w:val="single" w:sz="4" w:space="0" w:color="auto"/>
              <w:left w:val="nil"/>
              <w:bottom w:val="single" w:sz="4" w:space="0" w:color="auto"/>
              <w:right w:val="nil"/>
            </w:tcBorders>
          </w:tcPr>
          <w:p w14:paraId="55E2249E" w14:textId="31AAD04C" w:rsidR="00870B24" w:rsidRPr="0046175F" w:rsidRDefault="00870B24" w:rsidP="00B334C3">
            <w:pPr>
              <w:jc w:val="center"/>
              <w:rPr>
                <w:sz w:val="22"/>
              </w:rPr>
            </w:pPr>
            <w:r w:rsidRPr="0046175F">
              <w:rPr>
                <w:sz w:val="22"/>
              </w:rPr>
              <w:t>n = 87</w:t>
            </w:r>
          </w:p>
        </w:tc>
        <w:tc>
          <w:tcPr>
            <w:tcW w:w="2322" w:type="dxa"/>
            <w:tcBorders>
              <w:top w:val="single" w:sz="4" w:space="0" w:color="auto"/>
              <w:left w:val="nil"/>
              <w:bottom w:val="single" w:sz="4" w:space="0" w:color="auto"/>
              <w:right w:val="single" w:sz="4" w:space="0" w:color="auto"/>
            </w:tcBorders>
          </w:tcPr>
          <w:p w14:paraId="5FA3B0BE" w14:textId="1F6981C3" w:rsidR="00870B24" w:rsidRPr="0046175F" w:rsidRDefault="00870B24" w:rsidP="00B334C3">
            <w:pPr>
              <w:jc w:val="center"/>
              <w:rPr>
                <w:sz w:val="22"/>
              </w:rPr>
            </w:pPr>
            <w:r w:rsidRPr="0046175F">
              <w:rPr>
                <w:sz w:val="22"/>
              </w:rPr>
              <w:t>n = 32</w:t>
            </w:r>
          </w:p>
        </w:tc>
      </w:tr>
      <w:tr w:rsidR="00870B24" w:rsidRPr="0046175F" w14:paraId="71120D6D" w14:textId="77777777" w:rsidTr="00B334C3">
        <w:tc>
          <w:tcPr>
            <w:tcW w:w="2943" w:type="dxa"/>
            <w:tcBorders>
              <w:top w:val="single" w:sz="4" w:space="0" w:color="auto"/>
              <w:left w:val="single" w:sz="4" w:space="0" w:color="auto"/>
              <w:bottom w:val="nil"/>
              <w:right w:val="nil"/>
            </w:tcBorders>
          </w:tcPr>
          <w:p w14:paraId="2DBC45F6" w14:textId="10F491BF" w:rsidR="00870B24" w:rsidRPr="0046175F" w:rsidRDefault="00870B24" w:rsidP="00B334C3">
            <w:pPr>
              <w:jc w:val="left"/>
              <w:rPr>
                <w:b/>
                <w:sz w:val="22"/>
              </w:rPr>
            </w:pPr>
            <w:r w:rsidRPr="0046175F">
              <w:rPr>
                <w:b/>
                <w:sz w:val="22"/>
              </w:rPr>
              <w:t>Number of IRF-assessed confirmed responders</w:t>
            </w:r>
          </w:p>
        </w:tc>
        <w:tc>
          <w:tcPr>
            <w:tcW w:w="1985" w:type="dxa"/>
            <w:tcBorders>
              <w:top w:val="single" w:sz="4" w:space="0" w:color="auto"/>
              <w:left w:val="nil"/>
              <w:bottom w:val="nil"/>
              <w:right w:val="nil"/>
            </w:tcBorders>
          </w:tcPr>
          <w:p w14:paraId="2AD4C297" w14:textId="423BB0D3" w:rsidR="00870B24" w:rsidRPr="0046175F" w:rsidRDefault="00870B24" w:rsidP="00B334C3">
            <w:pPr>
              <w:jc w:val="center"/>
              <w:rPr>
                <w:sz w:val="22"/>
              </w:rPr>
            </w:pPr>
            <w:r w:rsidRPr="0046175F">
              <w:rPr>
                <w:sz w:val="22"/>
              </w:rPr>
              <w:t>28</w:t>
            </w:r>
          </w:p>
        </w:tc>
        <w:tc>
          <w:tcPr>
            <w:tcW w:w="2037" w:type="dxa"/>
            <w:tcBorders>
              <w:top w:val="single" w:sz="4" w:space="0" w:color="auto"/>
              <w:left w:val="nil"/>
              <w:bottom w:val="nil"/>
              <w:right w:val="nil"/>
            </w:tcBorders>
          </w:tcPr>
          <w:p w14:paraId="3F39D4A0" w14:textId="61F24BD7" w:rsidR="00870B24" w:rsidRPr="0046175F" w:rsidRDefault="00870B24" w:rsidP="00B334C3">
            <w:pPr>
              <w:jc w:val="center"/>
              <w:rPr>
                <w:sz w:val="22"/>
              </w:rPr>
            </w:pPr>
            <w:r w:rsidRPr="0046175F">
              <w:rPr>
                <w:sz w:val="22"/>
              </w:rPr>
              <w:t>19</w:t>
            </w:r>
          </w:p>
        </w:tc>
        <w:tc>
          <w:tcPr>
            <w:tcW w:w="2322" w:type="dxa"/>
            <w:tcBorders>
              <w:top w:val="single" w:sz="4" w:space="0" w:color="auto"/>
              <w:left w:val="nil"/>
              <w:bottom w:val="nil"/>
              <w:right w:val="single" w:sz="4" w:space="0" w:color="auto"/>
            </w:tcBorders>
          </w:tcPr>
          <w:p w14:paraId="289ED9B0" w14:textId="06248FEB" w:rsidR="00870B24" w:rsidRPr="0046175F" w:rsidRDefault="00870B24" w:rsidP="00B334C3">
            <w:pPr>
              <w:jc w:val="center"/>
              <w:rPr>
                <w:sz w:val="22"/>
              </w:rPr>
            </w:pPr>
            <w:r w:rsidRPr="0046175F">
              <w:rPr>
                <w:sz w:val="22"/>
              </w:rPr>
              <w:t>9</w:t>
            </w:r>
          </w:p>
        </w:tc>
      </w:tr>
      <w:tr w:rsidR="00870B24" w:rsidRPr="0046175F" w14:paraId="48FF12FE" w14:textId="77777777" w:rsidTr="00B334C3">
        <w:tc>
          <w:tcPr>
            <w:tcW w:w="2943" w:type="dxa"/>
            <w:tcBorders>
              <w:top w:val="nil"/>
              <w:left w:val="single" w:sz="4" w:space="0" w:color="auto"/>
              <w:bottom w:val="nil"/>
              <w:right w:val="nil"/>
            </w:tcBorders>
          </w:tcPr>
          <w:p w14:paraId="5C99FC4B" w14:textId="7C66934D" w:rsidR="00870B24" w:rsidRPr="0046175F" w:rsidRDefault="00870B24" w:rsidP="00B334C3">
            <w:pPr>
              <w:jc w:val="left"/>
              <w:rPr>
                <w:sz w:val="22"/>
              </w:rPr>
            </w:pPr>
            <w:r w:rsidRPr="0046175F">
              <w:rPr>
                <w:sz w:val="22"/>
              </w:rPr>
              <w:t>ORR% (95% CI)</w:t>
            </w:r>
          </w:p>
        </w:tc>
        <w:tc>
          <w:tcPr>
            <w:tcW w:w="1985" w:type="dxa"/>
            <w:tcBorders>
              <w:top w:val="nil"/>
              <w:left w:val="nil"/>
              <w:bottom w:val="nil"/>
              <w:right w:val="nil"/>
            </w:tcBorders>
          </w:tcPr>
          <w:p w14:paraId="1A70A017" w14:textId="2A6F1BF9" w:rsidR="00870B24" w:rsidRPr="0046175F" w:rsidRDefault="00870B24" w:rsidP="00B334C3">
            <w:pPr>
              <w:jc w:val="center"/>
              <w:rPr>
                <w:sz w:val="22"/>
              </w:rPr>
            </w:pPr>
            <w:r w:rsidRPr="0046175F">
              <w:rPr>
                <w:sz w:val="22"/>
              </w:rPr>
              <w:t>23.5% (16.2, 32.2)</w:t>
            </w:r>
          </w:p>
        </w:tc>
        <w:tc>
          <w:tcPr>
            <w:tcW w:w="2037" w:type="dxa"/>
            <w:tcBorders>
              <w:top w:val="nil"/>
              <w:left w:val="nil"/>
              <w:bottom w:val="nil"/>
              <w:right w:val="nil"/>
            </w:tcBorders>
          </w:tcPr>
          <w:p w14:paraId="6DBA59D6" w14:textId="5104150D" w:rsidR="00870B24" w:rsidRPr="0046175F" w:rsidRDefault="00870B24" w:rsidP="00B334C3">
            <w:pPr>
              <w:jc w:val="center"/>
              <w:rPr>
                <w:sz w:val="22"/>
              </w:rPr>
            </w:pPr>
            <w:r w:rsidRPr="0046175F">
              <w:rPr>
                <w:sz w:val="22"/>
              </w:rPr>
              <w:t>21.8% (13.7, 32)</w:t>
            </w:r>
          </w:p>
        </w:tc>
        <w:tc>
          <w:tcPr>
            <w:tcW w:w="2322" w:type="dxa"/>
            <w:tcBorders>
              <w:top w:val="nil"/>
              <w:left w:val="nil"/>
              <w:bottom w:val="nil"/>
              <w:right w:val="single" w:sz="4" w:space="0" w:color="auto"/>
            </w:tcBorders>
          </w:tcPr>
          <w:p w14:paraId="21154B86" w14:textId="3DC8C365" w:rsidR="00870B24" w:rsidRPr="0046175F" w:rsidRDefault="00870B24" w:rsidP="00B334C3">
            <w:pPr>
              <w:jc w:val="center"/>
              <w:rPr>
                <w:b/>
                <w:sz w:val="22"/>
              </w:rPr>
            </w:pPr>
            <w:r w:rsidRPr="0046175F">
              <w:rPr>
                <w:sz w:val="22"/>
              </w:rPr>
              <w:t>28.1% (13.8, 46.8)</w:t>
            </w:r>
          </w:p>
        </w:tc>
      </w:tr>
      <w:tr w:rsidR="00870B24" w:rsidRPr="0046175F" w14:paraId="5D4AAA25" w14:textId="77777777" w:rsidTr="00B334C3">
        <w:tc>
          <w:tcPr>
            <w:tcW w:w="2943" w:type="dxa"/>
            <w:tcBorders>
              <w:top w:val="nil"/>
              <w:left w:val="single" w:sz="4" w:space="0" w:color="auto"/>
              <w:bottom w:val="nil"/>
              <w:right w:val="nil"/>
            </w:tcBorders>
          </w:tcPr>
          <w:p w14:paraId="7C8886C4" w14:textId="551B265B" w:rsidR="00870B24" w:rsidRPr="0046175F" w:rsidRDefault="00870B24" w:rsidP="00B334C3">
            <w:pPr>
              <w:jc w:val="left"/>
              <w:rPr>
                <w:sz w:val="22"/>
              </w:rPr>
            </w:pPr>
            <w:r w:rsidRPr="0046175F">
              <w:rPr>
                <w:sz w:val="22"/>
              </w:rPr>
              <w:t>Complete response (CR) (%)</w:t>
            </w:r>
          </w:p>
        </w:tc>
        <w:tc>
          <w:tcPr>
            <w:tcW w:w="1985" w:type="dxa"/>
            <w:tcBorders>
              <w:top w:val="nil"/>
              <w:left w:val="nil"/>
              <w:bottom w:val="nil"/>
              <w:right w:val="nil"/>
            </w:tcBorders>
          </w:tcPr>
          <w:p w14:paraId="1CA70E02" w14:textId="54159EFD" w:rsidR="00870B24" w:rsidRPr="0046175F" w:rsidRDefault="00870B24" w:rsidP="00B334C3">
            <w:pPr>
              <w:jc w:val="center"/>
              <w:rPr>
                <w:sz w:val="22"/>
              </w:rPr>
            </w:pPr>
            <w:r w:rsidRPr="0046175F">
              <w:rPr>
                <w:sz w:val="22"/>
              </w:rPr>
              <w:t>6.7%</w:t>
            </w:r>
          </w:p>
        </w:tc>
        <w:tc>
          <w:tcPr>
            <w:tcW w:w="2037" w:type="dxa"/>
            <w:tcBorders>
              <w:top w:val="nil"/>
              <w:left w:val="nil"/>
              <w:bottom w:val="nil"/>
              <w:right w:val="nil"/>
            </w:tcBorders>
          </w:tcPr>
          <w:p w14:paraId="4FD11F7E" w14:textId="694B0FF5" w:rsidR="00870B24" w:rsidRPr="0046175F" w:rsidRDefault="00870B24" w:rsidP="00B334C3">
            <w:pPr>
              <w:jc w:val="center"/>
              <w:rPr>
                <w:sz w:val="22"/>
              </w:rPr>
            </w:pPr>
            <w:r w:rsidRPr="0046175F">
              <w:rPr>
                <w:sz w:val="22"/>
              </w:rPr>
              <w:t>6.9%</w:t>
            </w:r>
          </w:p>
        </w:tc>
        <w:tc>
          <w:tcPr>
            <w:tcW w:w="2322" w:type="dxa"/>
            <w:tcBorders>
              <w:top w:val="nil"/>
              <w:left w:val="nil"/>
              <w:bottom w:val="nil"/>
              <w:right w:val="single" w:sz="4" w:space="0" w:color="auto"/>
            </w:tcBorders>
          </w:tcPr>
          <w:p w14:paraId="24B20A87" w14:textId="2D634119" w:rsidR="00870B24" w:rsidRPr="0046175F" w:rsidRDefault="00870B24" w:rsidP="00B334C3">
            <w:pPr>
              <w:jc w:val="center"/>
              <w:rPr>
                <w:sz w:val="22"/>
              </w:rPr>
            </w:pPr>
            <w:r w:rsidRPr="0046175F">
              <w:rPr>
                <w:sz w:val="22"/>
              </w:rPr>
              <w:t>6.3%</w:t>
            </w:r>
          </w:p>
        </w:tc>
      </w:tr>
      <w:tr w:rsidR="00870B24" w:rsidRPr="0046175F" w14:paraId="3588CE23" w14:textId="77777777" w:rsidTr="00B334C3">
        <w:tc>
          <w:tcPr>
            <w:tcW w:w="2943" w:type="dxa"/>
            <w:tcBorders>
              <w:top w:val="nil"/>
              <w:left w:val="single" w:sz="4" w:space="0" w:color="auto"/>
              <w:bottom w:val="single" w:sz="4" w:space="0" w:color="auto"/>
              <w:right w:val="nil"/>
            </w:tcBorders>
          </w:tcPr>
          <w:p w14:paraId="146E23C3" w14:textId="3E9D920D" w:rsidR="00870B24" w:rsidRPr="0046175F" w:rsidRDefault="00870B24" w:rsidP="00B334C3">
            <w:pPr>
              <w:jc w:val="left"/>
              <w:rPr>
                <w:sz w:val="22"/>
              </w:rPr>
            </w:pPr>
            <w:r w:rsidRPr="0046175F">
              <w:rPr>
                <w:sz w:val="22"/>
              </w:rPr>
              <w:t>Partial response (PR) (%)</w:t>
            </w:r>
          </w:p>
        </w:tc>
        <w:tc>
          <w:tcPr>
            <w:tcW w:w="1985" w:type="dxa"/>
            <w:tcBorders>
              <w:top w:val="nil"/>
              <w:left w:val="nil"/>
              <w:bottom w:val="single" w:sz="4" w:space="0" w:color="auto"/>
              <w:right w:val="nil"/>
            </w:tcBorders>
          </w:tcPr>
          <w:p w14:paraId="605EACE8" w14:textId="6B4BFB27" w:rsidR="00870B24" w:rsidRPr="0046175F" w:rsidRDefault="00870B24" w:rsidP="00B334C3">
            <w:pPr>
              <w:jc w:val="center"/>
              <w:rPr>
                <w:sz w:val="22"/>
              </w:rPr>
            </w:pPr>
            <w:r w:rsidRPr="0046175F">
              <w:rPr>
                <w:sz w:val="22"/>
              </w:rPr>
              <w:t>16.8%</w:t>
            </w:r>
          </w:p>
        </w:tc>
        <w:tc>
          <w:tcPr>
            <w:tcW w:w="2037" w:type="dxa"/>
            <w:tcBorders>
              <w:top w:val="nil"/>
              <w:left w:val="nil"/>
              <w:bottom w:val="single" w:sz="4" w:space="0" w:color="auto"/>
              <w:right w:val="nil"/>
            </w:tcBorders>
          </w:tcPr>
          <w:p w14:paraId="2B1C1B8C" w14:textId="1743A582" w:rsidR="00870B24" w:rsidRPr="0046175F" w:rsidRDefault="00870B24" w:rsidP="00B334C3">
            <w:pPr>
              <w:jc w:val="center"/>
              <w:rPr>
                <w:sz w:val="22"/>
              </w:rPr>
            </w:pPr>
            <w:r w:rsidRPr="0046175F">
              <w:rPr>
                <w:sz w:val="22"/>
              </w:rPr>
              <w:t>14.9%</w:t>
            </w:r>
          </w:p>
        </w:tc>
        <w:tc>
          <w:tcPr>
            <w:tcW w:w="2322" w:type="dxa"/>
            <w:tcBorders>
              <w:top w:val="nil"/>
              <w:left w:val="nil"/>
              <w:bottom w:val="single" w:sz="4" w:space="0" w:color="auto"/>
              <w:right w:val="single" w:sz="4" w:space="0" w:color="auto"/>
            </w:tcBorders>
          </w:tcPr>
          <w:p w14:paraId="70598679" w14:textId="41819358" w:rsidR="00870B24" w:rsidRPr="0046175F" w:rsidRDefault="00870B24" w:rsidP="00B334C3">
            <w:pPr>
              <w:jc w:val="center"/>
              <w:rPr>
                <w:sz w:val="22"/>
              </w:rPr>
            </w:pPr>
            <w:r w:rsidRPr="0046175F">
              <w:rPr>
                <w:sz w:val="22"/>
              </w:rPr>
              <w:t>21.9%</w:t>
            </w:r>
          </w:p>
        </w:tc>
      </w:tr>
      <w:tr w:rsidR="00870B24" w:rsidRPr="0046175F" w14:paraId="27F7B87D" w14:textId="77777777" w:rsidTr="00B334C3">
        <w:trPr>
          <w:trHeight w:val="469"/>
        </w:trPr>
        <w:tc>
          <w:tcPr>
            <w:tcW w:w="2943" w:type="dxa"/>
            <w:tcBorders>
              <w:top w:val="single" w:sz="4" w:space="0" w:color="auto"/>
              <w:left w:val="single" w:sz="4" w:space="0" w:color="auto"/>
              <w:bottom w:val="single" w:sz="4" w:space="0" w:color="auto"/>
              <w:right w:val="nil"/>
            </w:tcBorders>
          </w:tcPr>
          <w:p w14:paraId="5C58EA0F" w14:textId="45578420" w:rsidR="00870B24" w:rsidRPr="0046175F" w:rsidRDefault="00870B24" w:rsidP="00B334C3">
            <w:pPr>
              <w:jc w:val="left"/>
              <w:rPr>
                <w:b/>
                <w:sz w:val="22"/>
              </w:rPr>
            </w:pPr>
            <w:r w:rsidRPr="0046175F">
              <w:rPr>
                <w:b/>
                <w:sz w:val="22"/>
              </w:rPr>
              <w:t xml:space="preserve">Median </w:t>
            </w:r>
            <w:proofErr w:type="spellStart"/>
            <w:r w:rsidRPr="0046175F">
              <w:rPr>
                <w:b/>
                <w:sz w:val="22"/>
              </w:rPr>
              <w:t>DoR</w:t>
            </w:r>
            <w:proofErr w:type="spellEnd"/>
            <w:r w:rsidRPr="0046175F">
              <w:rPr>
                <w:b/>
                <w:sz w:val="22"/>
              </w:rPr>
              <w:t>, months (range)</w:t>
            </w:r>
          </w:p>
        </w:tc>
        <w:tc>
          <w:tcPr>
            <w:tcW w:w="1985" w:type="dxa"/>
            <w:tcBorders>
              <w:top w:val="single" w:sz="4" w:space="0" w:color="auto"/>
              <w:left w:val="nil"/>
              <w:bottom w:val="single" w:sz="4" w:space="0" w:color="auto"/>
              <w:right w:val="nil"/>
            </w:tcBorders>
          </w:tcPr>
          <w:p w14:paraId="2DA5F2C8" w14:textId="77777777" w:rsidR="00870B24" w:rsidRPr="0046175F" w:rsidRDefault="00870B24" w:rsidP="00B334C3">
            <w:pPr>
              <w:jc w:val="center"/>
              <w:rPr>
                <w:sz w:val="22"/>
              </w:rPr>
            </w:pPr>
            <w:r w:rsidRPr="0046175F">
              <w:rPr>
                <w:sz w:val="22"/>
              </w:rPr>
              <w:t>NR</w:t>
            </w:r>
          </w:p>
          <w:p w14:paraId="5A181704" w14:textId="17201E65" w:rsidR="00870B24" w:rsidRPr="0046175F" w:rsidRDefault="00870B24" w:rsidP="00B334C3">
            <w:pPr>
              <w:jc w:val="center"/>
              <w:rPr>
                <w:sz w:val="22"/>
              </w:rPr>
            </w:pPr>
            <w:r w:rsidRPr="0046175F">
              <w:rPr>
                <w:sz w:val="22"/>
              </w:rPr>
              <w:t>(3.7, 16.6+)</w:t>
            </w:r>
          </w:p>
        </w:tc>
        <w:tc>
          <w:tcPr>
            <w:tcW w:w="2037" w:type="dxa"/>
            <w:tcBorders>
              <w:top w:val="single" w:sz="4" w:space="0" w:color="auto"/>
              <w:left w:val="nil"/>
              <w:bottom w:val="single" w:sz="4" w:space="0" w:color="auto"/>
              <w:right w:val="nil"/>
            </w:tcBorders>
          </w:tcPr>
          <w:p w14:paraId="07FE1983" w14:textId="77777777" w:rsidR="00870B24" w:rsidRPr="0046175F" w:rsidRDefault="00870B24" w:rsidP="00870B24">
            <w:pPr>
              <w:jc w:val="center"/>
              <w:rPr>
                <w:sz w:val="22"/>
              </w:rPr>
            </w:pPr>
            <w:r w:rsidRPr="0046175F">
              <w:rPr>
                <w:sz w:val="22"/>
              </w:rPr>
              <w:t>NR</w:t>
            </w:r>
          </w:p>
          <w:p w14:paraId="6937DEED" w14:textId="3A256B91" w:rsidR="00870B24" w:rsidRPr="0046175F" w:rsidRDefault="00870B24" w:rsidP="00B334C3">
            <w:pPr>
              <w:jc w:val="center"/>
              <w:rPr>
                <w:sz w:val="22"/>
              </w:rPr>
            </w:pPr>
            <w:r w:rsidRPr="0046175F">
              <w:rPr>
                <w:sz w:val="22"/>
              </w:rPr>
              <w:t>(3.7, 16.6+)</w:t>
            </w:r>
          </w:p>
        </w:tc>
        <w:tc>
          <w:tcPr>
            <w:tcW w:w="2322" w:type="dxa"/>
            <w:tcBorders>
              <w:top w:val="single" w:sz="4" w:space="0" w:color="auto"/>
              <w:left w:val="nil"/>
              <w:bottom w:val="single" w:sz="4" w:space="0" w:color="auto"/>
              <w:right w:val="single" w:sz="4" w:space="0" w:color="auto"/>
            </w:tcBorders>
          </w:tcPr>
          <w:p w14:paraId="5F48B2AC" w14:textId="77777777" w:rsidR="00870B24" w:rsidRPr="0046175F" w:rsidRDefault="00870B24" w:rsidP="00870B24">
            <w:pPr>
              <w:jc w:val="center"/>
              <w:rPr>
                <w:sz w:val="22"/>
              </w:rPr>
            </w:pPr>
            <w:r w:rsidRPr="0046175F">
              <w:rPr>
                <w:sz w:val="22"/>
              </w:rPr>
              <w:t>NR</w:t>
            </w:r>
          </w:p>
          <w:p w14:paraId="1F700836" w14:textId="56C76F58" w:rsidR="00870B24" w:rsidRPr="0046175F" w:rsidRDefault="00870B24" w:rsidP="00B334C3">
            <w:pPr>
              <w:jc w:val="center"/>
              <w:rPr>
                <w:sz w:val="22"/>
              </w:rPr>
            </w:pPr>
            <w:r w:rsidRPr="0046175F">
              <w:rPr>
                <w:sz w:val="22"/>
              </w:rPr>
              <w:t>(8.1, 15.6+)</w:t>
            </w:r>
          </w:p>
        </w:tc>
      </w:tr>
      <w:tr w:rsidR="00870B24" w:rsidRPr="0046175F" w14:paraId="7445337C" w14:textId="77777777" w:rsidTr="00B334C3">
        <w:tc>
          <w:tcPr>
            <w:tcW w:w="9287" w:type="dxa"/>
            <w:gridSpan w:val="4"/>
            <w:tcBorders>
              <w:top w:val="single" w:sz="4" w:space="0" w:color="auto"/>
              <w:left w:val="nil"/>
              <w:bottom w:val="nil"/>
              <w:right w:val="nil"/>
            </w:tcBorders>
          </w:tcPr>
          <w:p w14:paraId="76D8BFDB" w14:textId="4D753C32" w:rsidR="00870B24" w:rsidRPr="0046175F" w:rsidRDefault="00870B24" w:rsidP="00B334C3">
            <w:pPr>
              <w:jc w:val="left"/>
              <w:rPr>
                <w:sz w:val="22"/>
              </w:rPr>
            </w:pPr>
            <w:r w:rsidRPr="0046175F">
              <w:rPr>
                <w:sz w:val="22"/>
              </w:rPr>
              <w:t>NR = not reached</w:t>
            </w:r>
          </w:p>
        </w:tc>
      </w:tr>
      <w:tr w:rsidR="00870B24" w:rsidRPr="0046175F" w14:paraId="757A8F23" w14:textId="77777777" w:rsidTr="00B334C3">
        <w:tc>
          <w:tcPr>
            <w:tcW w:w="9287" w:type="dxa"/>
            <w:gridSpan w:val="4"/>
            <w:tcBorders>
              <w:top w:val="nil"/>
              <w:left w:val="nil"/>
              <w:bottom w:val="nil"/>
              <w:right w:val="nil"/>
            </w:tcBorders>
          </w:tcPr>
          <w:p w14:paraId="2B1F93EC" w14:textId="6C1E8EB3" w:rsidR="00870B24" w:rsidRPr="0046175F" w:rsidRDefault="00870B24" w:rsidP="00B334C3">
            <w:pPr>
              <w:jc w:val="left"/>
              <w:rPr>
                <w:sz w:val="22"/>
              </w:rPr>
            </w:pPr>
            <w:r w:rsidRPr="0046175F">
              <w:rPr>
                <w:sz w:val="22"/>
              </w:rPr>
              <w:t>+ Denotes a censored value</w:t>
            </w:r>
          </w:p>
        </w:tc>
      </w:tr>
      <w:tr w:rsidR="00870B24" w:rsidRPr="0046175F" w14:paraId="435C751C" w14:textId="77777777" w:rsidTr="00B334C3">
        <w:tc>
          <w:tcPr>
            <w:tcW w:w="9287" w:type="dxa"/>
            <w:gridSpan w:val="4"/>
            <w:tcBorders>
              <w:top w:val="nil"/>
              <w:left w:val="nil"/>
              <w:bottom w:val="nil"/>
              <w:right w:val="nil"/>
            </w:tcBorders>
          </w:tcPr>
          <w:p w14:paraId="6354B2CE" w14:textId="7A0298FE" w:rsidR="00870B24" w:rsidRPr="0046175F" w:rsidRDefault="00870B24" w:rsidP="00B334C3">
            <w:pPr>
              <w:jc w:val="left"/>
              <w:rPr>
                <w:sz w:val="22"/>
              </w:rPr>
            </w:pPr>
            <w:r w:rsidRPr="0046175F">
              <w:rPr>
                <w:sz w:val="22"/>
                <w:vertAlign w:val="superscript"/>
              </w:rPr>
              <w:t>1</w:t>
            </w:r>
            <w:r w:rsidRPr="0046175F">
              <w:rPr>
                <w:sz w:val="22"/>
              </w:rPr>
              <w:t xml:space="preserve"> PD-L1 expression in tumour-infiltrating immune cells (ICs)</w:t>
            </w:r>
          </w:p>
        </w:tc>
      </w:tr>
    </w:tbl>
    <w:p w14:paraId="45A873E4" w14:textId="77777777" w:rsidR="00870B24" w:rsidRPr="0046175F" w:rsidRDefault="00870B24" w:rsidP="008C39B9">
      <w:pPr>
        <w:rPr>
          <w:b/>
        </w:rPr>
      </w:pPr>
    </w:p>
    <w:p w14:paraId="7D398260" w14:textId="77777777" w:rsidR="008C39B9" w:rsidRPr="0046175F" w:rsidRDefault="008C39B9" w:rsidP="00A94F3F">
      <w:pPr>
        <w:pStyle w:val="Heading5"/>
      </w:pPr>
      <w:r w:rsidRPr="0046175F">
        <w:t xml:space="preserve">WO30070 </w:t>
      </w:r>
    </w:p>
    <w:p w14:paraId="224B9C7B" w14:textId="301B60E6" w:rsidR="008C39B9" w:rsidRPr="0046175F" w:rsidRDefault="00074237" w:rsidP="00074237">
      <w:r w:rsidRPr="0046175F">
        <w:t>IMvigor130 (WO30070) is a</w:t>
      </w:r>
      <w:r w:rsidR="008C39B9" w:rsidRPr="0046175F">
        <w:t xml:space="preserve">n ongoing multicentre, randomised </w:t>
      </w:r>
      <w:r w:rsidRPr="0046175F">
        <w:t>study in previously untreated patients with metastatic urothelial carcinoma who are eligible for platinum-containing chemotherapy</w:t>
      </w:r>
      <w:r w:rsidR="00C30988" w:rsidRPr="0046175F">
        <w:t xml:space="preserve">. </w:t>
      </w:r>
      <w:r w:rsidRPr="0046175F">
        <w:t xml:space="preserve">The study contains three arms: </w:t>
      </w:r>
      <w:proofErr w:type="spellStart"/>
      <w:r w:rsidRPr="0046175F">
        <w:t>Tecentriq</w:t>
      </w:r>
      <w:proofErr w:type="spellEnd"/>
      <w:r w:rsidRPr="0046175F">
        <w:t xml:space="preserve"> monotherapy, </w:t>
      </w:r>
      <w:proofErr w:type="spellStart"/>
      <w:r w:rsidRPr="0046175F">
        <w:t>Tecentriq</w:t>
      </w:r>
      <w:proofErr w:type="spellEnd"/>
      <w:r w:rsidRPr="0046175F">
        <w:t xml:space="preserve"> with platinum-based chemotherapy (i.e., cisplatin or carboplatin with gemcitabine), and platinum-based chemotherapy alone (comparator). Both cisplatin-eligible and cisplatin-ineligible patients are included in the study. Tumour specimens were evaluated prospectively using the VENTANA PD-L1 (SP142) Assay at a central laboratory.</w:t>
      </w:r>
    </w:p>
    <w:p w14:paraId="49BEDB0C" w14:textId="77777777" w:rsidR="008C39B9" w:rsidRPr="0046175F" w:rsidRDefault="008C39B9" w:rsidP="008C39B9"/>
    <w:p w14:paraId="1D774FD5" w14:textId="512A4279" w:rsidR="00074237" w:rsidRDefault="00074237" w:rsidP="00074237">
      <w:pPr>
        <w:rPr>
          <w:lang w:val="en-US"/>
        </w:rPr>
      </w:pPr>
      <w:r w:rsidRPr="0046175F">
        <w:rPr>
          <w:lang w:val="en-US"/>
        </w:rPr>
        <w:t>The independent Data Monitoring Committee (</w:t>
      </w:r>
      <w:proofErr w:type="spellStart"/>
      <w:r w:rsidRPr="0046175F">
        <w:rPr>
          <w:lang w:val="en-US"/>
        </w:rPr>
        <w:t>iDMC</w:t>
      </w:r>
      <w:proofErr w:type="spellEnd"/>
      <w:r w:rsidRPr="0046175F">
        <w:rPr>
          <w:lang w:val="en-US"/>
        </w:rPr>
        <w:t xml:space="preserve">) for the study conducted a review of early data and found that patients classified as having PD-L1 expression of &lt; 5% </w:t>
      </w:r>
      <w:r w:rsidR="00D74F60" w:rsidRPr="0046175F">
        <w:rPr>
          <w:lang w:val="en-US"/>
        </w:rPr>
        <w:t xml:space="preserve">(IC0/1) </w:t>
      </w:r>
      <w:r w:rsidRPr="0046175F">
        <w:rPr>
          <w:lang w:val="en-US"/>
        </w:rPr>
        <w:t xml:space="preserve">when treated with </w:t>
      </w:r>
      <w:proofErr w:type="spellStart"/>
      <w:r w:rsidRPr="0046175F">
        <w:rPr>
          <w:lang w:val="en-US"/>
        </w:rPr>
        <w:t>Tecentriq</w:t>
      </w:r>
      <w:proofErr w:type="spellEnd"/>
      <w:r w:rsidRPr="0046175F">
        <w:rPr>
          <w:lang w:val="en-US"/>
        </w:rPr>
        <w:t xml:space="preserve"> monotherapy had decreased survival compared to those who received platinum-based </w:t>
      </w:r>
      <w:r w:rsidRPr="0046175F">
        <w:rPr>
          <w:lang w:val="en-US"/>
        </w:rPr>
        <w:lastRenderedPageBreak/>
        <w:t xml:space="preserve">chemotherapy. The </w:t>
      </w:r>
      <w:proofErr w:type="spellStart"/>
      <w:r w:rsidRPr="0046175F">
        <w:rPr>
          <w:lang w:val="en-US"/>
        </w:rPr>
        <w:t>iDMC</w:t>
      </w:r>
      <w:proofErr w:type="spellEnd"/>
      <w:r w:rsidRPr="0046175F">
        <w:rPr>
          <w:lang w:val="en-US"/>
        </w:rPr>
        <w:t xml:space="preserve"> recommended closure of the monotherapy arm to further accrual of patients with low PD-L1 expression, however, no other changes were recommended for the study, including any change of therapy for patients who had already been randomized to and were receiving treatment in the monotherapy arm.</w:t>
      </w:r>
    </w:p>
    <w:p w14:paraId="5D450D19" w14:textId="183C4E51" w:rsidR="00033423" w:rsidRDefault="00033423" w:rsidP="00074237">
      <w:pPr>
        <w:rPr>
          <w:lang w:val="en-US"/>
        </w:rPr>
      </w:pPr>
    </w:p>
    <w:p w14:paraId="30B73133" w14:textId="3F720CA8" w:rsidR="00442C9B" w:rsidRDefault="00442C9B" w:rsidP="00442C9B">
      <w:pPr>
        <w:spacing w:before="120" w:line="343" w:lineRule="auto"/>
        <w:ind w:right="-1"/>
        <w:rPr>
          <w:i/>
        </w:rPr>
      </w:pPr>
      <w:r>
        <w:rPr>
          <w:i/>
          <w:u w:val="single"/>
        </w:rPr>
        <w:t>1L triple-negative breast cancer</w:t>
      </w:r>
      <w:r>
        <w:rPr>
          <w:i/>
        </w:rPr>
        <w:t xml:space="preserve"> </w:t>
      </w:r>
      <w:r>
        <w:rPr>
          <w:i/>
          <w:u w:val="single"/>
        </w:rPr>
        <w:t>WO29522</w:t>
      </w:r>
    </w:p>
    <w:p w14:paraId="0929737F" w14:textId="216EA1DE" w:rsidR="00442C9B" w:rsidRDefault="00442C9B" w:rsidP="00442C9B">
      <w:pPr>
        <w:pStyle w:val="BodyText"/>
        <w:spacing w:before="55" w:after="0" w:line="240" w:lineRule="atLeast"/>
      </w:pPr>
      <w:r>
        <w:t>A phase III, double-blind, two-arm, randomised, placebo-controlled study, WO29522(IMpassion130),</w:t>
      </w:r>
      <w:r>
        <w:rPr>
          <w:spacing w:val="-9"/>
        </w:rPr>
        <w:t xml:space="preserve"> </w:t>
      </w:r>
      <w:r>
        <w:t>was</w:t>
      </w:r>
      <w:r>
        <w:rPr>
          <w:spacing w:val="-8"/>
        </w:rPr>
        <w:t xml:space="preserve"> </w:t>
      </w:r>
      <w:r>
        <w:t>conducted</w:t>
      </w:r>
      <w:r>
        <w:rPr>
          <w:spacing w:val="-9"/>
        </w:rPr>
        <w:t xml:space="preserve"> </w:t>
      </w:r>
      <w:r>
        <w:t>to</w:t>
      </w:r>
      <w:r>
        <w:rPr>
          <w:spacing w:val="-8"/>
        </w:rPr>
        <w:t xml:space="preserve"> </w:t>
      </w:r>
      <w:r>
        <w:t>evaluate</w:t>
      </w:r>
      <w:r>
        <w:rPr>
          <w:spacing w:val="-10"/>
        </w:rPr>
        <w:t xml:space="preserve"> </w:t>
      </w:r>
      <w:r>
        <w:t>the</w:t>
      </w:r>
      <w:r>
        <w:rPr>
          <w:spacing w:val="-7"/>
        </w:rPr>
        <w:t xml:space="preserve"> </w:t>
      </w:r>
      <w:r>
        <w:t>efficacy</w:t>
      </w:r>
      <w:r>
        <w:rPr>
          <w:spacing w:val="-11"/>
        </w:rPr>
        <w:t xml:space="preserve"> </w:t>
      </w:r>
      <w:r>
        <w:t>and</w:t>
      </w:r>
      <w:r>
        <w:rPr>
          <w:spacing w:val="-9"/>
        </w:rPr>
        <w:t xml:space="preserve"> </w:t>
      </w:r>
      <w:r>
        <w:t>safety</w:t>
      </w:r>
      <w:r>
        <w:rPr>
          <w:spacing w:val="-13"/>
        </w:rPr>
        <w:t xml:space="preserve"> </w:t>
      </w:r>
      <w:r>
        <w:t>of</w:t>
      </w:r>
      <w:r>
        <w:rPr>
          <w:spacing w:val="-7"/>
        </w:rPr>
        <w:t xml:space="preserve"> </w:t>
      </w:r>
      <w:proofErr w:type="spellStart"/>
      <w:r>
        <w:t>Tecentriq</w:t>
      </w:r>
      <w:proofErr w:type="spellEnd"/>
      <w:r>
        <w:rPr>
          <w:spacing w:val="-8"/>
        </w:rPr>
        <w:t xml:space="preserve"> </w:t>
      </w:r>
      <w:r>
        <w:t>in</w:t>
      </w:r>
      <w:r>
        <w:rPr>
          <w:spacing w:val="-8"/>
        </w:rPr>
        <w:t xml:space="preserve"> </w:t>
      </w:r>
      <w:r>
        <w:t xml:space="preserve">combination with nab-paclitaxel, in patients with </w:t>
      </w:r>
      <w:proofErr w:type="spellStart"/>
      <w:r>
        <w:t>unresectable</w:t>
      </w:r>
      <w:proofErr w:type="spellEnd"/>
      <w:r>
        <w:t xml:space="preserve"> locally advanced or metastatic TNBC who had not received prior chemotherapy for metastatic disease. A total of 902 patients were enrolled and stratified by presence of liver metastases, prior </w:t>
      </w:r>
      <w:proofErr w:type="spellStart"/>
      <w:r>
        <w:t>taxane</w:t>
      </w:r>
      <w:proofErr w:type="spellEnd"/>
      <w:r>
        <w:t xml:space="preserve"> treatment, and by PD-L1 expression</w:t>
      </w:r>
      <w:r>
        <w:rPr>
          <w:spacing w:val="-7"/>
        </w:rPr>
        <w:t xml:space="preserve"> </w:t>
      </w:r>
      <w:r>
        <w:t>status</w:t>
      </w:r>
      <w:r>
        <w:rPr>
          <w:spacing w:val="-7"/>
        </w:rPr>
        <w:t xml:space="preserve"> </w:t>
      </w:r>
      <w:r>
        <w:t>in</w:t>
      </w:r>
      <w:r>
        <w:rPr>
          <w:spacing w:val="-9"/>
        </w:rPr>
        <w:t xml:space="preserve"> </w:t>
      </w:r>
      <w:r>
        <w:t>tumour-infiltrating</w:t>
      </w:r>
      <w:r>
        <w:rPr>
          <w:spacing w:val="-10"/>
        </w:rPr>
        <w:t xml:space="preserve"> </w:t>
      </w:r>
      <w:r>
        <w:t>immune</w:t>
      </w:r>
      <w:r>
        <w:rPr>
          <w:spacing w:val="-8"/>
        </w:rPr>
        <w:t xml:space="preserve"> </w:t>
      </w:r>
      <w:r>
        <w:t>cells</w:t>
      </w:r>
      <w:r>
        <w:rPr>
          <w:spacing w:val="-7"/>
        </w:rPr>
        <w:t xml:space="preserve"> </w:t>
      </w:r>
      <w:r>
        <w:t>(IC)</w:t>
      </w:r>
      <w:r w:rsidR="00815F3C">
        <w:t xml:space="preserve"> </w:t>
      </w:r>
      <w:r w:rsidR="00815F3C" w:rsidRPr="00815F3C">
        <w:t xml:space="preserve">) </w:t>
      </w:r>
      <w:r w:rsidR="00815F3C" w:rsidRPr="00994A2C">
        <w:rPr>
          <w:lang w:val="en-GB"/>
        </w:rPr>
        <w:t>(PD-L1 stained tumour-infiltrating immune cells [IC] &lt;1% of tumour area vs. ≥ 1% of the tumour area) assessed by the VENTANA PD-L1 (SP142) Assay</w:t>
      </w:r>
      <w:r w:rsidRPr="00815F3C">
        <w:t>.</w:t>
      </w:r>
      <w:r>
        <w:rPr>
          <w:spacing w:val="-7"/>
        </w:rPr>
        <w:t xml:space="preserve"> </w:t>
      </w:r>
      <w:r>
        <w:t>Patients</w:t>
      </w:r>
      <w:r>
        <w:rPr>
          <w:spacing w:val="-7"/>
        </w:rPr>
        <w:t xml:space="preserve"> </w:t>
      </w:r>
      <w:r>
        <w:t>were</w:t>
      </w:r>
      <w:r>
        <w:rPr>
          <w:spacing w:val="-9"/>
        </w:rPr>
        <w:t xml:space="preserve"> </w:t>
      </w:r>
      <w:r>
        <w:t>randomised</w:t>
      </w:r>
      <w:r>
        <w:rPr>
          <w:spacing w:val="-7"/>
        </w:rPr>
        <w:t xml:space="preserve"> </w:t>
      </w:r>
      <w:r>
        <w:t>to</w:t>
      </w:r>
      <w:r>
        <w:rPr>
          <w:spacing w:val="-7"/>
        </w:rPr>
        <w:t xml:space="preserve"> </w:t>
      </w:r>
      <w:r>
        <w:t xml:space="preserve">receive </w:t>
      </w:r>
      <w:proofErr w:type="spellStart"/>
      <w:r>
        <w:t>Tecentriq</w:t>
      </w:r>
      <w:proofErr w:type="spellEnd"/>
      <w:r>
        <w:t xml:space="preserve"> (840 mg) or placebo IV infusions on Days 1 and 15 of every 28-day cycle, plus</w:t>
      </w:r>
      <w:r>
        <w:rPr>
          <w:spacing w:val="-19"/>
        </w:rPr>
        <w:t xml:space="preserve"> </w:t>
      </w:r>
      <w:r>
        <w:t>nab- paclitaxel</w:t>
      </w:r>
      <w:r>
        <w:rPr>
          <w:spacing w:val="-11"/>
        </w:rPr>
        <w:t xml:space="preserve"> </w:t>
      </w:r>
      <w:r>
        <w:t>(100</w:t>
      </w:r>
      <w:r>
        <w:rPr>
          <w:spacing w:val="-12"/>
        </w:rPr>
        <w:t xml:space="preserve"> </w:t>
      </w:r>
      <w:r>
        <w:t>mg/m</w:t>
      </w:r>
      <w:r>
        <w:rPr>
          <w:position w:val="9"/>
          <w:sz w:val="16"/>
        </w:rPr>
        <w:t>2</w:t>
      </w:r>
      <w:r>
        <w:t>)</w:t>
      </w:r>
      <w:r>
        <w:rPr>
          <w:spacing w:val="-12"/>
        </w:rPr>
        <w:t xml:space="preserve"> </w:t>
      </w:r>
      <w:r>
        <w:t>administered</w:t>
      </w:r>
      <w:r>
        <w:rPr>
          <w:spacing w:val="-11"/>
        </w:rPr>
        <w:t xml:space="preserve"> </w:t>
      </w:r>
      <w:r>
        <w:t>via</w:t>
      </w:r>
      <w:r>
        <w:rPr>
          <w:spacing w:val="-9"/>
        </w:rPr>
        <w:t xml:space="preserve"> </w:t>
      </w:r>
      <w:r>
        <w:t>IV</w:t>
      </w:r>
      <w:r>
        <w:rPr>
          <w:spacing w:val="-9"/>
        </w:rPr>
        <w:t xml:space="preserve"> </w:t>
      </w:r>
      <w:r>
        <w:t>infusion</w:t>
      </w:r>
      <w:r>
        <w:rPr>
          <w:spacing w:val="-11"/>
        </w:rPr>
        <w:t xml:space="preserve"> </w:t>
      </w:r>
      <w:r>
        <w:t>on</w:t>
      </w:r>
      <w:r>
        <w:rPr>
          <w:spacing w:val="-11"/>
        </w:rPr>
        <w:t xml:space="preserve"> </w:t>
      </w:r>
      <w:r>
        <w:t>Days</w:t>
      </w:r>
      <w:r>
        <w:rPr>
          <w:spacing w:val="-9"/>
        </w:rPr>
        <w:t xml:space="preserve"> </w:t>
      </w:r>
      <w:r>
        <w:t>1,</w:t>
      </w:r>
      <w:r>
        <w:rPr>
          <w:spacing w:val="-11"/>
        </w:rPr>
        <w:t xml:space="preserve"> </w:t>
      </w:r>
      <w:r>
        <w:t>8</w:t>
      </w:r>
      <w:r>
        <w:rPr>
          <w:spacing w:val="-9"/>
        </w:rPr>
        <w:t xml:space="preserve"> </w:t>
      </w:r>
      <w:r>
        <w:t>and</w:t>
      </w:r>
      <w:r>
        <w:rPr>
          <w:spacing w:val="-11"/>
        </w:rPr>
        <w:t xml:space="preserve"> </w:t>
      </w:r>
      <w:r>
        <w:t>15</w:t>
      </w:r>
      <w:r>
        <w:rPr>
          <w:spacing w:val="-11"/>
        </w:rPr>
        <w:t xml:space="preserve"> </w:t>
      </w:r>
      <w:r>
        <w:t>of</w:t>
      </w:r>
      <w:r>
        <w:rPr>
          <w:spacing w:val="-10"/>
        </w:rPr>
        <w:t xml:space="preserve"> </w:t>
      </w:r>
      <w:r>
        <w:t>every</w:t>
      </w:r>
      <w:r>
        <w:rPr>
          <w:spacing w:val="-13"/>
        </w:rPr>
        <w:t xml:space="preserve"> </w:t>
      </w:r>
      <w:r>
        <w:t>28-day</w:t>
      </w:r>
      <w:r>
        <w:rPr>
          <w:spacing w:val="-16"/>
        </w:rPr>
        <w:t xml:space="preserve"> </w:t>
      </w:r>
      <w:r>
        <w:t>cycle. Patients received treatment until radiographic disease progression per RECIST v1.1, or unacceptable</w:t>
      </w:r>
      <w:r>
        <w:rPr>
          <w:spacing w:val="-2"/>
        </w:rPr>
        <w:t xml:space="preserve"> </w:t>
      </w:r>
      <w:r>
        <w:t xml:space="preserve">toxicity. </w:t>
      </w:r>
    </w:p>
    <w:p w14:paraId="16409665" w14:textId="77777777" w:rsidR="00442C9B" w:rsidRDefault="00442C9B" w:rsidP="00442C9B">
      <w:pPr>
        <w:pStyle w:val="BodyText"/>
        <w:spacing w:before="8"/>
      </w:pPr>
    </w:p>
    <w:p w14:paraId="15942633" w14:textId="0E1A385D" w:rsidR="00442C9B" w:rsidRDefault="00442C9B" w:rsidP="009F3EDE">
      <w:pPr>
        <w:pStyle w:val="BodyText"/>
        <w:ind w:right="412"/>
      </w:pPr>
      <w:r>
        <w:t xml:space="preserve">Patients were excluded if they had a history of autoimmune disease; administration of a live, attenuated vaccine within 4 weeks prior to randomisation; administration of systemic </w:t>
      </w:r>
      <w:proofErr w:type="spellStart"/>
      <w:r>
        <w:t>immunostimulatory</w:t>
      </w:r>
      <w:proofErr w:type="spellEnd"/>
      <w:r>
        <w:rPr>
          <w:spacing w:val="-11"/>
        </w:rPr>
        <w:t xml:space="preserve"> </w:t>
      </w:r>
      <w:r>
        <w:t>agents</w:t>
      </w:r>
      <w:r>
        <w:rPr>
          <w:spacing w:val="-6"/>
        </w:rPr>
        <w:t xml:space="preserve"> </w:t>
      </w:r>
      <w:r>
        <w:t>within</w:t>
      </w:r>
      <w:r>
        <w:rPr>
          <w:spacing w:val="-6"/>
        </w:rPr>
        <w:t xml:space="preserve"> </w:t>
      </w:r>
      <w:r>
        <w:t>4</w:t>
      </w:r>
      <w:r>
        <w:rPr>
          <w:spacing w:val="-6"/>
        </w:rPr>
        <w:t xml:space="preserve"> </w:t>
      </w:r>
      <w:r>
        <w:t>weeks</w:t>
      </w:r>
      <w:r>
        <w:rPr>
          <w:spacing w:val="-6"/>
        </w:rPr>
        <w:t xml:space="preserve"> </w:t>
      </w:r>
      <w:r>
        <w:t>or</w:t>
      </w:r>
      <w:r>
        <w:rPr>
          <w:spacing w:val="-7"/>
        </w:rPr>
        <w:t xml:space="preserve"> </w:t>
      </w:r>
      <w:r>
        <w:t>systemic</w:t>
      </w:r>
      <w:r>
        <w:rPr>
          <w:spacing w:val="-7"/>
        </w:rPr>
        <w:t xml:space="preserve"> </w:t>
      </w:r>
      <w:r>
        <w:t>immunosuppressive</w:t>
      </w:r>
      <w:r>
        <w:rPr>
          <w:spacing w:val="-7"/>
        </w:rPr>
        <w:t xml:space="preserve"> </w:t>
      </w:r>
      <w:r>
        <w:t>medications</w:t>
      </w:r>
      <w:r>
        <w:rPr>
          <w:spacing w:val="-1"/>
        </w:rPr>
        <w:t xml:space="preserve"> </w:t>
      </w:r>
      <w:r>
        <w:t>within 2 weeks prior to randomisation; untreated or corticosteroid-dependent brain metastases. Tumour assessments were performed every 8 weeks (± 1 week) for the first 12 months after Cycle 1, day 1 and every 12 weeks (± 1 week) thereafter.</w:t>
      </w:r>
    </w:p>
    <w:p w14:paraId="5C953092" w14:textId="5E6A3EE1" w:rsidR="00033423" w:rsidRDefault="00442C9B" w:rsidP="00442C9B">
      <w:r>
        <w:t>The demographic and baseline disease characteristics of the study population were well balanced</w:t>
      </w:r>
      <w:r>
        <w:rPr>
          <w:spacing w:val="-7"/>
        </w:rPr>
        <w:t xml:space="preserve"> </w:t>
      </w:r>
      <w:r>
        <w:t>between</w:t>
      </w:r>
      <w:r>
        <w:rPr>
          <w:spacing w:val="-7"/>
        </w:rPr>
        <w:t xml:space="preserve"> </w:t>
      </w:r>
      <w:r>
        <w:t>the</w:t>
      </w:r>
      <w:r>
        <w:rPr>
          <w:spacing w:val="-8"/>
        </w:rPr>
        <w:t xml:space="preserve"> </w:t>
      </w:r>
      <w:r>
        <w:t>treatment</w:t>
      </w:r>
      <w:r>
        <w:rPr>
          <w:spacing w:val="-7"/>
        </w:rPr>
        <w:t xml:space="preserve"> </w:t>
      </w:r>
      <w:r>
        <w:t>arms.</w:t>
      </w:r>
      <w:r>
        <w:rPr>
          <w:spacing w:val="-7"/>
        </w:rPr>
        <w:t xml:space="preserve"> </w:t>
      </w:r>
      <w:r>
        <w:t>Most</w:t>
      </w:r>
      <w:r>
        <w:rPr>
          <w:spacing w:val="-7"/>
        </w:rPr>
        <w:t xml:space="preserve"> </w:t>
      </w:r>
      <w:r>
        <w:t>patients</w:t>
      </w:r>
      <w:r>
        <w:rPr>
          <w:spacing w:val="-7"/>
        </w:rPr>
        <w:t xml:space="preserve"> </w:t>
      </w:r>
      <w:r>
        <w:t>were</w:t>
      </w:r>
      <w:r>
        <w:rPr>
          <w:spacing w:val="-9"/>
        </w:rPr>
        <w:t xml:space="preserve"> </w:t>
      </w:r>
      <w:r>
        <w:t>women</w:t>
      </w:r>
      <w:r>
        <w:rPr>
          <w:spacing w:val="-7"/>
        </w:rPr>
        <w:t xml:space="preserve"> </w:t>
      </w:r>
      <w:r>
        <w:t>(99.6%).</w:t>
      </w:r>
      <w:r>
        <w:rPr>
          <w:spacing w:val="-8"/>
        </w:rPr>
        <w:t xml:space="preserve"> </w:t>
      </w:r>
      <w:r>
        <w:t>Sixty-seven</w:t>
      </w:r>
      <w:r>
        <w:rPr>
          <w:spacing w:val="-7"/>
        </w:rPr>
        <w:t xml:space="preserve"> </w:t>
      </w:r>
      <w:r>
        <w:t>percent of</w:t>
      </w:r>
      <w:r>
        <w:rPr>
          <w:spacing w:val="-7"/>
        </w:rPr>
        <w:t xml:space="preserve"> </w:t>
      </w:r>
      <w:r>
        <w:t>patients</w:t>
      </w:r>
      <w:r>
        <w:rPr>
          <w:spacing w:val="-6"/>
        </w:rPr>
        <w:t xml:space="preserve"> </w:t>
      </w:r>
      <w:r>
        <w:t>were</w:t>
      </w:r>
      <w:r>
        <w:rPr>
          <w:spacing w:val="-8"/>
        </w:rPr>
        <w:t xml:space="preserve"> </w:t>
      </w:r>
      <w:r>
        <w:t>white</w:t>
      </w:r>
      <w:r>
        <w:rPr>
          <w:spacing w:val="-4"/>
        </w:rPr>
        <w:t xml:space="preserve"> </w:t>
      </w:r>
      <w:r>
        <w:t>(67.5%),</w:t>
      </w:r>
      <w:r>
        <w:rPr>
          <w:spacing w:val="-7"/>
        </w:rPr>
        <w:t xml:space="preserve"> </w:t>
      </w:r>
      <w:r>
        <w:t>17.8%</w:t>
      </w:r>
      <w:r>
        <w:rPr>
          <w:spacing w:val="-7"/>
        </w:rPr>
        <w:t xml:space="preserve"> </w:t>
      </w:r>
      <w:r>
        <w:t>were</w:t>
      </w:r>
      <w:r>
        <w:rPr>
          <w:spacing w:val="-8"/>
        </w:rPr>
        <w:t xml:space="preserve"> </w:t>
      </w:r>
      <w:r>
        <w:t>Asian,</w:t>
      </w:r>
      <w:r>
        <w:rPr>
          <w:spacing w:val="-6"/>
        </w:rPr>
        <w:t xml:space="preserve"> </w:t>
      </w:r>
      <w:r>
        <w:t>6.5%</w:t>
      </w:r>
      <w:r>
        <w:rPr>
          <w:spacing w:val="-7"/>
        </w:rPr>
        <w:t xml:space="preserve"> </w:t>
      </w:r>
      <w:r>
        <w:t>were</w:t>
      </w:r>
      <w:r>
        <w:rPr>
          <w:spacing w:val="-6"/>
        </w:rPr>
        <w:t xml:space="preserve"> </w:t>
      </w:r>
      <w:r>
        <w:t>Black</w:t>
      </w:r>
      <w:r>
        <w:rPr>
          <w:spacing w:val="-6"/>
        </w:rPr>
        <w:t xml:space="preserve"> </w:t>
      </w:r>
      <w:r>
        <w:t>or</w:t>
      </w:r>
      <w:r>
        <w:rPr>
          <w:spacing w:val="-7"/>
        </w:rPr>
        <w:t xml:space="preserve"> </w:t>
      </w:r>
      <w:r>
        <w:t>African</w:t>
      </w:r>
      <w:r>
        <w:rPr>
          <w:spacing w:val="-6"/>
        </w:rPr>
        <w:t xml:space="preserve"> </w:t>
      </w:r>
      <w:r>
        <w:t>American,</w:t>
      </w:r>
      <w:r>
        <w:rPr>
          <w:spacing w:val="-6"/>
        </w:rPr>
        <w:t xml:space="preserve"> </w:t>
      </w:r>
      <w:r>
        <w:t xml:space="preserve">and 4.4% were American Indian or Alaskan Native. The median age was 55 years (range: 20-86). Baseline ECOG performance status was 0 (58.4%) or 1 (41.3%). Overall, 41% of enrolled patients had PD-L1 expression ≥1%, 27% had liver metastases and 7% brain metastases at baseline. Approximately half the patients had received a </w:t>
      </w:r>
      <w:proofErr w:type="spellStart"/>
      <w:r>
        <w:t>taxane</w:t>
      </w:r>
      <w:proofErr w:type="spellEnd"/>
      <w:r>
        <w:t xml:space="preserve"> (51%) or </w:t>
      </w:r>
      <w:proofErr w:type="spellStart"/>
      <w:r>
        <w:t>anthracycline</w:t>
      </w:r>
      <w:proofErr w:type="spellEnd"/>
      <w:r>
        <w:t xml:space="preserve"> (54%) in the (neo)adjuvant setting. Patient demographics and baseline tumour disease in the PD-L1 expression ≥1% population were generally representative of the broader study</w:t>
      </w:r>
      <w:r>
        <w:rPr>
          <w:spacing w:val="-10"/>
        </w:rPr>
        <w:t xml:space="preserve"> </w:t>
      </w:r>
      <w:r>
        <w:t>population.</w:t>
      </w:r>
    </w:p>
    <w:p w14:paraId="2CFB2C69" w14:textId="77777777" w:rsidR="00B62182" w:rsidRDefault="00B62182" w:rsidP="00442C9B"/>
    <w:p w14:paraId="58BAD2FE" w14:textId="69531173" w:rsidR="00B62182" w:rsidRDefault="00B62182" w:rsidP="00442C9B">
      <w:r w:rsidRPr="00994A2C">
        <w:rPr>
          <w:lang w:val="en-GB"/>
        </w:rPr>
        <w:t>The co-primary efficacy endpoints included investigator-assessed progression free survival (PFS) in the ITT population and in patients with PD-L1 expression ≥ 1% per RECIST v1.1 as well as overall survival (OS) in the ITT population and in patients with PD-L1 expression ≥ 1%. Secondary efficacy endpoints included objective response rate (ORR) and duration of response (DOR) per RECIST v1.1</w:t>
      </w:r>
    </w:p>
    <w:p w14:paraId="78C44D18" w14:textId="1F9D5BE8" w:rsidR="00442C9B" w:rsidRDefault="00442C9B" w:rsidP="00442C9B"/>
    <w:p w14:paraId="72DB9225" w14:textId="23D8367B" w:rsidR="00442C9B" w:rsidRDefault="00442C9B" w:rsidP="00442C9B">
      <w:pPr>
        <w:rPr>
          <w:lang w:val="en-US"/>
        </w:rPr>
      </w:pPr>
      <w:r>
        <w:rPr>
          <w:lang w:val="en-US"/>
        </w:rPr>
        <w:t>PFS, ORR and DOR results for patient</w:t>
      </w:r>
      <w:r w:rsidR="008614AF">
        <w:rPr>
          <w:lang w:val="en-US"/>
        </w:rPr>
        <w:t>s</w:t>
      </w:r>
      <w:r w:rsidRPr="00442C9B">
        <w:rPr>
          <w:lang w:val="en-US"/>
        </w:rPr>
        <w:t xml:space="preserve"> with PD-L1 expression ≥1% with a median survival follow up of 13 months</w:t>
      </w:r>
      <w:r>
        <w:rPr>
          <w:lang w:val="en-US"/>
        </w:rPr>
        <w:t xml:space="preserve"> are summarized in Table </w:t>
      </w:r>
      <w:r w:rsidR="003520F3">
        <w:rPr>
          <w:lang w:val="en-US"/>
        </w:rPr>
        <w:t xml:space="preserve">16 </w:t>
      </w:r>
      <w:r>
        <w:rPr>
          <w:lang w:val="en-US"/>
        </w:rPr>
        <w:t xml:space="preserve">and Figure </w:t>
      </w:r>
      <w:r w:rsidR="003520F3">
        <w:rPr>
          <w:lang w:val="en-US"/>
        </w:rPr>
        <w:t>13</w:t>
      </w:r>
      <w:r w:rsidRPr="00442C9B">
        <w:rPr>
          <w:lang w:val="en-US"/>
        </w:rPr>
        <w:t xml:space="preserve">. </w:t>
      </w:r>
    </w:p>
    <w:p w14:paraId="6C239592" w14:textId="112520AB" w:rsidR="00B6302A" w:rsidRDefault="00B6302A" w:rsidP="00442C9B">
      <w:pPr>
        <w:rPr>
          <w:lang w:val="en-US"/>
        </w:rPr>
      </w:pPr>
    </w:p>
    <w:p w14:paraId="5862FA44" w14:textId="26C90BA2" w:rsidR="00B6302A" w:rsidRDefault="00B6302A" w:rsidP="00442C9B">
      <w:pPr>
        <w:rPr>
          <w:lang w:val="en-US"/>
        </w:rPr>
      </w:pPr>
      <w:r w:rsidRPr="00B6302A">
        <w:rPr>
          <w:lang w:val="en-GB"/>
        </w:rPr>
        <w:t>An updated OS analysis was performed with a median follow-up of 18 months</w:t>
      </w:r>
      <w:r w:rsidR="00871C9F">
        <w:rPr>
          <w:lang w:val="en-GB"/>
        </w:rPr>
        <w:t xml:space="preserve"> </w:t>
      </w:r>
      <w:r w:rsidR="00871C9F" w:rsidRPr="00994A2C">
        <w:rPr>
          <w:lang w:val="en-GB"/>
        </w:rPr>
        <w:t xml:space="preserve">at a clinical </w:t>
      </w:r>
      <w:proofErr w:type="spellStart"/>
      <w:r w:rsidR="00871C9F" w:rsidRPr="00994A2C">
        <w:rPr>
          <w:lang w:val="en-GB"/>
        </w:rPr>
        <w:t>cut off</w:t>
      </w:r>
      <w:proofErr w:type="spellEnd"/>
      <w:r w:rsidR="00871C9F" w:rsidRPr="00994A2C">
        <w:rPr>
          <w:lang w:val="en-GB"/>
        </w:rPr>
        <w:t xml:space="preserve"> date of January 2</w:t>
      </w:r>
      <w:r w:rsidR="00871C9F" w:rsidRPr="00994A2C">
        <w:rPr>
          <w:vertAlign w:val="superscript"/>
          <w:lang w:val="en-GB"/>
        </w:rPr>
        <w:t>nd</w:t>
      </w:r>
      <w:r w:rsidR="00871C9F" w:rsidRPr="00994A2C">
        <w:rPr>
          <w:lang w:val="en-GB"/>
        </w:rPr>
        <w:t xml:space="preserve"> 2019</w:t>
      </w:r>
      <w:r w:rsidRPr="00994A2C">
        <w:rPr>
          <w:lang w:val="en-GB"/>
        </w:rPr>
        <w:t>.</w:t>
      </w:r>
      <w:r w:rsidRPr="00B6302A">
        <w:rPr>
          <w:lang w:val="en-GB"/>
        </w:rPr>
        <w:t xml:space="preserve"> OS results are presented in Table </w:t>
      </w:r>
      <w:r w:rsidR="003520F3">
        <w:rPr>
          <w:lang w:val="en-GB"/>
        </w:rPr>
        <w:t xml:space="preserve">16 </w:t>
      </w:r>
      <w:r>
        <w:rPr>
          <w:lang w:val="en-GB"/>
        </w:rPr>
        <w:t xml:space="preserve">and Figure </w:t>
      </w:r>
      <w:r w:rsidR="003520F3">
        <w:rPr>
          <w:lang w:val="en-GB"/>
        </w:rPr>
        <w:t>14</w:t>
      </w:r>
      <w:r>
        <w:rPr>
          <w:lang w:val="en-GB"/>
        </w:rPr>
        <w:t>.</w:t>
      </w:r>
    </w:p>
    <w:p w14:paraId="359A70A0" w14:textId="488AD738" w:rsidR="00442C9B" w:rsidRDefault="00442C9B" w:rsidP="00442C9B">
      <w:pPr>
        <w:rPr>
          <w:lang w:val="en-US"/>
        </w:rPr>
      </w:pPr>
    </w:p>
    <w:p w14:paraId="72813051" w14:textId="09D005C5" w:rsidR="00442C9B" w:rsidRDefault="00442C9B" w:rsidP="007846E2">
      <w:pPr>
        <w:pStyle w:val="Heading2"/>
        <w:pageBreakBefore/>
        <w:spacing w:before="76"/>
      </w:pPr>
      <w:r>
        <w:lastRenderedPageBreak/>
        <w:t xml:space="preserve">Table </w:t>
      </w:r>
      <w:r w:rsidR="003520F3">
        <w:t>16</w:t>
      </w:r>
      <w:r>
        <w:t>. Summary of efficacy in patients with PD-L1 expression ≥1% from WO29522</w:t>
      </w:r>
    </w:p>
    <w:p w14:paraId="612776EE" w14:textId="77777777" w:rsidR="00442C9B" w:rsidRDefault="00442C9B" w:rsidP="00442C9B">
      <w:pPr>
        <w:pStyle w:val="BodyText"/>
        <w:spacing w:before="5" w:after="1"/>
        <w:rPr>
          <w:b/>
          <w:sz w:val="10"/>
        </w:rPr>
      </w:pPr>
    </w:p>
    <w:tbl>
      <w:tblPr>
        <w:tblW w:w="0" w:type="auto"/>
        <w:tblInd w:w="231" w:type="dxa"/>
        <w:tblLayout w:type="fixed"/>
        <w:tblCellMar>
          <w:left w:w="0" w:type="dxa"/>
          <w:right w:w="0" w:type="dxa"/>
        </w:tblCellMar>
        <w:tblLook w:val="01E0" w:firstRow="1" w:lastRow="1" w:firstColumn="1" w:lastColumn="1" w:noHBand="0" w:noVBand="0"/>
      </w:tblPr>
      <w:tblGrid>
        <w:gridCol w:w="4555"/>
        <w:gridCol w:w="3145"/>
        <w:gridCol w:w="1514"/>
      </w:tblGrid>
      <w:tr w:rsidR="00442C9B" w14:paraId="71CFE815" w14:textId="77777777" w:rsidTr="007C6E1C">
        <w:trPr>
          <w:trHeight w:val="602"/>
        </w:trPr>
        <w:tc>
          <w:tcPr>
            <w:tcW w:w="4555" w:type="dxa"/>
            <w:tcBorders>
              <w:top w:val="single" w:sz="4" w:space="0" w:color="000000"/>
              <w:left w:val="single" w:sz="4" w:space="0" w:color="000000"/>
              <w:bottom w:val="single" w:sz="4" w:space="0" w:color="000000"/>
            </w:tcBorders>
          </w:tcPr>
          <w:p w14:paraId="420A6AB1" w14:textId="77777777" w:rsidR="00442C9B" w:rsidRDefault="00442C9B" w:rsidP="007C6E1C">
            <w:pPr>
              <w:pStyle w:val="TableParagraph"/>
              <w:spacing w:before="47"/>
              <w:ind w:left="107"/>
              <w:rPr>
                <w:b/>
              </w:rPr>
            </w:pPr>
            <w:r>
              <w:rPr>
                <w:b/>
              </w:rPr>
              <w:t>Key efficacy endpoints</w:t>
            </w:r>
          </w:p>
        </w:tc>
        <w:tc>
          <w:tcPr>
            <w:tcW w:w="4659" w:type="dxa"/>
            <w:gridSpan w:val="2"/>
            <w:tcBorders>
              <w:top w:val="single" w:sz="4" w:space="0" w:color="000000"/>
              <w:bottom w:val="single" w:sz="4" w:space="0" w:color="000000"/>
              <w:right w:val="single" w:sz="4" w:space="0" w:color="000000"/>
            </w:tcBorders>
          </w:tcPr>
          <w:p w14:paraId="24ABE729" w14:textId="77777777" w:rsidR="00442C9B" w:rsidRDefault="00442C9B" w:rsidP="007C6E1C">
            <w:pPr>
              <w:pStyle w:val="TableParagraph"/>
              <w:tabs>
                <w:tab w:val="left" w:pos="3013"/>
                <w:tab w:val="left" w:pos="3258"/>
              </w:tabs>
              <w:spacing w:before="47"/>
              <w:ind w:left="999" w:right="239" w:hanging="339"/>
              <w:rPr>
                <w:b/>
              </w:rPr>
            </w:pPr>
            <w:proofErr w:type="spellStart"/>
            <w:r>
              <w:rPr>
                <w:b/>
              </w:rPr>
              <w:t>Tecentriq</w:t>
            </w:r>
            <w:proofErr w:type="spellEnd"/>
            <w:r>
              <w:rPr>
                <w:b/>
              </w:rPr>
              <w:t xml:space="preserve"> +</w:t>
            </w:r>
            <w:r>
              <w:rPr>
                <w:b/>
                <w:spacing w:val="-2"/>
              </w:rPr>
              <w:t xml:space="preserve"> </w:t>
            </w:r>
            <w:r>
              <w:rPr>
                <w:b/>
              </w:rPr>
              <w:t>nab-</w:t>
            </w:r>
            <w:r>
              <w:rPr>
                <w:b/>
              </w:rPr>
              <w:tab/>
              <w:t>Placebo + nab- paclitaxel</w:t>
            </w:r>
            <w:r>
              <w:rPr>
                <w:b/>
              </w:rPr>
              <w:tab/>
            </w:r>
            <w:r>
              <w:rPr>
                <w:b/>
              </w:rPr>
              <w:tab/>
            </w:r>
            <w:proofErr w:type="spellStart"/>
            <w:r>
              <w:rPr>
                <w:b/>
              </w:rPr>
              <w:t>paclitaxel</w:t>
            </w:r>
            <w:proofErr w:type="spellEnd"/>
          </w:p>
        </w:tc>
      </w:tr>
      <w:tr w:rsidR="00442C9B" w14:paraId="46D9C3E3" w14:textId="77777777" w:rsidTr="007C6E1C">
        <w:trPr>
          <w:trHeight w:val="347"/>
        </w:trPr>
        <w:tc>
          <w:tcPr>
            <w:tcW w:w="9214" w:type="dxa"/>
            <w:gridSpan w:val="3"/>
            <w:tcBorders>
              <w:top w:val="single" w:sz="4" w:space="0" w:color="000000"/>
              <w:left w:val="single" w:sz="4" w:space="0" w:color="000000"/>
              <w:bottom w:val="single" w:sz="4" w:space="0" w:color="000000"/>
              <w:right w:val="single" w:sz="4" w:space="0" w:color="000000"/>
            </w:tcBorders>
          </w:tcPr>
          <w:p w14:paraId="500765D0" w14:textId="77777777" w:rsidR="00442C9B" w:rsidRDefault="00442C9B" w:rsidP="007C6E1C">
            <w:pPr>
              <w:pStyle w:val="TableParagraph"/>
              <w:spacing w:before="46"/>
              <w:ind w:left="107"/>
              <w:rPr>
                <w:b/>
                <w:i/>
              </w:rPr>
            </w:pPr>
            <w:r>
              <w:rPr>
                <w:b/>
                <w:i/>
              </w:rPr>
              <w:t>Co-primary endpoints</w:t>
            </w:r>
          </w:p>
        </w:tc>
      </w:tr>
      <w:tr w:rsidR="00442C9B" w14:paraId="61ED1835" w14:textId="77777777" w:rsidTr="007C6E1C">
        <w:trPr>
          <w:trHeight w:val="348"/>
        </w:trPr>
        <w:tc>
          <w:tcPr>
            <w:tcW w:w="4555" w:type="dxa"/>
            <w:tcBorders>
              <w:top w:val="single" w:sz="4" w:space="0" w:color="000000"/>
              <w:left w:val="single" w:sz="4" w:space="0" w:color="000000"/>
            </w:tcBorders>
          </w:tcPr>
          <w:p w14:paraId="2B3CC7D0" w14:textId="544F8549" w:rsidR="00442C9B" w:rsidRDefault="00442C9B" w:rsidP="007C6E1C">
            <w:pPr>
              <w:pStyle w:val="TableParagraph"/>
              <w:spacing w:before="44"/>
              <w:ind w:left="107"/>
            </w:pPr>
            <w:r>
              <w:rPr>
                <w:b/>
                <w:i/>
              </w:rPr>
              <w:t>Investigator-assessed PFS (RECIST v1.1</w:t>
            </w:r>
            <w:r>
              <w:t>)</w:t>
            </w:r>
            <w:r w:rsidR="00520F61" w:rsidRPr="00EF0818">
              <w:rPr>
                <w:vertAlign w:val="superscript"/>
              </w:rPr>
              <w:t>3</w:t>
            </w:r>
          </w:p>
        </w:tc>
        <w:tc>
          <w:tcPr>
            <w:tcW w:w="3145" w:type="dxa"/>
            <w:tcBorders>
              <w:top w:val="single" w:sz="4" w:space="0" w:color="000000"/>
            </w:tcBorders>
          </w:tcPr>
          <w:p w14:paraId="55CA4310" w14:textId="77777777" w:rsidR="00442C9B" w:rsidRDefault="00442C9B" w:rsidP="007C6E1C">
            <w:pPr>
              <w:pStyle w:val="TableParagraph"/>
              <w:spacing w:before="44"/>
              <w:ind w:left="1097" w:right="1333"/>
              <w:jc w:val="center"/>
            </w:pPr>
            <w:r>
              <w:t>n = 185</w:t>
            </w:r>
          </w:p>
        </w:tc>
        <w:tc>
          <w:tcPr>
            <w:tcW w:w="1514" w:type="dxa"/>
            <w:tcBorders>
              <w:top w:val="single" w:sz="4" w:space="0" w:color="000000"/>
              <w:right w:val="single" w:sz="4" w:space="0" w:color="000000"/>
            </w:tcBorders>
          </w:tcPr>
          <w:p w14:paraId="4B7BA81C" w14:textId="77777777" w:rsidR="00442C9B" w:rsidRDefault="00442C9B" w:rsidP="007C6E1C">
            <w:pPr>
              <w:pStyle w:val="TableParagraph"/>
              <w:spacing w:before="44"/>
              <w:ind w:left="228"/>
            </w:pPr>
            <w:r>
              <w:t>n = 184</w:t>
            </w:r>
          </w:p>
        </w:tc>
      </w:tr>
      <w:tr w:rsidR="00442C9B" w14:paraId="32FDF6D0" w14:textId="77777777" w:rsidTr="007C6E1C">
        <w:trPr>
          <w:trHeight w:val="347"/>
        </w:trPr>
        <w:tc>
          <w:tcPr>
            <w:tcW w:w="4555" w:type="dxa"/>
            <w:tcBorders>
              <w:left w:val="single" w:sz="4" w:space="0" w:color="000000"/>
            </w:tcBorders>
          </w:tcPr>
          <w:p w14:paraId="5FC68185" w14:textId="77777777" w:rsidR="00442C9B" w:rsidRDefault="00442C9B" w:rsidP="007C6E1C">
            <w:pPr>
              <w:pStyle w:val="TableParagraph"/>
              <w:spacing w:before="43"/>
              <w:ind w:left="107"/>
            </w:pPr>
            <w:r>
              <w:t>No. of events (%)</w:t>
            </w:r>
          </w:p>
        </w:tc>
        <w:tc>
          <w:tcPr>
            <w:tcW w:w="3145" w:type="dxa"/>
          </w:tcPr>
          <w:p w14:paraId="5D63A41B" w14:textId="77777777" w:rsidR="00442C9B" w:rsidRDefault="00442C9B" w:rsidP="007C6E1C">
            <w:pPr>
              <w:pStyle w:val="TableParagraph"/>
              <w:spacing w:before="43"/>
              <w:ind w:left="901"/>
            </w:pPr>
            <w:r>
              <w:t>138 (74.6%)</w:t>
            </w:r>
          </w:p>
        </w:tc>
        <w:tc>
          <w:tcPr>
            <w:tcW w:w="1514" w:type="dxa"/>
            <w:tcBorders>
              <w:right w:val="single" w:sz="4" w:space="0" w:color="000000"/>
            </w:tcBorders>
          </w:tcPr>
          <w:p w14:paraId="529B8303" w14:textId="77777777" w:rsidR="00442C9B" w:rsidRDefault="00442C9B" w:rsidP="007C6E1C">
            <w:pPr>
              <w:pStyle w:val="TableParagraph"/>
              <w:spacing w:before="43"/>
              <w:ind w:left="17"/>
            </w:pPr>
            <w:r>
              <w:t>157 (85.3%)</w:t>
            </w:r>
          </w:p>
        </w:tc>
      </w:tr>
      <w:tr w:rsidR="00442C9B" w14:paraId="336426FE" w14:textId="77777777" w:rsidTr="007C6E1C">
        <w:trPr>
          <w:trHeight w:val="349"/>
        </w:trPr>
        <w:tc>
          <w:tcPr>
            <w:tcW w:w="4555" w:type="dxa"/>
            <w:tcBorders>
              <w:left w:val="single" w:sz="4" w:space="0" w:color="000000"/>
            </w:tcBorders>
          </w:tcPr>
          <w:p w14:paraId="53F2528B" w14:textId="77777777" w:rsidR="00442C9B" w:rsidRDefault="00442C9B" w:rsidP="007C6E1C">
            <w:pPr>
              <w:pStyle w:val="TableParagraph"/>
              <w:spacing w:before="43"/>
              <w:ind w:left="107"/>
            </w:pPr>
            <w:r>
              <w:t>Median duration of PFS (months)</w:t>
            </w:r>
          </w:p>
        </w:tc>
        <w:tc>
          <w:tcPr>
            <w:tcW w:w="3145" w:type="dxa"/>
          </w:tcPr>
          <w:p w14:paraId="12557531" w14:textId="77777777" w:rsidR="00442C9B" w:rsidRDefault="00442C9B" w:rsidP="007C6E1C">
            <w:pPr>
              <w:pStyle w:val="TableParagraph"/>
              <w:spacing w:before="43"/>
              <w:ind w:left="1094" w:right="1333"/>
              <w:jc w:val="center"/>
            </w:pPr>
            <w:r>
              <w:t>7.5</w:t>
            </w:r>
          </w:p>
        </w:tc>
        <w:tc>
          <w:tcPr>
            <w:tcW w:w="1514" w:type="dxa"/>
            <w:tcBorders>
              <w:right w:val="single" w:sz="4" w:space="0" w:color="000000"/>
            </w:tcBorders>
          </w:tcPr>
          <w:p w14:paraId="737D9258" w14:textId="77777777" w:rsidR="00442C9B" w:rsidRDefault="00442C9B" w:rsidP="007C6E1C">
            <w:pPr>
              <w:pStyle w:val="TableParagraph"/>
              <w:spacing w:before="43"/>
              <w:ind w:left="427"/>
            </w:pPr>
            <w:r>
              <w:t>5.0</w:t>
            </w:r>
          </w:p>
        </w:tc>
      </w:tr>
      <w:tr w:rsidR="00442C9B" w14:paraId="4684725C" w14:textId="77777777" w:rsidTr="007C6E1C">
        <w:trPr>
          <w:trHeight w:val="345"/>
        </w:trPr>
        <w:tc>
          <w:tcPr>
            <w:tcW w:w="4555" w:type="dxa"/>
            <w:tcBorders>
              <w:left w:val="single" w:sz="4" w:space="0" w:color="000000"/>
            </w:tcBorders>
          </w:tcPr>
          <w:p w14:paraId="24389CD7" w14:textId="77777777" w:rsidR="00442C9B" w:rsidRDefault="00442C9B" w:rsidP="007C6E1C">
            <w:pPr>
              <w:pStyle w:val="TableParagraph"/>
              <w:spacing w:before="44"/>
              <w:ind w:left="107"/>
            </w:pPr>
            <w:r>
              <w:t>95% CI</w:t>
            </w:r>
          </w:p>
        </w:tc>
        <w:tc>
          <w:tcPr>
            <w:tcW w:w="3145" w:type="dxa"/>
          </w:tcPr>
          <w:p w14:paraId="2AE5B149" w14:textId="77777777" w:rsidR="00442C9B" w:rsidRDefault="00442C9B" w:rsidP="007C6E1C">
            <w:pPr>
              <w:pStyle w:val="TableParagraph"/>
              <w:spacing w:before="44"/>
              <w:ind w:left="1047"/>
            </w:pPr>
            <w:r>
              <w:t>(6.7, 9.2)</w:t>
            </w:r>
          </w:p>
        </w:tc>
        <w:tc>
          <w:tcPr>
            <w:tcW w:w="1514" w:type="dxa"/>
            <w:tcBorders>
              <w:right w:val="single" w:sz="4" w:space="0" w:color="000000"/>
            </w:tcBorders>
          </w:tcPr>
          <w:p w14:paraId="48CEF471" w14:textId="77777777" w:rsidR="00442C9B" w:rsidRDefault="00442C9B" w:rsidP="007C6E1C">
            <w:pPr>
              <w:pStyle w:val="TableParagraph"/>
              <w:spacing w:before="44"/>
              <w:ind w:left="163"/>
            </w:pPr>
            <w:r>
              <w:t>(3.8, 5.6)</w:t>
            </w:r>
          </w:p>
        </w:tc>
      </w:tr>
      <w:tr w:rsidR="00442C9B" w14:paraId="4C9E5AC6" w14:textId="77777777" w:rsidTr="007C6E1C">
        <w:trPr>
          <w:trHeight w:val="349"/>
        </w:trPr>
        <w:tc>
          <w:tcPr>
            <w:tcW w:w="4555" w:type="dxa"/>
            <w:tcBorders>
              <w:left w:val="single" w:sz="4" w:space="0" w:color="000000"/>
            </w:tcBorders>
          </w:tcPr>
          <w:p w14:paraId="62240F0F" w14:textId="77777777" w:rsidR="00442C9B" w:rsidRDefault="00442C9B" w:rsidP="007C6E1C">
            <w:pPr>
              <w:pStyle w:val="TableParagraph"/>
              <w:spacing w:before="41"/>
              <w:ind w:left="107"/>
            </w:pPr>
            <w:r>
              <w:t>Stratified hazard ratio</w:t>
            </w:r>
            <w:r>
              <w:rPr>
                <w:position w:val="8"/>
                <w:sz w:val="14"/>
              </w:rPr>
              <w:t xml:space="preserve">‡ </w:t>
            </w:r>
            <w:r>
              <w:t>(95% CI)</w:t>
            </w:r>
          </w:p>
        </w:tc>
        <w:tc>
          <w:tcPr>
            <w:tcW w:w="3145" w:type="dxa"/>
          </w:tcPr>
          <w:p w14:paraId="1C6291E9" w14:textId="77777777" w:rsidR="00442C9B" w:rsidRDefault="00442C9B" w:rsidP="007C6E1C">
            <w:pPr>
              <w:pStyle w:val="TableParagraph"/>
              <w:spacing w:before="46"/>
              <w:ind w:right="3"/>
              <w:jc w:val="right"/>
            </w:pPr>
            <w:r>
              <w:t>0.62 (0.49, 0.78)</w:t>
            </w:r>
          </w:p>
        </w:tc>
        <w:tc>
          <w:tcPr>
            <w:tcW w:w="1514" w:type="dxa"/>
            <w:tcBorders>
              <w:right w:val="single" w:sz="4" w:space="0" w:color="000000"/>
            </w:tcBorders>
          </w:tcPr>
          <w:p w14:paraId="0C845ADC" w14:textId="77777777" w:rsidR="00442C9B" w:rsidRDefault="00442C9B" w:rsidP="007C6E1C">
            <w:pPr>
              <w:pStyle w:val="TableParagraph"/>
            </w:pPr>
          </w:p>
        </w:tc>
      </w:tr>
      <w:tr w:rsidR="00442C9B" w14:paraId="6CFAE6CC" w14:textId="77777777" w:rsidTr="007C6E1C">
        <w:trPr>
          <w:trHeight w:val="352"/>
        </w:trPr>
        <w:tc>
          <w:tcPr>
            <w:tcW w:w="4555" w:type="dxa"/>
            <w:tcBorders>
              <w:left w:val="single" w:sz="4" w:space="0" w:color="000000"/>
            </w:tcBorders>
          </w:tcPr>
          <w:p w14:paraId="720D4840" w14:textId="77777777" w:rsidR="00442C9B" w:rsidRDefault="00442C9B" w:rsidP="007C6E1C">
            <w:pPr>
              <w:pStyle w:val="TableParagraph"/>
              <w:spacing w:before="42"/>
              <w:ind w:left="107"/>
              <w:rPr>
                <w:sz w:val="14"/>
              </w:rPr>
            </w:pPr>
            <w:r>
              <w:t>p-value</w:t>
            </w:r>
            <w:r>
              <w:rPr>
                <w:position w:val="8"/>
                <w:sz w:val="14"/>
              </w:rPr>
              <w:t>1</w:t>
            </w:r>
          </w:p>
        </w:tc>
        <w:tc>
          <w:tcPr>
            <w:tcW w:w="3145" w:type="dxa"/>
          </w:tcPr>
          <w:p w14:paraId="0299B5CA" w14:textId="77777777" w:rsidR="00442C9B" w:rsidRDefault="00442C9B" w:rsidP="007C6E1C">
            <w:pPr>
              <w:pStyle w:val="TableParagraph"/>
              <w:spacing w:before="47"/>
              <w:ind w:left="2041"/>
            </w:pPr>
            <w:r>
              <w:t>&lt;0.0001</w:t>
            </w:r>
          </w:p>
        </w:tc>
        <w:tc>
          <w:tcPr>
            <w:tcW w:w="1514" w:type="dxa"/>
            <w:tcBorders>
              <w:right w:val="single" w:sz="4" w:space="0" w:color="000000"/>
            </w:tcBorders>
          </w:tcPr>
          <w:p w14:paraId="5DDFC7A5" w14:textId="77777777" w:rsidR="00442C9B" w:rsidRDefault="00442C9B" w:rsidP="007C6E1C">
            <w:pPr>
              <w:pStyle w:val="TableParagraph"/>
            </w:pPr>
          </w:p>
        </w:tc>
      </w:tr>
      <w:tr w:rsidR="00442C9B" w14:paraId="3F87BA95" w14:textId="77777777" w:rsidTr="007C6E1C">
        <w:trPr>
          <w:trHeight w:val="349"/>
        </w:trPr>
        <w:tc>
          <w:tcPr>
            <w:tcW w:w="4555" w:type="dxa"/>
            <w:tcBorders>
              <w:left w:val="single" w:sz="4" w:space="0" w:color="000000"/>
              <w:bottom w:val="single" w:sz="4" w:space="0" w:color="000000"/>
            </w:tcBorders>
          </w:tcPr>
          <w:p w14:paraId="7075197E" w14:textId="77777777" w:rsidR="00442C9B" w:rsidRDefault="00442C9B" w:rsidP="007C6E1C">
            <w:pPr>
              <w:pStyle w:val="TableParagraph"/>
              <w:spacing w:before="43"/>
              <w:ind w:left="107"/>
            </w:pPr>
            <w:r>
              <w:t>12-month PFS (%)</w:t>
            </w:r>
          </w:p>
        </w:tc>
        <w:tc>
          <w:tcPr>
            <w:tcW w:w="3145" w:type="dxa"/>
            <w:tcBorders>
              <w:bottom w:val="single" w:sz="4" w:space="0" w:color="000000"/>
            </w:tcBorders>
          </w:tcPr>
          <w:p w14:paraId="575FDA80" w14:textId="77777777" w:rsidR="00442C9B" w:rsidRDefault="00442C9B" w:rsidP="007C6E1C">
            <w:pPr>
              <w:pStyle w:val="TableParagraph"/>
              <w:spacing w:before="43"/>
              <w:ind w:left="1018" w:right="1333"/>
              <w:jc w:val="center"/>
            </w:pPr>
            <w:r>
              <w:t>29.1</w:t>
            </w:r>
          </w:p>
        </w:tc>
        <w:tc>
          <w:tcPr>
            <w:tcW w:w="1514" w:type="dxa"/>
            <w:tcBorders>
              <w:bottom w:val="single" w:sz="4" w:space="0" w:color="000000"/>
              <w:right w:val="single" w:sz="4" w:space="0" w:color="000000"/>
            </w:tcBorders>
          </w:tcPr>
          <w:p w14:paraId="134E57B7" w14:textId="77777777" w:rsidR="00442C9B" w:rsidRDefault="00442C9B" w:rsidP="007C6E1C">
            <w:pPr>
              <w:pStyle w:val="TableParagraph"/>
              <w:spacing w:before="43"/>
              <w:ind w:left="334"/>
            </w:pPr>
            <w:r>
              <w:t>16.4</w:t>
            </w:r>
          </w:p>
        </w:tc>
      </w:tr>
      <w:tr w:rsidR="00442C9B" w14:paraId="4A584EDF" w14:textId="77777777" w:rsidTr="007C6E1C">
        <w:trPr>
          <w:trHeight w:val="351"/>
        </w:trPr>
        <w:tc>
          <w:tcPr>
            <w:tcW w:w="4555" w:type="dxa"/>
            <w:tcBorders>
              <w:top w:val="single" w:sz="4" w:space="0" w:color="000000"/>
              <w:left w:val="single" w:sz="4" w:space="0" w:color="000000"/>
            </w:tcBorders>
          </w:tcPr>
          <w:p w14:paraId="550DBB52" w14:textId="0218D5F9" w:rsidR="00442C9B" w:rsidRDefault="00442C9B" w:rsidP="007C6E1C">
            <w:pPr>
              <w:pStyle w:val="TableParagraph"/>
              <w:spacing w:before="49"/>
              <w:ind w:left="107"/>
              <w:rPr>
                <w:b/>
                <w:i/>
              </w:rPr>
            </w:pPr>
            <w:r>
              <w:rPr>
                <w:b/>
                <w:i/>
              </w:rPr>
              <w:t>OS interim analysis</w:t>
            </w:r>
            <w:r w:rsidR="00520F61" w:rsidRPr="00EF0818">
              <w:rPr>
                <w:b/>
                <w:i/>
                <w:vertAlign w:val="superscript"/>
              </w:rPr>
              <w:t>4</w:t>
            </w:r>
          </w:p>
        </w:tc>
        <w:tc>
          <w:tcPr>
            <w:tcW w:w="3145" w:type="dxa"/>
            <w:tcBorders>
              <w:top w:val="single" w:sz="4" w:space="0" w:color="000000"/>
            </w:tcBorders>
          </w:tcPr>
          <w:p w14:paraId="0AD826CA" w14:textId="77777777" w:rsidR="00442C9B" w:rsidRDefault="00442C9B" w:rsidP="007C6E1C">
            <w:pPr>
              <w:pStyle w:val="TableParagraph"/>
              <w:spacing w:before="44"/>
              <w:ind w:left="1097" w:right="1333"/>
              <w:jc w:val="center"/>
            </w:pPr>
            <w:r>
              <w:t>n = 185</w:t>
            </w:r>
          </w:p>
        </w:tc>
        <w:tc>
          <w:tcPr>
            <w:tcW w:w="1514" w:type="dxa"/>
            <w:tcBorders>
              <w:top w:val="single" w:sz="4" w:space="0" w:color="000000"/>
              <w:right w:val="single" w:sz="4" w:space="0" w:color="000000"/>
            </w:tcBorders>
          </w:tcPr>
          <w:p w14:paraId="2154B960" w14:textId="77777777" w:rsidR="00442C9B" w:rsidRDefault="00442C9B" w:rsidP="007C6E1C">
            <w:pPr>
              <w:pStyle w:val="TableParagraph"/>
              <w:spacing w:before="44"/>
              <w:ind w:left="228"/>
            </w:pPr>
            <w:r>
              <w:t>n = 184</w:t>
            </w:r>
          </w:p>
        </w:tc>
      </w:tr>
      <w:tr w:rsidR="00442C9B" w14:paraId="18829385" w14:textId="77777777" w:rsidTr="007C6E1C">
        <w:trPr>
          <w:trHeight w:val="345"/>
        </w:trPr>
        <w:tc>
          <w:tcPr>
            <w:tcW w:w="4555" w:type="dxa"/>
            <w:tcBorders>
              <w:left w:val="single" w:sz="4" w:space="0" w:color="000000"/>
            </w:tcBorders>
          </w:tcPr>
          <w:p w14:paraId="38D6A74A" w14:textId="77777777" w:rsidR="00442C9B" w:rsidRDefault="00442C9B" w:rsidP="007C6E1C">
            <w:pPr>
              <w:pStyle w:val="TableParagraph"/>
              <w:spacing w:before="41"/>
              <w:ind w:left="107"/>
            </w:pPr>
            <w:r>
              <w:t>No. of deaths (%)</w:t>
            </w:r>
          </w:p>
        </w:tc>
        <w:tc>
          <w:tcPr>
            <w:tcW w:w="3145" w:type="dxa"/>
          </w:tcPr>
          <w:p w14:paraId="1DDC9967" w14:textId="1D9AC2A9" w:rsidR="00442C9B" w:rsidRDefault="00B6302A" w:rsidP="007C6E1C">
            <w:pPr>
              <w:pStyle w:val="TableParagraph"/>
              <w:spacing w:before="41"/>
              <w:ind w:left="956"/>
            </w:pPr>
            <w:r>
              <w:t>94 (50.8%)</w:t>
            </w:r>
          </w:p>
        </w:tc>
        <w:tc>
          <w:tcPr>
            <w:tcW w:w="1514" w:type="dxa"/>
            <w:tcBorders>
              <w:right w:val="single" w:sz="4" w:space="0" w:color="000000"/>
            </w:tcBorders>
          </w:tcPr>
          <w:p w14:paraId="32F5BDE4" w14:textId="552A8CA2" w:rsidR="00442C9B" w:rsidRDefault="00B6302A" w:rsidP="007C6E1C">
            <w:pPr>
              <w:pStyle w:val="TableParagraph"/>
              <w:spacing w:before="41"/>
              <w:ind w:left="72"/>
            </w:pPr>
            <w:r w:rsidRPr="00B6302A">
              <w:rPr>
                <w:lang w:val="en-AU"/>
              </w:rPr>
              <w:t>110 (59.8%)</w:t>
            </w:r>
          </w:p>
        </w:tc>
      </w:tr>
      <w:tr w:rsidR="00442C9B" w14:paraId="407E4886" w14:textId="77777777" w:rsidTr="007C6E1C">
        <w:trPr>
          <w:trHeight w:val="349"/>
        </w:trPr>
        <w:tc>
          <w:tcPr>
            <w:tcW w:w="4555" w:type="dxa"/>
            <w:tcBorders>
              <w:left w:val="single" w:sz="4" w:space="0" w:color="000000"/>
            </w:tcBorders>
          </w:tcPr>
          <w:p w14:paraId="646217ED" w14:textId="77777777" w:rsidR="00442C9B" w:rsidRDefault="00442C9B" w:rsidP="007C6E1C">
            <w:pPr>
              <w:pStyle w:val="TableParagraph"/>
              <w:spacing w:before="43"/>
              <w:ind w:left="107"/>
            </w:pPr>
            <w:r>
              <w:t>Median time to events (months)</w:t>
            </w:r>
          </w:p>
        </w:tc>
        <w:tc>
          <w:tcPr>
            <w:tcW w:w="3145" w:type="dxa"/>
          </w:tcPr>
          <w:p w14:paraId="223CCB4C" w14:textId="77777777" w:rsidR="00442C9B" w:rsidRDefault="00442C9B" w:rsidP="007C6E1C">
            <w:pPr>
              <w:pStyle w:val="TableParagraph"/>
              <w:spacing w:before="43"/>
              <w:ind w:left="1094" w:right="1333"/>
              <w:jc w:val="center"/>
            </w:pPr>
            <w:r>
              <w:t>25.0</w:t>
            </w:r>
          </w:p>
        </w:tc>
        <w:tc>
          <w:tcPr>
            <w:tcW w:w="1514" w:type="dxa"/>
            <w:tcBorders>
              <w:right w:val="single" w:sz="4" w:space="0" w:color="000000"/>
            </w:tcBorders>
          </w:tcPr>
          <w:p w14:paraId="114FE12D" w14:textId="5C620861" w:rsidR="00442C9B" w:rsidRDefault="00B6302A" w:rsidP="007C6E1C">
            <w:pPr>
              <w:pStyle w:val="TableParagraph"/>
              <w:spacing w:before="43"/>
              <w:ind w:left="375"/>
            </w:pPr>
            <w:r>
              <w:t>18.0</w:t>
            </w:r>
          </w:p>
        </w:tc>
      </w:tr>
      <w:tr w:rsidR="00442C9B" w14:paraId="798FFD99" w14:textId="77777777" w:rsidTr="007C6E1C">
        <w:trPr>
          <w:trHeight w:val="345"/>
        </w:trPr>
        <w:tc>
          <w:tcPr>
            <w:tcW w:w="4555" w:type="dxa"/>
            <w:tcBorders>
              <w:left w:val="single" w:sz="4" w:space="0" w:color="000000"/>
            </w:tcBorders>
          </w:tcPr>
          <w:p w14:paraId="47B119F7" w14:textId="77777777" w:rsidR="00442C9B" w:rsidRDefault="00442C9B" w:rsidP="007C6E1C">
            <w:pPr>
              <w:pStyle w:val="TableParagraph"/>
              <w:spacing w:before="44"/>
              <w:ind w:left="107"/>
            </w:pPr>
            <w:r>
              <w:t>95% CI</w:t>
            </w:r>
          </w:p>
        </w:tc>
        <w:tc>
          <w:tcPr>
            <w:tcW w:w="3145" w:type="dxa"/>
          </w:tcPr>
          <w:p w14:paraId="703DF809" w14:textId="37E84FCC" w:rsidR="00442C9B" w:rsidRDefault="00B6302A" w:rsidP="007C6E1C">
            <w:pPr>
              <w:pStyle w:val="TableParagraph"/>
              <w:spacing w:before="44"/>
              <w:ind w:left="982"/>
            </w:pPr>
            <w:r w:rsidRPr="00B6302A">
              <w:rPr>
                <w:lang w:val="en-AU"/>
              </w:rPr>
              <w:t>(19.6, 30.7)</w:t>
            </w:r>
          </w:p>
        </w:tc>
        <w:tc>
          <w:tcPr>
            <w:tcW w:w="1514" w:type="dxa"/>
            <w:tcBorders>
              <w:right w:val="single" w:sz="4" w:space="0" w:color="000000"/>
            </w:tcBorders>
          </w:tcPr>
          <w:p w14:paraId="14617346" w14:textId="664A27CA" w:rsidR="00442C9B" w:rsidRDefault="00B6302A" w:rsidP="007C6E1C">
            <w:pPr>
              <w:pStyle w:val="TableParagraph"/>
              <w:spacing w:before="44"/>
              <w:ind w:left="53"/>
            </w:pPr>
            <w:r w:rsidRPr="00B6302A">
              <w:rPr>
                <w:lang w:val="en-AU"/>
              </w:rPr>
              <w:t>13.6, 20.1)</w:t>
            </w:r>
          </w:p>
        </w:tc>
      </w:tr>
      <w:tr w:rsidR="00442C9B" w14:paraId="50E8CEEE" w14:textId="77777777" w:rsidTr="007C6E1C">
        <w:trPr>
          <w:trHeight w:val="349"/>
        </w:trPr>
        <w:tc>
          <w:tcPr>
            <w:tcW w:w="4555" w:type="dxa"/>
            <w:tcBorders>
              <w:left w:val="single" w:sz="4" w:space="0" w:color="000000"/>
            </w:tcBorders>
          </w:tcPr>
          <w:p w14:paraId="2400C720" w14:textId="77777777" w:rsidR="00442C9B" w:rsidRDefault="00442C9B" w:rsidP="007C6E1C">
            <w:pPr>
              <w:pStyle w:val="TableParagraph"/>
              <w:spacing w:before="41"/>
              <w:ind w:left="107"/>
            </w:pPr>
            <w:r>
              <w:t>Stratified hazard ratio</w:t>
            </w:r>
            <w:r>
              <w:rPr>
                <w:position w:val="8"/>
                <w:sz w:val="14"/>
              </w:rPr>
              <w:t xml:space="preserve">‡ </w:t>
            </w:r>
            <w:r>
              <w:t>(95% CI)</w:t>
            </w:r>
          </w:p>
        </w:tc>
        <w:tc>
          <w:tcPr>
            <w:tcW w:w="3145" w:type="dxa"/>
          </w:tcPr>
          <w:p w14:paraId="4CE3E9DF" w14:textId="45E552B0" w:rsidR="00442C9B" w:rsidRDefault="00B6302A" w:rsidP="007C6E1C">
            <w:pPr>
              <w:pStyle w:val="TableParagraph"/>
              <w:spacing w:before="46"/>
              <w:ind w:right="3"/>
              <w:jc w:val="right"/>
            </w:pPr>
            <w:r w:rsidRPr="00B6302A">
              <w:rPr>
                <w:lang w:val="en-AU"/>
              </w:rPr>
              <w:t>0.71 (0.54, 0.93)</w:t>
            </w:r>
          </w:p>
        </w:tc>
        <w:tc>
          <w:tcPr>
            <w:tcW w:w="1514" w:type="dxa"/>
            <w:tcBorders>
              <w:right w:val="single" w:sz="4" w:space="0" w:color="000000"/>
            </w:tcBorders>
          </w:tcPr>
          <w:p w14:paraId="5E8FE248" w14:textId="77777777" w:rsidR="00442C9B" w:rsidRDefault="00442C9B" w:rsidP="007C6E1C">
            <w:pPr>
              <w:pStyle w:val="TableParagraph"/>
            </w:pPr>
          </w:p>
        </w:tc>
      </w:tr>
      <w:tr w:rsidR="00442C9B" w14:paraId="54272646" w14:textId="77777777" w:rsidTr="007C6E1C">
        <w:trPr>
          <w:trHeight w:val="353"/>
        </w:trPr>
        <w:tc>
          <w:tcPr>
            <w:tcW w:w="4555" w:type="dxa"/>
            <w:tcBorders>
              <w:left w:val="single" w:sz="4" w:space="0" w:color="000000"/>
              <w:bottom w:val="single" w:sz="4" w:space="0" w:color="000000"/>
            </w:tcBorders>
          </w:tcPr>
          <w:p w14:paraId="0E575416" w14:textId="53B120BA" w:rsidR="00442C9B" w:rsidRDefault="00442C9B" w:rsidP="007C6E1C">
            <w:pPr>
              <w:pStyle w:val="TableParagraph"/>
              <w:spacing w:before="42"/>
              <w:ind w:left="107"/>
              <w:rPr>
                <w:sz w:val="14"/>
              </w:rPr>
            </w:pPr>
          </w:p>
        </w:tc>
        <w:tc>
          <w:tcPr>
            <w:tcW w:w="3145" w:type="dxa"/>
            <w:tcBorders>
              <w:bottom w:val="single" w:sz="4" w:space="0" w:color="000000"/>
            </w:tcBorders>
          </w:tcPr>
          <w:p w14:paraId="47417861" w14:textId="4D415536" w:rsidR="00442C9B" w:rsidRDefault="00442C9B" w:rsidP="007C6E1C">
            <w:pPr>
              <w:pStyle w:val="TableParagraph"/>
              <w:spacing w:before="47"/>
              <w:ind w:right="432"/>
              <w:jc w:val="right"/>
            </w:pPr>
          </w:p>
        </w:tc>
        <w:tc>
          <w:tcPr>
            <w:tcW w:w="1514" w:type="dxa"/>
            <w:tcBorders>
              <w:bottom w:val="single" w:sz="4" w:space="0" w:color="000000"/>
              <w:right w:val="single" w:sz="4" w:space="0" w:color="000000"/>
            </w:tcBorders>
          </w:tcPr>
          <w:p w14:paraId="35B3F768" w14:textId="77777777" w:rsidR="00442C9B" w:rsidRDefault="00442C9B" w:rsidP="007C6E1C">
            <w:pPr>
              <w:pStyle w:val="TableParagraph"/>
            </w:pPr>
          </w:p>
        </w:tc>
      </w:tr>
      <w:tr w:rsidR="00442C9B" w14:paraId="3EB9690E" w14:textId="77777777" w:rsidTr="007C6E1C">
        <w:trPr>
          <w:trHeight w:val="350"/>
        </w:trPr>
        <w:tc>
          <w:tcPr>
            <w:tcW w:w="9214" w:type="dxa"/>
            <w:gridSpan w:val="3"/>
            <w:tcBorders>
              <w:top w:val="single" w:sz="4" w:space="0" w:color="000000"/>
              <w:left w:val="single" w:sz="4" w:space="0" w:color="000000"/>
              <w:bottom w:val="single" w:sz="4" w:space="0" w:color="000000"/>
              <w:right w:val="single" w:sz="4" w:space="0" w:color="000000"/>
            </w:tcBorders>
          </w:tcPr>
          <w:p w14:paraId="7CF42EEE" w14:textId="77777777" w:rsidR="00442C9B" w:rsidRDefault="00442C9B" w:rsidP="007C6E1C">
            <w:pPr>
              <w:pStyle w:val="TableParagraph"/>
              <w:spacing w:before="46"/>
              <w:ind w:left="107"/>
              <w:rPr>
                <w:b/>
                <w:i/>
              </w:rPr>
            </w:pPr>
            <w:r>
              <w:rPr>
                <w:b/>
                <w:i/>
              </w:rPr>
              <w:t>Secondary endpoints</w:t>
            </w:r>
          </w:p>
        </w:tc>
      </w:tr>
      <w:tr w:rsidR="00442C9B" w14:paraId="2F7B2905" w14:textId="77777777" w:rsidTr="007C6E1C">
        <w:trPr>
          <w:trHeight w:val="348"/>
        </w:trPr>
        <w:tc>
          <w:tcPr>
            <w:tcW w:w="4555" w:type="dxa"/>
            <w:tcBorders>
              <w:top w:val="single" w:sz="4" w:space="0" w:color="000000"/>
              <w:left w:val="single" w:sz="4" w:space="0" w:color="000000"/>
            </w:tcBorders>
          </w:tcPr>
          <w:p w14:paraId="6A001D05" w14:textId="5A50DB85" w:rsidR="00442C9B" w:rsidRDefault="00442C9B" w:rsidP="007C6E1C">
            <w:pPr>
              <w:pStyle w:val="TableParagraph"/>
              <w:spacing w:before="46"/>
              <w:ind w:left="107"/>
              <w:rPr>
                <w:b/>
                <w:i/>
              </w:rPr>
            </w:pPr>
            <w:r>
              <w:rPr>
                <w:b/>
                <w:i/>
              </w:rPr>
              <w:t>Investigator-assessed ORR (RECIST 1.1)</w:t>
            </w:r>
            <w:r w:rsidR="00520F61" w:rsidRPr="00400EBB">
              <w:rPr>
                <w:vertAlign w:val="superscript"/>
              </w:rPr>
              <w:t xml:space="preserve"> 3</w:t>
            </w:r>
          </w:p>
        </w:tc>
        <w:tc>
          <w:tcPr>
            <w:tcW w:w="3145" w:type="dxa"/>
            <w:tcBorders>
              <w:top w:val="single" w:sz="4" w:space="0" w:color="000000"/>
            </w:tcBorders>
          </w:tcPr>
          <w:p w14:paraId="216627FA" w14:textId="77777777" w:rsidR="00442C9B" w:rsidRDefault="00442C9B" w:rsidP="007C6E1C">
            <w:pPr>
              <w:pStyle w:val="TableParagraph"/>
              <w:spacing w:before="41"/>
              <w:ind w:left="1097" w:right="1333"/>
              <w:jc w:val="center"/>
            </w:pPr>
            <w:r>
              <w:t>n = 185</w:t>
            </w:r>
          </w:p>
        </w:tc>
        <w:tc>
          <w:tcPr>
            <w:tcW w:w="1514" w:type="dxa"/>
            <w:tcBorders>
              <w:top w:val="single" w:sz="4" w:space="0" w:color="000000"/>
              <w:right w:val="single" w:sz="4" w:space="0" w:color="000000"/>
            </w:tcBorders>
          </w:tcPr>
          <w:p w14:paraId="67186F85" w14:textId="77777777" w:rsidR="00442C9B" w:rsidRDefault="00442C9B" w:rsidP="007C6E1C">
            <w:pPr>
              <w:pStyle w:val="TableParagraph"/>
              <w:spacing w:before="41"/>
              <w:ind w:left="228"/>
            </w:pPr>
            <w:r>
              <w:t>n = 183</w:t>
            </w:r>
          </w:p>
        </w:tc>
      </w:tr>
      <w:tr w:rsidR="00442C9B" w14:paraId="6EFE359E" w14:textId="77777777" w:rsidTr="007C6E1C">
        <w:trPr>
          <w:trHeight w:val="346"/>
        </w:trPr>
        <w:tc>
          <w:tcPr>
            <w:tcW w:w="4555" w:type="dxa"/>
            <w:tcBorders>
              <w:left w:val="single" w:sz="4" w:space="0" w:color="000000"/>
            </w:tcBorders>
          </w:tcPr>
          <w:p w14:paraId="22E16748" w14:textId="77777777" w:rsidR="00442C9B" w:rsidRDefault="00442C9B" w:rsidP="007C6E1C">
            <w:pPr>
              <w:pStyle w:val="TableParagraph"/>
              <w:spacing w:before="40"/>
              <w:ind w:left="107"/>
            </w:pPr>
            <w:r>
              <w:t>No. of responders (%)</w:t>
            </w:r>
          </w:p>
        </w:tc>
        <w:tc>
          <w:tcPr>
            <w:tcW w:w="3145" w:type="dxa"/>
          </w:tcPr>
          <w:p w14:paraId="3C43ED0E" w14:textId="77777777" w:rsidR="00442C9B" w:rsidRDefault="00442C9B" w:rsidP="007C6E1C">
            <w:pPr>
              <w:pStyle w:val="TableParagraph"/>
              <w:spacing w:before="40"/>
              <w:ind w:left="901"/>
            </w:pPr>
            <w:r>
              <w:t>109 (58.9%)</w:t>
            </w:r>
          </w:p>
        </w:tc>
        <w:tc>
          <w:tcPr>
            <w:tcW w:w="1514" w:type="dxa"/>
            <w:tcBorders>
              <w:right w:val="single" w:sz="4" w:space="0" w:color="000000"/>
            </w:tcBorders>
          </w:tcPr>
          <w:p w14:paraId="14E9F8E5" w14:textId="77777777" w:rsidR="00442C9B" w:rsidRDefault="00442C9B" w:rsidP="007C6E1C">
            <w:pPr>
              <w:pStyle w:val="TableParagraph"/>
              <w:spacing w:before="40"/>
              <w:ind w:left="72"/>
            </w:pPr>
            <w:r>
              <w:t>78 (42.6%)</w:t>
            </w:r>
          </w:p>
        </w:tc>
      </w:tr>
      <w:tr w:rsidR="00442C9B" w14:paraId="7BB11311" w14:textId="77777777" w:rsidTr="007C6E1C">
        <w:trPr>
          <w:trHeight w:val="349"/>
        </w:trPr>
        <w:tc>
          <w:tcPr>
            <w:tcW w:w="4555" w:type="dxa"/>
            <w:tcBorders>
              <w:left w:val="single" w:sz="4" w:space="0" w:color="000000"/>
            </w:tcBorders>
          </w:tcPr>
          <w:p w14:paraId="295BD2BB" w14:textId="77777777" w:rsidR="00442C9B" w:rsidRDefault="00442C9B" w:rsidP="007C6E1C">
            <w:pPr>
              <w:pStyle w:val="TableParagraph"/>
              <w:spacing w:before="44"/>
              <w:ind w:left="107"/>
            </w:pPr>
            <w:r>
              <w:t>95% CI</w:t>
            </w:r>
          </w:p>
        </w:tc>
        <w:tc>
          <w:tcPr>
            <w:tcW w:w="3145" w:type="dxa"/>
          </w:tcPr>
          <w:p w14:paraId="42B00BCD" w14:textId="77777777" w:rsidR="00442C9B" w:rsidRDefault="00442C9B" w:rsidP="007C6E1C">
            <w:pPr>
              <w:pStyle w:val="TableParagraph"/>
              <w:spacing w:before="44"/>
              <w:ind w:left="937"/>
            </w:pPr>
            <w:r>
              <w:t>(51.5, 66.1)</w:t>
            </w:r>
          </w:p>
        </w:tc>
        <w:tc>
          <w:tcPr>
            <w:tcW w:w="1514" w:type="dxa"/>
            <w:tcBorders>
              <w:right w:val="single" w:sz="4" w:space="0" w:color="000000"/>
            </w:tcBorders>
          </w:tcPr>
          <w:p w14:paraId="76C19654" w14:textId="77777777" w:rsidR="00442C9B" w:rsidRDefault="00442C9B" w:rsidP="007C6E1C">
            <w:pPr>
              <w:pStyle w:val="TableParagraph"/>
              <w:spacing w:before="44"/>
              <w:ind w:left="53"/>
            </w:pPr>
            <w:r>
              <w:t>(35.4, 50.1)</w:t>
            </w:r>
          </w:p>
        </w:tc>
      </w:tr>
      <w:tr w:rsidR="00442C9B" w14:paraId="6DFC78E4" w14:textId="77777777" w:rsidTr="007C6E1C">
        <w:trPr>
          <w:trHeight w:val="348"/>
        </w:trPr>
        <w:tc>
          <w:tcPr>
            <w:tcW w:w="4555" w:type="dxa"/>
            <w:tcBorders>
              <w:left w:val="single" w:sz="4" w:space="0" w:color="000000"/>
            </w:tcBorders>
          </w:tcPr>
          <w:p w14:paraId="53356B6F" w14:textId="77777777" w:rsidR="00442C9B" w:rsidRDefault="00442C9B" w:rsidP="007C6E1C">
            <w:pPr>
              <w:pStyle w:val="TableParagraph"/>
              <w:spacing w:before="43"/>
              <w:ind w:left="827"/>
            </w:pPr>
            <w:r>
              <w:t>No. of complete response (%)</w:t>
            </w:r>
          </w:p>
        </w:tc>
        <w:tc>
          <w:tcPr>
            <w:tcW w:w="3145" w:type="dxa"/>
          </w:tcPr>
          <w:p w14:paraId="43676FB2" w14:textId="77777777" w:rsidR="00442C9B" w:rsidRDefault="00442C9B" w:rsidP="007C6E1C">
            <w:pPr>
              <w:pStyle w:val="TableParagraph"/>
              <w:spacing w:before="43"/>
              <w:ind w:left="956"/>
            </w:pPr>
            <w:r>
              <w:t>19 (10.3%)</w:t>
            </w:r>
          </w:p>
        </w:tc>
        <w:tc>
          <w:tcPr>
            <w:tcW w:w="1514" w:type="dxa"/>
            <w:tcBorders>
              <w:right w:val="single" w:sz="4" w:space="0" w:color="000000"/>
            </w:tcBorders>
          </w:tcPr>
          <w:p w14:paraId="7234C87E" w14:textId="77777777" w:rsidR="00442C9B" w:rsidRDefault="00442C9B" w:rsidP="007C6E1C">
            <w:pPr>
              <w:pStyle w:val="TableParagraph"/>
              <w:spacing w:before="43"/>
              <w:ind w:left="180"/>
            </w:pPr>
            <w:r>
              <w:t>2 (1.1%)</w:t>
            </w:r>
          </w:p>
        </w:tc>
      </w:tr>
      <w:tr w:rsidR="00442C9B" w14:paraId="3D9773C3" w14:textId="77777777" w:rsidTr="007C6E1C">
        <w:trPr>
          <w:trHeight w:val="349"/>
        </w:trPr>
        <w:tc>
          <w:tcPr>
            <w:tcW w:w="4555" w:type="dxa"/>
            <w:tcBorders>
              <w:left w:val="single" w:sz="4" w:space="0" w:color="000000"/>
            </w:tcBorders>
          </w:tcPr>
          <w:p w14:paraId="09B6AB0F" w14:textId="77777777" w:rsidR="00442C9B" w:rsidRDefault="00442C9B" w:rsidP="007C6E1C">
            <w:pPr>
              <w:pStyle w:val="TableParagraph"/>
              <w:spacing w:before="43"/>
              <w:ind w:left="827"/>
            </w:pPr>
            <w:r>
              <w:t>No. of partial response (%)</w:t>
            </w:r>
          </w:p>
        </w:tc>
        <w:tc>
          <w:tcPr>
            <w:tcW w:w="3145" w:type="dxa"/>
          </w:tcPr>
          <w:p w14:paraId="3FCD050A" w14:textId="77777777" w:rsidR="00442C9B" w:rsidRDefault="00442C9B" w:rsidP="007C6E1C">
            <w:pPr>
              <w:pStyle w:val="TableParagraph"/>
              <w:spacing w:before="43"/>
              <w:ind w:left="956"/>
            </w:pPr>
            <w:r>
              <w:t>90 (48.6%)</w:t>
            </w:r>
          </w:p>
        </w:tc>
        <w:tc>
          <w:tcPr>
            <w:tcW w:w="1514" w:type="dxa"/>
            <w:tcBorders>
              <w:right w:val="single" w:sz="4" w:space="0" w:color="000000"/>
            </w:tcBorders>
          </w:tcPr>
          <w:p w14:paraId="37471904" w14:textId="77777777" w:rsidR="00442C9B" w:rsidRDefault="00442C9B" w:rsidP="007C6E1C">
            <w:pPr>
              <w:pStyle w:val="TableParagraph"/>
              <w:spacing w:before="43"/>
              <w:ind w:left="72"/>
            </w:pPr>
            <w:r>
              <w:t>76 (41.5%)</w:t>
            </w:r>
          </w:p>
        </w:tc>
      </w:tr>
      <w:tr w:rsidR="00442C9B" w14:paraId="7F9D1DB1" w14:textId="77777777" w:rsidTr="007C6E1C">
        <w:trPr>
          <w:trHeight w:val="350"/>
        </w:trPr>
        <w:tc>
          <w:tcPr>
            <w:tcW w:w="4555" w:type="dxa"/>
            <w:tcBorders>
              <w:left w:val="single" w:sz="4" w:space="0" w:color="000000"/>
              <w:bottom w:val="single" w:sz="4" w:space="0" w:color="000000"/>
            </w:tcBorders>
          </w:tcPr>
          <w:p w14:paraId="7640DA5A" w14:textId="77777777" w:rsidR="00442C9B" w:rsidRDefault="00442C9B" w:rsidP="007C6E1C">
            <w:pPr>
              <w:pStyle w:val="TableParagraph"/>
              <w:spacing w:before="44"/>
              <w:ind w:left="827"/>
            </w:pPr>
            <w:r>
              <w:t>No. of stable disease</w:t>
            </w:r>
          </w:p>
        </w:tc>
        <w:tc>
          <w:tcPr>
            <w:tcW w:w="3145" w:type="dxa"/>
            <w:tcBorders>
              <w:bottom w:val="single" w:sz="4" w:space="0" w:color="000000"/>
            </w:tcBorders>
          </w:tcPr>
          <w:p w14:paraId="310598B8" w14:textId="77777777" w:rsidR="00442C9B" w:rsidRDefault="00442C9B" w:rsidP="007C6E1C">
            <w:pPr>
              <w:pStyle w:val="TableParagraph"/>
              <w:spacing w:before="44"/>
              <w:ind w:left="956"/>
            </w:pPr>
            <w:r>
              <w:t>38 (20.5%)</w:t>
            </w:r>
          </w:p>
        </w:tc>
        <w:tc>
          <w:tcPr>
            <w:tcW w:w="1514" w:type="dxa"/>
            <w:tcBorders>
              <w:bottom w:val="single" w:sz="4" w:space="0" w:color="000000"/>
              <w:right w:val="single" w:sz="4" w:space="0" w:color="000000"/>
            </w:tcBorders>
          </w:tcPr>
          <w:p w14:paraId="3EC0A595" w14:textId="77777777" w:rsidR="00442C9B" w:rsidRDefault="00442C9B" w:rsidP="007C6E1C">
            <w:pPr>
              <w:pStyle w:val="TableParagraph"/>
              <w:spacing w:before="44"/>
              <w:ind w:left="72"/>
            </w:pPr>
            <w:r>
              <w:t>49 (26.8%)</w:t>
            </w:r>
          </w:p>
        </w:tc>
      </w:tr>
      <w:tr w:rsidR="00442C9B" w14:paraId="1FA87BC9" w14:textId="77777777" w:rsidTr="007C6E1C">
        <w:trPr>
          <w:trHeight w:val="350"/>
        </w:trPr>
        <w:tc>
          <w:tcPr>
            <w:tcW w:w="4555" w:type="dxa"/>
            <w:tcBorders>
              <w:top w:val="single" w:sz="4" w:space="0" w:color="000000"/>
              <w:left w:val="single" w:sz="4" w:space="0" w:color="000000"/>
            </w:tcBorders>
          </w:tcPr>
          <w:p w14:paraId="498903F7" w14:textId="2BC851E6" w:rsidR="00442C9B" w:rsidRDefault="00442C9B" w:rsidP="007C6E1C">
            <w:pPr>
              <w:pStyle w:val="TableParagraph"/>
              <w:spacing w:before="46"/>
              <w:ind w:left="107"/>
              <w:rPr>
                <w:b/>
                <w:i/>
              </w:rPr>
            </w:pPr>
            <w:r>
              <w:rPr>
                <w:b/>
                <w:i/>
              </w:rPr>
              <w:t>Investigator-assessed DOR</w:t>
            </w:r>
            <w:r w:rsidR="00520F61" w:rsidRPr="00400EBB">
              <w:rPr>
                <w:vertAlign w:val="superscript"/>
              </w:rPr>
              <w:t>3</w:t>
            </w:r>
          </w:p>
        </w:tc>
        <w:tc>
          <w:tcPr>
            <w:tcW w:w="3145" w:type="dxa"/>
            <w:tcBorders>
              <w:top w:val="single" w:sz="4" w:space="0" w:color="000000"/>
            </w:tcBorders>
          </w:tcPr>
          <w:p w14:paraId="2869ED87" w14:textId="77777777" w:rsidR="00442C9B" w:rsidRDefault="00442C9B" w:rsidP="007C6E1C">
            <w:pPr>
              <w:pStyle w:val="TableParagraph"/>
              <w:spacing w:before="41"/>
              <w:ind w:left="1097" w:right="1333"/>
              <w:jc w:val="center"/>
            </w:pPr>
            <w:r>
              <w:t>n = 109</w:t>
            </w:r>
          </w:p>
        </w:tc>
        <w:tc>
          <w:tcPr>
            <w:tcW w:w="1514" w:type="dxa"/>
            <w:tcBorders>
              <w:top w:val="single" w:sz="4" w:space="0" w:color="000000"/>
              <w:right w:val="single" w:sz="4" w:space="0" w:color="000000"/>
            </w:tcBorders>
          </w:tcPr>
          <w:p w14:paraId="02CA22DF" w14:textId="77777777" w:rsidR="00442C9B" w:rsidRDefault="00442C9B" w:rsidP="007C6E1C">
            <w:pPr>
              <w:pStyle w:val="TableParagraph"/>
              <w:spacing w:before="41"/>
              <w:ind w:left="283"/>
            </w:pPr>
            <w:r>
              <w:t>n = 78</w:t>
            </w:r>
          </w:p>
        </w:tc>
      </w:tr>
      <w:tr w:rsidR="00442C9B" w14:paraId="298EF86B" w14:textId="77777777" w:rsidTr="007C6E1C">
        <w:trPr>
          <w:trHeight w:val="346"/>
        </w:trPr>
        <w:tc>
          <w:tcPr>
            <w:tcW w:w="4555" w:type="dxa"/>
            <w:tcBorders>
              <w:left w:val="single" w:sz="4" w:space="0" w:color="000000"/>
            </w:tcBorders>
          </w:tcPr>
          <w:p w14:paraId="1DA19F65" w14:textId="77777777" w:rsidR="00442C9B" w:rsidRDefault="00442C9B" w:rsidP="007C6E1C">
            <w:pPr>
              <w:pStyle w:val="TableParagraph"/>
              <w:spacing w:before="42"/>
              <w:ind w:left="107"/>
            </w:pPr>
            <w:r>
              <w:t>Median in months</w:t>
            </w:r>
          </w:p>
        </w:tc>
        <w:tc>
          <w:tcPr>
            <w:tcW w:w="3145" w:type="dxa"/>
          </w:tcPr>
          <w:p w14:paraId="5C6CBA36" w14:textId="77777777" w:rsidR="00442C9B" w:rsidRDefault="00442C9B" w:rsidP="007C6E1C">
            <w:pPr>
              <w:pStyle w:val="TableParagraph"/>
              <w:spacing w:before="42"/>
              <w:ind w:left="1094" w:right="1333"/>
              <w:jc w:val="center"/>
            </w:pPr>
            <w:r>
              <w:t>8.5</w:t>
            </w:r>
          </w:p>
        </w:tc>
        <w:tc>
          <w:tcPr>
            <w:tcW w:w="1514" w:type="dxa"/>
            <w:tcBorders>
              <w:right w:val="single" w:sz="4" w:space="0" w:color="000000"/>
            </w:tcBorders>
          </w:tcPr>
          <w:p w14:paraId="52307F42" w14:textId="77777777" w:rsidR="00442C9B" w:rsidRDefault="00442C9B" w:rsidP="007C6E1C">
            <w:pPr>
              <w:pStyle w:val="TableParagraph"/>
              <w:spacing w:before="42"/>
              <w:ind w:left="427"/>
            </w:pPr>
            <w:r>
              <w:t>5.5</w:t>
            </w:r>
          </w:p>
        </w:tc>
      </w:tr>
      <w:tr w:rsidR="00442C9B" w14:paraId="4CF6F1A3" w14:textId="77777777" w:rsidTr="007C6E1C">
        <w:trPr>
          <w:trHeight w:val="349"/>
        </w:trPr>
        <w:tc>
          <w:tcPr>
            <w:tcW w:w="4555" w:type="dxa"/>
            <w:tcBorders>
              <w:left w:val="single" w:sz="4" w:space="0" w:color="000000"/>
            </w:tcBorders>
          </w:tcPr>
          <w:p w14:paraId="6CDCFADC" w14:textId="77777777" w:rsidR="00442C9B" w:rsidRDefault="00442C9B" w:rsidP="007C6E1C">
            <w:pPr>
              <w:pStyle w:val="TableParagraph"/>
              <w:spacing w:before="43"/>
              <w:ind w:left="107"/>
            </w:pPr>
            <w:r>
              <w:t>95% CI</w:t>
            </w:r>
          </w:p>
        </w:tc>
        <w:tc>
          <w:tcPr>
            <w:tcW w:w="3145" w:type="dxa"/>
          </w:tcPr>
          <w:p w14:paraId="7490A987" w14:textId="77777777" w:rsidR="00442C9B" w:rsidRDefault="00442C9B" w:rsidP="007C6E1C">
            <w:pPr>
              <w:pStyle w:val="TableParagraph"/>
              <w:spacing w:before="43"/>
              <w:ind w:left="1047"/>
            </w:pPr>
            <w:r>
              <w:t>(7.3, 9.7)</w:t>
            </w:r>
          </w:p>
        </w:tc>
        <w:tc>
          <w:tcPr>
            <w:tcW w:w="1514" w:type="dxa"/>
            <w:tcBorders>
              <w:right w:val="single" w:sz="4" w:space="0" w:color="000000"/>
            </w:tcBorders>
          </w:tcPr>
          <w:p w14:paraId="6CC4978D" w14:textId="77777777" w:rsidR="00442C9B" w:rsidRDefault="00442C9B" w:rsidP="007C6E1C">
            <w:pPr>
              <w:pStyle w:val="TableParagraph"/>
              <w:spacing w:before="43"/>
              <w:ind w:left="163"/>
            </w:pPr>
            <w:r>
              <w:t>(3.7, 7.1)</w:t>
            </w:r>
          </w:p>
        </w:tc>
      </w:tr>
      <w:tr w:rsidR="00442C9B" w14:paraId="1A7B69C2" w14:textId="77777777" w:rsidTr="007C6E1C">
        <w:trPr>
          <w:trHeight w:val="350"/>
        </w:trPr>
        <w:tc>
          <w:tcPr>
            <w:tcW w:w="4555" w:type="dxa"/>
            <w:tcBorders>
              <w:left w:val="single" w:sz="4" w:space="0" w:color="000000"/>
              <w:bottom w:val="single" w:sz="4" w:space="0" w:color="000000"/>
            </w:tcBorders>
          </w:tcPr>
          <w:p w14:paraId="38A0C5F8" w14:textId="77777777" w:rsidR="00442C9B" w:rsidRDefault="00442C9B" w:rsidP="007C6E1C">
            <w:pPr>
              <w:pStyle w:val="TableParagraph"/>
              <w:spacing w:before="44"/>
              <w:ind w:left="107"/>
            </w:pPr>
            <w:proofErr w:type="spellStart"/>
            <w:r>
              <w:t>Unstratified</w:t>
            </w:r>
            <w:proofErr w:type="spellEnd"/>
            <w:r>
              <w:t xml:space="preserve"> hazard ratio (95% CI)</w:t>
            </w:r>
          </w:p>
        </w:tc>
        <w:tc>
          <w:tcPr>
            <w:tcW w:w="3145" w:type="dxa"/>
            <w:tcBorders>
              <w:bottom w:val="single" w:sz="4" w:space="0" w:color="000000"/>
            </w:tcBorders>
          </w:tcPr>
          <w:p w14:paraId="0AD78713" w14:textId="77777777" w:rsidR="00442C9B" w:rsidRDefault="00442C9B" w:rsidP="007C6E1C">
            <w:pPr>
              <w:pStyle w:val="TableParagraph"/>
              <w:spacing w:before="44"/>
              <w:ind w:right="3"/>
              <w:jc w:val="right"/>
            </w:pPr>
            <w:r>
              <w:t>0.60 (0.43, 0.86)</w:t>
            </w:r>
          </w:p>
        </w:tc>
        <w:tc>
          <w:tcPr>
            <w:tcW w:w="1514" w:type="dxa"/>
            <w:tcBorders>
              <w:bottom w:val="single" w:sz="4" w:space="0" w:color="000000"/>
              <w:right w:val="single" w:sz="4" w:space="0" w:color="000000"/>
            </w:tcBorders>
          </w:tcPr>
          <w:p w14:paraId="09659E6D" w14:textId="77777777" w:rsidR="00442C9B" w:rsidRDefault="00442C9B" w:rsidP="007C6E1C">
            <w:pPr>
              <w:pStyle w:val="TableParagraph"/>
            </w:pPr>
          </w:p>
        </w:tc>
      </w:tr>
    </w:tbl>
    <w:p w14:paraId="0B94E6C3" w14:textId="77777777" w:rsidR="00442C9B" w:rsidRDefault="00442C9B" w:rsidP="00442C9B">
      <w:pPr>
        <w:spacing w:line="244" w:lineRule="exact"/>
        <w:ind w:left="118"/>
      </w:pPr>
      <w:r>
        <w:rPr>
          <w:position w:val="8"/>
          <w:sz w:val="14"/>
        </w:rPr>
        <w:t xml:space="preserve">1. </w:t>
      </w:r>
      <w:r>
        <w:t>Based on the stratified log-rank test</w:t>
      </w:r>
    </w:p>
    <w:p w14:paraId="6A656B8D" w14:textId="399F3B72" w:rsidR="00442C9B" w:rsidRDefault="00442C9B" w:rsidP="00442C9B">
      <w:pPr>
        <w:ind w:left="298" w:right="401" w:hanging="180"/>
      </w:pPr>
      <w:r>
        <w:rPr>
          <w:position w:val="8"/>
          <w:sz w:val="14"/>
        </w:rPr>
        <w:t xml:space="preserve">2. </w:t>
      </w:r>
      <w:r>
        <w:t>OS comparisons between treatment arms in patients with PD-L1 expression ≥1% were not formally tested, as per the pre-specified analysis hierarchy.</w:t>
      </w:r>
    </w:p>
    <w:p w14:paraId="6347477F" w14:textId="5BC5E160" w:rsidR="00520F61" w:rsidRPr="00520F61" w:rsidRDefault="00520F61" w:rsidP="00EF0818">
      <w:pPr>
        <w:ind w:left="142" w:right="401"/>
        <w:rPr>
          <w:lang w:val="en-US"/>
        </w:rPr>
      </w:pPr>
      <w:r w:rsidRPr="00EF0818">
        <w:rPr>
          <w:vertAlign w:val="superscript"/>
        </w:rPr>
        <w:t>3</w:t>
      </w:r>
      <w:r w:rsidRPr="00520F61">
        <w:rPr>
          <w:lang w:val="en-US"/>
        </w:rPr>
        <w:t>Per final analysis for PFS, ORR, DOR and first interim analysis for OS at clinical cut off 17</w:t>
      </w:r>
      <w:r w:rsidRPr="00520F61">
        <w:rPr>
          <w:vertAlign w:val="superscript"/>
          <w:lang w:val="en-US"/>
        </w:rPr>
        <w:t>th</w:t>
      </w:r>
      <w:r w:rsidRPr="00520F61">
        <w:rPr>
          <w:lang w:val="en-US"/>
        </w:rPr>
        <w:t xml:space="preserve"> April 2018</w:t>
      </w:r>
    </w:p>
    <w:p w14:paraId="2CB84873" w14:textId="30DC5F12" w:rsidR="00520F61" w:rsidRPr="00EF0818" w:rsidRDefault="00520F61" w:rsidP="00442C9B">
      <w:pPr>
        <w:ind w:left="298" w:right="401" w:hanging="180"/>
        <w:rPr>
          <w:lang w:val="en-US"/>
        </w:rPr>
      </w:pPr>
      <w:r w:rsidRPr="00EF0818">
        <w:rPr>
          <w:vertAlign w:val="superscript"/>
          <w:lang w:val="en-US"/>
        </w:rPr>
        <w:t xml:space="preserve">4 </w:t>
      </w:r>
      <w:r w:rsidRPr="00520F61">
        <w:rPr>
          <w:lang w:val="en-US"/>
        </w:rPr>
        <w:t>Per</w:t>
      </w:r>
      <w:r>
        <w:rPr>
          <w:lang w:val="en-US"/>
        </w:rPr>
        <w:t xml:space="preserve"> second interim analysis for OS</w:t>
      </w:r>
      <w:r w:rsidRPr="00520F61">
        <w:rPr>
          <w:lang w:val="en-US"/>
        </w:rPr>
        <w:t xml:space="preserve"> at clinical cut off January 2</w:t>
      </w:r>
      <w:r w:rsidRPr="00520F61">
        <w:rPr>
          <w:vertAlign w:val="superscript"/>
          <w:lang w:val="en-US"/>
        </w:rPr>
        <w:t>nd</w:t>
      </w:r>
      <w:r w:rsidRPr="00520F61">
        <w:rPr>
          <w:lang w:val="en-US"/>
        </w:rPr>
        <w:t xml:space="preserve"> 2019</w:t>
      </w:r>
    </w:p>
    <w:p w14:paraId="4FDC0093" w14:textId="77777777" w:rsidR="00442C9B" w:rsidRDefault="00442C9B" w:rsidP="00442C9B">
      <w:pPr>
        <w:spacing w:line="251" w:lineRule="exact"/>
        <w:ind w:left="118"/>
      </w:pPr>
      <w:r>
        <w:rPr>
          <w:position w:val="8"/>
          <w:sz w:val="14"/>
        </w:rPr>
        <w:t xml:space="preserve">‡ </w:t>
      </w:r>
      <w:r>
        <w:t xml:space="preserve">Stratified by presence of liver metastases, and by prior </w:t>
      </w:r>
      <w:proofErr w:type="spellStart"/>
      <w:r>
        <w:t>taxane</w:t>
      </w:r>
      <w:proofErr w:type="spellEnd"/>
      <w:r>
        <w:t xml:space="preserve"> treatment</w:t>
      </w:r>
    </w:p>
    <w:p w14:paraId="460EE703" w14:textId="77777777" w:rsidR="00442C9B" w:rsidRDefault="00442C9B" w:rsidP="00442C9B">
      <w:pPr>
        <w:ind w:left="118" w:right="764"/>
      </w:pPr>
      <w:r>
        <w:t xml:space="preserve">PFS = progression-free survival; RECIST = Response Evaluation Criteria in Solid </w:t>
      </w:r>
      <w:proofErr w:type="spellStart"/>
      <w:r>
        <w:t>Tumors</w:t>
      </w:r>
      <w:proofErr w:type="spellEnd"/>
      <w:r>
        <w:t xml:space="preserve"> v1.1.; CI = confidence interval; ORR=objective response rate; DOR = duration of response; OS = overall survival, NE = not estimable</w:t>
      </w:r>
    </w:p>
    <w:p w14:paraId="44C12F3D" w14:textId="77777777" w:rsidR="00442C9B" w:rsidRDefault="00442C9B" w:rsidP="00442C9B">
      <w:pPr>
        <w:sectPr w:rsidR="00442C9B">
          <w:headerReference w:type="even" r:id="rId26"/>
          <w:headerReference w:type="default" r:id="rId27"/>
          <w:footerReference w:type="even" r:id="rId28"/>
          <w:footerReference w:type="default" r:id="rId29"/>
          <w:headerReference w:type="first" r:id="rId30"/>
          <w:footerReference w:type="first" r:id="rId31"/>
          <w:pgSz w:w="11910" w:h="16840"/>
          <w:pgMar w:top="1040" w:right="1000" w:bottom="1380" w:left="1300" w:header="0" w:footer="1116" w:gutter="0"/>
          <w:cols w:space="720"/>
        </w:sectPr>
      </w:pPr>
    </w:p>
    <w:p w14:paraId="423E0623" w14:textId="4086FDAD" w:rsidR="00442C9B" w:rsidRDefault="00442C9B" w:rsidP="00442C9B">
      <w:pPr>
        <w:pStyle w:val="Heading2"/>
        <w:spacing w:before="76"/>
        <w:ind w:right="414"/>
        <w:jc w:val="both"/>
      </w:pPr>
      <w:r>
        <w:lastRenderedPageBreak/>
        <w:t>Fi</w:t>
      </w:r>
      <w:bookmarkStart w:id="0" w:name="_GoBack"/>
      <w:bookmarkEnd w:id="0"/>
      <w:r>
        <w:t xml:space="preserve">gure </w:t>
      </w:r>
      <w:r w:rsidR="003520F3">
        <w:t>13</w:t>
      </w:r>
      <w:r>
        <w:t>: Kaplan-Meier Plot for Progression Free Survival in patients with PD-L1 expression ≥1% (WO29522)</w:t>
      </w:r>
    </w:p>
    <w:p w14:paraId="607E316C" w14:textId="77777777" w:rsidR="00442C9B" w:rsidRDefault="00442C9B" w:rsidP="00442C9B">
      <w:pPr>
        <w:pStyle w:val="BodyText"/>
        <w:spacing w:before="7"/>
        <w:rPr>
          <w:b/>
          <w:sz w:val="18"/>
        </w:rPr>
      </w:pPr>
      <w:r>
        <w:rPr>
          <w:noProof/>
          <w:lang w:eastAsia="en-AU"/>
        </w:rPr>
        <w:drawing>
          <wp:anchor distT="0" distB="0" distL="0" distR="0" simplePos="0" relativeHeight="251657216" behindDoc="0" locked="0" layoutInCell="1" allowOverlap="1" wp14:anchorId="43722333" wp14:editId="0CBD3332">
            <wp:simplePos x="0" y="0"/>
            <wp:positionH relativeFrom="page">
              <wp:posOffset>951879</wp:posOffset>
            </wp:positionH>
            <wp:positionV relativeFrom="paragraph">
              <wp:posOffset>160920</wp:posOffset>
            </wp:positionV>
            <wp:extent cx="5381798" cy="2650998"/>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2" cstate="print"/>
                    <a:stretch>
                      <a:fillRect/>
                    </a:stretch>
                  </pic:blipFill>
                  <pic:spPr>
                    <a:xfrm>
                      <a:off x="0" y="0"/>
                      <a:ext cx="5381798" cy="2650998"/>
                    </a:xfrm>
                    <a:prstGeom prst="rect">
                      <a:avLst/>
                    </a:prstGeom>
                  </pic:spPr>
                </pic:pic>
              </a:graphicData>
            </a:graphic>
          </wp:anchor>
        </w:drawing>
      </w:r>
    </w:p>
    <w:p w14:paraId="23FDED34" w14:textId="77777777" w:rsidR="009F3EDE" w:rsidRDefault="009F3EDE" w:rsidP="00442C9B">
      <w:pPr>
        <w:rPr>
          <w:b/>
          <w:szCs w:val="24"/>
          <w:lang w:val="en-GB"/>
        </w:rPr>
      </w:pPr>
    </w:p>
    <w:p w14:paraId="116F4F25" w14:textId="258CC212" w:rsidR="00442C9B" w:rsidRPr="00442C9B" w:rsidRDefault="00520F61" w:rsidP="00442C9B">
      <w:r w:rsidRPr="00EF0818">
        <w:rPr>
          <w:b/>
          <w:szCs w:val="24"/>
          <w:lang w:val="en-GB"/>
        </w:rPr>
        <w:t xml:space="preserve">Figure </w:t>
      </w:r>
      <w:r w:rsidR="003520F3">
        <w:rPr>
          <w:b/>
          <w:szCs w:val="24"/>
          <w:lang w:val="en-GB"/>
        </w:rPr>
        <w:t>14</w:t>
      </w:r>
      <w:r w:rsidRPr="00EF0818">
        <w:rPr>
          <w:b/>
          <w:szCs w:val="24"/>
          <w:lang w:val="en-GB"/>
        </w:rPr>
        <w:t>: Kaplan-Meier Plot for Overall Survival in patients with PD-L1 expression ≥1% (WO29522)</w:t>
      </w:r>
      <w:r w:rsidRPr="00C41C03">
        <w:rPr>
          <w:noProof/>
          <w:lang w:eastAsia="en-AU"/>
        </w:rPr>
        <w:drawing>
          <wp:inline distT="0" distB="0" distL="0" distR="0" wp14:anchorId="52898C5B" wp14:editId="01DA5E26">
            <wp:extent cx="5486400" cy="2738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82813" name=""/>
                    <pic:cNvPicPr/>
                  </pic:nvPicPr>
                  <pic:blipFill>
                    <a:blip r:embed="rId33"/>
                    <a:stretch>
                      <a:fillRect/>
                    </a:stretch>
                  </pic:blipFill>
                  <pic:spPr>
                    <a:xfrm>
                      <a:off x="0" y="0"/>
                      <a:ext cx="5486400" cy="2738755"/>
                    </a:xfrm>
                    <a:prstGeom prst="rect">
                      <a:avLst/>
                    </a:prstGeom>
                  </pic:spPr>
                </pic:pic>
              </a:graphicData>
            </a:graphic>
          </wp:inline>
        </w:drawing>
      </w:r>
    </w:p>
    <w:p w14:paraId="6CB674D8" w14:textId="327915F3" w:rsidR="00520F61" w:rsidRPr="005D1911" w:rsidRDefault="00520F61" w:rsidP="00550342">
      <w:pPr>
        <w:pStyle w:val="Heading4"/>
        <w:rPr>
          <w:i w:val="0"/>
          <w:u w:val="none"/>
        </w:rPr>
      </w:pPr>
      <w:r w:rsidRPr="005D1911">
        <w:rPr>
          <w:i w:val="0"/>
          <w:u w:val="none"/>
          <w:lang w:val="en-US"/>
        </w:rPr>
        <w:t xml:space="preserve">The time to deterioration (a sustained </w:t>
      </w:r>
      <w:r w:rsidRPr="005D1911">
        <w:rPr>
          <w:i w:val="0"/>
          <w:u w:val="none"/>
          <w:lang w:val="en-US"/>
        </w:rPr>
        <w:sym w:font="Symbol" w:char="F0B3"/>
      </w:r>
      <w:r w:rsidRPr="005D1911">
        <w:rPr>
          <w:i w:val="0"/>
          <w:u w:val="none"/>
          <w:lang w:val="en-US"/>
        </w:rPr>
        <w:t xml:space="preserve"> 10-point decline from baseline score) of patient-reported global health status/health-related quality of life as measured by the EORTC QLQ-C30 was similar in each treatment group indicating that all patients maintained their baseline </w:t>
      </w:r>
      <w:proofErr w:type="spellStart"/>
      <w:r w:rsidRPr="005D1911">
        <w:rPr>
          <w:i w:val="0"/>
          <w:u w:val="none"/>
          <w:lang w:val="en-US"/>
        </w:rPr>
        <w:t>HRQoL</w:t>
      </w:r>
      <w:proofErr w:type="spellEnd"/>
      <w:r w:rsidRPr="005D1911">
        <w:rPr>
          <w:i w:val="0"/>
          <w:u w:val="none"/>
          <w:lang w:val="en-US"/>
        </w:rPr>
        <w:t xml:space="preserve"> for a comparable duration of time.</w:t>
      </w:r>
    </w:p>
    <w:p w14:paraId="0047A62C" w14:textId="5C11043C" w:rsidR="00A8049A" w:rsidRDefault="00A8049A" w:rsidP="00A8049A">
      <w:pPr>
        <w:pStyle w:val="BodyText"/>
        <w:spacing w:before="1"/>
        <w:ind w:right="412"/>
      </w:pPr>
    </w:p>
    <w:p w14:paraId="49B2C632" w14:textId="38632995" w:rsidR="00366B5F" w:rsidRPr="0046175F" w:rsidRDefault="00366B5F" w:rsidP="00550342">
      <w:pPr>
        <w:pStyle w:val="Heading4"/>
      </w:pPr>
      <w:r w:rsidRPr="0046175F">
        <w:t xml:space="preserve">PD-L1 expression by immunohistochemistry </w:t>
      </w:r>
    </w:p>
    <w:p w14:paraId="6A6A4600" w14:textId="2EDCF34F" w:rsidR="00366B5F" w:rsidRDefault="00366B5F" w:rsidP="00CD75CF">
      <w:r w:rsidRPr="0046175F">
        <w:t xml:space="preserve">The VENTANA PD-L1 (SP142) Assay has been validated to detect PD-L1 expression in tumour-infiltrating immune cells (IC) and tumour cells (TC). </w:t>
      </w:r>
    </w:p>
    <w:p w14:paraId="6D6EE494" w14:textId="77777777" w:rsidR="006769CC" w:rsidRPr="0046175F" w:rsidRDefault="006769CC" w:rsidP="00CD75CF"/>
    <w:p w14:paraId="18B340A9" w14:textId="77777777" w:rsidR="00366B5F" w:rsidRPr="0046175F" w:rsidRDefault="00366B5F" w:rsidP="00CD75CF">
      <w:r w:rsidRPr="0046175F">
        <w:t xml:space="preserve">The test detects the presence of any discernible PD-L1 staining of any intensity. </w:t>
      </w:r>
    </w:p>
    <w:p w14:paraId="2FC4619F" w14:textId="77777777" w:rsidR="00366B5F" w:rsidRPr="0046175F" w:rsidRDefault="00366B5F" w:rsidP="00CD75CF"/>
    <w:p w14:paraId="1BE1DC84" w14:textId="1E8248AC" w:rsidR="00366B5F" w:rsidRDefault="00366B5F" w:rsidP="00A10D52">
      <w:r w:rsidRPr="0046175F">
        <w:t>Scoring for tumour cells was defined as TC0 (&lt; 1%), TC1 (≥ 1% and &lt; 5%), TC2 (≥ 5% and &lt; 50%), and TC3 (≥ 50%). Scoring for tumour-infiltrating immune cells was defined as IC0 (&lt; 1%), IC1 (≥ 1% and &lt; 5%), IC2 (≥ 5% and &lt; 10%) and IC3 (≥ 10%).</w:t>
      </w:r>
    </w:p>
    <w:p w14:paraId="493C16BB" w14:textId="77777777" w:rsidR="00A10D52" w:rsidRDefault="00366B5F" w:rsidP="00364F3A">
      <w:pPr>
        <w:pStyle w:val="Heading4"/>
        <w:rPr>
          <w:lang w:val="en-US"/>
        </w:rPr>
      </w:pPr>
      <w:r w:rsidRPr="0046175F">
        <w:rPr>
          <w:lang w:val="en-US"/>
        </w:rPr>
        <w:t>Immunogenicity</w:t>
      </w:r>
    </w:p>
    <w:p w14:paraId="17C65059" w14:textId="77777777" w:rsidR="00A10D52" w:rsidRPr="00A10D52" w:rsidRDefault="00A10D52" w:rsidP="00364F3A">
      <w:pPr>
        <w:pStyle w:val="Heading5"/>
        <w:rPr>
          <w:lang w:val="en-US"/>
        </w:rPr>
      </w:pPr>
      <w:r w:rsidRPr="00A10D52">
        <w:rPr>
          <w:lang w:val="en-US"/>
        </w:rPr>
        <w:t>GO29436 (IMpower150)</w:t>
      </w:r>
    </w:p>
    <w:p w14:paraId="6BA043D9" w14:textId="77777777" w:rsidR="00A10D52" w:rsidRDefault="00A10D52" w:rsidP="00364F3A">
      <w:pPr>
        <w:rPr>
          <w:lang w:val="en-US"/>
        </w:rPr>
      </w:pPr>
      <w:r>
        <w:rPr>
          <w:lang w:val="en-US"/>
        </w:rPr>
        <w:t>E</w:t>
      </w:r>
      <w:r w:rsidRPr="00A10D52">
        <w:rPr>
          <w:lang w:val="en-US"/>
        </w:rPr>
        <w:t xml:space="preserve">xploratory analyses showed that the subset of patients in the four drug regimen arm who were ADA positive by week 4 (30%) appeared to have similar efficacy (effect on overall survival) as compared to patients who tested negative for treatment-emergent ADA by week 4 (70%). In an exploratory analysis, propensity score matching was conducted to compare ADA positive patients in the </w:t>
      </w:r>
      <w:proofErr w:type="spellStart"/>
      <w:r w:rsidRPr="00A10D52">
        <w:rPr>
          <w:lang w:val="en-US"/>
        </w:rPr>
        <w:t>Tecentriq</w:t>
      </w:r>
      <w:proofErr w:type="spellEnd"/>
      <w:r w:rsidRPr="00A10D52">
        <w:rPr>
          <w:lang w:val="en-US"/>
        </w:rPr>
        <w:t xml:space="preserve">, bevacizumab, paclitaxel, and carboplatin arm with a matched population in the bevacizumab, paclitaxel, and carboplatin arm. Similarly ADA negative patients in the </w:t>
      </w:r>
      <w:proofErr w:type="spellStart"/>
      <w:r w:rsidRPr="00A10D52">
        <w:rPr>
          <w:lang w:val="en-US"/>
        </w:rPr>
        <w:t>Tecentriq</w:t>
      </w:r>
      <w:proofErr w:type="spellEnd"/>
      <w:r w:rsidRPr="00A10D52">
        <w:rPr>
          <w:lang w:val="en-US"/>
        </w:rPr>
        <w:t xml:space="preserve">, bevacizumab, paclitaxel, and carboplatin arm were compared with a matched population in the bevacizumab, paclitaxel, and carboplatin arm. Propensity score matching factors were: baseline sum of longest </w:t>
      </w:r>
      <w:proofErr w:type="spellStart"/>
      <w:r w:rsidRPr="00A10D52">
        <w:rPr>
          <w:lang w:val="en-US"/>
        </w:rPr>
        <w:t>tumour</w:t>
      </w:r>
      <w:proofErr w:type="spellEnd"/>
      <w:r w:rsidRPr="00A10D52">
        <w:rPr>
          <w:lang w:val="en-US"/>
        </w:rPr>
        <w:t xml:space="preserve"> size (BSLD), baseline ECOG, baseline albumin, baseline LDH, sex, tobacco history, metastatic site, TC level, and IC level. The hazard ratio comparing the ADA-positive subgroup with its matched control was 0.69 (95% CI: 0.44, 1.07). The hazard ratio comparing the ADA-negative subgroup with its matched control was 0.64 (95% CI: 0.46, 0.90).</w:t>
      </w:r>
    </w:p>
    <w:p w14:paraId="5436DF44" w14:textId="77777777" w:rsidR="00A10D52" w:rsidRDefault="00A10D52" w:rsidP="00364F3A">
      <w:pPr>
        <w:rPr>
          <w:lang w:val="en-US"/>
        </w:rPr>
      </w:pPr>
    </w:p>
    <w:p w14:paraId="05CD7C31" w14:textId="1669C9E6" w:rsidR="00FB35A5" w:rsidRPr="00C702C8" w:rsidRDefault="00FB35A5" w:rsidP="00A10D52">
      <w:pPr>
        <w:pStyle w:val="Heading5"/>
        <w:rPr>
          <w:lang w:val="en-US"/>
        </w:rPr>
      </w:pPr>
      <w:r w:rsidRPr="00C702C8">
        <w:rPr>
          <w:lang w:val="en-US"/>
        </w:rPr>
        <w:t>GO28915 (OAK)</w:t>
      </w:r>
    </w:p>
    <w:p w14:paraId="59F9C79E" w14:textId="7D6234FC" w:rsidR="00A10D52" w:rsidRPr="00A10D52" w:rsidRDefault="00845D90" w:rsidP="00A10D52">
      <w:pPr>
        <w:rPr>
          <w:lang w:val="en-US"/>
        </w:rPr>
      </w:pPr>
      <w:r w:rsidRPr="0046175F">
        <w:rPr>
          <w:lang w:val="en-US"/>
        </w:rPr>
        <w:t>Exploratory analyses showed that the subset of patients who were ADA positive by week 4 (21%</w:t>
      </w:r>
      <w:r w:rsidR="00FB35A5" w:rsidRPr="0046175F">
        <w:rPr>
          <w:lang w:val="en-US"/>
        </w:rPr>
        <w:t>; 118/560</w:t>
      </w:r>
      <w:r w:rsidRPr="0046175F">
        <w:rPr>
          <w:lang w:val="en-US"/>
        </w:rPr>
        <w:t xml:space="preserve">) appeared to have less efficacy (effect on overall survival) as compared to patients who tested negative for treatment-emergent ADA by week 4 (79%). ADA positive patients by week 4 appeared to have similar OS compared to docetaxel-treated patients. In an exploratory analysis, propensity score matching was conducted to compare ADA positive patients in the </w:t>
      </w:r>
      <w:proofErr w:type="spellStart"/>
      <w:r w:rsidR="00013B67">
        <w:rPr>
          <w:lang w:val="en-US"/>
        </w:rPr>
        <w:t>Tecentriq</w:t>
      </w:r>
      <w:proofErr w:type="spellEnd"/>
      <w:r w:rsidR="00013B67" w:rsidRPr="0046175F">
        <w:rPr>
          <w:lang w:val="en-US"/>
        </w:rPr>
        <w:t xml:space="preserve"> </w:t>
      </w:r>
      <w:r w:rsidRPr="0046175F">
        <w:rPr>
          <w:lang w:val="en-US"/>
        </w:rPr>
        <w:t xml:space="preserve">arm with a matched population in the docetaxel arm and ADA negative patients in the </w:t>
      </w:r>
      <w:proofErr w:type="spellStart"/>
      <w:r w:rsidR="00013B67">
        <w:rPr>
          <w:lang w:val="en-US"/>
        </w:rPr>
        <w:t>Tecentriq</w:t>
      </w:r>
      <w:proofErr w:type="spellEnd"/>
      <w:r w:rsidR="00013B67" w:rsidRPr="0046175F">
        <w:rPr>
          <w:lang w:val="en-US"/>
        </w:rPr>
        <w:t xml:space="preserve"> </w:t>
      </w:r>
      <w:r w:rsidRPr="0046175F">
        <w:rPr>
          <w:lang w:val="en-US"/>
        </w:rPr>
        <w:t xml:space="preserve">arm with a matched population in the docetaxel arm. Propensity score matching factors were: baseline sum of longest </w:t>
      </w:r>
      <w:proofErr w:type="spellStart"/>
      <w:r w:rsidRPr="0046175F">
        <w:rPr>
          <w:lang w:val="en-US"/>
        </w:rPr>
        <w:t>tumo</w:t>
      </w:r>
      <w:r w:rsidR="00FA1CF6">
        <w:rPr>
          <w:lang w:val="en-US"/>
        </w:rPr>
        <w:t>u</w:t>
      </w:r>
      <w:r w:rsidRPr="0046175F">
        <w:rPr>
          <w:lang w:val="en-US"/>
        </w:rPr>
        <w:t>r</w:t>
      </w:r>
      <w:proofErr w:type="spellEnd"/>
      <w:r w:rsidRPr="0046175F">
        <w:rPr>
          <w:lang w:val="en-US"/>
        </w:rPr>
        <w:t xml:space="preserve"> size (BSLD), baseline ECOG, histology (squamous vs. non-squamous), baseline albumin, baseline LDH, gender, tobacco history, metastases status (advanced or local), metastatic site, TC level, and IC level. The hazard ratio comparing the ADA positive subgroup with its matched control was 0.89 (95% CI: 0.61, 1.3). The hazard ratio comparing the ADA negative subgroup with its matched control was 0.68 (95% CI: 0.55, 0.83).</w:t>
      </w:r>
      <w:r w:rsidR="00FB35A5" w:rsidRPr="0046175F">
        <w:rPr>
          <w:lang w:val="en-US"/>
        </w:rPr>
        <w:t xml:space="preserve"> </w:t>
      </w:r>
    </w:p>
    <w:p w14:paraId="15AC7F98" w14:textId="061E9826" w:rsidR="008F6CF6" w:rsidRPr="0046175F" w:rsidRDefault="00C86737" w:rsidP="00550342">
      <w:pPr>
        <w:pStyle w:val="Heading2"/>
        <w:rPr>
          <w:lang w:val="en-GB"/>
        </w:rPr>
      </w:pPr>
      <w:r w:rsidRPr="0046175F">
        <w:rPr>
          <w:lang w:val="en-GB"/>
        </w:rPr>
        <w:t>5.2</w:t>
      </w:r>
      <w:r w:rsidRPr="0046175F">
        <w:rPr>
          <w:lang w:val="en-GB"/>
        </w:rPr>
        <w:tab/>
        <w:t xml:space="preserve">Pharmacokinetic properties </w:t>
      </w:r>
    </w:p>
    <w:p w14:paraId="3B97C1FF" w14:textId="4F7B0BC5" w:rsidR="00822EEB" w:rsidRPr="0046175F" w:rsidRDefault="00822EEB" w:rsidP="00CD75CF">
      <w:r w:rsidRPr="0046175F">
        <w:t xml:space="preserve">The pharmacokinetics of </w:t>
      </w:r>
      <w:proofErr w:type="spellStart"/>
      <w:r w:rsidRPr="0046175F">
        <w:t>atezolizumab</w:t>
      </w:r>
      <w:proofErr w:type="spellEnd"/>
      <w:r w:rsidRPr="0046175F">
        <w:t xml:space="preserve"> </w:t>
      </w:r>
      <w:r w:rsidR="00FA1CF6">
        <w:t>have</w:t>
      </w:r>
      <w:r w:rsidR="00FA1CF6" w:rsidRPr="0046175F">
        <w:t xml:space="preserve"> </w:t>
      </w:r>
      <w:r w:rsidRPr="0046175F">
        <w:t xml:space="preserve">been characterised in patients in multiple clinical trials at doses 0.01 mg/kg to 20 mg/kg every 3 weeks including the fixed dose </w:t>
      </w:r>
      <w:r w:rsidR="00F0022C">
        <w:t xml:space="preserve">of </w:t>
      </w:r>
      <w:r w:rsidRPr="0046175F">
        <w:t xml:space="preserve">1200 mg. Exposure to </w:t>
      </w:r>
      <w:proofErr w:type="spellStart"/>
      <w:r w:rsidRPr="0046175F">
        <w:t>atezolizumab</w:t>
      </w:r>
      <w:proofErr w:type="spellEnd"/>
      <w:r w:rsidRPr="0046175F">
        <w:t xml:space="preserve"> increased dose proportionally over the dose range </w:t>
      </w:r>
      <w:r w:rsidR="00FA1CF6">
        <w:t xml:space="preserve">of </w:t>
      </w:r>
      <w:r w:rsidRPr="0046175F">
        <w:t xml:space="preserve">1 mg/kg to 20 mg/kg. A population analysis that included 472 patients described </w:t>
      </w:r>
      <w:proofErr w:type="spellStart"/>
      <w:r w:rsidRPr="0046175F">
        <w:t>atezolizumab</w:t>
      </w:r>
      <w:proofErr w:type="spellEnd"/>
      <w:r w:rsidRPr="0046175F">
        <w:t xml:space="preserve"> pharmacokinetics for the dose range 1 - 20 mg/kg with a linear two-compartment disposition model with first-order elimination. </w:t>
      </w:r>
      <w:r w:rsidR="0095511D" w:rsidRPr="0095511D">
        <w:rPr>
          <w:lang w:val="en-US"/>
        </w:rPr>
        <w:t xml:space="preserve">The pharmacokinetic properties of </w:t>
      </w:r>
      <w:proofErr w:type="spellStart"/>
      <w:r w:rsidR="0095511D" w:rsidRPr="0095511D">
        <w:rPr>
          <w:lang w:val="en-US"/>
        </w:rPr>
        <w:t>atezolizumab</w:t>
      </w:r>
      <w:proofErr w:type="spellEnd"/>
      <w:r w:rsidR="0095511D" w:rsidRPr="0095511D">
        <w:rPr>
          <w:lang w:val="en-US"/>
        </w:rPr>
        <w:t xml:space="preserve"> 840 mg administered every 2 weeks and 1200 mg administered every 3 weeks, are comparable</w:t>
      </w:r>
      <w:r w:rsidR="0095511D">
        <w:t>.</w:t>
      </w:r>
      <w:r w:rsidRPr="0046175F">
        <w:t xml:space="preserve">A population pharmacokinetic analysis suggests that steady-state is obtained after </w:t>
      </w:r>
      <w:r w:rsidR="0095511D">
        <w:t>multiple doses</w:t>
      </w:r>
      <w:r w:rsidRPr="0046175F">
        <w:t xml:space="preserve">. The </w:t>
      </w:r>
      <w:r w:rsidR="00F0022C">
        <w:t xml:space="preserve">maximum </w:t>
      </w:r>
      <w:r w:rsidRPr="0046175F">
        <w:t>systemic accumulation in area under the curve (AUC), maximum concentration (</w:t>
      </w:r>
      <w:proofErr w:type="spellStart"/>
      <w:r w:rsidRPr="0046175F">
        <w:t>C</w:t>
      </w:r>
      <w:r w:rsidRPr="0046175F">
        <w:rPr>
          <w:vertAlign w:val="subscript"/>
        </w:rPr>
        <w:t>max</w:t>
      </w:r>
      <w:proofErr w:type="spellEnd"/>
      <w:r w:rsidRPr="0046175F">
        <w:t>) and trough concentration (</w:t>
      </w:r>
      <w:proofErr w:type="spellStart"/>
      <w:r w:rsidRPr="0046175F">
        <w:t>C</w:t>
      </w:r>
      <w:r w:rsidRPr="0046175F">
        <w:rPr>
          <w:vertAlign w:val="subscript"/>
        </w:rPr>
        <w:t>min</w:t>
      </w:r>
      <w:proofErr w:type="spellEnd"/>
      <w:r w:rsidRPr="0046175F">
        <w:t xml:space="preserve">) </w:t>
      </w:r>
      <w:r w:rsidR="00F0022C">
        <w:t>are</w:t>
      </w:r>
      <w:r w:rsidR="00F0022C" w:rsidRPr="0046175F">
        <w:t xml:space="preserve"> </w:t>
      </w:r>
      <w:r w:rsidR="00F0022C">
        <w:t>2.54</w:t>
      </w:r>
      <w:r w:rsidRPr="0046175F">
        <w:t xml:space="preserve">, </w:t>
      </w:r>
      <w:r w:rsidR="00F0022C">
        <w:t xml:space="preserve">1.84 </w:t>
      </w:r>
      <w:r w:rsidRPr="0046175F">
        <w:t xml:space="preserve">and </w:t>
      </w:r>
      <w:r w:rsidR="00F0022C">
        <w:t>3.05</w:t>
      </w:r>
      <w:r w:rsidRPr="0046175F">
        <w:t xml:space="preserve">-fold, respectively. </w:t>
      </w:r>
    </w:p>
    <w:p w14:paraId="47FA34BE" w14:textId="77777777" w:rsidR="00822EEB" w:rsidRPr="0046175F" w:rsidRDefault="00822EEB" w:rsidP="00CD75CF"/>
    <w:p w14:paraId="64C64672" w14:textId="6F1C9E82" w:rsidR="00822EEB" w:rsidRPr="0046175F" w:rsidRDefault="00822EEB" w:rsidP="00CD75CF">
      <w:r w:rsidRPr="0046175F">
        <w:lastRenderedPageBreak/>
        <w:t>Based on analyses of population pharmacokinetics and exposure-safety and -efficacy relationships, the following factors have no clinically relevant effect: age (21 - 89 years), body weight, gender, albumin levels, tumour burden, region or ethnicity, renal impairment, mild hepatic impairment, level of PD-L1 expression, or Eastern Cooperative Oncology Group (ECOG) status. No dose adjustments are recommended.</w:t>
      </w:r>
    </w:p>
    <w:p w14:paraId="15A7AE7B" w14:textId="77777777" w:rsidR="008F6CF6" w:rsidRPr="0046175F" w:rsidRDefault="008F6CF6" w:rsidP="00550342">
      <w:pPr>
        <w:pStyle w:val="Heading3"/>
        <w:rPr>
          <w:lang w:val="en-GB"/>
        </w:rPr>
      </w:pPr>
      <w:r w:rsidRPr="0046175F">
        <w:rPr>
          <w:lang w:val="en-GB"/>
        </w:rPr>
        <w:t>Absorption</w:t>
      </w:r>
    </w:p>
    <w:p w14:paraId="6648C9A9" w14:textId="77777777" w:rsidR="00822EEB" w:rsidRPr="0046175F" w:rsidRDefault="00822EEB" w:rsidP="00CD75CF">
      <w:proofErr w:type="spellStart"/>
      <w:r w:rsidRPr="0046175F">
        <w:t>Tecentriq</w:t>
      </w:r>
      <w:proofErr w:type="spellEnd"/>
      <w:r w:rsidRPr="0046175F">
        <w:t xml:space="preserve"> is administered as an intravenous (IV) infusion. There have been no studies performed with other routes of administration. </w:t>
      </w:r>
    </w:p>
    <w:p w14:paraId="5CDD6A5E" w14:textId="77777777" w:rsidR="008F6CF6" w:rsidRPr="0046175F" w:rsidRDefault="008F6CF6" w:rsidP="00550342">
      <w:pPr>
        <w:pStyle w:val="Heading3"/>
        <w:rPr>
          <w:lang w:val="en-GB"/>
        </w:rPr>
      </w:pPr>
      <w:r w:rsidRPr="0046175F">
        <w:rPr>
          <w:lang w:val="en-GB"/>
        </w:rPr>
        <w:t>Distribution</w:t>
      </w:r>
    </w:p>
    <w:p w14:paraId="61456132" w14:textId="77777777" w:rsidR="00822EEB" w:rsidRPr="0046175F" w:rsidRDefault="00822EEB" w:rsidP="00CD75CF">
      <w:r w:rsidRPr="0046175F">
        <w:t>A population pharmacokinetic analysis indicates that central compartment volume of distribution (V</w:t>
      </w:r>
      <w:r w:rsidRPr="0046175F">
        <w:rPr>
          <w:vertAlign w:val="subscript"/>
        </w:rPr>
        <w:t>1</w:t>
      </w:r>
      <w:r w:rsidRPr="0046175F">
        <w:t>) is 3.28 L and volume at steady-state (</w:t>
      </w:r>
      <w:proofErr w:type="spellStart"/>
      <w:r w:rsidRPr="0046175F">
        <w:t>V</w:t>
      </w:r>
      <w:r w:rsidRPr="0046175F">
        <w:rPr>
          <w:vertAlign w:val="subscript"/>
        </w:rPr>
        <w:t>ss</w:t>
      </w:r>
      <w:proofErr w:type="spellEnd"/>
      <w:r w:rsidRPr="0046175F">
        <w:t>) is 6.91 L in the typical patient.</w:t>
      </w:r>
    </w:p>
    <w:p w14:paraId="35466F24" w14:textId="77777777" w:rsidR="008F6CF6" w:rsidRPr="0046175F" w:rsidRDefault="008F6CF6" w:rsidP="00550342">
      <w:pPr>
        <w:pStyle w:val="Heading3"/>
        <w:rPr>
          <w:lang w:val="en-GB"/>
        </w:rPr>
      </w:pPr>
      <w:r w:rsidRPr="0046175F">
        <w:rPr>
          <w:lang w:val="en-GB"/>
        </w:rPr>
        <w:t>Metabolism</w:t>
      </w:r>
    </w:p>
    <w:p w14:paraId="4FF8E6E5" w14:textId="77777777" w:rsidR="00822EEB" w:rsidRPr="0046175F" w:rsidRDefault="00822EEB" w:rsidP="00CD75CF">
      <w:r w:rsidRPr="0046175F">
        <w:t xml:space="preserve">The metabolism of </w:t>
      </w:r>
      <w:proofErr w:type="spellStart"/>
      <w:r w:rsidRPr="0046175F">
        <w:t>atezolizumab</w:t>
      </w:r>
      <w:proofErr w:type="spellEnd"/>
      <w:r w:rsidRPr="0046175F">
        <w:t xml:space="preserve"> has not been directly studied. Antibodies are cleared principally by catabolism.</w:t>
      </w:r>
    </w:p>
    <w:p w14:paraId="6A228D7E" w14:textId="77777777" w:rsidR="008F6CF6" w:rsidRPr="0046175F" w:rsidRDefault="008F6CF6" w:rsidP="00550342">
      <w:pPr>
        <w:pStyle w:val="Heading3"/>
        <w:rPr>
          <w:lang w:val="en-GB"/>
        </w:rPr>
      </w:pPr>
      <w:r w:rsidRPr="0046175F">
        <w:rPr>
          <w:lang w:val="en-GB"/>
        </w:rPr>
        <w:t>Excretion</w:t>
      </w:r>
    </w:p>
    <w:p w14:paraId="2D3E9E28" w14:textId="77777777" w:rsidR="00822EEB" w:rsidRPr="0046175F" w:rsidRDefault="00822EEB" w:rsidP="00CD75CF">
      <w:r w:rsidRPr="0046175F">
        <w:t xml:space="preserve">A population pharmacokinetic analysis indicates that the clearance of </w:t>
      </w:r>
      <w:proofErr w:type="spellStart"/>
      <w:r w:rsidRPr="0046175F">
        <w:t>atezolizumab</w:t>
      </w:r>
      <w:proofErr w:type="spellEnd"/>
      <w:r w:rsidRPr="0046175F">
        <w:t xml:space="preserve"> is 0.200 L/day and the typical terminal elimination half-life (t</w:t>
      </w:r>
      <w:r w:rsidRPr="0046175F">
        <w:rPr>
          <w:vertAlign w:val="subscript"/>
        </w:rPr>
        <w:t>1/2</w:t>
      </w:r>
      <w:r w:rsidRPr="0046175F">
        <w:t>) is 27 days.</w:t>
      </w:r>
    </w:p>
    <w:p w14:paraId="0E7E948A" w14:textId="77777777" w:rsidR="00366B5F" w:rsidRPr="0046175F" w:rsidRDefault="00366B5F" w:rsidP="00550342">
      <w:pPr>
        <w:pStyle w:val="Heading3"/>
      </w:pPr>
      <w:r w:rsidRPr="0046175F">
        <w:t xml:space="preserve">Pharmacokinetics in Special Populations </w:t>
      </w:r>
    </w:p>
    <w:p w14:paraId="3CF26303" w14:textId="77777777" w:rsidR="00DE3BB9" w:rsidRPr="0046175F" w:rsidRDefault="00DE3BB9" w:rsidP="00DE3BB9">
      <w:pPr>
        <w:pStyle w:val="Heading4"/>
      </w:pPr>
      <w:r w:rsidRPr="0046175F">
        <w:t xml:space="preserve">Hepatic impairment </w:t>
      </w:r>
    </w:p>
    <w:p w14:paraId="1973132A" w14:textId="308D340A" w:rsidR="00933CDC" w:rsidRPr="00251F85" w:rsidRDefault="00DE3BB9" w:rsidP="00933CDC">
      <w:pPr>
        <w:numPr>
          <w:ilvl w:val="12"/>
          <w:numId w:val="0"/>
        </w:numPr>
        <w:ind w:right="-2"/>
        <w:rPr>
          <w:lang w:val="en-GB"/>
        </w:rPr>
      </w:pPr>
      <w:r w:rsidRPr="0046175F">
        <w:t xml:space="preserve">No dedicated studies of </w:t>
      </w:r>
      <w:proofErr w:type="spellStart"/>
      <w:r w:rsidRPr="0046175F">
        <w:t>Tecentriq</w:t>
      </w:r>
      <w:proofErr w:type="spellEnd"/>
      <w:r w:rsidRPr="0046175F">
        <w:t xml:space="preserve"> have been conducted in patients with hepatic impairment. In the population pharmacokinetic analysis, there were no clinically important differences in the clearance of </w:t>
      </w:r>
      <w:proofErr w:type="spellStart"/>
      <w:r w:rsidRPr="0046175F">
        <w:t>atezolizumab</w:t>
      </w:r>
      <w:proofErr w:type="spellEnd"/>
      <w:r w:rsidRPr="0046175F">
        <w:t xml:space="preserve"> between patients with mild hepatic impairment (bilirubin ≤ ULN and AST &gt; ULN or bilirubin &gt; 1.0 to 1.5 X ULN and any AST, n = 71) and normal hepatic function (bilirubin and AST ≤ ULN, n = 401). No data are available in patients with either moderate (bilirubin</w:t>
      </w:r>
      <w:r w:rsidRPr="0046175F">
        <w:rPr>
          <w:rFonts w:cs="Arial"/>
          <w:sz w:val="11"/>
        </w:rPr>
        <w:t> </w:t>
      </w:r>
      <w:r w:rsidRPr="0046175F">
        <w:rPr>
          <w:rFonts w:cs="Arial"/>
        </w:rPr>
        <w:sym w:font="Symbol" w:char="F03E"/>
      </w:r>
      <w:r w:rsidRPr="0046175F">
        <w:rPr>
          <w:rFonts w:cs="Arial"/>
          <w:sz w:val="11"/>
        </w:rPr>
        <w:t> </w:t>
      </w:r>
      <w:r w:rsidRPr="0046175F">
        <w:t>1.5 to 3.0 </w:t>
      </w:r>
      <w:r w:rsidRPr="0046175F">
        <w:rPr>
          <w:rFonts w:ascii="Symbol" w:hAnsi="Symbol"/>
        </w:rPr>
        <w:t></w:t>
      </w:r>
      <w:r w:rsidRPr="0046175F">
        <w:t> ULN and any AST) or severe (bilirubin</w:t>
      </w:r>
      <w:r w:rsidRPr="0046175F">
        <w:rPr>
          <w:rFonts w:cs="Arial"/>
          <w:sz w:val="11"/>
        </w:rPr>
        <w:t> </w:t>
      </w:r>
      <w:r w:rsidRPr="0046175F">
        <w:rPr>
          <w:rFonts w:cs="Arial"/>
        </w:rPr>
        <w:sym w:font="Symbol" w:char="F03E"/>
      </w:r>
      <w:r w:rsidRPr="0046175F">
        <w:rPr>
          <w:rFonts w:cs="Arial"/>
          <w:sz w:val="11"/>
        </w:rPr>
        <w:t> </w:t>
      </w:r>
      <w:r w:rsidRPr="0046175F">
        <w:t>3.0 </w:t>
      </w:r>
      <w:r w:rsidRPr="0046175F">
        <w:rPr>
          <w:rFonts w:ascii="Symbol" w:hAnsi="Symbol"/>
        </w:rPr>
        <w:t></w:t>
      </w:r>
      <w:r w:rsidRPr="0046175F">
        <w:t xml:space="preserve"> ULN and any AST) hepatic impairment. Hepatic impairment was defined by the National Cancer Institute (NCI) criteria of hepatic dysfunction (see </w:t>
      </w:r>
      <w:r w:rsidR="0050482B" w:rsidRPr="0046175F">
        <w:t xml:space="preserve">section </w:t>
      </w:r>
      <w:r w:rsidR="0050482B" w:rsidRPr="0046175F">
        <w:rPr>
          <w:i/>
        </w:rPr>
        <w:t>4.2</w:t>
      </w:r>
      <w:r w:rsidR="00566E29" w:rsidRPr="0046175F">
        <w:rPr>
          <w:i/>
        </w:rPr>
        <w:t xml:space="preserve"> Dose and method of </w:t>
      </w:r>
      <w:r w:rsidR="008B0ADF">
        <w:rPr>
          <w:i/>
        </w:rPr>
        <w:t>administration</w:t>
      </w:r>
      <w:r w:rsidR="008B0ADF">
        <w:t>).</w:t>
      </w:r>
      <w:r w:rsidRPr="0046175F">
        <w:t>).</w:t>
      </w:r>
      <w:r w:rsidR="00933CDC" w:rsidRPr="00933CDC">
        <w:rPr>
          <w:lang w:val="en-GB"/>
        </w:rPr>
        <w:t xml:space="preserve"> </w:t>
      </w:r>
      <w:r w:rsidR="00933CDC" w:rsidRPr="00251F85">
        <w:rPr>
          <w:lang w:val="en-GB"/>
        </w:rPr>
        <w:t xml:space="preserve">The effect of moderate or severe hepatic impairment (bilirubin &gt; 1.5 × to 3 × ULN and any AST or bilirubin &gt; 3 × ULN and any AST) on the pharmacokinetics of </w:t>
      </w:r>
      <w:proofErr w:type="spellStart"/>
      <w:r w:rsidR="00933CDC" w:rsidRPr="00251F85">
        <w:rPr>
          <w:lang w:val="en-GB"/>
        </w:rPr>
        <w:t>atezolizumab</w:t>
      </w:r>
      <w:proofErr w:type="spellEnd"/>
      <w:r w:rsidR="00933CDC" w:rsidRPr="00251F85">
        <w:rPr>
          <w:lang w:val="en-GB"/>
        </w:rPr>
        <w:t xml:space="preserve"> is unknown.</w:t>
      </w:r>
    </w:p>
    <w:p w14:paraId="39CD4BA6" w14:textId="6BA11097" w:rsidR="00DE3BB9" w:rsidRPr="0046175F" w:rsidRDefault="00DE3BB9" w:rsidP="00DE3BB9">
      <w:pPr>
        <w:rPr>
          <w:color w:val="000000"/>
          <w:lang w:val="en-GB"/>
        </w:rPr>
      </w:pPr>
    </w:p>
    <w:p w14:paraId="13DBE5D1" w14:textId="77777777" w:rsidR="00DE3BB9" w:rsidRPr="0046175F" w:rsidRDefault="00DE3BB9" w:rsidP="00DE3BB9">
      <w:pPr>
        <w:pStyle w:val="Heading4"/>
      </w:pPr>
      <w:r w:rsidRPr="0046175F">
        <w:t xml:space="preserve">Renal impairment </w:t>
      </w:r>
    </w:p>
    <w:p w14:paraId="450C47CB" w14:textId="0DEFAAE8" w:rsidR="006E2CFA" w:rsidRPr="00251F85" w:rsidRDefault="00DE3BB9" w:rsidP="006E2CFA">
      <w:pPr>
        <w:rPr>
          <w:lang w:val="en-GB"/>
        </w:rPr>
      </w:pPr>
      <w:r w:rsidRPr="0046175F">
        <w:t xml:space="preserve">No dedicated studies of </w:t>
      </w:r>
      <w:proofErr w:type="spellStart"/>
      <w:r w:rsidRPr="0046175F">
        <w:t>Tecentriq</w:t>
      </w:r>
      <w:proofErr w:type="spellEnd"/>
      <w:r w:rsidRPr="0046175F">
        <w:t xml:space="preserve"> have been conducted in patients with renal impairment.  In the population pharmacokinetic analysis, no clinically important differences in the clearance of </w:t>
      </w:r>
      <w:proofErr w:type="spellStart"/>
      <w:r w:rsidRPr="0046175F">
        <w:t>atezolizumab</w:t>
      </w:r>
      <w:proofErr w:type="spellEnd"/>
      <w:r w:rsidRPr="0046175F">
        <w:t xml:space="preserve"> were found in patients with mild (</w:t>
      </w:r>
      <w:proofErr w:type="spellStart"/>
      <w:r w:rsidRPr="0046175F">
        <w:t>eGFR</w:t>
      </w:r>
      <w:proofErr w:type="spellEnd"/>
      <w:r w:rsidRPr="0046175F">
        <w:t xml:space="preserve"> 60 to 89 mL/min/1.73 m</w:t>
      </w:r>
      <w:r w:rsidRPr="0046175F">
        <w:rPr>
          <w:vertAlign w:val="superscript"/>
        </w:rPr>
        <w:t>2</w:t>
      </w:r>
      <w:r w:rsidRPr="0046175F">
        <w:t>; n = 208) or moderate (</w:t>
      </w:r>
      <w:proofErr w:type="spellStart"/>
      <w:r w:rsidRPr="0046175F">
        <w:t>eGFR</w:t>
      </w:r>
      <w:proofErr w:type="spellEnd"/>
      <w:r w:rsidRPr="0046175F">
        <w:t xml:space="preserve"> 30 to 59 mL/min/1.73 m2; n = 116) renal impairment compared to patients with normal (</w:t>
      </w:r>
      <w:proofErr w:type="spellStart"/>
      <w:r w:rsidRPr="0046175F">
        <w:t>eGFR</w:t>
      </w:r>
      <w:proofErr w:type="spellEnd"/>
      <w:r w:rsidRPr="0046175F">
        <w:t xml:space="preserve"> greater than or equal to 90 mL/min/1.73 m</w:t>
      </w:r>
      <w:r w:rsidRPr="0046175F">
        <w:rPr>
          <w:vertAlign w:val="superscript"/>
        </w:rPr>
        <w:t>2</w:t>
      </w:r>
      <w:r w:rsidRPr="0046175F">
        <w:t>; n = 140) renal function.  Only a few patients had severe renal impairment (</w:t>
      </w:r>
      <w:proofErr w:type="spellStart"/>
      <w:r w:rsidRPr="0046175F">
        <w:t>eGFR</w:t>
      </w:r>
      <w:proofErr w:type="spellEnd"/>
      <w:r w:rsidRPr="0046175F">
        <w:t xml:space="preserve"> 15 to 29 mL/min/1.73 m</w:t>
      </w:r>
      <w:r w:rsidRPr="0046175F">
        <w:rPr>
          <w:vertAlign w:val="superscript"/>
        </w:rPr>
        <w:t>2</w:t>
      </w:r>
      <w:r w:rsidRPr="0046175F">
        <w:t xml:space="preserve">; n = 8) </w:t>
      </w:r>
      <w:r w:rsidR="0050482B" w:rsidRPr="0046175F">
        <w:t xml:space="preserve">(see section </w:t>
      </w:r>
      <w:r w:rsidR="0050482B" w:rsidRPr="0046175F">
        <w:rPr>
          <w:i/>
        </w:rPr>
        <w:t>4.2</w:t>
      </w:r>
      <w:r w:rsidR="00566E29" w:rsidRPr="0046175F">
        <w:rPr>
          <w:i/>
        </w:rPr>
        <w:t xml:space="preserve"> Dose and method of </w:t>
      </w:r>
      <w:proofErr w:type="spellStart"/>
      <w:r w:rsidR="00566E29" w:rsidRPr="0046175F">
        <w:rPr>
          <w:i/>
        </w:rPr>
        <w:t>a</w:t>
      </w:r>
      <w:proofErr w:type="spellEnd"/>
      <w:r w:rsidR="002241A9" w:rsidRPr="002241A9">
        <w:rPr>
          <w:i/>
        </w:rPr>
        <w:t xml:space="preserve"> </w:t>
      </w:r>
      <w:r w:rsidR="002241A9">
        <w:rPr>
          <w:i/>
        </w:rPr>
        <w:t>administration</w:t>
      </w:r>
      <w:r w:rsidR="0050482B" w:rsidRPr="0046175F">
        <w:t>)</w:t>
      </w:r>
      <w:r w:rsidRPr="0046175F">
        <w:t xml:space="preserve">. </w:t>
      </w:r>
      <w:r w:rsidR="006E2CFA" w:rsidRPr="00251F85">
        <w:rPr>
          <w:lang w:val="en-GB"/>
        </w:rPr>
        <w:t xml:space="preserve">The effect of severe renal impairment on the pharmacokinetics of </w:t>
      </w:r>
      <w:proofErr w:type="spellStart"/>
      <w:r w:rsidR="006E2CFA" w:rsidRPr="00251F85">
        <w:rPr>
          <w:lang w:val="en-GB"/>
        </w:rPr>
        <w:t>atezolizumab</w:t>
      </w:r>
      <w:proofErr w:type="spellEnd"/>
      <w:r w:rsidR="006E2CFA" w:rsidRPr="00251F85">
        <w:rPr>
          <w:lang w:val="en-GB"/>
        </w:rPr>
        <w:t xml:space="preserve"> is unknown.</w:t>
      </w:r>
      <w:r w:rsidR="006E2CFA">
        <w:rPr>
          <w:lang w:val="en-GB"/>
        </w:rPr>
        <w:t xml:space="preserve"> </w:t>
      </w:r>
    </w:p>
    <w:p w14:paraId="33157FF5" w14:textId="5F61D9A9" w:rsidR="00F9510D" w:rsidRPr="00EF0818" w:rsidRDefault="00F9510D" w:rsidP="00DE3BB9">
      <w:pPr>
        <w:rPr>
          <w:lang w:val="en-GB"/>
        </w:rPr>
      </w:pPr>
    </w:p>
    <w:p w14:paraId="22ECA89C" w14:textId="3C112A05" w:rsidR="00DE3BB9" w:rsidRPr="0046175F" w:rsidRDefault="000A606B" w:rsidP="00DE3BB9">
      <w:pPr>
        <w:pStyle w:val="Heading4"/>
      </w:pPr>
      <w:r w:rsidRPr="0046175F">
        <w:lastRenderedPageBreak/>
        <w:t>E</w:t>
      </w:r>
      <w:r w:rsidR="00DE3BB9" w:rsidRPr="0046175F">
        <w:t xml:space="preserve">lderly </w:t>
      </w:r>
    </w:p>
    <w:p w14:paraId="6C0D2955" w14:textId="02AA80A1" w:rsidR="00DE3BB9" w:rsidRPr="0046175F" w:rsidRDefault="00DE3BB9" w:rsidP="00DE3BB9">
      <w:r w:rsidRPr="0046175F">
        <w:t xml:space="preserve">No dedicated studies of </w:t>
      </w:r>
      <w:proofErr w:type="spellStart"/>
      <w:r w:rsidRPr="0046175F">
        <w:t>Tecentriq</w:t>
      </w:r>
      <w:proofErr w:type="spellEnd"/>
      <w:r w:rsidRPr="0046175F">
        <w:t xml:space="preserve"> have been conducted in elderly patients. The effect of age on the pharmacokinetics of </w:t>
      </w:r>
      <w:proofErr w:type="spellStart"/>
      <w:r w:rsidRPr="0046175F">
        <w:t>atezolizumab</w:t>
      </w:r>
      <w:proofErr w:type="spellEnd"/>
      <w:r w:rsidRPr="0046175F">
        <w:t xml:space="preserve"> was assessed in a population pharmacokinetic analysis. Age was not identified as a significant covariate influencing </w:t>
      </w:r>
      <w:proofErr w:type="spellStart"/>
      <w:r w:rsidRPr="0046175F">
        <w:t>atezolizumab</w:t>
      </w:r>
      <w:proofErr w:type="spellEnd"/>
      <w:r w:rsidRPr="0046175F">
        <w:t xml:space="preserve"> pharmacokinetics based on patients of age range of 21 - 89 years (n = 472), and median of 62 years of age.  No clinically important difference was observed in the pharmacokinetics of </w:t>
      </w:r>
      <w:proofErr w:type="spellStart"/>
      <w:r w:rsidRPr="0046175F">
        <w:t>atezolizumab</w:t>
      </w:r>
      <w:proofErr w:type="spellEnd"/>
      <w:r w:rsidRPr="0046175F">
        <w:t xml:space="preserve"> among patients &lt; 65 years (n = 274), patients between 65 - 75 years (n = 152) and patients &gt; 75 years (n = 46) </w:t>
      </w:r>
      <w:r w:rsidR="0050482B" w:rsidRPr="0046175F">
        <w:t xml:space="preserve">(see section </w:t>
      </w:r>
      <w:r w:rsidR="0050482B" w:rsidRPr="0046175F">
        <w:rPr>
          <w:i/>
        </w:rPr>
        <w:t>4.2</w:t>
      </w:r>
      <w:r w:rsidR="00566E29" w:rsidRPr="0046175F">
        <w:rPr>
          <w:i/>
        </w:rPr>
        <w:t xml:space="preserve"> Dose and method of administration</w:t>
      </w:r>
      <w:r w:rsidR="0050482B" w:rsidRPr="0046175F">
        <w:t>)</w:t>
      </w:r>
      <w:r w:rsidRPr="0046175F">
        <w:t xml:space="preserve">. </w:t>
      </w:r>
    </w:p>
    <w:p w14:paraId="29152490" w14:textId="20FD7A0C" w:rsidR="00366B5F" w:rsidRPr="0046175F" w:rsidRDefault="000A606B" w:rsidP="00550342">
      <w:pPr>
        <w:pStyle w:val="Heading4"/>
      </w:pPr>
      <w:r w:rsidRPr="0046175F">
        <w:t>Children</w:t>
      </w:r>
    </w:p>
    <w:p w14:paraId="2B287C29" w14:textId="77777777" w:rsidR="00366B5F" w:rsidRPr="0046175F" w:rsidRDefault="00366B5F" w:rsidP="00CD75CF">
      <w:r w:rsidRPr="0046175F">
        <w:t xml:space="preserve">No studies have been conducted to investigate the pharmacokinetics of </w:t>
      </w:r>
      <w:proofErr w:type="spellStart"/>
      <w:r w:rsidRPr="0046175F">
        <w:t>Tecentriq</w:t>
      </w:r>
      <w:proofErr w:type="spellEnd"/>
      <w:r w:rsidRPr="0046175F">
        <w:t xml:space="preserve"> in children.</w:t>
      </w:r>
    </w:p>
    <w:p w14:paraId="4A9B1DAC" w14:textId="77777777" w:rsidR="008F6CF6" w:rsidRPr="0046175F" w:rsidRDefault="008F6CF6" w:rsidP="00550342">
      <w:pPr>
        <w:pStyle w:val="Heading2"/>
        <w:rPr>
          <w:lang w:val="en-GB"/>
        </w:rPr>
      </w:pPr>
      <w:r w:rsidRPr="0046175F">
        <w:rPr>
          <w:lang w:val="en-GB"/>
        </w:rPr>
        <w:t>5.3</w:t>
      </w:r>
      <w:r w:rsidRPr="0046175F">
        <w:rPr>
          <w:lang w:val="en-GB"/>
        </w:rPr>
        <w:tab/>
        <w:t>PRECLINICAL SAFETY DATA</w:t>
      </w:r>
    </w:p>
    <w:p w14:paraId="3BCE35D6" w14:textId="77777777" w:rsidR="008F6CF6" w:rsidRPr="0046175F" w:rsidRDefault="008F6CF6" w:rsidP="00550342">
      <w:pPr>
        <w:pStyle w:val="Heading3"/>
        <w:rPr>
          <w:lang w:val="en-GB"/>
        </w:rPr>
      </w:pPr>
      <w:proofErr w:type="spellStart"/>
      <w:r w:rsidRPr="0046175F">
        <w:rPr>
          <w:lang w:val="en-GB"/>
        </w:rPr>
        <w:t>Genotoxicity</w:t>
      </w:r>
      <w:proofErr w:type="spellEnd"/>
    </w:p>
    <w:p w14:paraId="382554B9" w14:textId="77777777" w:rsidR="00822EEB" w:rsidRPr="0046175F" w:rsidRDefault="00822EEB" w:rsidP="00CD75CF">
      <w:r w:rsidRPr="0046175F">
        <w:t xml:space="preserve">No </w:t>
      </w:r>
      <w:proofErr w:type="spellStart"/>
      <w:r w:rsidRPr="0046175F">
        <w:t>genotoxicity</w:t>
      </w:r>
      <w:proofErr w:type="spellEnd"/>
      <w:r w:rsidRPr="0046175F">
        <w:t xml:space="preserve"> studies have been conducted with </w:t>
      </w:r>
      <w:proofErr w:type="spellStart"/>
      <w:r w:rsidRPr="0046175F">
        <w:t>atezolizumab</w:t>
      </w:r>
      <w:proofErr w:type="spellEnd"/>
      <w:r w:rsidRPr="0046175F">
        <w:t>.</w:t>
      </w:r>
    </w:p>
    <w:p w14:paraId="70F43139" w14:textId="77777777" w:rsidR="008F6CF6" w:rsidRPr="0046175F" w:rsidRDefault="008F6CF6" w:rsidP="00550342">
      <w:pPr>
        <w:pStyle w:val="Heading3"/>
        <w:rPr>
          <w:lang w:val="en-GB"/>
        </w:rPr>
      </w:pPr>
      <w:r w:rsidRPr="0046175F">
        <w:rPr>
          <w:lang w:val="en-GB"/>
        </w:rPr>
        <w:t>Carcinogenicity</w:t>
      </w:r>
    </w:p>
    <w:p w14:paraId="593FE4AA" w14:textId="51862C78" w:rsidR="00FE7BB5" w:rsidRDefault="00822EEB" w:rsidP="00CD75CF">
      <w:r w:rsidRPr="0046175F">
        <w:t xml:space="preserve">No carcinogenicity studies have been conducted with </w:t>
      </w:r>
      <w:proofErr w:type="spellStart"/>
      <w:r w:rsidRPr="0046175F">
        <w:t>atezolizumab</w:t>
      </w:r>
      <w:proofErr w:type="spellEnd"/>
      <w:r w:rsidR="0078002B" w:rsidRPr="0046175F">
        <w:t>.</w:t>
      </w:r>
    </w:p>
    <w:p w14:paraId="1CD638A1" w14:textId="6E0835D0" w:rsidR="00E973FE" w:rsidRDefault="00E973FE" w:rsidP="00E569AD">
      <w:pPr>
        <w:pStyle w:val="Heading3"/>
      </w:pPr>
      <w:r>
        <w:t>Fertility</w:t>
      </w:r>
    </w:p>
    <w:p w14:paraId="4C056738" w14:textId="7902FF23" w:rsidR="00E973FE" w:rsidRPr="0046175F" w:rsidRDefault="00E973FE" w:rsidP="00CD75CF">
      <w:r w:rsidRPr="0046175F">
        <w:t xml:space="preserve">No fertility studies have been conducted with </w:t>
      </w:r>
      <w:proofErr w:type="spellStart"/>
      <w:r w:rsidRPr="0046175F">
        <w:t>atezolizumab</w:t>
      </w:r>
      <w:proofErr w:type="spellEnd"/>
      <w:r w:rsidRPr="0046175F">
        <w:t xml:space="preserve">; however assessment of the </w:t>
      </w:r>
      <w:proofErr w:type="spellStart"/>
      <w:r w:rsidRPr="0046175F">
        <w:t>cynomolgus</w:t>
      </w:r>
      <w:proofErr w:type="spellEnd"/>
      <w:r w:rsidRPr="0046175F">
        <w:t xml:space="preserve"> monkey male and female reproductive organs was included in the chronic toxicity study. </w:t>
      </w:r>
      <w:proofErr w:type="spellStart"/>
      <w:r w:rsidRPr="0046175F">
        <w:t>Atezolizumab</w:t>
      </w:r>
      <w:proofErr w:type="spellEnd"/>
      <w:r w:rsidRPr="0046175F" w:rsidDel="00461F7F">
        <w:t xml:space="preserve"> </w:t>
      </w:r>
      <w:r w:rsidRPr="0046175F">
        <w:t xml:space="preserve">had an effect on menstrual cycles in all female monkeys in the 50 mg/kg dose group characterised by an irregular cycle pattern during the dosing phase and correlated with the lack of fresh corpora </w:t>
      </w:r>
      <w:proofErr w:type="spellStart"/>
      <w:r w:rsidRPr="0046175F">
        <w:t>lutea</w:t>
      </w:r>
      <w:proofErr w:type="spellEnd"/>
      <w:r w:rsidRPr="0046175F">
        <w:t xml:space="preserve"> in the ovaries at the terminal necropsy; this effect was reversible during the dose-free recovery period. The AUC at the no effect level was approximately 5 times that anticipated in patients. There was no effect on the male reproductive organs.</w:t>
      </w:r>
    </w:p>
    <w:p w14:paraId="631159C8" w14:textId="77777777" w:rsidR="008F6CF6" w:rsidRPr="0046175F" w:rsidRDefault="008F6CF6" w:rsidP="00550342">
      <w:pPr>
        <w:pStyle w:val="Heading1"/>
      </w:pPr>
      <w:r w:rsidRPr="0046175F">
        <w:t>6</w:t>
      </w:r>
      <w:r w:rsidRPr="0046175F">
        <w:tab/>
        <w:t>PHARMACEUTICAL PARTICULARS</w:t>
      </w:r>
    </w:p>
    <w:p w14:paraId="2BAE3416" w14:textId="277838A3" w:rsidR="008F6CF6" w:rsidRPr="0046175F" w:rsidRDefault="00C86737" w:rsidP="00550342">
      <w:pPr>
        <w:pStyle w:val="Heading2"/>
        <w:rPr>
          <w:lang w:val="en-GB"/>
        </w:rPr>
      </w:pPr>
      <w:r w:rsidRPr="0046175F">
        <w:rPr>
          <w:lang w:val="en-GB"/>
        </w:rPr>
        <w:t>6.1</w:t>
      </w:r>
      <w:r w:rsidRPr="0046175F">
        <w:rPr>
          <w:lang w:val="en-GB"/>
        </w:rPr>
        <w:tab/>
      </w:r>
      <w:r w:rsidR="00876B51" w:rsidRPr="0046175F">
        <w:rPr>
          <w:lang w:val="en-GB"/>
        </w:rPr>
        <w:t>L</w:t>
      </w:r>
      <w:r w:rsidRPr="0046175F">
        <w:rPr>
          <w:lang w:val="en-GB"/>
        </w:rPr>
        <w:t xml:space="preserve">ist of excipients </w:t>
      </w:r>
    </w:p>
    <w:p w14:paraId="498C95BC" w14:textId="45F147DC" w:rsidR="00F90BF8" w:rsidRPr="0046175F" w:rsidRDefault="00F90BF8" w:rsidP="00CD75CF">
      <w:pPr>
        <w:rPr>
          <w:color w:val="000000"/>
          <w:lang w:val="en-GB"/>
        </w:rPr>
      </w:pPr>
      <w:r w:rsidRPr="0046175F">
        <w:t xml:space="preserve">Histidine, glacial acetic acid, sucrose, </w:t>
      </w:r>
      <w:proofErr w:type="spellStart"/>
      <w:r w:rsidRPr="0046175F">
        <w:t>polysorbate</w:t>
      </w:r>
      <w:proofErr w:type="spellEnd"/>
      <w:r w:rsidRPr="0046175F">
        <w:t xml:space="preserve"> 20 and water for injections.</w:t>
      </w:r>
    </w:p>
    <w:p w14:paraId="5510EF15" w14:textId="63DCFE42" w:rsidR="008F6CF6" w:rsidRPr="0046175F" w:rsidRDefault="00C86737" w:rsidP="00550342">
      <w:pPr>
        <w:pStyle w:val="Heading2"/>
        <w:rPr>
          <w:lang w:val="en-GB"/>
        </w:rPr>
      </w:pPr>
      <w:r w:rsidRPr="0046175F">
        <w:rPr>
          <w:lang w:val="en-GB"/>
        </w:rPr>
        <w:t>6.2</w:t>
      </w:r>
      <w:r w:rsidRPr="0046175F">
        <w:rPr>
          <w:lang w:val="en-GB"/>
        </w:rPr>
        <w:tab/>
        <w:t xml:space="preserve">Incompatibilities </w:t>
      </w:r>
    </w:p>
    <w:p w14:paraId="38FBF469" w14:textId="77777777" w:rsidR="00366B5F" w:rsidRPr="0046175F" w:rsidRDefault="00366B5F" w:rsidP="00CD75CF">
      <w:r w:rsidRPr="0046175F">
        <w:t xml:space="preserve">No incompatibilities have been observed between </w:t>
      </w:r>
      <w:proofErr w:type="spellStart"/>
      <w:r w:rsidRPr="0046175F">
        <w:t>Tecentriq</w:t>
      </w:r>
      <w:proofErr w:type="spellEnd"/>
      <w:r w:rsidRPr="0046175F">
        <w:t xml:space="preserve"> and IV bags with product-contacting surfaces of polyvinyl chloride (PVC), polyethylene (PE) or polyolefin. In addition, no incompatibilities have been observed with in-line filter membranes composed of </w:t>
      </w:r>
      <w:proofErr w:type="spellStart"/>
      <w:r w:rsidRPr="0046175F">
        <w:t>polyethersulfone</w:t>
      </w:r>
      <w:proofErr w:type="spellEnd"/>
      <w:r w:rsidRPr="0046175F">
        <w:t xml:space="preserve"> or </w:t>
      </w:r>
      <w:proofErr w:type="spellStart"/>
      <w:r w:rsidRPr="0046175F">
        <w:t>polysulfone</w:t>
      </w:r>
      <w:proofErr w:type="spellEnd"/>
      <w:r w:rsidRPr="0046175F">
        <w:t xml:space="preserve">, and infusion sets and other infusion aids composed of PVC, PE, polybutadiene, or </w:t>
      </w:r>
      <w:proofErr w:type="spellStart"/>
      <w:r w:rsidRPr="0046175F">
        <w:t>polyetherurethane</w:t>
      </w:r>
      <w:proofErr w:type="spellEnd"/>
      <w:r w:rsidRPr="0046175F">
        <w:t>.</w:t>
      </w:r>
    </w:p>
    <w:p w14:paraId="05B0D039" w14:textId="6691630F" w:rsidR="008F6CF6" w:rsidRPr="0046175F" w:rsidRDefault="00C86737" w:rsidP="00550342">
      <w:pPr>
        <w:pStyle w:val="Heading2"/>
        <w:rPr>
          <w:lang w:val="en-GB"/>
        </w:rPr>
      </w:pPr>
      <w:r w:rsidRPr="0046175F">
        <w:rPr>
          <w:lang w:val="en-GB"/>
        </w:rPr>
        <w:t>6.3</w:t>
      </w:r>
      <w:r w:rsidRPr="0046175F">
        <w:rPr>
          <w:lang w:val="en-GB"/>
        </w:rPr>
        <w:tab/>
        <w:t xml:space="preserve">Shelf life </w:t>
      </w:r>
    </w:p>
    <w:p w14:paraId="34DC3FC1" w14:textId="0179E44E" w:rsidR="00366B5F" w:rsidRPr="0046175F" w:rsidRDefault="00366B5F" w:rsidP="00CD75CF">
      <w:pPr>
        <w:rPr>
          <w:color w:val="000000"/>
          <w:lang w:val="en-GB"/>
        </w:rPr>
      </w:pPr>
      <w:r w:rsidRPr="0046175F">
        <w:rPr>
          <w:color w:val="000000"/>
          <w:lang w:val="en-GB"/>
        </w:rPr>
        <w:t>In Australia, information on the shelf life can be found on the public summary of the Australian Register of Therapeutic Goods (ARTG). The expiry date can be found on the packaging.</w:t>
      </w:r>
    </w:p>
    <w:p w14:paraId="2E91A820" w14:textId="77777777" w:rsidR="009D725C" w:rsidRPr="0046175F" w:rsidRDefault="009D725C" w:rsidP="00CD75CF">
      <w:pPr>
        <w:rPr>
          <w:color w:val="000000"/>
          <w:lang w:val="en-GB"/>
        </w:rPr>
      </w:pPr>
    </w:p>
    <w:p w14:paraId="47A56146" w14:textId="2B1AF965" w:rsidR="009D725C" w:rsidRPr="0046175F" w:rsidRDefault="009D725C" w:rsidP="009D725C">
      <w:r w:rsidRPr="0046175F">
        <w:lastRenderedPageBreak/>
        <w:t xml:space="preserve">The diluted solution for infusion should be used immediately. If the solution is not used immediately, it can be stored for up to 24 hours at 2 °C to 8 °C, or 8 hours at ambient temperature (≤ </w:t>
      </w:r>
      <w:r w:rsidR="00E8689E" w:rsidRPr="0046175F">
        <w:t xml:space="preserve">25 </w:t>
      </w:r>
      <w:r w:rsidRPr="0046175F">
        <w:t>°C).</w:t>
      </w:r>
    </w:p>
    <w:p w14:paraId="7C166C9E" w14:textId="13E4CF0D" w:rsidR="00366B5F" w:rsidRPr="0046175F" w:rsidRDefault="00C86737" w:rsidP="00550342">
      <w:pPr>
        <w:pStyle w:val="Heading2"/>
        <w:rPr>
          <w:lang w:val="en-GB"/>
        </w:rPr>
      </w:pPr>
      <w:r w:rsidRPr="0046175F">
        <w:rPr>
          <w:lang w:val="en-GB"/>
        </w:rPr>
        <w:t>6.4</w:t>
      </w:r>
      <w:r w:rsidRPr="0046175F">
        <w:rPr>
          <w:lang w:val="en-GB"/>
        </w:rPr>
        <w:tab/>
        <w:t>Special precautions for storage</w:t>
      </w:r>
    </w:p>
    <w:p w14:paraId="0351E82E" w14:textId="77777777" w:rsidR="00366B5F" w:rsidRPr="0046175F" w:rsidRDefault="00366B5F" w:rsidP="00CD75CF">
      <w:r w:rsidRPr="0046175F">
        <w:t>Store the vials at 2 °C to 8 °C. Do not freeze.</w:t>
      </w:r>
    </w:p>
    <w:p w14:paraId="7844ED12" w14:textId="77777777" w:rsidR="00366B5F" w:rsidRPr="0046175F" w:rsidRDefault="00366B5F" w:rsidP="00CD75CF"/>
    <w:p w14:paraId="0747CCDF" w14:textId="77777777" w:rsidR="00366B5F" w:rsidRPr="0046175F" w:rsidRDefault="00366B5F" w:rsidP="00CD75CF">
      <w:proofErr w:type="spellStart"/>
      <w:r w:rsidRPr="0046175F">
        <w:t>Tecentriq</w:t>
      </w:r>
      <w:proofErr w:type="spellEnd"/>
      <w:r w:rsidRPr="0046175F">
        <w:t xml:space="preserve"> should be protected from light. Do not shake.</w:t>
      </w:r>
    </w:p>
    <w:p w14:paraId="688B3EAE" w14:textId="77777777" w:rsidR="00366B5F" w:rsidRPr="0046175F" w:rsidRDefault="00366B5F" w:rsidP="00CD75CF"/>
    <w:p w14:paraId="40F097D7" w14:textId="77777777" w:rsidR="00366B5F" w:rsidRPr="0046175F" w:rsidRDefault="00366B5F" w:rsidP="00CD75CF">
      <w:r w:rsidRPr="0046175F">
        <w:t>This medicine should not be used after the expiry date (EXP) shown on the pack.</w:t>
      </w:r>
    </w:p>
    <w:p w14:paraId="4C53FC5F" w14:textId="77858A89" w:rsidR="008F6CF6" w:rsidRPr="0046175F" w:rsidRDefault="00C86737" w:rsidP="00550342">
      <w:pPr>
        <w:pStyle w:val="Heading2"/>
        <w:rPr>
          <w:lang w:val="en-GB"/>
        </w:rPr>
      </w:pPr>
      <w:r w:rsidRPr="0046175F">
        <w:rPr>
          <w:lang w:val="en-GB"/>
        </w:rPr>
        <w:t>6.5</w:t>
      </w:r>
      <w:r w:rsidRPr="0046175F">
        <w:rPr>
          <w:lang w:val="en-GB"/>
        </w:rPr>
        <w:tab/>
        <w:t xml:space="preserve">Nature and contents of container </w:t>
      </w:r>
    </w:p>
    <w:p w14:paraId="56F946DB" w14:textId="06C7C990" w:rsidR="00366B5F" w:rsidRPr="0046175F" w:rsidRDefault="00366B5F" w:rsidP="00CD75CF">
      <w:pPr>
        <w:rPr>
          <w:color w:val="000000"/>
          <w:lang w:val="en-GB"/>
        </w:rPr>
      </w:pPr>
      <w:proofErr w:type="spellStart"/>
      <w:r w:rsidRPr="0046175F">
        <w:t>Tecentriq</w:t>
      </w:r>
      <w:proofErr w:type="spellEnd"/>
      <w:r w:rsidRPr="0046175F">
        <w:t xml:space="preserve"> is available in a single-use glass vial </w:t>
      </w:r>
      <w:r w:rsidR="0039387B" w:rsidRPr="0039387B">
        <w:t xml:space="preserve">containing 14 mL or 20 mL solution </w:t>
      </w:r>
      <w:r w:rsidRPr="0046175F">
        <w:t>in a pack size of 1 vial.</w:t>
      </w:r>
    </w:p>
    <w:p w14:paraId="4D05B1EF" w14:textId="69442302" w:rsidR="008F6CF6" w:rsidRPr="0046175F" w:rsidRDefault="00C86737" w:rsidP="00550342">
      <w:pPr>
        <w:pStyle w:val="Heading2"/>
        <w:rPr>
          <w:lang w:val="en-GB"/>
        </w:rPr>
      </w:pPr>
      <w:r w:rsidRPr="0046175F">
        <w:rPr>
          <w:lang w:val="en-GB"/>
        </w:rPr>
        <w:t>6.6</w:t>
      </w:r>
      <w:r w:rsidRPr="0046175F">
        <w:rPr>
          <w:lang w:val="en-GB"/>
        </w:rPr>
        <w:tab/>
        <w:t>Special precautions for disposal</w:t>
      </w:r>
    </w:p>
    <w:p w14:paraId="4FEB1F2C" w14:textId="18EBA161" w:rsidR="00366B5F" w:rsidRPr="0046175F" w:rsidRDefault="00366B5F" w:rsidP="00067715">
      <w:pPr>
        <w:rPr>
          <w:color w:val="000000"/>
          <w:lang w:val="en-GB"/>
        </w:rPr>
      </w:pPr>
      <w:r w:rsidRPr="0046175F">
        <w:rPr>
          <w:color w:val="000000"/>
          <w:lang w:val="en-GB"/>
        </w:rPr>
        <w:t>The release of medicines into the environment should be minimised. Medicines should not be disposed of via wastewater and disposal through household waste should be avoided. Unused or expired medicine should be returned to a pharmacy for disposal.</w:t>
      </w:r>
    </w:p>
    <w:p w14:paraId="6E880D77" w14:textId="064A7FA0" w:rsidR="008F6CF6" w:rsidRPr="0046175F" w:rsidRDefault="008F6CF6" w:rsidP="00550342">
      <w:pPr>
        <w:pStyle w:val="Heading2"/>
        <w:rPr>
          <w:lang w:val="en-GB"/>
        </w:rPr>
      </w:pPr>
      <w:r w:rsidRPr="0046175F">
        <w:rPr>
          <w:lang w:val="en-GB"/>
        </w:rPr>
        <w:t>6.</w:t>
      </w:r>
      <w:r w:rsidR="00C86737" w:rsidRPr="0046175F">
        <w:rPr>
          <w:lang w:val="en-GB"/>
        </w:rPr>
        <w:t>7</w:t>
      </w:r>
      <w:r w:rsidR="00C86737" w:rsidRPr="0046175F">
        <w:rPr>
          <w:lang w:val="en-GB"/>
        </w:rPr>
        <w:tab/>
        <w:t>Physicochemical properties</w:t>
      </w:r>
    </w:p>
    <w:p w14:paraId="7FD0337C" w14:textId="77777777" w:rsidR="00566E29" w:rsidRPr="0046175F" w:rsidRDefault="00566E29" w:rsidP="00F17F9B">
      <w:pPr>
        <w:pStyle w:val="Heading3"/>
        <w:rPr>
          <w:lang w:val="en-GB"/>
        </w:rPr>
      </w:pPr>
      <w:r w:rsidRPr="0046175F">
        <w:rPr>
          <w:lang w:val="en-GB"/>
        </w:rPr>
        <w:t xml:space="preserve">Chemical structure </w:t>
      </w:r>
    </w:p>
    <w:p w14:paraId="1D4AA5AB" w14:textId="7DAA2619" w:rsidR="00F7113A" w:rsidRPr="0046175F" w:rsidRDefault="00F7113A" w:rsidP="00F7113A">
      <w:pPr>
        <w:rPr>
          <w:color w:val="000000"/>
        </w:rPr>
      </w:pPr>
      <w:proofErr w:type="spellStart"/>
      <w:r w:rsidRPr="0046175F">
        <w:rPr>
          <w:color w:val="000000"/>
        </w:rPr>
        <w:t>Tecentriq</w:t>
      </w:r>
      <w:proofErr w:type="spellEnd"/>
      <w:r w:rsidRPr="0046175F">
        <w:rPr>
          <w:color w:val="000000"/>
        </w:rPr>
        <w:t xml:space="preserve"> is an engineered, humanised, monoclonal antibody that directly binds to PD-L1 and blocks interactions with the PD-1 and B7.1 receptors. </w:t>
      </w:r>
      <w:proofErr w:type="spellStart"/>
      <w:r w:rsidRPr="0046175F">
        <w:rPr>
          <w:color w:val="000000"/>
        </w:rPr>
        <w:t>Tecentriq</w:t>
      </w:r>
      <w:proofErr w:type="spellEnd"/>
      <w:r w:rsidRPr="0046175F">
        <w:rPr>
          <w:color w:val="000000"/>
        </w:rPr>
        <w:t xml:space="preserve"> is a non-glycosylated IgG1 immunoglobulin that has a calculated molecular mass of 145 </w:t>
      </w:r>
      <w:proofErr w:type="spellStart"/>
      <w:r w:rsidRPr="0046175F">
        <w:rPr>
          <w:color w:val="000000"/>
        </w:rPr>
        <w:t>kDa</w:t>
      </w:r>
      <w:proofErr w:type="spellEnd"/>
      <w:r w:rsidRPr="0046175F">
        <w:rPr>
          <w:color w:val="000000"/>
        </w:rPr>
        <w:t xml:space="preserve">. </w:t>
      </w:r>
    </w:p>
    <w:p w14:paraId="68982CA9" w14:textId="71AD9502" w:rsidR="00566E29" w:rsidRPr="0046175F" w:rsidRDefault="008F6CF6" w:rsidP="00F17F9B">
      <w:pPr>
        <w:pStyle w:val="Heading3"/>
        <w:rPr>
          <w:lang w:val="en-GB"/>
        </w:rPr>
      </w:pPr>
      <w:r w:rsidRPr="0046175F">
        <w:rPr>
          <w:lang w:val="en-GB"/>
        </w:rPr>
        <w:t>CAS number</w:t>
      </w:r>
      <w:r w:rsidR="00366B5F" w:rsidRPr="0046175F">
        <w:rPr>
          <w:lang w:val="en-GB"/>
        </w:rPr>
        <w:t xml:space="preserve"> </w:t>
      </w:r>
    </w:p>
    <w:p w14:paraId="744EE19B" w14:textId="18C8D22C" w:rsidR="008F6CF6" w:rsidRPr="0046175F" w:rsidRDefault="00366B5F" w:rsidP="00CD75CF">
      <w:pPr>
        <w:rPr>
          <w:color w:val="000000"/>
          <w:lang w:val="en-GB"/>
        </w:rPr>
      </w:pPr>
      <w:r w:rsidRPr="0046175F">
        <w:rPr>
          <w:color w:val="000000"/>
          <w:lang w:val="en-GB"/>
        </w:rPr>
        <w:t>1380723-44-3</w:t>
      </w:r>
    </w:p>
    <w:p w14:paraId="1131ECE0" w14:textId="77777777" w:rsidR="008F6CF6" w:rsidRPr="0046175F" w:rsidRDefault="008F6CF6" w:rsidP="00550342">
      <w:pPr>
        <w:pStyle w:val="Heading1"/>
      </w:pPr>
      <w:r w:rsidRPr="0046175F">
        <w:t>7</w:t>
      </w:r>
      <w:r w:rsidRPr="0046175F">
        <w:tab/>
        <w:t>MEDICINE SCHEDULE (POISONS STANDARD)</w:t>
      </w:r>
    </w:p>
    <w:p w14:paraId="5AFCD71C" w14:textId="5CFF293B" w:rsidR="00366B5F" w:rsidRPr="0046175F" w:rsidRDefault="00366B5F" w:rsidP="00CD75CF">
      <w:pPr>
        <w:rPr>
          <w:color w:val="000000"/>
          <w:lang w:val="en-GB"/>
        </w:rPr>
      </w:pPr>
      <w:r w:rsidRPr="0046175F">
        <w:rPr>
          <w:color w:val="000000"/>
          <w:lang w:val="en-GB"/>
        </w:rPr>
        <w:t>Schedule 4 – Prescription Only Medicine.</w:t>
      </w:r>
    </w:p>
    <w:p w14:paraId="435900B3" w14:textId="77777777" w:rsidR="008F6CF6" w:rsidRPr="0046175F" w:rsidRDefault="008F6CF6" w:rsidP="00550342">
      <w:pPr>
        <w:pStyle w:val="Heading1"/>
      </w:pPr>
      <w:r w:rsidRPr="0046175F">
        <w:t>8</w:t>
      </w:r>
      <w:r w:rsidRPr="0046175F">
        <w:tab/>
        <w:t>SPONSOR</w:t>
      </w:r>
    </w:p>
    <w:p w14:paraId="611A6914" w14:textId="77777777" w:rsidR="00366B5F" w:rsidRPr="0046175F" w:rsidRDefault="00366B5F" w:rsidP="00CD75CF">
      <w:pPr>
        <w:rPr>
          <w:color w:val="000000"/>
          <w:lang w:val="en-GB"/>
        </w:rPr>
      </w:pPr>
      <w:r w:rsidRPr="0046175F">
        <w:rPr>
          <w:color w:val="000000"/>
          <w:lang w:val="en-GB"/>
        </w:rPr>
        <w:t>Roche Products Pty Limited</w:t>
      </w:r>
    </w:p>
    <w:p w14:paraId="4D3E1BB3" w14:textId="77777777" w:rsidR="00366B5F" w:rsidRPr="0046175F" w:rsidRDefault="00366B5F" w:rsidP="00CD75CF">
      <w:pPr>
        <w:rPr>
          <w:color w:val="000000"/>
          <w:lang w:val="en-GB"/>
        </w:rPr>
      </w:pPr>
      <w:r w:rsidRPr="0046175F">
        <w:rPr>
          <w:color w:val="000000"/>
          <w:lang w:val="en-GB"/>
        </w:rPr>
        <w:t>ABN 70 000 132 865</w:t>
      </w:r>
    </w:p>
    <w:p w14:paraId="608373BB" w14:textId="77777777" w:rsidR="004737BA" w:rsidRPr="0046175F" w:rsidRDefault="004737BA" w:rsidP="004737BA">
      <w:pPr>
        <w:rPr>
          <w:color w:val="000000"/>
          <w:lang w:val="en-GB"/>
        </w:rPr>
      </w:pPr>
      <w:r w:rsidRPr="0046175F">
        <w:rPr>
          <w:color w:val="000000"/>
          <w:lang w:val="en-GB"/>
        </w:rPr>
        <w:t xml:space="preserve">Level 8, 30 – 34 </w:t>
      </w:r>
      <w:proofErr w:type="spellStart"/>
      <w:r w:rsidRPr="0046175F">
        <w:rPr>
          <w:color w:val="000000"/>
          <w:lang w:val="en-GB"/>
        </w:rPr>
        <w:t>Hickson</w:t>
      </w:r>
      <w:proofErr w:type="spellEnd"/>
      <w:r w:rsidRPr="0046175F">
        <w:rPr>
          <w:color w:val="000000"/>
          <w:lang w:val="en-GB"/>
        </w:rPr>
        <w:t xml:space="preserve"> Road </w:t>
      </w:r>
    </w:p>
    <w:p w14:paraId="2DFBAA98" w14:textId="77777777" w:rsidR="004737BA" w:rsidRPr="0046175F" w:rsidRDefault="004737BA" w:rsidP="004737BA">
      <w:pPr>
        <w:rPr>
          <w:color w:val="000000"/>
          <w:lang w:val="en-GB"/>
        </w:rPr>
      </w:pPr>
      <w:r w:rsidRPr="0046175F">
        <w:rPr>
          <w:color w:val="000000"/>
          <w:lang w:val="en-GB"/>
        </w:rPr>
        <w:t>Sydney NSW 2000</w:t>
      </w:r>
    </w:p>
    <w:p w14:paraId="286C7512" w14:textId="79C30792" w:rsidR="00FE00AB" w:rsidRPr="0046175F" w:rsidRDefault="00FE00AB" w:rsidP="00FE00AB">
      <w:pPr>
        <w:rPr>
          <w:color w:val="000000"/>
          <w:lang w:val="en-GB"/>
        </w:rPr>
      </w:pPr>
      <w:r w:rsidRPr="0046175F">
        <w:rPr>
          <w:color w:val="000000"/>
          <w:lang w:val="en-GB"/>
        </w:rPr>
        <w:t>AUSTRALIA</w:t>
      </w:r>
    </w:p>
    <w:p w14:paraId="421015C5" w14:textId="77777777" w:rsidR="00366B5F" w:rsidRPr="0046175F" w:rsidRDefault="00366B5F" w:rsidP="00CD75CF">
      <w:pPr>
        <w:rPr>
          <w:color w:val="000000"/>
          <w:lang w:val="en-GB"/>
        </w:rPr>
      </w:pPr>
    </w:p>
    <w:p w14:paraId="2C296AAF" w14:textId="77777777" w:rsidR="00CD75CF" w:rsidRPr="0046175F" w:rsidRDefault="00366B5F" w:rsidP="00CD75CF">
      <w:pPr>
        <w:rPr>
          <w:color w:val="000000"/>
          <w:lang w:val="en-GB"/>
        </w:rPr>
      </w:pPr>
      <w:r w:rsidRPr="0046175F">
        <w:rPr>
          <w:color w:val="000000"/>
          <w:lang w:val="en-GB"/>
        </w:rPr>
        <w:t>Medical enquiries: 1800 233 950</w:t>
      </w:r>
    </w:p>
    <w:p w14:paraId="487CBD20" w14:textId="4BEE8D65" w:rsidR="008F6CF6" w:rsidRPr="0046175F" w:rsidRDefault="008F6CF6" w:rsidP="00550342">
      <w:pPr>
        <w:pStyle w:val="Heading1"/>
      </w:pPr>
      <w:r w:rsidRPr="0046175F">
        <w:t>9</w:t>
      </w:r>
      <w:r w:rsidRPr="0046175F">
        <w:tab/>
        <w:t xml:space="preserve">DATE OF FIRST APPROVAL  </w:t>
      </w:r>
    </w:p>
    <w:p w14:paraId="265972EC" w14:textId="6510A593" w:rsidR="00366B5F" w:rsidRPr="0046175F" w:rsidRDefault="00366B5F" w:rsidP="00C8212B">
      <w:pPr>
        <w:keepNext/>
        <w:tabs>
          <w:tab w:val="left" w:pos="7290"/>
        </w:tabs>
        <w:rPr>
          <w:color w:val="000000"/>
          <w:lang w:val="en-GB"/>
        </w:rPr>
      </w:pPr>
      <w:r w:rsidRPr="0046175F">
        <w:rPr>
          <w:color w:val="000000"/>
          <w:lang w:val="en-GB"/>
        </w:rPr>
        <w:lastRenderedPageBreak/>
        <w:t>27 July 2017</w:t>
      </w:r>
      <w:r w:rsidR="005D1911">
        <w:rPr>
          <w:color w:val="000000"/>
          <w:lang w:val="en-GB"/>
        </w:rPr>
        <w:tab/>
      </w:r>
    </w:p>
    <w:p w14:paraId="74705641" w14:textId="36562096" w:rsidR="008F6CF6" w:rsidRPr="0046175F" w:rsidRDefault="008F6CF6" w:rsidP="00550342">
      <w:pPr>
        <w:pStyle w:val="Heading1"/>
      </w:pPr>
      <w:r w:rsidRPr="0046175F">
        <w:t>10</w:t>
      </w:r>
      <w:r w:rsidRPr="0046175F">
        <w:tab/>
        <w:t xml:space="preserve">DATE OF REVISION </w:t>
      </w:r>
    </w:p>
    <w:p w14:paraId="76F18A45" w14:textId="099A8FC9" w:rsidR="006769CC" w:rsidRDefault="002B76D3" w:rsidP="006769CC">
      <w:r>
        <w:t>19 February 2020</w:t>
      </w:r>
    </w:p>
    <w:p w14:paraId="736CBBCF" w14:textId="0A1C3387" w:rsidR="00366B5F" w:rsidRPr="006769CC" w:rsidRDefault="00CD75CF" w:rsidP="006769CC">
      <w:pPr>
        <w:pStyle w:val="Heading1"/>
      </w:pPr>
      <w:r w:rsidRPr="0046175F">
        <w:t>SUMMARY TABLE OF CHANGES</w:t>
      </w:r>
    </w:p>
    <w:tbl>
      <w:tblPr>
        <w:tblStyle w:val="TableGrid"/>
        <w:tblW w:w="0" w:type="auto"/>
        <w:tblLook w:val="04A0" w:firstRow="1" w:lastRow="0" w:firstColumn="1" w:lastColumn="0" w:noHBand="0" w:noVBand="1"/>
      </w:tblPr>
      <w:tblGrid>
        <w:gridCol w:w="2547"/>
        <w:gridCol w:w="6514"/>
      </w:tblGrid>
      <w:tr w:rsidR="00CD75CF" w:rsidRPr="0046175F" w14:paraId="4A4ABA56" w14:textId="77777777" w:rsidTr="006769CC">
        <w:tc>
          <w:tcPr>
            <w:tcW w:w="2547" w:type="dxa"/>
          </w:tcPr>
          <w:p w14:paraId="03CD38FE" w14:textId="5FEA0A99" w:rsidR="00CD75CF" w:rsidRPr="0046175F" w:rsidRDefault="00CD75CF" w:rsidP="008F6CF6">
            <w:pPr>
              <w:keepNext/>
              <w:rPr>
                <w:color w:val="000000"/>
                <w:lang w:val="en-GB"/>
              </w:rPr>
            </w:pPr>
            <w:r w:rsidRPr="0046175F">
              <w:rPr>
                <w:color w:val="000000"/>
                <w:lang w:val="en-GB"/>
              </w:rPr>
              <w:t>Section Changed</w:t>
            </w:r>
          </w:p>
        </w:tc>
        <w:tc>
          <w:tcPr>
            <w:tcW w:w="6514" w:type="dxa"/>
          </w:tcPr>
          <w:p w14:paraId="73101035" w14:textId="2643880F" w:rsidR="00CD75CF" w:rsidRPr="0046175F" w:rsidRDefault="00CD75CF" w:rsidP="008F6CF6">
            <w:pPr>
              <w:keepNext/>
              <w:rPr>
                <w:color w:val="000000"/>
                <w:lang w:val="en-GB"/>
              </w:rPr>
            </w:pPr>
            <w:r w:rsidRPr="0046175F">
              <w:rPr>
                <w:color w:val="000000"/>
                <w:lang w:val="en-GB"/>
              </w:rPr>
              <w:t>Summary of new information</w:t>
            </w:r>
          </w:p>
        </w:tc>
      </w:tr>
      <w:tr w:rsidR="00E745E4" w14:paraId="6E9EBC32" w14:textId="77777777" w:rsidTr="006769CC">
        <w:trPr>
          <w:trHeight w:val="592"/>
        </w:trPr>
        <w:tc>
          <w:tcPr>
            <w:tcW w:w="2547" w:type="dxa"/>
          </w:tcPr>
          <w:p w14:paraId="45900EFD" w14:textId="4BF57CA9" w:rsidR="00E745E4" w:rsidRDefault="00E745E4" w:rsidP="00EF0818">
            <w:pPr>
              <w:pStyle w:val="TableParagraph"/>
              <w:spacing w:line="270" w:lineRule="exact"/>
              <w:rPr>
                <w:sz w:val="24"/>
              </w:rPr>
            </w:pPr>
            <w:r>
              <w:rPr>
                <w:sz w:val="24"/>
              </w:rPr>
              <w:t>4.1 Therapeutic indications</w:t>
            </w:r>
          </w:p>
        </w:tc>
        <w:tc>
          <w:tcPr>
            <w:tcW w:w="6514" w:type="dxa"/>
          </w:tcPr>
          <w:p w14:paraId="429BD09C" w14:textId="63CF3B16" w:rsidR="00E745E4" w:rsidRDefault="006452D8" w:rsidP="00EF0818">
            <w:pPr>
              <w:pStyle w:val="TableParagraph"/>
              <w:ind w:right="96"/>
              <w:rPr>
                <w:sz w:val="24"/>
              </w:rPr>
            </w:pPr>
            <w:r w:rsidRPr="006452D8">
              <w:rPr>
                <w:sz w:val="24"/>
                <w:lang w:val="en-GB"/>
              </w:rPr>
              <w:t>Addition of new indication in the treatment of first-line metastatic non-squamous NSCLC</w:t>
            </w:r>
          </w:p>
        </w:tc>
      </w:tr>
      <w:tr w:rsidR="00E745E4" w14:paraId="4A20095B" w14:textId="77777777" w:rsidTr="006769CC">
        <w:trPr>
          <w:trHeight w:val="551"/>
        </w:trPr>
        <w:tc>
          <w:tcPr>
            <w:tcW w:w="2547" w:type="dxa"/>
          </w:tcPr>
          <w:p w14:paraId="5AA6CDF6" w14:textId="77777777" w:rsidR="00E745E4" w:rsidRDefault="00E745E4" w:rsidP="00EF0818">
            <w:pPr>
              <w:pStyle w:val="TableParagraph"/>
              <w:spacing w:line="270" w:lineRule="exact"/>
              <w:rPr>
                <w:sz w:val="24"/>
              </w:rPr>
            </w:pPr>
            <w:r>
              <w:rPr>
                <w:sz w:val="24"/>
              </w:rPr>
              <w:t>4.2 Dose and method of</w:t>
            </w:r>
          </w:p>
          <w:p w14:paraId="4C3843B0" w14:textId="77777777" w:rsidR="00E745E4" w:rsidRDefault="00E745E4" w:rsidP="00EF0818">
            <w:pPr>
              <w:pStyle w:val="TableParagraph"/>
              <w:spacing w:line="261" w:lineRule="exact"/>
              <w:rPr>
                <w:sz w:val="24"/>
              </w:rPr>
            </w:pPr>
            <w:r>
              <w:rPr>
                <w:sz w:val="24"/>
              </w:rPr>
              <w:t>administration</w:t>
            </w:r>
          </w:p>
        </w:tc>
        <w:tc>
          <w:tcPr>
            <w:tcW w:w="6514" w:type="dxa"/>
          </w:tcPr>
          <w:p w14:paraId="29981310" w14:textId="51135183" w:rsidR="00E745E4" w:rsidRDefault="00E745E4" w:rsidP="00EF0818">
            <w:pPr>
              <w:pStyle w:val="TableParagraph"/>
              <w:spacing w:line="261" w:lineRule="exact"/>
              <w:rPr>
                <w:sz w:val="24"/>
              </w:rPr>
            </w:pPr>
            <w:r>
              <w:rPr>
                <w:sz w:val="24"/>
              </w:rPr>
              <w:t xml:space="preserve">Addition of dosage instructions for </w:t>
            </w:r>
            <w:r w:rsidR="006452D8" w:rsidRPr="006452D8">
              <w:rPr>
                <w:sz w:val="24"/>
                <w:lang w:val="en-GB"/>
              </w:rPr>
              <w:t>first-line metastatic non-squamous NSCLC</w:t>
            </w:r>
          </w:p>
        </w:tc>
      </w:tr>
      <w:tr w:rsidR="00E745E4" w14:paraId="44D81CD6" w14:textId="77777777" w:rsidTr="006769CC">
        <w:trPr>
          <w:trHeight w:val="551"/>
        </w:trPr>
        <w:tc>
          <w:tcPr>
            <w:tcW w:w="2547" w:type="dxa"/>
          </w:tcPr>
          <w:p w14:paraId="4A13B8E8" w14:textId="344F8071" w:rsidR="00E745E4" w:rsidRDefault="00E745E4" w:rsidP="00EF0818">
            <w:pPr>
              <w:pStyle w:val="TableParagraph"/>
              <w:spacing w:line="270" w:lineRule="exact"/>
              <w:rPr>
                <w:sz w:val="24"/>
              </w:rPr>
            </w:pPr>
            <w:r>
              <w:rPr>
                <w:sz w:val="24"/>
              </w:rPr>
              <w:t>4.8 Adverse effects</w:t>
            </w:r>
          </w:p>
          <w:p w14:paraId="71A975BE" w14:textId="68FF321C" w:rsidR="00E745E4" w:rsidRDefault="00E745E4" w:rsidP="00EF0818">
            <w:pPr>
              <w:pStyle w:val="TableParagraph"/>
              <w:spacing w:line="261" w:lineRule="exact"/>
              <w:rPr>
                <w:sz w:val="24"/>
              </w:rPr>
            </w:pPr>
            <w:r>
              <w:rPr>
                <w:sz w:val="24"/>
              </w:rPr>
              <w:t>(Undesirable effects)</w:t>
            </w:r>
          </w:p>
        </w:tc>
        <w:tc>
          <w:tcPr>
            <w:tcW w:w="6514" w:type="dxa"/>
          </w:tcPr>
          <w:p w14:paraId="0D16F595" w14:textId="6D2AEA86" w:rsidR="00E745E4" w:rsidRDefault="00E745E4" w:rsidP="00EF0818">
            <w:pPr>
              <w:pStyle w:val="TableParagraph"/>
              <w:spacing w:line="270" w:lineRule="exact"/>
              <w:rPr>
                <w:sz w:val="24"/>
              </w:rPr>
            </w:pPr>
            <w:r>
              <w:rPr>
                <w:sz w:val="24"/>
              </w:rPr>
              <w:t xml:space="preserve">Addition of combination therapy table based on </w:t>
            </w:r>
            <w:r w:rsidR="00E51944" w:rsidRPr="00E51944">
              <w:rPr>
                <w:sz w:val="24"/>
                <w:lang w:val="en-GB"/>
              </w:rPr>
              <w:t>GO29537 (IMpower130)</w:t>
            </w:r>
          </w:p>
        </w:tc>
      </w:tr>
      <w:tr w:rsidR="00E745E4" w14:paraId="26ACD7DF" w14:textId="77777777" w:rsidTr="006769CC">
        <w:trPr>
          <w:trHeight w:val="554"/>
        </w:trPr>
        <w:tc>
          <w:tcPr>
            <w:tcW w:w="2547" w:type="dxa"/>
          </w:tcPr>
          <w:p w14:paraId="31D71110" w14:textId="2D688A6A" w:rsidR="00E745E4" w:rsidRDefault="00E745E4" w:rsidP="00EF0818">
            <w:pPr>
              <w:pStyle w:val="TableParagraph"/>
              <w:spacing w:line="270" w:lineRule="exact"/>
              <w:rPr>
                <w:sz w:val="24"/>
              </w:rPr>
            </w:pPr>
            <w:r>
              <w:rPr>
                <w:sz w:val="24"/>
              </w:rPr>
              <w:t>5.1 Pharmacodynamic</w:t>
            </w:r>
          </w:p>
          <w:p w14:paraId="22B66C0E" w14:textId="1E92CCAB" w:rsidR="00E745E4" w:rsidRDefault="00E745E4" w:rsidP="00EF0818">
            <w:pPr>
              <w:pStyle w:val="TableParagraph"/>
              <w:spacing w:line="264" w:lineRule="exact"/>
              <w:rPr>
                <w:sz w:val="24"/>
              </w:rPr>
            </w:pPr>
            <w:r>
              <w:rPr>
                <w:sz w:val="24"/>
              </w:rPr>
              <w:t>properties</w:t>
            </w:r>
          </w:p>
        </w:tc>
        <w:tc>
          <w:tcPr>
            <w:tcW w:w="6514" w:type="dxa"/>
          </w:tcPr>
          <w:p w14:paraId="4B5C1560" w14:textId="22741204" w:rsidR="00E745E4" w:rsidRDefault="00E745E4" w:rsidP="00EF0818">
            <w:pPr>
              <w:pStyle w:val="TableParagraph"/>
              <w:spacing w:line="270" w:lineRule="exact"/>
              <w:rPr>
                <w:sz w:val="24"/>
              </w:rPr>
            </w:pPr>
            <w:r>
              <w:rPr>
                <w:sz w:val="24"/>
              </w:rPr>
              <w:t xml:space="preserve">Addition of updated information from study </w:t>
            </w:r>
            <w:r w:rsidR="00E51944" w:rsidRPr="00E51944">
              <w:rPr>
                <w:sz w:val="24"/>
                <w:lang w:val="en-GB"/>
              </w:rPr>
              <w:t>GO29537 (IMpower130)</w:t>
            </w:r>
          </w:p>
        </w:tc>
      </w:tr>
    </w:tbl>
    <w:p w14:paraId="2851420D" w14:textId="77777777" w:rsidR="00CD75CF" w:rsidRPr="005B4600" w:rsidRDefault="00CD75CF" w:rsidP="006769CC">
      <w:pPr>
        <w:keepNext/>
        <w:rPr>
          <w:color w:val="000000"/>
          <w:sz w:val="2"/>
          <w:szCs w:val="2"/>
          <w:lang w:val="en-GB"/>
        </w:rPr>
      </w:pPr>
    </w:p>
    <w:sectPr w:rsidR="00CD75CF" w:rsidRPr="005B4600" w:rsidSect="007846E2">
      <w:headerReference w:type="default" r:id="rId34"/>
      <w:footerReference w:type="default" r:id="rId35"/>
      <w:pgSz w:w="11907" w:h="16839" w:code="9"/>
      <w:pgMar w:top="1950" w:right="1418" w:bottom="1418" w:left="1418" w:header="3" w:footer="1151"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F57A2" w14:textId="77777777" w:rsidR="00194A6F" w:rsidRDefault="00194A6F" w:rsidP="000471CA">
      <w:r>
        <w:separator/>
      </w:r>
    </w:p>
  </w:endnote>
  <w:endnote w:type="continuationSeparator" w:id="0">
    <w:p w14:paraId="016E76A0" w14:textId="77777777" w:rsidR="00194A6F" w:rsidRDefault="00194A6F" w:rsidP="00047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A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Minion">
    <w:charset w:val="00"/>
    <w:family w:val="roman"/>
    <w:pitch w:val="variable"/>
    <w:sig w:usb0="E00002AF" w:usb1="5000E07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E9C0B" w14:textId="77777777" w:rsidR="00194A6F" w:rsidRDefault="00194A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0FA0" w14:textId="1B57206B" w:rsidR="00194A6F" w:rsidRPr="00C86F8F" w:rsidRDefault="00194A6F" w:rsidP="00C86F8F">
    <w:pPr>
      <w:pStyle w:val="Footer"/>
      <w:rPr>
        <w:sz w:val="20"/>
        <w:szCs w:val="20"/>
      </w:rPr>
    </w:pPr>
    <w:r w:rsidRPr="00105D74">
      <w:rPr>
        <w:sz w:val="20"/>
        <w:szCs w:val="20"/>
      </w:rPr>
      <w:t>roptecen10220</w:t>
    </w:r>
    <w:r w:rsidRPr="00C86F8F">
      <w:rPr>
        <w:sz w:val="20"/>
        <w:szCs w:val="20"/>
      </w:rPr>
      <w:tab/>
    </w:r>
    <w:r w:rsidRPr="00C86F8F">
      <w:rPr>
        <w:sz w:val="20"/>
        <w:szCs w:val="20"/>
      </w:rPr>
      <w:tab/>
    </w:r>
    <w:r w:rsidRPr="00C86F8F">
      <w:rPr>
        <w:sz w:val="20"/>
        <w:szCs w:val="20"/>
      </w:rPr>
      <w:fldChar w:fldCharType="begin"/>
    </w:r>
    <w:r w:rsidRPr="00C86F8F">
      <w:rPr>
        <w:sz w:val="20"/>
        <w:szCs w:val="20"/>
      </w:rPr>
      <w:instrText xml:space="preserve"> PAGE  \* Arabic  \* MERGEFORMAT </w:instrText>
    </w:r>
    <w:r w:rsidRPr="00C86F8F">
      <w:rPr>
        <w:sz w:val="20"/>
        <w:szCs w:val="20"/>
      </w:rPr>
      <w:fldChar w:fldCharType="separate"/>
    </w:r>
    <w:r w:rsidR="007846E2">
      <w:rPr>
        <w:noProof/>
        <w:sz w:val="20"/>
        <w:szCs w:val="20"/>
      </w:rPr>
      <w:t>43</w:t>
    </w:r>
    <w:r w:rsidRPr="00C86F8F">
      <w:rPr>
        <w:sz w:val="20"/>
        <w:szCs w:val="20"/>
      </w:rPr>
      <w:fldChar w:fldCharType="end"/>
    </w:r>
  </w:p>
  <w:p w14:paraId="5E82B10E" w14:textId="77777777" w:rsidR="00194A6F" w:rsidRDefault="00194A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FEF2F" w14:textId="331C61FF" w:rsidR="00194A6F" w:rsidRPr="00C86F8F" w:rsidRDefault="00194A6F" w:rsidP="002A113E">
    <w:pPr>
      <w:pStyle w:val="Footer"/>
      <w:rPr>
        <w:sz w:val="20"/>
        <w:szCs w:val="20"/>
      </w:rPr>
    </w:pPr>
    <w:proofErr w:type="spellStart"/>
    <w:r w:rsidRPr="00C86F8F">
      <w:rPr>
        <w:sz w:val="20"/>
        <w:szCs w:val="20"/>
      </w:rPr>
      <w:t>Tecentriq</w:t>
    </w:r>
    <w:proofErr w:type="spellEnd"/>
    <w:r w:rsidRPr="00C86F8F">
      <w:rPr>
        <w:sz w:val="20"/>
        <w:szCs w:val="20"/>
        <w:vertAlign w:val="superscript"/>
      </w:rPr>
      <w:sym w:font="Symbol" w:char="F0D2"/>
    </w:r>
    <w:r w:rsidRPr="00C86F8F">
      <w:rPr>
        <w:sz w:val="20"/>
        <w:szCs w:val="20"/>
      </w:rPr>
      <w:t xml:space="preserve"> 19</w:t>
    </w:r>
    <w:r>
      <w:rPr>
        <w:sz w:val="20"/>
        <w:szCs w:val="20"/>
      </w:rPr>
      <w:t>1016</w:t>
    </w:r>
    <w:r w:rsidRPr="00C86F8F">
      <w:rPr>
        <w:sz w:val="20"/>
        <w:szCs w:val="20"/>
      </w:rPr>
      <w:tab/>
    </w:r>
    <w:r w:rsidRPr="00C86F8F">
      <w:rPr>
        <w:sz w:val="20"/>
        <w:szCs w:val="20"/>
      </w:rPr>
      <w:tab/>
    </w:r>
    <w:r w:rsidRPr="00C86F8F">
      <w:rPr>
        <w:sz w:val="20"/>
        <w:szCs w:val="20"/>
      </w:rPr>
      <w:fldChar w:fldCharType="begin"/>
    </w:r>
    <w:r w:rsidRPr="00C86F8F">
      <w:rPr>
        <w:sz w:val="20"/>
        <w:szCs w:val="20"/>
      </w:rPr>
      <w:instrText xml:space="preserve"> PAGE  \* Arabic  \* MERGEFORMAT </w:instrText>
    </w:r>
    <w:r w:rsidRPr="00C86F8F">
      <w:rPr>
        <w:sz w:val="20"/>
        <w:szCs w:val="20"/>
      </w:rPr>
      <w:fldChar w:fldCharType="separate"/>
    </w:r>
    <w:r>
      <w:rPr>
        <w:noProof/>
        <w:sz w:val="20"/>
        <w:szCs w:val="20"/>
      </w:rPr>
      <w:t>1</w:t>
    </w:r>
    <w:r w:rsidRPr="00C86F8F">
      <w:rPr>
        <w:sz w:val="20"/>
        <w:szCs w:val="20"/>
      </w:rPr>
      <w:fldChar w:fldCharType="end"/>
    </w:r>
  </w:p>
  <w:p w14:paraId="43C06B84" w14:textId="0F5183D3" w:rsidR="00194A6F" w:rsidRDefault="00194A6F" w:rsidP="00F07F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4D182" w14:textId="1E4C5147" w:rsidR="00194A6F" w:rsidRPr="00A94F3F" w:rsidRDefault="00194A6F">
    <w:pPr>
      <w:pStyle w:val="Footer"/>
      <w:rPr>
        <w:sz w:val="20"/>
        <w:szCs w:val="20"/>
      </w:rPr>
    </w:pPr>
    <w:r w:rsidRPr="00105D74">
      <w:rPr>
        <w:color w:val="000000"/>
        <w:sz w:val="20"/>
        <w:szCs w:val="20"/>
      </w:rPr>
      <w:t>roptecen10220</w:t>
    </w:r>
    <w:r w:rsidRPr="00A94F3F">
      <w:rPr>
        <w:color w:val="000000"/>
        <w:sz w:val="20"/>
        <w:szCs w:val="20"/>
      </w:rPr>
      <w:tab/>
    </w:r>
    <w:r w:rsidRPr="00A94F3F">
      <w:rPr>
        <w:color w:val="000000"/>
        <w:sz w:val="20"/>
        <w:szCs w:val="20"/>
      </w:rPr>
      <w:tab/>
    </w:r>
    <w:r w:rsidRPr="00A94F3F">
      <w:rPr>
        <w:color w:val="000000"/>
        <w:sz w:val="20"/>
        <w:szCs w:val="20"/>
      </w:rPr>
      <w:fldChar w:fldCharType="begin"/>
    </w:r>
    <w:r w:rsidRPr="00A94F3F">
      <w:rPr>
        <w:color w:val="000000"/>
        <w:sz w:val="20"/>
        <w:szCs w:val="20"/>
      </w:rPr>
      <w:instrText xml:space="preserve"> PAGE  \* Arabic  \* MERGEFORMAT </w:instrText>
    </w:r>
    <w:r w:rsidRPr="00A94F3F">
      <w:rPr>
        <w:color w:val="000000"/>
        <w:sz w:val="20"/>
        <w:szCs w:val="20"/>
      </w:rPr>
      <w:fldChar w:fldCharType="separate"/>
    </w:r>
    <w:r w:rsidR="007846E2">
      <w:rPr>
        <w:noProof/>
        <w:color w:val="000000"/>
        <w:sz w:val="20"/>
        <w:szCs w:val="20"/>
      </w:rPr>
      <w:t>48</w:t>
    </w:r>
    <w:r w:rsidRPr="00A94F3F">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17D1F" w14:textId="77777777" w:rsidR="00194A6F" w:rsidRDefault="00194A6F" w:rsidP="000471CA">
      <w:r>
        <w:separator/>
      </w:r>
    </w:p>
  </w:footnote>
  <w:footnote w:type="continuationSeparator" w:id="0">
    <w:p w14:paraId="6B6D9587" w14:textId="77777777" w:rsidR="00194A6F" w:rsidRDefault="00194A6F" w:rsidP="00047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EFA2F" w14:textId="77777777" w:rsidR="00194A6F" w:rsidRDefault="00194A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9ECA1" w14:textId="6AED6D31" w:rsidR="00194A6F" w:rsidRDefault="00194A6F">
    <w:pPr>
      <w:pStyle w:val="Header"/>
    </w:pPr>
  </w:p>
  <w:tbl>
    <w:tblPr>
      <w:tblStyle w:val="TableGrid"/>
      <w:tblW w:w="0" w:type="auto"/>
      <w:shd w:val="clear" w:color="auto" w:fill="E4F2E0"/>
      <w:tblLook w:val="04A0" w:firstRow="1" w:lastRow="0" w:firstColumn="1" w:lastColumn="0" w:noHBand="0" w:noVBand="1"/>
    </w:tblPr>
    <w:tblGrid>
      <w:gridCol w:w="8720"/>
    </w:tblGrid>
    <w:tr w:rsidR="00194A6F" w:rsidRPr="000B2145" w14:paraId="4CD693D5" w14:textId="77777777" w:rsidTr="00194A6F">
      <w:trPr>
        <w:trHeight w:val="590"/>
      </w:trPr>
      <w:tc>
        <w:tcPr>
          <w:tcW w:w="8720" w:type="dxa"/>
          <w:shd w:val="clear" w:color="auto" w:fill="E4F2E0"/>
        </w:tcPr>
        <w:p w14:paraId="69B48170" w14:textId="77777777" w:rsidR="00194A6F" w:rsidRPr="000B2145" w:rsidRDefault="00194A6F" w:rsidP="00194A6F">
          <w:pPr>
            <w:pStyle w:val="Footer"/>
            <w:rPr>
              <w:b/>
              <w:sz w:val="18"/>
              <w:szCs w:val="18"/>
            </w:rPr>
          </w:pPr>
          <w:r w:rsidRPr="005C5A3A">
            <w:rPr>
              <w:b/>
              <w:sz w:val="18"/>
              <w:szCs w:val="18"/>
            </w:rPr>
            <w:t xml:space="preserve">AusPAR </w:t>
          </w:r>
          <w:proofErr w:type="spellStart"/>
          <w:r w:rsidRPr="005C5A3A">
            <w:rPr>
              <w:b/>
              <w:sz w:val="18"/>
              <w:szCs w:val="18"/>
            </w:rPr>
            <w:t>Tecentriq</w:t>
          </w:r>
          <w:proofErr w:type="spellEnd"/>
          <w:r w:rsidRPr="005C5A3A">
            <w:rPr>
              <w:b/>
              <w:sz w:val="18"/>
              <w:szCs w:val="18"/>
            </w:rPr>
            <w:t xml:space="preserve"> </w:t>
          </w:r>
          <w:proofErr w:type="spellStart"/>
          <w:r w:rsidRPr="005C5A3A">
            <w:rPr>
              <w:b/>
              <w:sz w:val="18"/>
              <w:szCs w:val="18"/>
            </w:rPr>
            <w:t>atezolizumab</w:t>
          </w:r>
          <w:proofErr w:type="spellEnd"/>
          <w:r w:rsidRPr="005C5A3A">
            <w:rPr>
              <w:b/>
              <w:sz w:val="18"/>
              <w:szCs w:val="18"/>
            </w:rPr>
            <w:t xml:space="preserve"> Roche Products Pty Ltd PM-2019-00505-1-4</w:t>
          </w:r>
          <w:r>
            <w:rPr>
              <w:b/>
              <w:sz w:val="18"/>
              <w:szCs w:val="18"/>
            </w:rPr>
            <w:t xml:space="preserve"> </w:t>
          </w:r>
          <w:r w:rsidRPr="005C5A3A">
            <w:rPr>
              <w:b/>
              <w:sz w:val="18"/>
              <w:szCs w:val="18"/>
            </w:rPr>
            <w:t>Final 4 June 2020</w:t>
          </w:r>
          <w:r w:rsidRPr="000B2145">
            <w:rPr>
              <w:b/>
              <w:sz w:val="18"/>
              <w:szCs w:val="18"/>
            </w:rPr>
            <w:t>. This is the Product Information that was approved with the submission described in this AusPAR. It may have been superseded. For the most recent PI, please refer to the TGA website at &lt;</w:t>
          </w:r>
          <w:hyperlink r:id="rId1" w:history="1">
            <w:r w:rsidRPr="000B2145">
              <w:rPr>
                <w:rStyle w:val="Hyperlink"/>
                <w:sz w:val="18"/>
                <w:szCs w:val="18"/>
              </w:rPr>
              <w:t>https://www.tga.gov.au/product-information-pi</w:t>
            </w:r>
          </w:hyperlink>
          <w:r w:rsidRPr="000B2145">
            <w:rPr>
              <w:b/>
              <w:sz w:val="18"/>
              <w:szCs w:val="18"/>
              <w:u w:val="single"/>
            </w:rPr>
            <w:t>&gt;</w:t>
          </w:r>
        </w:p>
      </w:tc>
    </w:tr>
  </w:tbl>
  <w:p w14:paraId="5D2A916C" w14:textId="77777777" w:rsidR="00194A6F" w:rsidRDefault="00194A6F" w:rsidP="00194A6F">
    <w:pPr>
      <w:pStyle w:val="Header"/>
      <w:jc w:val="left"/>
      <w:rPr>
        <w:b/>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C2EC3" w14:textId="4DB7A945" w:rsidR="00194A6F" w:rsidRDefault="00194A6F">
    <w:pPr>
      <w:pStyle w:val="Header"/>
    </w:pPr>
  </w:p>
  <w:p w14:paraId="19E59D7A" w14:textId="2F7E1DBC" w:rsidR="00194A6F" w:rsidRDefault="00194A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7CB75" w14:textId="77777777" w:rsidR="007846E2" w:rsidRDefault="007846E2" w:rsidP="007846E2"/>
  <w:tbl>
    <w:tblPr>
      <w:tblStyle w:val="TableGrid"/>
      <w:tblW w:w="0" w:type="auto"/>
      <w:shd w:val="clear" w:color="auto" w:fill="E4F2E0"/>
      <w:tblLook w:val="04A0" w:firstRow="1" w:lastRow="0" w:firstColumn="1" w:lastColumn="0" w:noHBand="0" w:noVBand="1"/>
    </w:tblPr>
    <w:tblGrid>
      <w:gridCol w:w="8720"/>
    </w:tblGrid>
    <w:tr w:rsidR="007846E2" w:rsidRPr="000B2145" w14:paraId="5CB49B38" w14:textId="77777777" w:rsidTr="00F23D11">
      <w:trPr>
        <w:trHeight w:val="590"/>
      </w:trPr>
      <w:tc>
        <w:tcPr>
          <w:tcW w:w="8720" w:type="dxa"/>
          <w:shd w:val="clear" w:color="auto" w:fill="E4F2E0"/>
        </w:tcPr>
        <w:p w14:paraId="693CCDEB" w14:textId="77777777" w:rsidR="007846E2" w:rsidRPr="000B2145" w:rsidRDefault="007846E2" w:rsidP="007846E2">
          <w:pPr>
            <w:pStyle w:val="Footer"/>
            <w:rPr>
              <w:b/>
              <w:sz w:val="18"/>
              <w:szCs w:val="18"/>
            </w:rPr>
          </w:pPr>
          <w:r w:rsidRPr="005C5A3A">
            <w:rPr>
              <w:b/>
              <w:sz w:val="18"/>
              <w:szCs w:val="18"/>
            </w:rPr>
            <w:t xml:space="preserve">AusPAR </w:t>
          </w:r>
          <w:proofErr w:type="spellStart"/>
          <w:r w:rsidRPr="005C5A3A">
            <w:rPr>
              <w:b/>
              <w:sz w:val="18"/>
              <w:szCs w:val="18"/>
            </w:rPr>
            <w:t>Tecentriq</w:t>
          </w:r>
          <w:proofErr w:type="spellEnd"/>
          <w:r w:rsidRPr="005C5A3A">
            <w:rPr>
              <w:b/>
              <w:sz w:val="18"/>
              <w:szCs w:val="18"/>
            </w:rPr>
            <w:t xml:space="preserve"> </w:t>
          </w:r>
          <w:proofErr w:type="spellStart"/>
          <w:r w:rsidRPr="005C5A3A">
            <w:rPr>
              <w:b/>
              <w:sz w:val="18"/>
              <w:szCs w:val="18"/>
            </w:rPr>
            <w:t>atezolizumab</w:t>
          </w:r>
          <w:proofErr w:type="spellEnd"/>
          <w:r w:rsidRPr="005C5A3A">
            <w:rPr>
              <w:b/>
              <w:sz w:val="18"/>
              <w:szCs w:val="18"/>
            </w:rPr>
            <w:t xml:space="preserve"> Roche Products Pty Ltd PM-2019-00505-1-4</w:t>
          </w:r>
          <w:r>
            <w:rPr>
              <w:b/>
              <w:sz w:val="18"/>
              <w:szCs w:val="18"/>
            </w:rPr>
            <w:t xml:space="preserve"> </w:t>
          </w:r>
          <w:r w:rsidRPr="005C5A3A">
            <w:rPr>
              <w:b/>
              <w:sz w:val="18"/>
              <w:szCs w:val="18"/>
            </w:rPr>
            <w:t>Final 4 June 2020</w:t>
          </w:r>
          <w:r w:rsidRPr="000B2145">
            <w:rPr>
              <w:b/>
              <w:sz w:val="18"/>
              <w:szCs w:val="18"/>
            </w:rPr>
            <w:t>. This is the Product Information that was approved with the submission described in this AusPAR. It may have been superseded. For the most recent PI, please refer to the TGA website at &lt;</w:t>
          </w:r>
          <w:hyperlink r:id="rId1" w:history="1">
            <w:r w:rsidRPr="000B2145">
              <w:rPr>
                <w:rStyle w:val="Hyperlink"/>
                <w:sz w:val="18"/>
                <w:szCs w:val="18"/>
              </w:rPr>
              <w:t>https://www.tga.gov.au/product-information-pi</w:t>
            </w:r>
          </w:hyperlink>
          <w:r w:rsidRPr="000B2145">
            <w:rPr>
              <w:b/>
              <w:sz w:val="18"/>
              <w:szCs w:val="18"/>
              <w:u w:val="single"/>
            </w:rPr>
            <w:t>&gt;</w:t>
          </w:r>
        </w:p>
      </w:tc>
    </w:tr>
  </w:tbl>
  <w:p w14:paraId="04B4F84E" w14:textId="0A7D89AD" w:rsidR="00194A6F" w:rsidRPr="000471CA" w:rsidRDefault="00194A6F" w:rsidP="007846E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33C"/>
    <w:multiLevelType w:val="hybridMultilevel"/>
    <w:tmpl w:val="65B2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D02695"/>
    <w:multiLevelType w:val="hybridMultilevel"/>
    <w:tmpl w:val="C6D80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18A02F2"/>
    <w:multiLevelType w:val="hybridMultilevel"/>
    <w:tmpl w:val="2870DC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D37F6C"/>
    <w:multiLevelType w:val="hybridMultilevel"/>
    <w:tmpl w:val="56A8FEA4"/>
    <w:lvl w:ilvl="0" w:tplc="6FDA7D06">
      <w:start w:val="1"/>
      <w:numFmt w:val="lowerLetter"/>
      <w:lvlText w:val="%1."/>
      <w:lvlJc w:val="left"/>
      <w:pPr>
        <w:ind w:left="360" w:hanging="360"/>
      </w:pPr>
      <w:rPr>
        <w:vertAlign w:val="superscript"/>
      </w:rPr>
    </w:lvl>
    <w:lvl w:ilvl="1" w:tplc="E318C928" w:tentative="1">
      <w:start w:val="1"/>
      <w:numFmt w:val="lowerLetter"/>
      <w:lvlText w:val="%2."/>
      <w:lvlJc w:val="left"/>
      <w:pPr>
        <w:ind w:left="1080" w:hanging="360"/>
      </w:pPr>
    </w:lvl>
    <w:lvl w:ilvl="2" w:tplc="88C466D6" w:tentative="1">
      <w:start w:val="1"/>
      <w:numFmt w:val="lowerRoman"/>
      <w:lvlText w:val="%3."/>
      <w:lvlJc w:val="right"/>
      <w:pPr>
        <w:ind w:left="1800" w:hanging="180"/>
      </w:pPr>
    </w:lvl>
    <w:lvl w:ilvl="3" w:tplc="BFE2B8FE" w:tentative="1">
      <w:start w:val="1"/>
      <w:numFmt w:val="decimal"/>
      <w:lvlText w:val="%4."/>
      <w:lvlJc w:val="left"/>
      <w:pPr>
        <w:ind w:left="2520" w:hanging="360"/>
      </w:pPr>
    </w:lvl>
    <w:lvl w:ilvl="4" w:tplc="A0AA2BF2" w:tentative="1">
      <w:start w:val="1"/>
      <w:numFmt w:val="lowerLetter"/>
      <w:lvlText w:val="%5."/>
      <w:lvlJc w:val="left"/>
      <w:pPr>
        <w:ind w:left="3240" w:hanging="360"/>
      </w:pPr>
    </w:lvl>
    <w:lvl w:ilvl="5" w:tplc="35346BF2" w:tentative="1">
      <w:start w:val="1"/>
      <w:numFmt w:val="lowerRoman"/>
      <w:lvlText w:val="%6."/>
      <w:lvlJc w:val="right"/>
      <w:pPr>
        <w:ind w:left="3960" w:hanging="180"/>
      </w:pPr>
    </w:lvl>
    <w:lvl w:ilvl="6" w:tplc="BB0C5FC0" w:tentative="1">
      <w:start w:val="1"/>
      <w:numFmt w:val="decimal"/>
      <w:lvlText w:val="%7."/>
      <w:lvlJc w:val="left"/>
      <w:pPr>
        <w:ind w:left="4680" w:hanging="360"/>
      </w:pPr>
    </w:lvl>
    <w:lvl w:ilvl="7" w:tplc="D2AA57F4" w:tentative="1">
      <w:start w:val="1"/>
      <w:numFmt w:val="lowerLetter"/>
      <w:lvlText w:val="%8."/>
      <w:lvlJc w:val="left"/>
      <w:pPr>
        <w:ind w:left="5400" w:hanging="360"/>
      </w:pPr>
    </w:lvl>
    <w:lvl w:ilvl="8" w:tplc="8982BFA4" w:tentative="1">
      <w:start w:val="1"/>
      <w:numFmt w:val="lowerRoman"/>
      <w:lvlText w:val="%9."/>
      <w:lvlJc w:val="right"/>
      <w:pPr>
        <w:ind w:left="6120" w:hanging="180"/>
      </w:pPr>
    </w:lvl>
  </w:abstractNum>
  <w:abstractNum w:abstractNumId="4" w15:restartNumberingAfterBreak="0">
    <w:nsid w:val="12E20D73"/>
    <w:multiLevelType w:val="hybridMultilevel"/>
    <w:tmpl w:val="2D1C0018"/>
    <w:lvl w:ilvl="0" w:tplc="2DDA7B50">
      <w:numFmt w:val="bullet"/>
      <w:lvlText w:val="-"/>
      <w:lvlJc w:val="left"/>
      <w:pPr>
        <w:ind w:left="720" w:hanging="360"/>
      </w:pPr>
      <w:rPr>
        <w:rFonts w:ascii="Times New Roman" w:eastAsia="PMingLiU"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31759D"/>
    <w:multiLevelType w:val="hybridMultilevel"/>
    <w:tmpl w:val="39A285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307EA1"/>
    <w:multiLevelType w:val="hybridMultilevel"/>
    <w:tmpl w:val="73E0C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C67C3E"/>
    <w:multiLevelType w:val="hybridMultilevel"/>
    <w:tmpl w:val="CF6AB2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885B5F"/>
    <w:multiLevelType w:val="hybridMultilevel"/>
    <w:tmpl w:val="C9403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6E40AC"/>
    <w:multiLevelType w:val="hybridMultilevel"/>
    <w:tmpl w:val="9D6E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3752D"/>
    <w:multiLevelType w:val="hybridMultilevel"/>
    <w:tmpl w:val="FCC2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F70ADF"/>
    <w:multiLevelType w:val="hybridMultilevel"/>
    <w:tmpl w:val="C9928AB2"/>
    <w:lvl w:ilvl="0" w:tplc="B97A2034">
      <w:numFmt w:val="bullet"/>
      <w:lvlText w:val="-"/>
      <w:lvlJc w:val="left"/>
      <w:pPr>
        <w:ind w:left="720" w:hanging="360"/>
      </w:pPr>
      <w:rPr>
        <w:rFonts w:ascii="Times New Roman" w:eastAsia="PMingLiU"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0F0723"/>
    <w:multiLevelType w:val="hybridMultilevel"/>
    <w:tmpl w:val="0A74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F617D"/>
    <w:multiLevelType w:val="hybridMultilevel"/>
    <w:tmpl w:val="8E26DF9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34936"/>
    <w:multiLevelType w:val="hybridMultilevel"/>
    <w:tmpl w:val="AF6A08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DA1D10"/>
    <w:multiLevelType w:val="hybridMultilevel"/>
    <w:tmpl w:val="3A682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84908B6"/>
    <w:multiLevelType w:val="hybridMultilevel"/>
    <w:tmpl w:val="B36CA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3065D"/>
    <w:multiLevelType w:val="hybridMultilevel"/>
    <w:tmpl w:val="BFE0A17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8C5914"/>
    <w:multiLevelType w:val="hybridMultilevel"/>
    <w:tmpl w:val="EDEAC6D6"/>
    <w:lvl w:ilvl="0" w:tplc="3D8E0090">
      <w:start w:val="1"/>
      <w:numFmt w:val="bullet"/>
      <w:lvlText w:val="‡"/>
      <w:lvlJc w:val="left"/>
      <w:pPr>
        <w:ind w:left="360" w:hanging="360"/>
      </w:pPr>
      <w:rPr>
        <w:rFonts w:ascii="Arial" w:hAnsi="Arial" w:hint="default"/>
        <w:vertAlign w:val="superscript"/>
      </w:rPr>
    </w:lvl>
    <w:lvl w:ilvl="1" w:tplc="9D4CD47A" w:tentative="1">
      <w:start w:val="1"/>
      <w:numFmt w:val="bullet"/>
      <w:lvlText w:val="o"/>
      <w:lvlJc w:val="left"/>
      <w:pPr>
        <w:ind w:left="1080" w:hanging="360"/>
      </w:pPr>
      <w:rPr>
        <w:rFonts w:ascii="Courier New" w:hAnsi="Courier New" w:cs="Courier New" w:hint="default"/>
      </w:rPr>
    </w:lvl>
    <w:lvl w:ilvl="2" w:tplc="D2BAD024" w:tentative="1">
      <w:start w:val="1"/>
      <w:numFmt w:val="bullet"/>
      <w:lvlText w:val=""/>
      <w:lvlJc w:val="left"/>
      <w:pPr>
        <w:ind w:left="1800" w:hanging="360"/>
      </w:pPr>
      <w:rPr>
        <w:rFonts w:ascii="Wingdings" w:hAnsi="Wingdings" w:hint="default"/>
      </w:rPr>
    </w:lvl>
    <w:lvl w:ilvl="3" w:tplc="9A90F078" w:tentative="1">
      <w:start w:val="1"/>
      <w:numFmt w:val="bullet"/>
      <w:lvlText w:val=""/>
      <w:lvlJc w:val="left"/>
      <w:pPr>
        <w:ind w:left="2520" w:hanging="360"/>
      </w:pPr>
      <w:rPr>
        <w:rFonts w:ascii="Symbol" w:hAnsi="Symbol" w:hint="default"/>
      </w:rPr>
    </w:lvl>
    <w:lvl w:ilvl="4" w:tplc="D8B8AAB2" w:tentative="1">
      <w:start w:val="1"/>
      <w:numFmt w:val="bullet"/>
      <w:lvlText w:val="o"/>
      <w:lvlJc w:val="left"/>
      <w:pPr>
        <w:ind w:left="3240" w:hanging="360"/>
      </w:pPr>
      <w:rPr>
        <w:rFonts w:ascii="Courier New" w:hAnsi="Courier New" w:cs="Courier New" w:hint="default"/>
      </w:rPr>
    </w:lvl>
    <w:lvl w:ilvl="5" w:tplc="F6DE3450" w:tentative="1">
      <w:start w:val="1"/>
      <w:numFmt w:val="bullet"/>
      <w:lvlText w:val=""/>
      <w:lvlJc w:val="left"/>
      <w:pPr>
        <w:ind w:left="3960" w:hanging="360"/>
      </w:pPr>
      <w:rPr>
        <w:rFonts w:ascii="Wingdings" w:hAnsi="Wingdings" w:hint="default"/>
      </w:rPr>
    </w:lvl>
    <w:lvl w:ilvl="6" w:tplc="691E11FC" w:tentative="1">
      <w:start w:val="1"/>
      <w:numFmt w:val="bullet"/>
      <w:lvlText w:val=""/>
      <w:lvlJc w:val="left"/>
      <w:pPr>
        <w:ind w:left="4680" w:hanging="360"/>
      </w:pPr>
      <w:rPr>
        <w:rFonts w:ascii="Symbol" w:hAnsi="Symbol" w:hint="default"/>
      </w:rPr>
    </w:lvl>
    <w:lvl w:ilvl="7" w:tplc="331E86C8" w:tentative="1">
      <w:start w:val="1"/>
      <w:numFmt w:val="bullet"/>
      <w:lvlText w:val="o"/>
      <w:lvlJc w:val="left"/>
      <w:pPr>
        <w:ind w:left="5400" w:hanging="360"/>
      </w:pPr>
      <w:rPr>
        <w:rFonts w:ascii="Courier New" w:hAnsi="Courier New" w:cs="Courier New" w:hint="default"/>
      </w:rPr>
    </w:lvl>
    <w:lvl w:ilvl="8" w:tplc="4F38820E" w:tentative="1">
      <w:start w:val="1"/>
      <w:numFmt w:val="bullet"/>
      <w:lvlText w:val=""/>
      <w:lvlJc w:val="left"/>
      <w:pPr>
        <w:ind w:left="6120" w:hanging="360"/>
      </w:pPr>
      <w:rPr>
        <w:rFonts w:ascii="Wingdings" w:hAnsi="Wingdings" w:hint="default"/>
      </w:rPr>
    </w:lvl>
  </w:abstractNum>
  <w:abstractNum w:abstractNumId="19" w15:restartNumberingAfterBreak="0">
    <w:nsid w:val="3FF433D1"/>
    <w:multiLevelType w:val="hybridMultilevel"/>
    <w:tmpl w:val="B2446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767E7A"/>
    <w:multiLevelType w:val="hybridMultilevel"/>
    <w:tmpl w:val="C8062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A65CC2"/>
    <w:multiLevelType w:val="hybridMultilevel"/>
    <w:tmpl w:val="853600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173E3B"/>
    <w:multiLevelType w:val="hybridMultilevel"/>
    <w:tmpl w:val="17BE501C"/>
    <w:lvl w:ilvl="0" w:tplc="15A009CC">
      <w:start w:val="1"/>
      <w:numFmt w:val="bullet"/>
      <w:lvlText w:val=""/>
      <w:lvlJc w:val="left"/>
      <w:pPr>
        <w:ind w:left="360" w:hanging="360"/>
      </w:pPr>
      <w:rPr>
        <w:rFonts w:ascii="Symbol" w:hAnsi="Symbol" w:hint="default"/>
      </w:rPr>
    </w:lvl>
    <w:lvl w:ilvl="1" w:tplc="4288C004" w:tentative="1">
      <w:start w:val="1"/>
      <w:numFmt w:val="bullet"/>
      <w:lvlText w:val="o"/>
      <w:lvlJc w:val="left"/>
      <w:pPr>
        <w:ind w:left="1080" w:hanging="360"/>
      </w:pPr>
      <w:rPr>
        <w:rFonts w:ascii="Courier New" w:hAnsi="Courier New" w:cs="Courier New" w:hint="default"/>
      </w:rPr>
    </w:lvl>
    <w:lvl w:ilvl="2" w:tplc="D47C228C" w:tentative="1">
      <w:start w:val="1"/>
      <w:numFmt w:val="bullet"/>
      <w:lvlText w:val=""/>
      <w:lvlJc w:val="left"/>
      <w:pPr>
        <w:ind w:left="1800" w:hanging="360"/>
      </w:pPr>
      <w:rPr>
        <w:rFonts w:ascii="Wingdings" w:hAnsi="Wingdings" w:hint="default"/>
      </w:rPr>
    </w:lvl>
    <w:lvl w:ilvl="3" w:tplc="A072A564" w:tentative="1">
      <w:start w:val="1"/>
      <w:numFmt w:val="bullet"/>
      <w:lvlText w:val=""/>
      <w:lvlJc w:val="left"/>
      <w:pPr>
        <w:ind w:left="2520" w:hanging="360"/>
      </w:pPr>
      <w:rPr>
        <w:rFonts w:ascii="Symbol" w:hAnsi="Symbol" w:hint="default"/>
      </w:rPr>
    </w:lvl>
    <w:lvl w:ilvl="4" w:tplc="9C2834EC" w:tentative="1">
      <w:start w:val="1"/>
      <w:numFmt w:val="bullet"/>
      <w:lvlText w:val="o"/>
      <w:lvlJc w:val="left"/>
      <w:pPr>
        <w:ind w:left="3240" w:hanging="360"/>
      </w:pPr>
      <w:rPr>
        <w:rFonts w:ascii="Courier New" w:hAnsi="Courier New" w:cs="Courier New" w:hint="default"/>
      </w:rPr>
    </w:lvl>
    <w:lvl w:ilvl="5" w:tplc="975E884C" w:tentative="1">
      <w:start w:val="1"/>
      <w:numFmt w:val="bullet"/>
      <w:lvlText w:val=""/>
      <w:lvlJc w:val="left"/>
      <w:pPr>
        <w:ind w:left="3960" w:hanging="360"/>
      </w:pPr>
      <w:rPr>
        <w:rFonts w:ascii="Wingdings" w:hAnsi="Wingdings" w:hint="default"/>
      </w:rPr>
    </w:lvl>
    <w:lvl w:ilvl="6" w:tplc="2CE0D30C" w:tentative="1">
      <w:start w:val="1"/>
      <w:numFmt w:val="bullet"/>
      <w:lvlText w:val=""/>
      <w:lvlJc w:val="left"/>
      <w:pPr>
        <w:ind w:left="4680" w:hanging="360"/>
      </w:pPr>
      <w:rPr>
        <w:rFonts w:ascii="Symbol" w:hAnsi="Symbol" w:hint="default"/>
      </w:rPr>
    </w:lvl>
    <w:lvl w:ilvl="7" w:tplc="00CCE42A" w:tentative="1">
      <w:start w:val="1"/>
      <w:numFmt w:val="bullet"/>
      <w:lvlText w:val="o"/>
      <w:lvlJc w:val="left"/>
      <w:pPr>
        <w:ind w:left="5400" w:hanging="360"/>
      </w:pPr>
      <w:rPr>
        <w:rFonts w:ascii="Courier New" w:hAnsi="Courier New" w:cs="Courier New" w:hint="default"/>
      </w:rPr>
    </w:lvl>
    <w:lvl w:ilvl="8" w:tplc="E1ECAE02" w:tentative="1">
      <w:start w:val="1"/>
      <w:numFmt w:val="bullet"/>
      <w:lvlText w:val=""/>
      <w:lvlJc w:val="left"/>
      <w:pPr>
        <w:ind w:left="6120" w:hanging="360"/>
      </w:pPr>
      <w:rPr>
        <w:rFonts w:ascii="Wingdings" w:hAnsi="Wingdings" w:hint="default"/>
      </w:rPr>
    </w:lvl>
  </w:abstractNum>
  <w:abstractNum w:abstractNumId="23" w15:restartNumberingAfterBreak="0">
    <w:nsid w:val="473F7F0B"/>
    <w:multiLevelType w:val="hybridMultilevel"/>
    <w:tmpl w:val="186A0B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88B4B31"/>
    <w:multiLevelType w:val="hybridMultilevel"/>
    <w:tmpl w:val="D6B46B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176C4C"/>
    <w:multiLevelType w:val="hybridMultilevel"/>
    <w:tmpl w:val="19147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B44ED6"/>
    <w:multiLevelType w:val="hybridMultilevel"/>
    <w:tmpl w:val="CAD008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E36455C"/>
    <w:multiLevelType w:val="hybridMultilevel"/>
    <w:tmpl w:val="6122BE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98673C"/>
    <w:multiLevelType w:val="hybridMultilevel"/>
    <w:tmpl w:val="98B28E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850546"/>
    <w:multiLevelType w:val="hybridMultilevel"/>
    <w:tmpl w:val="18747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1124AA"/>
    <w:multiLevelType w:val="hybridMultilevel"/>
    <w:tmpl w:val="DB6A26B8"/>
    <w:lvl w:ilvl="0" w:tplc="D9CABD14">
      <w:start w:val="1"/>
      <w:numFmt w:val="bullet"/>
      <w:pStyle w:val="Heading7"/>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B12FB0"/>
    <w:multiLevelType w:val="hybridMultilevel"/>
    <w:tmpl w:val="1FC2BC0C"/>
    <w:lvl w:ilvl="0" w:tplc="1AA45F54">
      <w:start w:val="1"/>
      <w:numFmt w:val="bullet"/>
      <w:lvlText w:val=""/>
      <w:lvlJc w:val="left"/>
      <w:pPr>
        <w:ind w:left="360" w:hanging="360"/>
      </w:pPr>
      <w:rPr>
        <w:rFonts w:ascii="Symbol" w:hAnsi="Symbol" w:hint="default"/>
        <w:vertAlign w:val="superscript"/>
      </w:rPr>
    </w:lvl>
    <w:lvl w:ilvl="1" w:tplc="9D4CD47A" w:tentative="1">
      <w:start w:val="1"/>
      <w:numFmt w:val="bullet"/>
      <w:lvlText w:val="o"/>
      <w:lvlJc w:val="left"/>
      <w:pPr>
        <w:ind w:left="1080" w:hanging="360"/>
      </w:pPr>
      <w:rPr>
        <w:rFonts w:ascii="Courier New" w:hAnsi="Courier New" w:cs="Courier New" w:hint="default"/>
      </w:rPr>
    </w:lvl>
    <w:lvl w:ilvl="2" w:tplc="D2BAD024" w:tentative="1">
      <w:start w:val="1"/>
      <w:numFmt w:val="bullet"/>
      <w:lvlText w:val=""/>
      <w:lvlJc w:val="left"/>
      <w:pPr>
        <w:ind w:left="1800" w:hanging="360"/>
      </w:pPr>
      <w:rPr>
        <w:rFonts w:ascii="Wingdings" w:hAnsi="Wingdings" w:hint="default"/>
      </w:rPr>
    </w:lvl>
    <w:lvl w:ilvl="3" w:tplc="9A90F078" w:tentative="1">
      <w:start w:val="1"/>
      <w:numFmt w:val="bullet"/>
      <w:lvlText w:val=""/>
      <w:lvlJc w:val="left"/>
      <w:pPr>
        <w:ind w:left="2520" w:hanging="360"/>
      </w:pPr>
      <w:rPr>
        <w:rFonts w:ascii="Symbol" w:hAnsi="Symbol" w:hint="default"/>
      </w:rPr>
    </w:lvl>
    <w:lvl w:ilvl="4" w:tplc="D8B8AAB2" w:tentative="1">
      <w:start w:val="1"/>
      <w:numFmt w:val="bullet"/>
      <w:lvlText w:val="o"/>
      <w:lvlJc w:val="left"/>
      <w:pPr>
        <w:ind w:left="3240" w:hanging="360"/>
      </w:pPr>
      <w:rPr>
        <w:rFonts w:ascii="Courier New" w:hAnsi="Courier New" w:cs="Courier New" w:hint="default"/>
      </w:rPr>
    </w:lvl>
    <w:lvl w:ilvl="5" w:tplc="F6DE3450" w:tentative="1">
      <w:start w:val="1"/>
      <w:numFmt w:val="bullet"/>
      <w:lvlText w:val=""/>
      <w:lvlJc w:val="left"/>
      <w:pPr>
        <w:ind w:left="3960" w:hanging="360"/>
      </w:pPr>
      <w:rPr>
        <w:rFonts w:ascii="Wingdings" w:hAnsi="Wingdings" w:hint="default"/>
      </w:rPr>
    </w:lvl>
    <w:lvl w:ilvl="6" w:tplc="691E11FC" w:tentative="1">
      <w:start w:val="1"/>
      <w:numFmt w:val="bullet"/>
      <w:lvlText w:val=""/>
      <w:lvlJc w:val="left"/>
      <w:pPr>
        <w:ind w:left="4680" w:hanging="360"/>
      </w:pPr>
      <w:rPr>
        <w:rFonts w:ascii="Symbol" w:hAnsi="Symbol" w:hint="default"/>
      </w:rPr>
    </w:lvl>
    <w:lvl w:ilvl="7" w:tplc="331E86C8" w:tentative="1">
      <w:start w:val="1"/>
      <w:numFmt w:val="bullet"/>
      <w:lvlText w:val="o"/>
      <w:lvlJc w:val="left"/>
      <w:pPr>
        <w:ind w:left="5400" w:hanging="360"/>
      </w:pPr>
      <w:rPr>
        <w:rFonts w:ascii="Courier New" w:hAnsi="Courier New" w:cs="Courier New" w:hint="default"/>
      </w:rPr>
    </w:lvl>
    <w:lvl w:ilvl="8" w:tplc="4F38820E" w:tentative="1">
      <w:start w:val="1"/>
      <w:numFmt w:val="bullet"/>
      <w:lvlText w:val=""/>
      <w:lvlJc w:val="left"/>
      <w:pPr>
        <w:ind w:left="6120" w:hanging="360"/>
      </w:pPr>
      <w:rPr>
        <w:rFonts w:ascii="Wingdings" w:hAnsi="Wingdings" w:hint="default"/>
      </w:rPr>
    </w:lvl>
  </w:abstractNum>
  <w:abstractNum w:abstractNumId="32" w15:restartNumberingAfterBreak="0">
    <w:nsid w:val="561C4AC1"/>
    <w:multiLevelType w:val="hybridMultilevel"/>
    <w:tmpl w:val="1E3E9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C4557C"/>
    <w:multiLevelType w:val="hybridMultilevel"/>
    <w:tmpl w:val="575AA1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79536DF"/>
    <w:multiLevelType w:val="hybridMultilevel"/>
    <w:tmpl w:val="407C3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8EE639E"/>
    <w:multiLevelType w:val="hybridMultilevel"/>
    <w:tmpl w:val="DD7C6C6C"/>
    <w:lvl w:ilvl="0" w:tplc="82520C92">
      <w:start w:val="1"/>
      <w:numFmt w:val="bullet"/>
      <w:pStyle w:val="HighlightListBulletBold"/>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89245C"/>
    <w:multiLevelType w:val="hybridMultilevel"/>
    <w:tmpl w:val="0A8282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99208EB"/>
    <w:multiLevelType w:val="hybridMultilevel"/>
    <w:tmpl w:val="8202013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B325764"/>
    <w:multiLevelType w:val="hybridMultilevel"/>
    <w:tmpl w:val="51F241D0"/>
    <w:lvl w:ilvl="0" w:tplc="E41ECDEE">
      <w:start w:val="1"/>
      <w:numFmt w:val="decimal"/>
      <w:lvlText w:val="%1."/>
      <w:lvlJc w:val="left"/>
      <w:pPr>
        <w:ind w:left="360" w:hanging="360"/>
      </w:pPr>
      <w:rPr>
        <w:vertAlign w:val="superscript"/>
      </w:rPr>
    </w:lvl>
    <w:lvl w:ilvl="1" w:tplc="9CB8C338" w:tentative="1">
      <w:start w:val="1"/>
      <w:numFmt w:val="lowerLetter"/>
      <w:lvlText w:val="%2."/>
      <w:lvlJc w:val="left"/>
      <w:pPr>
        <w:ind w:left="1080" w:hanging="360"/>
      </w:pPr>
    </w:lvl>
    <w:lvl w:ilvl="2" w:tplc="F392AFBA" w:tentative="1">
      <w:start w:val="1"/>
      <w:numFmt w:val="lowerRoman"/>
      <w:lvlText w:val="%3."/>
      <w:lvlJc w:val="right"/>
      <w:pPr>
        <w:ind w:left="1800" w:hanging="180"/>
      </w:pPr>
    </w:lvl>
    <w:lvl w:ilvl="3" w:tplc="E9D65C4C" w:tentative="1">
      <w:start w:val="1"/>
      <w:numFmt w:val="decimal"/>
      <w:lvlText w:val="%4."/>
      <w:lvlJc w:val="left"/>
      <w:pPr>
        <w:ind w:left="2520" w:hanging="360"/>
      </w:pPr>
    </w:lvl>
    <w:lvl w:ilvl="4" w:tplc="321AA0E2" w:tentative="1">
      <w:start w:val="1"/>
      <w:numFmt w:val="lowerLetter"/>
      <w:lvlText w:val="%5."/>
      <w:lvlJc w:val="left"/>
      <w:pPr>
        <w:ind w:left="3240" w:hanging="360"/>
      </w:pPr>
    </w:lvl>
    <w:lvl w:ilvl="5" w:tplc="7D4A27B6" w:tentative="1">
      <w:start w:val="1"/>
      <w:numFmt w:val="lowerRoman"/>
      <w:lvlText w:val="%6."/>
      <w:lvlJc w:val="right"/>
      <w:pPr>
        <w:ind w:left="3960" w:hanging="180"/>
      </w:pPr>
    </w:lvl>
    <w:lvl w:ilvl="6" w:tplc="D6A62956" w:tentative="1">
      <w:start w:val="1"/>
      <w:numFmt w:val="decimal"/>
      <w:lvlText w:val="%7."/>
      <w:lvlJc w:val="left"/>
      <w:pPr>
        <w:ind w:left="4680" w:hanging="360"/>
      </w:pPr>
    </w:lvl>
    <w:lvl w:ilvl="7" w:tplc="0C8489F6" w:tentative="1">
      <w:start w:val="1"/>
      <w:numFmt w:val="lowerLetter"/>
      <w:lvlText w:val="%8."/>
      <w:lvlJc w:val="left"/>
      <w:pPr>
        <w:ind w:left="5400" w:hanging="360"/>
      </w:pPr>
    </w:lvl>
    <w:lvl w:ilvl="8" w:tplc="2B4A3E2E" w:tentative="1">
      <w:start w:val="1"/>
      <w:numFmt w:val="lowerRoman"/>
      <w:lvlText w:val="%9."/>
      <w:lvlJc w:val="right"/>
      <w:pPr>
        <w:ind w:left="6120" w:hanging="180"/>
      </w:pPr>
    </w:lvl>
  </w:abstractNum>
  <w:abstractNum w:abstractNumId="39" w15:restartNumberingAfterBreak="0">
    <w:nsid w:val="5C4050C0"/>
    <w:multiLevelType w:val="hybridMultilevel"/>
    <w:tmpl w:val="4B36E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00682F"/>
    <w:multiLevelType w:val="hybridMultilevel"/>
    <w:tmpl w:val="2786A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03206B"/>
    <w:multiLevelType w:val="hybridMultilevel"/>
    <w:tmpl w:val="E47C3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3421C7"/>
    <w:multiLevelType w:val="hybridMultilevel"/>
    <w:tmpl w:val="13946F9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E6F79AA"/>
    <w:multiLevelType w:val="hybridMultilevel"/>
    <w:tmpl w:val="46C6979C"/>
    <w:lvl w:ilvl="0" w:tplc="A74ED0C8">
      <w:numFmt w:val="bullet"/>
      <w:lvlText w:val="-"/>
      <w:lvlJc w:val="left"/>
      <w:pPr>
        <w:ind w:left="720" w:hanging="360"/>
      </w:pPr>
      <w:rPr>
        <w:rFonts w:ascii="Times New Roman" w:eastAsia="PMingLiU"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EA0E3F"/>
    <w:multiLevelType w:val="hybridMultilevel"/>
    <w:tmpl w:val="03C61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BF79F6"/>
    <w:multiLevelType w:val="hybridMultilevel"/>
    <w:tmpl w:val="61D6C2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2C1342F"/>
    <w:multiLevelType w:val="hybridMultilevel"/>
    <w:tmpl w:val="49C0A7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5517558"/>
    <w:multiLevelType w:val="hybridMultilevel"/>
    <w:tmpl w:val="5A82A5A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115B1A"/>
    <w:multiLevelType w:val="hybridMultilevel"/>
    <w:tmpl w:val="74EE6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7D1857B0"/>
    <w:multiLevelType w:val="hybridMultilevel"/>
    <w:tmpl w:val="3CA4AB36"/>
    <w:lvl w:ilvl="0" w:tplc="CA34CED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E710943"/>
    <w:multiLevelType w:val="hybridMultilevel"/>
    <w:tmpl w:val="A308D46C"/>
    <w:lvl w:ilvl="0" w:tplc="60BA30E8">
      <w:start w:val="1"/>
      <w:numFmt w:val="lowerLetter"/>
      <w:lvlText w:val="%1."/>
      <w:lvlJc w:val="left"/>
      <w:pPr>
        <w:ind w:left="360" w:hanging="360"/>
      </w:pPr>
      <w:rPr>
        <w:vertAlign w:val="superscript"/>
      </w:rPr>
    </w:lvl>
    <w:lvl w:ilvl="1" w:tplc="9C74736A" w:tentative="1">
      <w:start w:val="1"/>
      <w:numFmt w:val="lowerLetter"/>
      <w:lvlText w:val="%2."/>
      <w:lvlJc w:val="left"/>
      <w:pPr>
        <w:ind w:left="1080" w:hanging="360"/>
      </w:pPr>
    </w:lvl>
    <w:lvl w:ilvl="2" w:tplc="4AD42B12" w:tentative="1">
      <w:start w:val="1"/>
      <w:numFmt w:val="lowerRoman"/>
      <w:lvlText w:val="%3."/>
      <w:lvlJc w:val="right"/>
      <w:pPr>
        <w:ind w:left="1800" w:hanging="180"/>
      </w:pPr>
    </w:lvl>
    <w:lvl w:ilvl="3" w:tplc="C4F8FDD2" w:tentative="1">
      <w:start w:val="1"/>
      <w:numFmt w:val="decimal"/>
      <w:lvlText w:val="%4."/>
      <w:lvlJc w:val="left"/>
      <w:pPr>
        <w:ind w:left="2520" w:hanging="360"/>
      </w:pPr>
    </w:lvl>
    <w:lvl w:ilvl="4" w:tplc="04989D66" w:tentative="1">
      <w:start w:val="1"/>
      <w:numFmt w:val="lowerLetter"/>
      <w:lvlText w:val="%5."/>
      <w:lvlJc w:val="left"/>
      <w:pPr>
        <w:ind w:left="3240" w:hanging="360"/>
      </w:pPr>
    </w:lvl>
    <w:lvl w:ilvl="5" w:tplc="BAB65408" w:tentative="1">
      <w:start w:val="1"/>
      <w:numFmt w:val="lowerRoman"/>
      <w:lvlText w:val="%6."/>
      <w:lvlJc w:val="right"/>
      <w:pPr>
        <w:ind w:left="3960" w:hanging="180"/>
      </w:pPr>
    </w:lvl>
    <w:lvl w:ilvl="6" w:tplc="0736F7B8" w:tentative="1">
      <w:start w:val="1"/>
      <w:numFmt w:val="decimal"/>
      <w:lvlText w:val="%7."/>
      <w:lvlJc w:val="left"/>
      <w:pPr>
        <w:ind w:left="4680" w:hanging="360"/>
      </w:pPr>
    </w:lvl>
    <w:lvl w:ilvl="7" w:tplc="17CAE2F4" w:tentative="1">
      <w:start w:val="1"/>
      <w:numFmt w:val="lowerLetter"/>
      <w:lvlText w:val="%8."/>
      <w:lvlJc w:val="left"/>
      <w:pPr>
        <w:ind w:left="5400" w:hanging="360"/>
      </w:pPr>
    </w:lvl>
    <w:lvl w:ilvl="8" w:tplc="481837FA" w:tentative="1">
      <w:start w:val="1"/>
      <w:numFmt w:val="lowerRoman"/>
      <w:lvlText w:val="%9."/>
      <w:lvlJc w:val="right"/>
      <w:pPr>
        <w:ind w:left="6120" w:hanging="180"/>
      </w:pPr>
    </w:lvl>
  </w:abstractNum>
  <w:num w:numId="1">
    <w:abstractNumId w:val="42"/>
  </w:num>
  <w:num w:numId="2">
    <w:abstractNumId w:val="2"/>
  </w:num>
  <w:num w:numId="3">
    <w:abstractNumId w:val="24"/>
  </w:num>
  <w:num w:numId="4">
    <w:abstractNumId w:val="17"/>
  </w:num>
  <w:num w:numId="5">
    <w:abstractNumId w:val="13"/>
  </w:num>
  <w:num w:numId="6">
    <w:abstractNumId w:val="30"/>
  </w:num>
  <w:num w:numId="7">
    <w:abstractNumId w:val="49"/>
  </w:num>
  <w:num w:numId="8">
    <w:abstractNumId w:val="0"/>
  </w:num>
  <w:num w:numId="9">
    <w:abstractNumId w:val="45"/>
  </w:num>
  <w:num w:numId="10">
    <w:abstractNumId w:val="12"/>
  </w:num>
  <w:num w:numId="11">
    <w:abstractNumId w:val="19"/>
  </w:num>
  <w:num w:numId="12">
    <w:abstractNumId w:val="11"/>
  </w:num>
  <w:num w:numId="13">
    <w:abstractNumId w:val="25"/>
  </w:num>
  <w:num w:numId="14">
    <w:abstractNumId w:val="47"/>
  </w:num>
  <w:num w:numId="15">
    <w:abstractNumId w:val="23"/>
  </w:num>
  <w:num w:numId="16">
    <w:abstractNumId w:val="36"/>
  </w:num>
  <w:num w:numId="17">
    <w:abstractNumId w:val="15"/>
  </w:num>
  <w:num w:numId="18">
    <w:abstractNumId w:val="5"/>
  </w:num>
  <w:num w:numId="19">
    <w:abstractNumId w:val="28"/>
  </w:num>
  <w:num w:numId="20">
    <w:abstractNumId w:val="46"/>
  </w:num>
  <w:num w:numId="21">
    <w:abstractNumId w:val="1"/>
  </w:num>
  <w:num w:numId="22">
    <w:abstractNumId w:val="14"/>
  </w:num>
  <w:num w:numId="23">
    <w:abstractNumId w:val="48"/>
  </w:num>
  <w:num w:numId="24">
    <w:abstractNumId w:val="29"/>
  </w:num>
  <w:num w:numId="25">
    <w:abstractNumId w:val="33"/>
  </w:num>
  <w:num w:numId="26">
    <w:abstractNumId w:val="34"/>
  </w:num>
  <w:num w:numId="27">
    <w:abstractNumId w:val="7"/>
  </w:num>
  <w:num w:numId="28">
    <w:abstractNumId w:val="20"/>
  </w:num>
  <w:num w:numId="29">
    <w:abstractNumId w:val="37"/>
  </w:num>
  <w:num w:numId="30">
    <w:abstractNumId w:val="39"/>
  </w:num>
  <w:num w:numId="31">
    <w:abstractNumId w:val="9"/>
  </w:num>
  <w:num w:numId="32">
    <w:abstractNumId w:val="44"/>
  </w:num>
  <w:num w:numId="33">
    <w:abstractNumId w:val="8"/>
  </w:num>
  <w:num w:numId="34">
    <w:abstractNumId w:val="50"/>
  </w:num>
  <w:num w:numId="35">
    <w:abstractNumId w:val="4"/>
  </w:num>
  <w:num w:numId="36">
    <w:abstractNumId w:val="27"/>
  </w:num>
  <w:num w:numId="37">
    <w:abstractNumId w:val="6"/>
  </w:num>
  <w:num w:numId="38">
    <w:abstractNumId w:val="26"/>
  </w:num>
  <w:num w:numId="39">
    <w:abstractNumId w:val="3"/>
  </w:num>
  <w:num w:numId="40">
    <w:abstractNumId w:val="22"/>
  </w:num>
  <w:num w:numId="41">
    <w:abstractNumId w:val="31"/>
  </w:num>
  <w:num w:numId="42">
    <w:abstractNumId w:val="18"/>
  </w:num>
  <w:num w:numId="43">
    <w:abstractNumId w:val="43"/>
  </w:num>
  <w:num w:numId="44">
    <w:abstractNumId w:val="10"/>
  </w:num>
  <w:num w:numId="45">
    <w:abstractNumId w:val="40"/>
  </w:num>
  <w:num w:numId="46">
    <w:abstractNumId w:val="32"/>
  </w:num>
  <w:num w:numId="47">
    <w:abstractNumId w:val="41"/>
  </w:num>
  <w:num w:numId="48">
    <w:abstractNumId w:val="16"/>
  </w:num>
  <w:num w:numId="49">
    <w:abstractNumId w:val="35"/>
  </w:num>
  <w:num w:numId="50">
    <w:abstractNumId w:val="21"/>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1D1"/>
    <w:rsid w:val="00001CA9"/>
    <w:rsid w:val="00011650"/>
    <w:rsid w:val="00013B67"/>
    <w:rsid w:val="00016089"/>
    <w:rsid w:val="00021CD9"/>
    <w:rsid w:val="000220F4"/>
    <w:rsid w:val="00031EC1"/>
    <w:rsid w:val="00033423"/>
    <w:rsid w:val="000429A8"/>
    <w:rsid w:val="00045E59"/>
    <w:rsid w:val="000471CA"/>
    <w:rsid w:val="00052CB8"/>
    <w:rsid w:val="00056DB8"/>
    <w:rsid w:val="00060398"/>
    <w:rsid w:val="000646FB"/>
    <w:rsid w:val="00067715"/>
    <w:rsid w:val="000713A4"/>
    <w:rsid w:val="00074237"/>
    <w:rsid w:val="0007616A"/>
    <w:rsid w:val="00093012"/>
    <w:rsid w:val="000A0006"/>
    <w:rsid w:val="000A5706"/>
    <w:rsid w:val="000A606B"/>
    <w:rsid w:val="000B0D89"/>
    <w:rsid w:val="000B118C"/>
    <w:rsid w:val="000B1908"/>
    <w:rsid w:val="000C0856"/>
    <w:rsid w:val="000C47FD"/>
    <w:rsid w:val="000D0EAC"/>
    <w:rsid w:val="000E1242"/>
    <w:rsid w:val="000E153D"/>
    <w:rsid w:val="000E4C61"/>
    <w:rsid w:val="000E6320"/>
    <w:rsid w:val="000E7DB1"/>
    <w:rsid w:val="00100867"/>
    <w:rsid w:val="00101BE5"/>
    <w:rsid w:val="00103B61"/>
    <w:rsid w:val="00105D74"/>
    <w:rsid w:val="0011064F"/>
    <w:rsid w:val="001134B1"/>
    <w:rsid w:val="00123F23"/>
    <w:rsid w:val="001242B9"/>
    <w:rsid w:val="001249D7"/>
    <w:rsid w:val="001260F0"/>
    <w:rsid w:val="00131A2C"/>
    <w:rsid w:val="00131CAE"/>
    <w:rsid w:val="00133874"/>
    <w:rsid w:val="001467C3"/>
    <w:rsid w:val="00151F34"/>
    <w:rsid w:val="00152871"/>
    <w:rsid w:val="00157600"/>
    <w:rsid w:val="00167804"/>
    <w:rsid w:val="0017004B"/>
    <w:rsid w:val="00173738"/>
    <w:rsid w:val="00174D90"/>
    <w:rsid w:val="001750CE"/>
    <w:rsid w:val="0017613B"/>
    <w:rsid w:val="00184B10"/>
    <w:rsid w:val="00194A6F"/>
    <w:rsid w:val="001970F4"/>
    <w:rsid w:val="00197527"/>
    <w:rsid w:val="001B5468"/>
    <w:rsid w:val="001C00FE"/>
    <w:rsid w:val="001C077E"/>
    <w:rsid w:val="001C2734"/>
    <w:rsid w:val="001D04CB"/>
    <w:rsid w:val="001E08F3"/>
    <w:rsid w:val="001E3D4F"/>
    <w:rsid w:val="001F16C8"/>
    <w:rsid w:val="00202A1D"/>
    <w:rsid w:val="00213F31"/>
    <w:rsid w:val="00217798"/>
    <w:rsid w:val="00221709"/>
    <w:rsid w:val="002241A9"/>
    <w:rsid w:val="002244DE"/>
    <w:rsid w:val="00225D59"/>
    <w:rsid w:val="0023156F"/>
    <w:rsid w:val="00241723"/>
    <w:rsid w:val="002420D7"/>
    <w:rsid w:val="00243174"/>
    <w:rsid w:val="002556A9"/>
    <w:rsid w:val="00257A66"/>
    <w:rsid w:val="00262CF4"/>
    <w:rsid w:val="00270340"/>
    <w:rsid w:val="002712E6"/>
    <w:rsid w:val="002826AB"/>
    <w:rsid w:val="00285581"/>
    <w:rsid w:val="00290884"/>
    <w:rsid w:val="002919A2"/>
    <w:rsid w:val="00294A2D"/>
    <w:rsid w:val="002A066E"/>
    <w:rsid w:val="002A113E"/>
    <w:rsid w:val="002A2E67"/>
    <w:rsid w:val="002A4E9C"/>
    <w:rsid w:val="002B0C7F"/>
    <w:rsid w:val="002B1F83"/>
    <w:rsid w:val="002B3AC3"/>
    <w:rsid w:val="002B6485"/>
    <w:rsid w:val="002B6AB9"/>
    <w:rsid w:val="002B76D3"/>
    <w:rsid w:val="002C2519"/>
    <w:rsid w:val="002C2FD1"/>
    <w:rsid w:val="002C5796"/>
    <w:rsid w:val="002C7D36"/>
    <w:rsid w:val="002C7EA8"/>
    <w:rsid w:val="002D0396"/>
    <w:rsid w:val="002D0B97"/>
    <w:rsid w:val="002D3185"/>
    <w:rsid w:val="002D7AF4"/>
    <w:rsid w:val="002E5A63"/>
    <w:rsid w:val="002F6157"/>
    <w:rsid w:val="002F7235"/>
    <w:rsid w:val="003005FA"/>
    <w:rsid w:val="003029B7"/>
    <w:rsid w:val="00302CD2"/>
    <w:rsid w:val="0030342F"/>
    <w:rsid w:val="00312E44"/>
    <w:rsid w:val="0032145D"/>
    <w:rsid w:val="00321E63"/>
    <w:rsid w:val="00326E45"/>
    <w:rsid w:val="00337FB7"/>
    <w:rsid w:val="00341EBE"/>
    <w:rsid w:val="00346B84"/>
    <w:rsid w:val="00350C21"/>
    <w:rsid w:val="003520F3"/>
    <w:rsid w:val="0035415C"/>
    <w:rsid w:val="00360A8C"/>
    <w:rsid w:val="00363227"/>
    <w:rsid w:val="00364F3A"/>
    <w:rsid w:val="00366B5F"/>
    <w:rsid w:val="003756E1"/>
    <w:rsid w:val="003756EA"/>
    <w:rsid w:val="00377A7E"/>
    <w:rsid w:val="00385F31"/>
    <w:rsid w:val="0039387B"/>
    <w:rsid w:val="00394390"/>
    <w:rsid w:val="00394405"/>
    <w:rsid w:val="003A044F"/>
    <w:rsid w:val="003A1414"/>
    <w:rsid w:val="003A46D1"/>
    <w:rsid w:val="003B75B0"/>
    <w:rsid w:val="003C120F"/>
    <w:rsid w:val="003C36CE"/>
    <w:rsid w:val="003E0732"/>
    <w:rsid w:val="003E463B"/>
    <w:rsid w:val="003F2FC2"/>
    <w:rsid w:val="003F3C82"/>
    <w:rsid w:val="003F401A"/>
    <w:rsid w:val="003F79CE"/>
    <w:rsid w:val="004054DE"/>
    <w:rsid w:val="00407F65"/>
    <w:rsid w:val="00410BA7"/>
    <w:rsid w:val="004114B4"/>
    <w:rsid w:val="0041343F"/>
    <w:rsid w:val="004178D5"/>
    <w:rsid w:val="00417E4B"/>
    <w:rsid w:val="004204A7"/>
    <w:rsid w:val="00420677"/>
    <w:rsid w:val="004210D4"/>
    <w:rsid w:val="004246EC"/>
    <w:rsid w:val="004357C3"/>
    <w:rsid w:val="00436B3A"/>
    <w:rsid w:val="00441C93"/>
    <w:rsid w:val="0044229B"/>
    <w:rsid w:val="00442C9B"/>
    <w:rsid w:val="0044709B"/>
    <w:rsid w:val="00455259"/>
    <w:rsid w:val="00455E28"/>
    <w:rsid w:val="0046175F"/>
    <w:rsid w:val="004668F1"/>
    <w:rsid w:val="00470034"/>
    <w:rsid w:val="00472CCB"/>
    <w:rsid w:val="004734F3"/>
    <w:rsid w:val="004737BA"/>
    <w:rsid w:val="004834A1"/>
    <w:rsid w:val="00490C59"/>
    <w:rsid w:val="004947B9"/>
    <w:rsid w:val="00495E84"/>
    <w:rsid w:val="00496B6B"/>
    <w:rsid w:val="004A4CB6"/>
    <w:rsid w:val="004A60B2"/>
    <w:rsid w:val="004B6D35"/>
    <w:rsid w:val="004B6E08"/>
    <w:rsid w:val="004B7EA0"/>
    <w:rsid w:val="004C6069"/>
    <w:rsid w:val="004D0B42"/>
    <w:rsid w:val="004D34EF"/>
    <w:rsid w:val="004D5976"/>
    <w:rsid w:val="004D6935"/>
    <w:rsid w:val="004F06F8"/>
    <w:rsid w:val="004F0793"/>
    <w:rsid w:val="004F627D"/>
    <w:rsid w:val="004F759B"/>
    <w:rsid w:val="00500ABA"/>
    <w:rsid w:val="0050482B"/>
    <w:rsid w:val="00505D44"/>
    <w:rsid w:val="005071B6"/>
    <w:rsid w:val="00520378"/>
    <w:rsid w:val="00520F61"/>
    <w:rsid w:val="00540981"/>
    <w:rsid w:val="0054222B"/>
    <w:rsid w:val="00545357"/>
    <w:rsid w:val="005465C1"/>
    <w:rsid w:val="005469A1"/>
    <w:rsid w:val="005478CA"/>
    <w:rsid w:val="00550342"/>
    <w:rsid w:val="00551BE8"/>
    <w:rsid w:val="0055212E"/>
    <w:rsid w:val="00561047"/>
    <w:rsid w:val="005616CC"/>
    <w:rsid w:val="005644F9"/>
    <w:rsid w:val="00566E29"/>
    <w:rsid w:val="00567D6F"/>
    <w:rsid w:val="00574FB1"/>
    <w:rsid w:val="00577AF0"/>
    <w:rsid w:val="00592C36"/>
    <w:rsid w:val="005942FC"/>
    <w:rsid w:val="0059476A"/>
    <w:rsid w:val="00594C17"/>
    <w:rsid w:val="00594D28"/>
    <w:rsid w:val="00596D90"/>
    <w:rsid w:val="00596F3D"/>
    <w:rsid w:val="00597EDD"/>
    <w:rsid w:val="005A0AF8"/>
    <w:rsid w:val="005A0E04"/>
    <w:rsid w:val="005A4E61"/>
    <w:rsid w:val="005A5ADA"/>
    <w:rsid w:val="005B1EDF"/>
    <w:rsid w:val="005B2A1C"/>
    <w:rsid w:val="005B4600"/>
    <w:rsid w:val="005B4CCD"/>
    <w:rsid w:val="005B6021"/>
    <w:rsid w:val="005C1107"/>
    <w:rsid w:val="005C47D3"/>
    <w:rsid w:val="005D1911"/>
    <w:rsid w:val="005E19A9"/>
    <w:rsid w:val="005E6CDE"/>
    <w:rsid w:val="005E7160"/>
    <w:rsid w:val="005F2393"/>
    <w:rsid w:val="005F42A7"/>
    <w:rsid w:val="005F48E6"/>
    <w:rsid w:val="005F55A4"/>
    <w:rsid w:val="005F7F62"/>
    <w:rsid w:val="006017CD"/>
    <w:rsid w:val="00613DB5"/>
    <w:rsid w:val="00620463"/>
    <w:rsid w:val="00622489"/>
    <w:rsid w:val="00626948"/>
    <w:rsid w:val="00627180"/>
    <w:rsid w:val="006452D8"/>
    <w:rsid w:val="006549A6"/>
    <w:rsid w:val="0066420C"/>
    <w:rsid w:val="00673F30"/>
    <w:rsid w:val="006769CC"/>
    <w:rsid w:val="00676ECC"/>
    <w:rsid w:val="00677666"/>
    <w:rsid w:val="00687074"/>
    <w:rsid w:val="00693BBC"/>
    <w:rsid w:val="006A238D"/>
    <w:rsid w:val="006B6866"/>
    <w:rsid w:val="006C19CC"/>
    <w:rsid w:val="006C1E71"/>
    <w:rsid w:val="006C7DDC"/>
    <w:rsid w:val="006D6C02"/>
    <w:rsid w:val="006E2CFA"/>
    <w:rsid w:val="006E30A9"/>
    <w:rsid w:val="006E4BDA"/>
    <w:rsid w:val="006E5FC5"/>
    <w:rsid w:val="006F11FD"/>
    <w:rsid w:val="006F3108"/>
    <w:rsid w:val="007004AB"/>
    <w:rsid w:val="00706E65"/>
    <w:rsid w:val="00711416"/>
    <w:rsid w:val="00712634"/>
    <w:rsid w:val="007166F1"/>
    <w:rsid w:val="00716C3A"/>
    <w:rsid w:val="00717D34"/>
    <w:rsid w:val="00720925"/>
    <w:rsid w:val="00722ABA"/>
    <w:rsid w:val="0073064B"/>
    <w:rsid w:val="007307FA"/>
    <w:rsid w:val="00730C59"/>
    <w:rsid w:val="00733592"/>
    <w:rsid w:val="007375FC"/>
    <w:rsid w:val="00741E3A"/>
    <w:rsid w:val="007420C8"/>
    <w:rsid w:val="0074234C"/>
    <w:rsid w:val="0074791D"/>
    <w:rsid w:val="007513EE"/>
    <w:rsid w:val="0075496A"/>
    <w:rsid w:val="00755CB6"/>
    <w:rsid w:val="00757057"/>
    <w:rsid w:val="007577C1"/>
    <w:rsid w:val="007641AE"/>
    <w:rsid w:val="007765CA"/>
    <w:rsid w:val="0078002B"/>
    <w:rsid w:val="00780665"/>
    <w:rsid w:val="007846E2"/>
    <w:rsid w:val="0079034D"/>
    <w:rsid w:val="00796C07"/>
    <w:rsid w:val="00797140"/>
    <w:rsid w:val="007A6128"/>
    <w:rsid w:val="007B46D6"/>
    <w:rsid w:val="007B5757"/>
    <w:rsid w:val="007C35F5"/>
    <w:rsid w:val="007C6DC9"/>
    <w:rsid w:val="007C6E1C"/>
    <w:rsid w:val="007C6F6E"/>
    <w:rsid w:val="007D1C01"/>
    <w:rsid w:val="007D5619"/>
    <w:rsid w:val="007D58DB"/>
    <w:rsid w:val="007E0995"/>
    <w:rsid w:val="007E1669"/>
    <w:rsid w:val="007E5147"/>
    <w:rsid w:val="007E6673"/>
    <w:rsid w:val="00804D53"/>
    <w:rsid w:val="00804DCB"/>
    <w:rsid w:val="00813E69"/>
    <w:rsid w:val="00815032"/>
    <w:rsid w:val="00815E47"/>
    <w:rsid w:val="00815F3C"/>
    <w:rsid w:val="00822EEB"/>
    <w:rsid w:val="008307AD"/>
    <w:rsid w:val="00837238"/>
    <w:rsid w:val="00845D90"/>
    <w:rsid w:val="00846667"/>
    <w:rsid w:val="0084792F"/>
    <w:rsid w:val="008534A4"/>
    <w:rsid w:val="0085503E"/>
    <w:rsid w:val="008614AF"/>
    <w:rsid w:val="00870B24"/>
    <w:rsid w:val="00871C9F"/>
    <w:rsid w:val="00875E7E"/>
    <w:rsid w:val="00876B51"/>
    <w:rsid w:val="00877677"/>
    <w:rsid w:val="0088166A"/>
    <w:rsid w:val="00883280"/>
    <w:rsid w:val="008863CE"/>
    <w:rsid w:val="00886FB9"/>
    <w:rsid w:val="008906E9"/>
    <w:rsid w:val="00891FBC"/>
    <w:rsid w:val="00893835"/>
    <w:rsid w:val="008A5654"/>
    <w:rsid w:val="008A6503"/>
    <w:rsid w:val="008B01A1"/>
    <w:rsid w:val="008B0ADF"/>
    <w:rsid w:val="008B0DB6"/>
    <w:rsid w:val="008B22D0"/>
    <w:rsid w:val="008C39B9"/>
    <w:rsid w:val="008C4322"/>
    <w:rsid w:val="008C51D1"/>
    <w:rsid w:val="008C5786"/>
    <w:rsid w:val="008C5B69"/>
    <w:rsid w:val="008E74A1"/>
    <w:rsid w:val="008F536E"/>
    <w:rsid w:val="008F6CF6"/>
    <w:rsid w:val="00903769"/>
    <w:rsid w:val="00905CF1"/>
    <w:rsid w:val="00905E60"/>
    <w:rsid w:val="00932D9F"/>
    <w:rsid w:val="009337B0"/>
    <w:rsid w:val="00933CDC"/>
    <w:rsid w:val="009413D9"/>
    <w:rsid w:val="00941973"/>
    <w:rsid w:val="009426CE"/>
    <w:rsid w:val="009509CD"/>
    <w:rsid w:val="00951780"/>
    <w:rsid w:val="009535ED"/>
    <w:rsid w:val="00954F9C"/>
    <w:rsid w:val="0095511D"/>
    <w:rsid w:val="00961EBF"/>
    <w:rsid w:val="009739C4"/>
    <w:rsid w:val="00977DB4"/>
    <w:rsid w:val="0098436B"/>
    <w:rsid w:val="009924DB"/>
    <w:rsid w:val="0099290D"/>
    <w:rsid w:val="00993AAD"/>
    <w:rsid w:val="009945DC"/>
    <w:rsid w:val="00994A2C"/>
    <w:rsid w:val="00994D67"/>
    <w:rsid w:val="00997FE2"/>
    <w:rsid w:val="009A52F6"/>
    <w:rsid w:val="009B5E75"/>
    <w:rsid w:val="009B6C77"/>
    <w:rsid w:val="009C3B13"/>
    <w:rsid w:val="009C76E8"/>
    <w:rsid w:val="009D124D"/>
    <w:rsid w:val="009D2C80"/>
    <w:rsid w:val="009D725C"/>
    <w:rsid w:val="009E18BE"/>
    <w:rsid w:val="009E3BF9"/>
    <w:rsid w:val="009E6551"/>
    <w:rsid w:val="009F0975"/>
    <w:rsid w:val="009F113B"/>
    <w:rsid w:val="009F3874"/>
    <w:rsid w:val="009F3EDE"/>
    <w:rsid w:val="009F5E50"/>
    <w:rsid w:val="009F79C3"/>
    <w:rsid w:val="00A04712"/>
    <w:rsid w:val="00A07F62"/>
    <w:rsid w:val="00A10D52"/>
    <w:rsid w:val="00A15F90"/>
    <w:rsid w:val="00A235AE"/>
    <w:rsid w:val="00A32BC1"/>
    <w:rsid w:val="00A359FD"/>
    <w:rsid w:val="00A402B6"/>
    <w:rsid w:val="00A4073A"/>
    <w:rsid w:val="00A5387F"/>
    <w:rsid w:val="00A570D5"/>
    <w:rsid w:val="00A613AE"/>
    <w:rsid w:val="00A62FB2"/>
    <w:rsid w:val="00A671FD"/>
    <w:rsid w:val="00A7536D"/>
    <w:rsid w:val="00A8049A"/>
    <w:rsid w:val="00A833BA"/>
    <w:rsid w:val="00A83EB2"/>
    <w:rsid w:val="00A8787A"/>
    <w:rsid w:val="00A91552"/>
    <w:rsid w:val="00A94F3F"/>
    <w:rsid w:val="00A97690"/>
    <w:rsid w:val="00AA134F"/>
    <w:rsid w:val="00AA1D55"/>
    <w:rsid w:val="00AA2523"/>
    <w:rsid w:val="00AA4ABA"/>
    <w:rsid w:val="00AB073C"/>
    <w:rsid w:val="00AB1122"/>
    <w:rsid w:val="00AB4A68"/>
    <w:rsid w:val="00AB5E12"/>
    <w:rsid w:val="00AC4157"/>
    <w:rsid w:val="00AD52E8"/>
    <w:rsid w:val="00AE490D"/>
    <w:rsid w:val="00AE74F3"/>
    <w:rsid w:val="00AF0DA1"/>
    <w:rsid w:val="00AF6272"/>
    <w:rsid w:val="00AF631E"/>
    <w:rsid w:val="00B01931"/>
    <w:rsid w:val="00B06297"/>
    <w:rsid w:val="00B10F91"/>
    <w:rsid w:val="00B13676"/>
    <w:rsid w:val="00B169AF"/>
    <w:rsid w:val="00B17D32"/>
    <w:rsid w:val="00B304AC"/>
    <w:rsid w:val="00B32CEA"/>
    <w:rsid w:val="00B334C3"/>
    <w:rsid w:val="00B36EC3"/>
    <w:rsid w:val="00B42CB5"/>
    <w:rsid w:val="00B433B7"/>
    <w:rsid w:val="00B44047"/>
    <w:rsid w:val="00B53105"/>
    <w:rsid w:val="00B60E43"/>
    <w:rsid w:val="00B62182"/>
    <w:rsid w:val="00B6302A"/>
    <w:rsid w:val="00B6302B"/>
    <w:rsid w:val="00B64CAA"/>
    <w:rsid w:val="00B65088"/>
    <w:rsid w:val="00B72729"/>
    <w:rsid w:val="00B74041"/>
    <w:rsid w:val="00B77ECD"/>
    <w:rsid w:val="00B86B3C"/>
    <w:rsid w:val="00B91DF0"/>
    <w:rsid w:val="00BA2716"/>
    <w:rsid w:val="00BA4182"/>
    <w:rsid w:val="00BA439B"/>
    <w:rsid w:val="00BA7166"/>
    <w:rsid w:val="00BA794C"/>
    <w:rsid w:val="00BB25EF"/>
    <w:rsid w:val="00BB361A"/>
    <w:rsid w:val="00BB391E"/>
    <w:rsid w:val="00BB392E"/>
    <w:rsid w:val="00BD17F8"/>
    <w:rsid w:val="00BE0FAF"/>
    <w:rsid w:val="00BE28B5"/>
    <w:rsid w:val="00BF299D"/>
    <w:rsid w:val="00BF46B6"/>
    <w:rsid w:val="00BF4B4E"/>
    <w:rsid w:val="00BF6C91"/>
    <w:rsid w:val="00C0336D"/>
    <w:rsid w:val="00C03F5D"/>
    <w:rsid w:val="00C04C9C"/>
    <w:rsid w:val="00C10E0A"/>
    <w:rsid w:val="00C172D0"/>
    <w:rsid w:val="00C20111"/>
    <w:rsid w:val="00C21DB2"/>
    <w:rsid w:val="00C2660B"/>
    <w:rsid w:val="00C26BD2"/>
    <w:rsid w:val="00C27276"/>
    <w:rsid w:val="00C30988"/>
    <w:rsid w:val="00C35C46"/>
    <w:rsid w:val="00C406F4"/>
    <w:rsid w:val="00C42413"/>
    <w:rsid w:val="00C44048"/>
    <w:rsid w:val="00C516B8"/>
    <w:rsid w:val="00C51C91"/>
    <w:rsid w:val="00C5258A"/>
    <w:rsid w:val="00C54120"/>
    <w:rsid w:val="00C702C8"/>
    <w:rsid w:val="00C7519A"/>
    <w:rsid w:val="00C80928"/>
    <w:rsid w:val="00C8212B"/>
    <w:rsid w:val="00C86737"/>
    <w:rsid w:val="00C86DAD"/>
    <w:rsid w:val="00C86F8F"/>
    <w:rsid w:val="00C90201"/>
    <w:rsid w:val="00CA7DB1"/>
    <w:rsid w:val="00CC18D6"/>
    <w:rsid w:val="00CC3BFC"/>
    <w:rsid w:val="00CC3EA0"/>
    <w:rsid w:val="00CC7E1C"/>
    <w:rsid w:val="00CD473B"/>
    <w:rsid w:val="00CD4A27"/>
    <w:rsid w:val="00CD75CF"/>
    <w:rsid w:val="00CE1EC7"/>
    <w:rsid w:val="00CE76C0"/>
    <w:rsid w:val="00CF0D51"/>
    <w:rsid w:val="00CF19A3"/>
    <w:rsid w:val="00CF3480"/>
    <w:rsid w:val="00D043F9"/>
    <w:rsid w:val="00D04853"/>
    <w:rsid w:val="00D05C4D"/>
    <w:rsid w:val="00D05E12"/>
    <w:rsid w:val="00D07016"/>
    <w:rsid w:val="00D12A98"/>
    <w:rsid w:val="00D152BB"/>
    <w:rsid w:val="00D1678D"/>
    <w:rsid w:val="00D21AA6"/>
    <w:rsid w:val="00D24999"/>
    <w:rsid w:val="00D27178"/>
    <w:rsid w:val="00D27C16"/>
    <w:rsid w:val="00D33ABF"/>
    <w:rsid w:val="00D4337E"/>
    <w:rsid w:val="00D57E7C"/>
    <w:rsid w:val="00D65A49"/>
    <w:rsid w:val="00D65E03"/>
    <w:rsid w:val="00D74F60"/>
    <w:rsid w:val="00D80DEB"/>
    <w:rsid w:val="00D81795"/>
    <w:rsid w:val="00D8414D"/>
    <w:rsid w:val="00D844B2"/>
    <w:rsid w:val="00D84D48"/>
    <w:rsid w:val="00D86EAB"/>
    <w:rsid w:val="00D9358A"/>
    <w:rsid w:val="00D96DDB"/>
    <w:rsid w:val="00DA1628"/>
    <w:rsid w:val="00DA4617"/>
    <w:rsid w:val="00DA5358"/>
    <w:rsid w:val="00DB1F07"/>
    <w:rsid w:val="00DB58C1"/>
    <w:rsid w:val="00DC0A4D"/>
    <w:rsid w:val="00DC3A6E"/>
    <w:rsid w:val="00DC40B0"/>
    <w:rsid w:val="00DD013A"/>
    <w:rsid w:val="00DD684E"/>
    <w:rsid w:val="00DE12D0"/>
    <w:rsid w:val="00DE3BB9"/>
    <w:rsid w:val="00DF0EFB"/>
    <w:rsid w:val="00DF4017"/>
    <w:rsid w:val="00E00E43"/>
    <w:rsid w:val="00E0122D"/>
    <w:rsid w:val="00E01941"/>
    <w:rsid w:val="00E02B4D"/>
    <w:rsid w:val="00E064B9"/>
    <w:rsid w:val="00E133F3"/>
    <w:rsid w:val="00E201B1"/>
    <w:rsid w:val="00E33531"/>
    <w:rsid w:val="00E418BB"/>
    <w:rsid w:val="00E423A9"/>
    <w:rsid w:val="00E51944"/>
    <w:rsid w:val="00E5474C"/>
    <w:rsid w:val="00E558C7"/>
    <w:rsid w:val="00E569AD"/>
    <w:rsid w:val="00E65EBB"/>
    <w:rsid w:val="00E70F31"/>
    <w:rsid w:val="00E71CB0"/>
    <w:rsid w:val="00E745E4"/>
    <w:rsid w:val="00E8689E"/>
    <w:rsid w:val="00E925D2"/>
    <w:rsid w:val="00E973FE"/>
    <w:rsid w:val="00EB0B29"/>
    <w:rsid w:val="00EB780A"/>
    <w:rsid w:val="00EC2A6B"/>
    <w:rsid w:val="00EC5ABB"/>
    <w:rsid w:val="00EC5B4F"/>
    <w:rsid w:val="00ED492C"/>
    <w:rsid w:val="00EE7579"/>
    <w:rsid w:val="00EF0818"/>
    <w:rsid w:val="00EF0CA0"/>
    <w:rsid w:val="00EF2F22"/>
    <w:rsid w:val="00F0022C"/>
    <w:rsid w:val="00F011D6"/>
    <w:rsid w:val="00F013AA"/>
    <w:rsid w:val="00F03BF3"/>
    <w:rsid w:val="00F063B8"/>
    <w:rsid w:val="00F07FDB"/>
    <w:rsid w:val="00F10C33"/>
    <w:rsid w:val="00F17F9B"/>
    <w:rsid w:val="00F21B1F"/>
    <w:rsid w:val="00F252E7"/>
    <w:rsid w:val="00F2630A"/>
    <w:rsid w:val="00F30BF2"/>
    <w:rsid w:val="00F41B8B"/>
    <w:rsid w:val="00F42704"/>
    <w:rsid w:val="00F530D3"/>
    <w:rsid w:val="00F5567B"/>
    <w:rsid w:val="00F70F7C"/>
    <w:rsid w:val="00F7113A"/>
    <w:rsid w:val="00F7662F"/>
    <w:rsid w:val="00F84351"/>
    <w:rsid w:val="00F85D92"/>
    <w:rsid w:val="00F87734"/>
    <w:rsid w:val="00F90A31"/>
    <w:rsid w:val="00F90BF8"/>
    <w:rsid w:val="00F93081"/>
    <w:rsid w:val="00F93303"/>
    <w:rsid w:val="00F9510D"/>
    <w:rsid w:val="00FA1CF6"/>
    <w:rsid w:val="00FA30BF"/>
    <w:rsid w:val="00FA743C"/>
    <w:rsid w:val="00FB19EF"/>
    <w:rsid w:val="00FB1B7C"/>
    <w:rsid w:val="00FB2F71"/>
    <w:rsid w:val="00FB35A5"/>
    <w:rsid w:val="00FB5A70"/>
    <w:rsid w:val="00FB5DE3"/>
    <w:rsid w:val="00FC1DB8"/>
    <w:rsid w:val="00FC5F29"/>
    <w:rsid w:val="00FD7A5B"/>
    <w:rsid w:val="00FE00AB"/>
    <w:rsid w:val="00FE7BB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94719C"/>
  <w15:docId w15:val="{D2EB8735-A6B3-41B9-9AB3-07023BB54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173738"/>
    <w:pPr>
      <w:jc w:val="both"/>
    </w:pPr>
    <w:rPr>
      <w:rFonts w:ascii="Times New Roman" w:hAnsi="Times New Roman"/>
      <w:sz w:val="24"/>
      <w:szCs w:val="22"/>
      <w:lang w:eastAsia="zh-TW"/>
    </w:rPr>
  </w:style>
  <w:style w:type="paragraph" w:styleId="Heading1">
    <w:name w:val="heading 1"/>
    <w:next w:val="Normal"/>
    <w:link w:val="Heading1Char"/>
    <w:uiPriority w:val="9"/>
    <w:qFormat/>
    <w:rsid w:val="00016089"/>
    <w:pPr>
      <w:spacing w:before="360" w:after="60"/>
      <w:outlineLvl w:val="0"/>
    </w:pPr>
    <w:rPr>
      <w:rFonts w:ascii="Times New Roman Bold" w:hAnsi="Times New Roman Bold"/>
      <w:b/>
      <w:bCs/>
      <w:caps/>
      <w:sz w:val="26"/>
      <w:szCs w:val="26"/>
      <w:lang w:val="en-GB" w:eastAsia="zh-TW"/>
    </w:rPr>
  </w:style>
  <w:style w:type="paragraph" w:styleId="Heading2">
    <w:name w:val="heading 2"/>
    <w:next w:val="Normal"/>
    <w:link w:val="Heading2Char"/>
    <w:uiPriority w:val="9"/>
    <w:unhideWhenUsed/>
    <w:qFormat/>
    <w:rsid w:val="008B0DB6"/>
    <w:pPr>
      <w:spacing w:before="240" w:after="120"/>
      <w:outlineLvl w:val="1"/>
    </w:pPr>
    <w:rPr>
      <w:rFonts w:ascii="Times New Roman Bold" w:hAnsi="Times New Roman Bold"/>
      <w:b/>
      <w:bCs/>
      <w:sz w:val="24"/>
      <w:szCs w:val="22"/>
      <w:lang w:eastAsia="zh-TW"/>
    </w:rPr>
  </w:style>
  <w:style w:type="paragraph" w:styleId="Heading3">
    <w:name w:val="heading 3"/>
    <w:basedOn w:val="Normal"/>
    <w:next w:val="Normal"/>
    <w:link w:val="Heading3Char"/>
    <w:uiPriority w:val="9"/>
    <w:unhideWhenUsed/>
    <w:qFormat/>
    <w:rsid w:val="000A5706"/>
    <w:pPr>
      <w:keepNext/>
      <w:keepLines/>
      <w:spacing w:before="240" w:after="60"/>
      <w:jc w:val="left"/>
      <w:outlineLvl w:val="2"/>
    </w:pPr>
    <w:rPr>
      <w:b/>
      <w:bCs/>
    </w:rPr>
  </w:style>
  <w:style w:type="paragraph" w:styleId="Heading4">
    <w:name w:val="heading 4"/>
    <w:basedOn w:val="Normal"/>
    <w:next w:val="Normal"/>
    <w:link w:val="Heading4Char"/>
    <w:uiPriority w:val="9"/>
    <w:unhideWhenUsed/>
    <w:qFormat/>
    <w:rsid w:val="00876B51"/>
    <w:pPr>
      <w:keepNext/>
      <w:keepLines/>
      <w:spacing w:before="120" w:after="60"/>
      <w:jc w:val="left"/>
      <w:outlineLvl w:val="3"/>
    </w:pPr>
    <w:rPr>
      <w:bCs/>
      <w:i/>
      <w:iCs/>
      <w:u w:val="single"/>
    </w:rPr>
  </w:style>
  <w:style w:type="paragraph" w:styleId="Heading5">
    <w:name w:val="heading 5"/>
    <w:basedOn w:val="Normal"/>
    <w:next w:val="Normal"/>
    <w:link w:val="Heading5Char"/>
    <w:uiPriority w:val="9"/>
    <w:unhideWhenUsed/>
    <w:qFormat/>
    <w:rsid w:val="00876B51"/>
    <w:pPr>
      <w:keepNext/>
      <w:keepLines/>
      <w:spacing w:before="40" w:after="40"/>
      <w:outlineLvl w:val="4"/>
    </w:pPr>
    <w:rPr>
      <w:i/>
    </w:rPr>
  </w:style>
  <w:style w:type="paragraph" w:styleId="Heading6">
    <w:name w:val="heading 6"/>
    <w:basedOn w:val="Normal"/>
    <w:next w:val="Normal"/>
    <w:link w:val="Heading6Char"/>
    <w:uiPriority w:val="9"/>
    <w:unhideWhenUsed/>
    <w:qFormat/>
    <w:rsid w:val="000E153D"/>
    <w:pPr>
      <w:keepNext/>
      <w:keepLines/>
      <w:spacing w:before="100"/>
      <w:outlineLvl w:val="5"/>
    </w:pPr>
    <w:rPr>
      <w:i/>
      <w:iCs/>
    </w:rPr>
  </w:style>
  <w:style w:type="paragraph" w:styleId="Heading7">
    <w:name w:val="heading 7"/>
    <w:aliases w:val="Text from TGA PI form"/>
    <w:basedOn w:val="Normal"/>
    <w:next w:val="Normal"/>
    <w:link w:val="Heading7Char"/>
    <w:uiPriority w:val="9"/>
    <w:unhideWhenUsed/>
    <w:qFormat/>
    <w:rsid w:val="00CF3480"/>
    <w:pPr>
      <w:keepNext/>
      <w:keepLines/>
      <w:numPr>
        <w:numId w:val="6"/>
      </w:numPr>
      <w:spacing w:after="120"/>
      <w:ind w:left="357" w:hanging="357"/>
      <w:outlineLvl w:val="6"/>
    </w:pPr>
    <w:rPr>
      <w:i/>
      <w:iCs/>
      <w:lang w:val="en-US"/>
    </w:rPr>
  </w:style>
  <w:style w:type="paragraph" w:styleId="Heading8">
    <w:name w:val="heading 8"/>
    <w:aliases w:val="CAS Registry Number"/>
    <w:basedOn w:val="Normal"/>
    <w:next w:val="Normal"/>
    <w:link w:val="Heading8Char"/>
    <w:uiPriority w:val="9"/>
    <w:unhideWhenUsed/>
    <w:qFormat/>
    <w:rsid w:val="0011064F"/>
    <w:pPr>
      <w:keepNext/>
      <w:keepLines/>
      <w:spacing w:before="60" w:after="60"/>
      <w:outlineLvl w:val="7"/>
    </w:pPr>
    <w:rPr>
      <w:color w:val="404040"/>
      <w:szCs w:val="20"/>
    </w:rPr>
  </w:style>
  <w:style w:type="paragraph" w:styleId="Heading9">
    <w:name w:val="heading 9"/>
    <w:aliases w:val="Active ingredient"/>
    <w:basedOn w:val="Normal"/>
    <w:next w:val="Normal"/>
    <w:link w:val="Heading9Char"/>
    <w:uiPriority w:val="9"/>
    <w:unhideWhenUsed/>
    <w:qFormat/>
    <w:rsid w:val="00D844B2"/>
    <w:pPr>
      <w:keepNext/>
      <w:keepLines/>
      <w:spacing w:before="120" w:after="160"/>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58DB"/>
    <w:rPr>
      <w:rFonts w:ascii="Minion" w:hAnsi="Minion"/>
      <w:sz w:val="22"/>
      <w:szCs w:val="22"/>
      <w:lang w:val="en-US" w:eastAsia="zh-TW"/>
    </w:rPr>
  </w:style>
  <w:style w:type="character" w:customStyle="1" w:styleId="Heading1Char">
    <w:name w:val="Heading 1 Char"/>
    <w:link w:val="Heading1"/>
    <w:uiPriority w:val="9"/>
    <w:rsid w:val="00016089"/>
    <w:rPr>
      <w:rFonts w:ascii="Times New Roman Bold" w:hAnsi="Times New Roman Bold"/>
      <w:b/>
      <w:bCs/>
      <w:caps/>
      <w:sz w:val="26"/>
      <w:szCs w:val="26"/>
      <w:lang w:val="en-GB"/>
    </w:rPr>
  </w:style>
  <w:style w:type="character" w:customStyle="1" w:styleId="Heading2Char">
    <w:name w:val="Heading 2 Char"/>
    <w:link w:val="Heading2"/>
    <w:uiPriority w:val="9"/>
    <w:rsid w:val="008B0DB6"/>
    <w:rPr>
      <w:rFonts w:ascii="Times New Roman Bold" w:hAnsi="Times New Roman Bold"/>
      <w:b/>
      <w:bCs/>
      <w:sz w:val="24"/>
      <w:szCs w:val="22"/>
      <w:lang w:eastAsia="zh-TW"/>
    </w:rPr>
  </w:style>
  <w:style w:type="character" w:customStyle="1" w:styleId="Heading3Char">
    <w:name w:val="Heading 3 Char"/>
    <w:link w:val="Heading3"/>
    <w:uiPriority w:val="9"/>
    <w:rsid w:val="000A5706"/>
    <w:rPr>
      <w:rFonts w:ascii="Times New Roman" w:hAnsi="Times New Roman"/>
      <w:b/>
      <w:bCs/>
      <w:sz w:val="24"/>
      <w:szCs w:val="22"/>
      <w:lang w:eastAsia="zh-TW"/>
    </w:rPr>
  </w:style>
  <w:style w:type="character" w:customStyle="1" w:styleId="Heading4Char">
    <w:name w:val="Heading 4 Char"/>
    <w:link w:val="Heading4"/>
    <w:uiPriority w:val="9"/>
    <w:rsid w:val="00876B51"/>
    <w:rPr>
      <w:rFonts w:ascii="Times New Roman" w:hAnsi="Times New Roman"/>
      <w:bCs/>
      <w:i/>
      <w:iCs/>
      <w:sz w:val="24"/>
      <w:szCs w:val="22"/>
      <w:u w:val="single"/>
      <w:lang w:eastAsia="zh-TW"/>
    </w:rPr>
  </w:style>
  <w:style w:type="character" w:customStyle="1" w:styleId="Heading5Char">
    <w:name w:val="Heading 5 Char"/>
    <w:link w:val="Heading5"/>
    <w:uiPriority w:val="9"/>
    <w:rsid w:val="00876B51"/>
    <w:rPr>
      <w:rFonts w:ascii="Times New Roman" w:hAnsi="Times New Roman"/>
      <w:i/>
      <w:sz w:val="24"/>
      <w:szCs w:val="22"/>
      <w:lang w:eastAsia="zh-TW"/>
    </w:rPr>
  </w:style>
  <w:style w:type="character" w:customStyle="1" w:styleId="Heading6Char">
    <w:name w:val="Heading 6 Char"/>
    <w:link w:val="Heading6"/>
    <w:uiPriority w:val="9"/>
    <w:rsid w:val="000E153D"/>
    <w:rPr>
      <w:rFonts w:ascii="Times New Roman" w:hAnsi="Times New Roman"/>
      <w:i/>
      <w:iCs/>
      <w:sz w:val="24"/>
      <w:szCs w:val="22"/>
      <w:lang w:eastAsia="zh-TW"/>
    </w:rPr>
  </w:style>
  <w:style w:type="character" w:customStyle="1" w:styleId="Heading7Char">
    <w:name w:val="Heading 7 Char"/>
    <w:aliases w:val="Text from TGA PI form Char"/>
    <w:link w:val="Heading7"/>
    <w:uiPriority w:val="9"/>
    <w:rsid w:val="00CF3480"/>
    <w:rPr>
      <w:rFonts w:ascii="Times New Roman" w:hAnsi="Times New Roman"/>
      <w:i/>
      <w:iCs/>
      <w:sz w:val="24"/>
      <w:szCs w:val="22"/>
      <w:lang w:val="en-US"/>
    </w:rPr>
  </w:style>
  <w:style w:type="character" w:customStyle="1" w:styleId="Heading8Char">
    <w:name w:val="Heading 8 Char"/>
    <w:aliases w:val="CAS Registry Number Char"/>
    <w:link w:val="Heading8"/>
    <w:uiPriority w:val="9"/>
    <w:rsid w:val="0011064F"/>
    <w:rPr>
      <w:rFonts w:ascii="Times New Roman" w:hAnsi="Times New Roman"/>
      <w:color w:val="404040"/>
      <w:sz w:val="24"/>
    </w:rPr>
  </w:style>
  <w:style w:type="character" w:customStyle="1" w:styleId="Heading9Char">
    <w:name w:val="Heading 9 Char"/>
    <w:aliases w:val="Active ingredient Char"/>
    <w:link w:val="Heading9"/>
    <w:uiPriority w:val="9"/>
    <w:rsid w:val="00D844B2"/>
    <w:rPr>
      <w:rFonts w:ascii="Times New Roman" w:hAnsi="Times New Roman"/>
      <w:i/>
      <w:iCs/>
      <w:sz w:val="24"/>
    </w:rPr>
  </w:style>
  <w:style w:type="paragraph" w:styleId="Title">
    <w:name w:val="Title"/>
    <w:basedOn w:val="Normal"/>
    <w:next w:val="Normal"/>
    <w:link w:val="TitleChar"/>
    <w:uiPriority w:val="10"/>
    <w:qFormat/>
    <w:rsid w:val="00DD684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DD684E"/>
    <w:rPr>
      <w:rFonts w:ascii="Cambria" w:eastAsia="PMingLiU" w:hAnsi="Cambria" w:cs="Times New Roman"/>
      <w:color w:val="17365D"/>
      <w:spacing w:val="5"/>
      <w:kern w:val="28"/>
      <w:sz w:val="52"/>
      <w:szCs w:val="52"/>
    </w:rPr>
  </w:style>
  <w:style w:type="paragraph" w:styleId="ListParagraph">
    <w:name w:val="List Paragraph"/>
    <w:basedOn w:val="Normal"/>
    <w:uiPriority w:val="34"/>
    <w:qFormat/>
    <w:rsid w:val="00DD684E"/>
    <w:pPr>
      <w:ind w:left="720"/>
      <w:contextualSpacing/>
    </w:pPr>
  </w:style>
  <w:style w:type="character" w:styleId="BookTitle">
    <w:name w:val="Book Title"/>
    <w:uiPriority w:val="33"/>
    <w:qFormat/>
    <w:rsid w:val="00DD684E"/>
    <w:rPr>
      <w:b/>
      <w:bCs/>
      <w:smallCaps/>
      <w:spacing w:val="5"/>
    </w:rPr>
  </w:style>
  <w:style w:type="character" w:styleId="IntenseReference">
    <w:name w:val="Intense Reference"/>
    <w:uiPriority w:val="32"/>
    <w:qFormat/>
    <w:rsid w:val="00DD684E"/>
    <w:rPr>
      <w:b/>
      <w:bCs/>
      <w:smallCaps/>
      <w:color w:val="C0504D"/>
      <w:spacing w:val="5"/>
      <w:u w:val="single"/>
    </w:rPr>
  </w:style>
  <w:style w:type="character" w:styleId="SubtleReference">
    <w:name w:val="Subtle Reference"/>
    <w:uiPriority w:val="31"/>
    <w:qFormat/>
    <w:rsid w:val="00DD684E"/>
    <w:rPr>
      <w:smallCaps/>
      <w:color w:val="C0504D"/>
      <w:u w:val="single"/>
    </w:rPr>
  </w:style>
  <w:style w:type="paragraph" w:styleId="IntenseQuote">
    <w:name w:val="Intense Quote"/>
    <w:basedOn w:val="Normal"/>
    <w:next w:val="Normal"/>
    <w:link w:val="IntenseQuoteChar"/>
    <w:uiPriority w:val="30"/>
    <w:qFormat/>
    <w:rsid w:val="00DD684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D684E"/>
    <w:rPr>
      <w:rFonts w:ascii="Minion" w:hAnsi="Minion"/>
      <w:b/>
      <w:bCs/>
      <w:i/>
      <w:iCs/>
      <w:color w:val="4F81BD"/>
    </w:rPr>
  </w:style>
  <w:style w:type="paragraph" w:styleId="Quote">
    <w:name w:val="Quote"/>
    <w:basedOn w:val="Normal"/>
    <w:next w:val="Normal"/>
    <w:link w:val="QuoteChar"/>
    <w:uiPriority w:val="29"/>
    <w:qFormat/>
    <w:rsid w:val="00DD684E"/>
    <w:rPr>
      <w:i/>
      <w:iCs/>
      <w:color w:val="000000"/>
    </w:rPr>
  </w:style>
  <w:style w:type="character" w:customStyle="1" w:styleId="QuoteChar">
    <w:name w:val="Quote Char"/>
    <w:link w:val="Quote"/>
    <w:uiPriority w:val="29"/>
    <w:rsid w:val="00DD684E"/>
    <w:rPr>
      <w:rFonts w:ascii="Minion" w:hAnsi="Minion"/>
      <w:i/>
      <w:iCs/>
      <w:color w:val="000000"/>
    </w:rPr>
  </w:style>
  <w:style w:type="paragraph" w:styleId="Header">
    <w:name w:val="header"/>
    <w:basedOn w:val="Normal"/>
    <w:link w:val="HeaderChar"/>
    <w:uiPriority w:val="99"/>
    <w:unhideWhenUsed/>
    <w:rsid w:val="000471CA"/>
    <w:pPr>
      <w:tabs>
        <w:tab w:val="center" w:pos="4513"/>
        <w:tab w:val="right" w:pos="9026"/>
      </w:tabs>
    </w:pPr>
  </w:style>
  <w:style w:type="character" w:customStyle="1" w:styleId="HeaderChar">
    <w:name w:val="Header Char"/>
    <w:link w:val="Header"/>
    <w:uiPriority w:val="99"/>
    <w:rsid w:val="000471CA"/>
    <w:rPr>
      <w:rFonts w:ascii="Minion" w:hAnsi="Minion"/>
      <w:sz w:val="22"/>
      <w:szCs w:val="22"/>
      <w:lang w:val="en-US"/>
    </w:rPr>
  </w:style>
  <w:style w:type="paragraph" w:styleId="Footer">
    <w:name w:val="footer"/>
    <w:basedOn w:val="Normal"/>
    <w:link w:val="FooterChar"/>
    <w:unhideWhenUsed/>
    <w:rsid w:val="000471CA"/>
    <w:pPr>
      <w:tabs>
        <w:tab w:val="center" w:pos="4513"/>
        <w:tab w:val="right" w:pos="9026"/>
      </w:tabs>
    </w:pPr>
  </w:style>
  <w:style w:type="character" w:customStyle="1" w:styleId="FooterChar">
    <w:name w:val="Footer Char"/>
    <w:link w:val="Footer"/>
    <w:rsid w:val="000471CA"/>
    <w:rPr>
      <w:rFonts w:ascii="Minion" w:hAnsi="Minion"/>
      <w:sz w:val="22"/>
      <w:szCs w:val="22"/>
      <w:lang w:val="en-US"/>
    </w:rPr>
  </w:style>
  <w:style w:type="paragraph" w:styleId="BalloonText">
    <w:name w:val="Balloon Text"/>
    <w:basedOn w:val="Normal"/>
    <w:link w:val="BalloonTextChar"/>
    <w:uiPriority w:val="99"/>
    <w:semiHidden/>
    <w:unhideWhenUsed/>
    <w:rsid w:val="000471CA"/>
    <w:rPr>
      <w:rFonts w:ascii="Tahoma" w:hAnsi="Tahoma" w:cs="Tahoma"/>
      <w:sz w:val="16"/>
      <w:szCs w:val="16"/>
    </w:rPr>
  </w:style>
  <w:style w:type="character" w:customStyle="1" w:styleId="BalloonTextChar">
    <w:name w:val="Balloon Text Char"/>
    <w:link w:val="BalloonText"/>
    <w:uiPriority w:val="99"/>
    <w:semiHidden/>
    <w:rsid w:val="000471CA"/>
    <w:rPr>
      <w:rFonts w:ascii="Tahoma" w:hAnsi="Tahoma" w:cs="Tahoma"/>
      <w:sz w:val="16"/>
      <w:szCs w:val="16"/>
      <w:lang w:val="en-US"/>
    </w:rPr>
  </w:style>
  <w:style w:type="paragraph" w:styleId="BodyText3">
    <w:name w:val="Body Text 3"/>
    <w:basedOn w:val="Normal"/>
    <w:link w:val="BodyText3Char"/>
    <w:rsid w:val="00D844B2"/>
    <w:pPr>
      <w:spacing w:line="280" w:lineRule="atLeast"/>
      <w:jc w:val="left"/>
    </w:pPr>
    <w:rPr>
      <w:rFonts w:eastAsia="Times New Roman"/>
      <w:i/>
      <w:szCs w:val="20"/>
      <w:lang w:val="en-US" w:eastAsia="ja-JP"/>
    </w:rPr>
  </w:style>
  <w:style w:type="character" w:customStyle="1" w:styleId="BodyText3Char">
    <w:name w:val="Body Text 3 Char"/>
    <w:link w:val="BodyText3"/>
    <w:rsid w:val="00D844B2"/>
    <w:rPr>
      <w:rFonts w:ascii="Times New Roman" w:eastAsia="Times New Roman" w:hAnsi="Times New Roman"/>
      <w:i/>
      <w:sz w:val="24"/>
      <w:lang w:val="en-US" w:eastAsia="ja-JP"/>
    </w:rPr>
  </w:style>
  <w:style w:type="paragraph" w:customStyle="1" w:styleId="PIexplanation">
    <w:name w:val="PI explanation"/>
    <w:basedOn w:val="Normal"/>
    <w:link w:val="PIexplanationChar"/>
    <w:rsid w:val="00D844B2"/>
    <w:pPr>
      <w:spacing w:after="120"/>
      <w:jc w:val="left"/>
    </w:pPr>
    <w:rPr>
      <w:rFonts w:eastAsia="Times New Roman"/>
      <w:i/>
      <w:color w:val="FF0000"/>
      <w:sz w:val="22"/>
      <w:szCs w:val="20"/>
      <w:lang w:eastAsia="ja-JP"/>
    </w:rPr>
  </w:style>
  <w:style w:type="paragraph" w:customStyle="1" w:styleId="TextTi12">
    <w:name w:val="Text:Ti12"/>
    <w:basedOn w:val="Normal"/>
    <w:link w:val="TextTi12Char"/>
    <w:rsid w:val="00D844B2"/>
    <w:pPr>
      <w:spacing w:after="170" w:line="280" w:lineRule="atLeast"/>
    </w:pPr>
    <w:rPr>
      <w:rFonts w:eastAsia="Times New Roman"/>
      <w:szCs w:val="20"/>
      <w:lang w:val="en-US" w:eastAsia="ja-JP"/>
    </w:rPr>
  </w:style>
  <w:style w:type="character" w:customStyle="1" w:styleId="TextTi12Char">
    <w:name w:val="Text:Ti12 Char"/>
    <w:link w:val="TextTi12"/>
    <w:rsid w:val="00D844B2"/>
    <w:rPr>
      <w:rFonts w:ascii="Times New Roman" w:eastAsia="Times New Roman" w:hAnsi="Times New Roman"/>
      <w:sz w:val="24"/>
      <w:lang w:val="en-US" w:eastAsia="ja-JP"/>
    </w:rPr>
  </w:style>
  <w:style w:type="paragraph" w:customStyle="1" w:styleId="BodyTextPI">
    <w:name w:val="Body Text PI"/>
    <w:basedOn w:val="PIexplanation"/>
    <w:link w:val="BodyTextPIChar"/>
    <w:rsid w:val="00D844B2"/>
    <w:pPr>
      <w:jc w:val="both"/>
    </w:pPr>
    <w:rPr>
      <w:i w:val="0"/>
      <w:lang w:val="en-GB"/>
    </w:rPr>
  </w:style>
  <w:style w:type="character" w:customStyle="1" w:styleId="PIexplanationChar">
    <w:name w:val="PI explanation Char"/>
    <w:link w:val="PIexplanation"/>
    <w:rsid w:val="00D844B2"/>
    <w:rPr>
      <w:rFonts w:ascii="Times New Roman" w:eastAsia="Times New Roman" w:hAnsi="Times New Roman"/>
      <w:i/>
      <w:color w:val="FF0000"/>
      <w:sz w:val="22"/>
      <w:lang w:eastAsia="ja-JP"/>
    </w:rPr>
  </w:style>
  <w:style w:type="character" w:customStyle="1" w:styleId="BodyTextPIChar">
    <w:name w:val="Body Text PI Char"/>
    <w:link w:val="BodyTextPI"/>
    <w:rsid w:val="00D844B2"/>
    <w:rPr>
      <w:rFonts w:ascii="Times New Roman" w:eastAsia="Times New Roman" w:hAnsi="Times New Roman"/>
      <w:i w:val="0"/>
      <w:color w:val="FF0000"/>
      <w:sz w:val="22"/>
      <w:lang w:val="en-GB" w:eastAsia="ja-JP"/>
    </w:rPr>
  </w:style>
  <w:style w:type="paragraph" w:styleId="BodyText2">
    <w:name w:val="Body Text 2"/>
    <w:basedOn w:val="Normal"/>
    <w:link w:val="BodyText2Char"/>
    <w:uiPriority w:val="99"/>
    <w:semiHidden/>
    <w:unhideWhenUsed/>
    <w:rsid w:val="00093012"/>
    <w:pPr>
      <w:spacing w:after="120" w:line="480" w:lineRule="auto"/>
    </w:pPr>
  </w:style>
  <w:style w:type="character" w:customStyle="1" w:styleId="BodyText2Char">
    <w:name w:val="Body Text 2 Char"/>
    <w:link w:val="BodyText2"/>
    <w:uiPriority w:val="99"/>
    <w:semiHidden/>
    <w:rsid w:val="00093012"/>
    <w:rPr>
      <w:rFonts w:ascii="Times New Roman" w:hAnsi="Times New Roman"/>
      <w:sz w:val="24"/>
      <w:szCs w:val="22"/>
    </w:rPr>
  </w:style>
  <w:style w:type="character" w:styleId="CommentReference">
    <w:name w:val="annotation reference"/>
    <w:unhideWhenUsed/>
    <w:rsid w:val="00AA134F"/>
    <w:rPr>
      <w:sz w:val="16"/>
      <w:szCs w:val="16"/>
    </w:rPr>
  </w:style>
  <w:style w:type="paragraph" w:styleId="CommentText">
    <w:name w:val="annotation text"/>
    <w:basedOn w:val="Normal"/>
    <w:link w:val="CommentTextChar"/>
    <w:uiPriority w:val="99"/>
    <w:unhideWhenUsed/>
    <w:rsid w:val="00AA134F"/>
    <w:rPr>
      <w:sz w:val="20"/>
      <w:szCs w:val="20"/>
    </w:rPr>
  </w:style>
  <w:style w:type="character" w:customStyle="1" w:styleId="CommentTextChar">
    <w:name w:val="Comment Text Char"/>
    <w:link w:val="CommentText"/>
    <w:uiPriority w:val="99"/>
    <w:rsid w:val="00AA134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AA134F"/>
    <w:rPr>
      <w:b/>
      <w:bCs/>
    </w:rPr>
  </w:style>
  <w:style w:type="character" w:customStyle="1" w:styleId="CommentSubjectChar">
    <w:name w:val="Comment Subject Char"/>
    <w:link w:val="CommentSubject"/>
    <w:uiPriority w:val="99"/>
    <w:semiHidden/>
    <w:rsid w:val="00AA134F"/>
    <w:rPr>
      <w:rFonts w:ascii="Times New Roman" w:hAnsi="Times New Roman"/>
      <w:b/>
      <w:bCs/>
    </w:rPr>
  </w:style>
  <w:style w:type="character" w:styleId="Hyperlink">
    <w:name w:val="Hyperlink"/>
    <w:basedOn w:val="DefaultParagraphFont"/>
    <w:uiPriority w:val="99"/>
    <w:unhideWhenUsed/>
    <w:rsid w:val="00822EEB"/>
    <w:rPr>
      <w:color w:val="0000FF" w:themeColor="hyperlink"/>
      <w:u w:val="single"/>
    </w:rPr>
  </w:style>
  <w:style w:type="character" w:styleId="Strong">
    <w:name w:val="Strong"/>
    <w:basedOn w:val="DefaultParagraphFont"/>
    <w:qFormat/>
    <w:rsid w:val="00366B5F"/>
    <w:rPr>
      <w:b/>
      <w:bCs/>
    </w:rPr>
  </w:style>
  <w:style w:type="table" w:styleId="TableGrid">
    <w:name w:val="Table Grid"/>
    <w:basedOn w:val="TableNormal"/>
    <w:uiPriority w:val="59"/>
    <w:rsid w:val="00CD75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F299D"/>
    <w:rPr>
      <w:rFonts w:ascii="Times New Roman" w:hAnsi="Times New Roman"/>
      <w:sz w:val="24"/>
      <w:szCs w:val="22"/>
      <w:lang w:eastAsia="zh-TW"/>
    </w:rPr>
  </w:style>
  <w:style w:type="character" w:styleId="FollowedHyperlink">
    <w:name w:val="FollowedHyperlink"/>
    <w:basedOn w:val="DefaultParagraphFont"/>
    <w:uiPriority w:val="99"/>
    <w:semiHidden/>
    <w:unhideWhenUsed/>
    <w:rsid w:val="00A5387F"/>
    <w:rPr>
      <w:color w:val="800080" w:themeColor="followedHyperlink"/>
      <w:u w:val="single"/>
    </w:rPr>
  </w:style>
  <w:style w:type="paragraph" w:styleId="Date">
    <w:name w:val="Date"/>
    <w:basedOn w:val="Normal"/>
    <w:next w:val="Normal"/>
    <w:link w:val="DateChar"/>
    <w:uiPriority w:val="99"/>
    <w:semiHidden/>
    <w:unhideWhenUsed/>
    <w:rsid w:val="002C7D36"/>
  </w:style>
  <w:style w:type="character" w:customStyle="1" w:styleId="DateChar">
    <w:name w:val="Date Char"/>
    <w:basedOn w:val="DefaultParagraphFont"/>
    <w:link w:val="Date"/>
    <w:uiPriority w:val="99"/>
    <w:semiHidden/>
    <w:rsid w:val="002C7D36"/>
    <w:rPr>
      <w:rFonts w:ascii="Times New Roman" w:hAnsi="Times New Roman"/>
      <w:sz w:val="24"/>
      <w:szCs w:val="22"/>
      <w:lang w:eastAsia="zh-TW"/>
    </w:rPr>
  </w:style>
  <w:style w:type="paragraph" w:customStyle="1" w:styleId="Paragraph">
    <w:name w:val="Paragraph"/>
    <w:basedOn w:val="Normal"/>
    <w:link w:val="ParagraphChar"/>
    <w:qFormat/>
    <w:rsid w:val="00350C21"/>
    <w:pPr>
      <w:spacing w:after="120" w:line="280" w:lineRule="exact"/>
      <w:jc w:val="left"/>
    </w:pPr>
    <w:rPr>
      <w:rFonts w:eastAsia="Times New Roman"/>
      <w:szCs w:val="24"/>
      <w:lang w:val="en-US" w:eastAsia="de-DE"/>
    </w:rPr>
  </w:style>
  <w:style w:type="character" w:customStyle="1" w:styleId="ParagraphChar">
    <w:name w:val="Paragraph Char"/>
    <w:link w:val="Paragraph"/>
    <w:rsid w:val="00350C21"/>
    <w:rPr>
      <w:rFonts w:ascii="Times New Roman" w:eastAsia="Times New Roman" w:hAnsi="Times New Roman"/>
      <w:sz w:val="24"/>
      <w:szCs w:val="24"/>
      <w:lang w:val="en-US" w:eastAsia="de-DE"/>
    </w:rPr>
  </w:style>
  <w:style w:type="paragraph" w:customStyle="1" w:styleId="HighlightListBulletBold">
    <w:name w:val="Highlight List Bullet Bold"/>
    <w:basedOn w:val="Normal"/>
    <w:rsid w:val="00DA4617"/>
    <w:pPr>
      <w:numPr>
        <w:numId w:val="49"/>
      </w:numPr>
      <w:jc w:val="left"/>
    </w:pPr>
    <w:rPr>
      <w:rFonts w:eastAsia="SimSun"/>
      <w:b/>
      <w:sz w:val="16"/>
      <w:szCs w:val="24"/>
      <w:lang w:val="en-US" w:eastAsia="zh-CN"/>
    </w:rPr>
  </w:style>
  <w:style w:type="character" w:customStyle="1" w:styleId="TableCell10LeftChar">
    <w:name w:val="Table Cell 10 Left Char"/>
    <w:link w:val="TableCell10Left"/>
    <w:locked/>
    <w:rsid w:val="00AB5E12"/>
    <w:rPr>
      <w:rFonts w:ascii="Arial" w:eastAsia="SimSun" w:hAnsi="Arial" w:cs="Arial"/>
      <w:szCs w:val="24"/>
      <w:lang w:val="en-US" w:eastAsia="en-US"/>
    </w:rPr>
  </w:style>
  <w:style w:type="paragraph" w:customStyle="1" w:styleId="TableCell10Left">
    <w:name w:val="Table Cell 10 Left"/>
    <w:basedOn w:val="Normal"/>
    <w:link w:val="TableCell10LeftChar"/>
    <w:rsid w:val="00AB5E12"/>
    <w:pPr>
      <w:keepNext/>
      <w:keepLines/>
      <w:spacing w:before="50" w:after="50" w:line="240" w:lineRule="exact"/>
      <w:jc w:val="left"/>
    </w:pPr>
    <w:rPr>
      <w:rFonts w:ascii="Arial" w:eastAsia="SimSun" w:hAnsi="Arial" w:cs="Arial"/>
      <w:sz w:val="20"/>
      <w:szCs w:val="24"/>
      <w:lang w:val="en-US" w:eastAsia="en-US"/>
    </w:rPr>
  </w:style>
  <w:style w:type="paragraph" w:customStyle="1" w:styleId="TableCell10Center">
    <w:name w:val="Table Cell 10 Center"/>
    <w:basedOn w:val="TableCell10Left"/>
    <w:link w:val="TableCell10CenterChar"/>
    <w:rsid w:val="00AB5E12"/>
    <w:pPr>
      <w:jc w:val="center"/>
    </w:pPr>
  </w:style>
  <w:style w:type="character" w:customStyle="1" w:styleId="TableCell10CenterChar">
    <w:name w:val="Table Cell 10 Center Char"/>
    <w:link w:val="TableCell10Center"/>
    <w:locked/>
    <w:rsid w:val="00AB5E12"/>
    <w:rPr>
      <w:rFonts w:ascii="Arial" w:eastAsia="SimSun" w:hAnsi="Arial" w:cs="Arial"/>
      <w:szCs w:val="24"/>
      <w:lang w:val="en-US" w:eastAsia="en-US"/>
    </w:rPr>
  </w:style>
  <w:style w:type="paragraph" w:styleId="BodyText">
    <w:name w:val="Body Text"/>
    <w:basedOn w:val="Normal"/>
    <w:link w:val="BodyTextChar"/>
    <w:uiPriority w:val="99"/>
    <w:semiHidden/>
    <w:unhideWhenUsed/>
    <w:rsid w:val="00033423"/>
    <w:pPr>
      <w:spacing w:after="120"/>
    </w:pPr>
  </w:style>
  <w:style w:type="character" w:customStyle="1" w:styleId="BodyTextChar">
    <w:name w:val="Body Text Char"/>
    <w:basedOn w:val="DefaultParagraphFont"/>
    <w:link w:val="BodyText"/>
    <w:uiPriority w:val="99"/>
    <w:semiHidden/>
    <w:rsid w:val="00033423"/>
    <w:rPr>
      <w:rFonts w:ascii="Times New Roman" w:hAnsi="Times New Roman"/>
      <w:sz w:val="24"/>
      <w:szCs w:val="22"/>
      <w:lang w:eastAsia="zh-TW"/>
    </w:rPr>
  </w:style>
  <w:style w:type="paragraph" w:customStyle="1" w:styleId="TableParagraph">
    <w:name w:val="Table Paragraph"/>
    <w:basedOn w:val="Normal"/>
    <w:uiPriority w:val="1"/>
    <w:qFormat/>
    <w:rsid w:val="00033423"/>
    <w:pPr>
      <w:widowControl w:val="0"/>
      <w:autoSpaceDE w:val="0"/>
      <w:autoSpaceDN w:val="0"/>
      <w:jc w:val="left"/>
    </w:pPr>
    <w:rPr>
      <w:rFonts w:eastAsia="Times New Roman"/>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1031">
      <w:bodyDiv w:val="1"/>
      <w:marLeft w:val="0"/>
      <w:marRight w:val="0"/>
      <w:marTop w:val="0"/>
      <w:marBottom w:val="0"/>
      <w:divBdr>
        <w:top w:val="none" w:sz="0" w:space="0" w:color="auto"/>
        <w:left w:val="none" w:sz="0" w:space="0" w:color="auto"/>
        <w:bottom w:val="none" w:sz="0" w:space="0" w:color="auto"/>
        <w:right w:val="none" w:sz="0" w:space="0" w:color="auto"/>
      </w:divBdr>
    </w:div>
    <w:div w:id="286740020">
      <w:bodyDiv w:val="1"/>
      <w:marLeft w:val="0"/>
      <w:marRight w:val="0"/>
      <w:marTop w:val="0"/>
      <w:marBottom w:val="0"/>
      <w:divBdr>
        <w:top w:val="none" w:sz="0" w:space="0" w:color="auto"/>
        <w:left w:val="none" w:sz="0" w:space="0" w:color="auto"/>
        <w:bottom w:val="none" w:sz="0" w:space="0" w:color="auto"/>
        <w:right w:val="none" w:sz="0" w:space="0" w:color="auto"/>
      </w:divBdr>
    </w:div>
    <w:div w:id="548567381">
      <w:bodyDiv w:val="1"/>
      <w:marLeft w:val="0"/>
      <w:marRight w:val="0"/>
      <w:marTop w:val="0"/>
      <w:marBottom w:val="0"/>
      <w:divBdr>
        <w:top w:val="none" w:sz="0" w:space="0" w:color="auto"/>
        <w:left w:val="none" w:sz="0" w:space="0" w:color="auto"/>
        <w:bottom w:val="none" w:sz="0" w:space="0" w:color="auto"/>
        <w:right w:val="none" w:sz="0" w:space="0" w:color="auto"/>
      </w:divBdr>
    </w:div>
    <w:div w:id="612441109">
      <w:bodyDiv w:val="1"/>
      <w:marLeft w:val="0"/>
      <w:marRight w:val="0"/>
      <w:marTop w:val="0"/>
      <w:marBottom w:val="0"/>
      <w:divBdr>
        <w:top w:val="none" w:sz="0" w:space="0" w:color="auto"/>
        <w:left w:val="none" w:sz="0" w:space="0" w:color="auto"/>
        <w:bottom w:val="none" w:sz="0" w:space="0" w:color="auto"/>
        <w:right w:val="none" w:sz="0" w:space="0" w:color="auto"/>
      </w:divBdr>
    </w:div>
    <w:div w:id="665477560">
      <w:bodyDiv w:val="1"/>
      <w:marLeft w:val="0"/>
      <w:marRight w:val="0"/>
      <w:marTop w:val="0"/>
      <w:marBottom w:val="0"/>
      <w:divBdr>
        <w:top w:val="none" w:sz="0" w:space="0" w:color="auto"/>
        <w:left w:val="none" w:sz="0" w:space="0" w:color="auto"/>
        <w:bottom w:val="none" w:sz="0" w:space="0" w:color="auto"/>
        <w:right w:val="none" w:sz="0" w:space="0" w:color="auto"/>
      </w:divBdr>
    </w:div>
    <w:div w:id="1502164680">
      <w:bodyDiv w:val="1"/>
      <w:marLeft w:val="0"/>
      <w:marRight w:val="0"/>
      <w:marTop w:val="0"/>
      <w:marBottom w:val="0"/>
      <w:divBdr>
        <w:top w:val="none" w:sz="0" w:space="0" w:color="auto"/>
        <w:left w:val="none" w:sz="0" w:space="0" w:color="auto"/>
        <w:bottom w:val="none" w:sz="0" w:space="0" w:color="auto"/>
        <w:right w:val="none" w:sz="0" w:space="0" w:color="auto"/>
      </w:divBdr>
    </w:div>
    <w:div w:id="177617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ga.gov.au/reporting-problems"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image" Target="media/image8.png"/><Relationship Id="rId34"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4.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3.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_dlc_ExpireDate xmlns="http://schemas.microsoft.com/sharepoint/v3">2027-12-23T16:00:00+00:00</_dlc_ExpireDate>
    <_dlc_ExpireDateSaved xmlns="http://schemas.microsoft.com/sharepoint/v3" xsi:nil="true"/>
    <TaxCatchAll xmlns="f191ad30-9ade-4f0c-b78e-cf30469879ae"/>
    <TaxKeywordTaxHTField xmlns="8eafee3c-420c-486d-b1fa-2cdad49e961d">
      <Terms xmlns="http://schemas.microsoft.com/office/infopath/2007/PartnerControls"/>
    </TaxKeywordTaxHTField>
    <Published_x0020_Document_x0020_Status xmlns="84472ea8-4dd9-4fd3-b5d6-47952a17f14e">Permission Granted</Published_x0020_Document_x0020_Status>
    <ProcessCategory xmlns="84472ea8-4dd9-4fd3-b5d6-47952a17f14e" xsi:nil="true"/>
    <RequestID xmlns="84472ea8-4dd9-4fd3-b5d6-47952a17f14e" xsi:nil="true"/>
    <ProcessType xmlns="84472ea8-4dd9-4fd3-b5d6-47952a17f14e" xsi:nil="true"/>
    <Version xmlns="84472ea8-4dd9-4fd3-b5d6-47952a17f14e" xsi:nil="true"/>
    <Effective_x0020_Date xmlns="84472ea8-4dd9-4fd3-b5d6-47952a17f14e" xsi:nil="true"/>
    <ProcessOwner xmlns="84472ea8-4dd9-4fd3-b5d6-47952a17f14e" xsi:nil="true"/>
    <Published_x0020_Date xmlns="84472ea8-4dd9-4fd3-b5d6-47952a17f14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IQ Published Document" ma:contentTypeID="0x010100E1B3445588881D4EBDF11CECAC0F229E006236D92EBEB722408B4DF16F88D56411" ma:contentTypeVersion="17" ma:contentTypeDescription="/" ma:contentTypeScope="" ma:versionID="1ac0bdd6ebefd29c610320df8eb0e3f3">
  <xsd:schema xmlns:xsd="http://www.w3.org/2001/XMLSchema" xmlns:xs="http://www.w3.org/2001/XMLSchema" xmlns:p="http://schemas.microsoft.com/office/2006/metadata/properties" xmlns:ns1="http://schemas.microsoft.com/sharepoint/v3" xmlns:ns2="84472ea8-4dd9-4fd3-b5d6-47952a17f14e" xmlns:ns3="8eafee3c-420c-486d-b1fa-2cdad49e961d" xmlns:ns4="f191ad30-9ade-4f0c-b78e-cf30469879ae" targetNamespace="http://schemas.microsoft.com/office/2006/metadata/properties" ma:root="true" ma:fieldsID="bf4dca3a0acc7b22a33421f00c73eac9" ns1:_="" ns2:_="" ns3:_="" ns4:_="">
    <xsd:import namespace="http://schemas.microsoft.com/sharepoint/v3"/>
    <xsd:import namespace="84472ea8-4dd9-4fd3-b5d6-47952a17f14e"/>
    <xsd:import namespace="8eafee3c-420c-486d-b1fa-2cdad49e961d"/>
    <xsd:import namespace="f191ad30-9ade-4f0c-b78e-cf30469879ae"/>
    <xsd:element name="properties">
      <xsd:complexType>
        <xsd:sequence>
          <xsd:element name="documentManagement">
            <xsd:complexType>
              <xsd:all>
                <xsd:element ref="ns2:ProcessOwner" minOccurs="0"/>
                <xsd:element ref="ns2:ProcessCategory" minOccurs="0"/>
                <xsd:element ref="ns2:ProcessType" minOccurs="0"/>
                <xsd:element ref="ns2:Published_x0020_Date" minOccurs="0"/>
                <xsd:element ref="ns2:Effective_x0020_Date" minOccurs="0"/>
                <xsd:element ref="ns2:Published_x0020_Document_x0020_Status" minOccurs="0"/>
                <xsd:element ref="ns2:Version" minOccurs="0"/>
                <xsd:element ref="ns2:RequestID" minOccurs="0"/>
                <xsd:element ref="ns3:TaxKeywordTaxHTField" minOccurs="0"/>
                <xsd:element ref="ns4:TaxCatchAll" minOccurs="0"/>
                <xsd:element ref="ns1:_dlc_ExpireDateSaved" minOccurs="0"/>
                <xsd:element ref="ns1:_dlc_ExpireDate" minOccurs="0"/>
                <xsd:element ref="ns1:_dlc_Exempt"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9" nillable="true" ma:displayName="Original Expiration Date" ma:hidden="true" ma:internalName="_dlc_ExpireDateSaved" ma:readOnly="true">
      <xsd:simpleType>
        <xsd:restriction base="dms:DateTime"/>
      </xsd:simpleType>
    </xsd:element>
    <xsd:element name="_dlc_ExpireDate" ma:index="20" nillable="true" ma:displayName="Expiration Date" ma:description="" ma:hidden="true" ma:indexed="true" ma:internalName="_dlc_ExpireDate" ma:readOnly="true">
      <xsd:simpleType>
        <xsd:restriction base="dms:DateTime"/>
      </xsd:simpleType>
    </xsd:element>
    <xsd:element name="_dlc_Exempt" ma:index="21" nillable="true" ma:displayName="Exempt from Policy" ma:hidden="true" ma:internalName="_dlc_Exempt" ma:readOnly="true">
      <xsd:simpleType>
        <xsd:restriction base="dms:Unknown"/>
      </xsd:simpleType>
    </xsd:element>
    <xsd:element name="_vti_ItemDeclaredRecord" ma:index="22"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4472ea8-4dd9-4fd3-b5d6-47952a17f14e" elementFormDefault="qualified">
    <xsd:import namespace="http://schemas.microsoft.com/office/2006/documentManagement/types"/>
    <xsd:import namespace="http://schemas.microsoft.com/office/infopath/2007/PartnerControls"/>
    <xsd:element name="ProcessOwner" ma:index="8" nillable="true" ma:displayName="ProcessOwner" ma:default="" ma:description="" ma:internalName="ProcessOwner">
      <xsd:simpleType>
        <xsd:restriction base="dms:Text"/>
      </xsd:simpleType>
    </xsd:element>
    <xsd:element name="ProcessCategory" ma:index="9" nillable="true" ma:displayName="ProcessCategory" ma:default="" ma:description="" ma:internalName="ProcessCategory">
      <xsd:simpleType>
        <xsd:restriction base="dms:Text"/>
      </xsd:simpleType>
    </xsd:element>
    <xsd:element name="ProcessType" ma:index="10" nillable="true" ma:displayName="ProcessType" ma:default="" ma:description="" ma:internalName="ProcessType">
      <xsd:simpleType>
        <xsd:restriction base="dms:Text"/>
      </xsd:simpleType>
    </xsd:element>
    <xsd:element name="Published_x0020_Date" ma:index="11" nillable="true" ma:displayName="Published Date" ma:default="" ma:description="" ma:internalName="Published_x0020_Date">
      <xsd:simpleType>
        <xsd:restriction base="dms:DateTime"/>
      </xsd:simpleType>
    </xsd:element>
    <xsd:element name="Effective_x0020_Date" ma:index="12" nillable="true" ma:displayName="Effective Date" ma:description="" ma:format="DateOnly" ma:internalName="Effective_x0020_Date">
      <xsd:simpleType>
        <xsd:restriction base="dms:DateTime"/>
      </xsd:simpleType>
    </xsd:element>
    <xsd:element name="Published_x0020_Document_x0020_Status" ma:index="13" nillable="true" ma:displayName="Published Document Status" ma:default="" ma:description="" ma:internalName="Published_x0020_Document_x0020_Status">
      <xsd:simpleType>
        <xsd:restriction base="dms:Text"/>
      </xsd:simpleType>
    </xsd:element>
    <xsd:element name="Version" ma:index="14" nillable="true" ma:displayName="Version" ma:default="" ma:description="" ma:internalName="Version">
      <xsd:simpleType>
        <xsd:restriction base="dms:Number"/>
      </xsd:simpleType>
    </xsd:element>
    <xsd:element name="RequestID" ma:index="15" nillable="true" ma:displayName="RequestID" ma:default="" ma:description="" ma:internalName="Request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eafee3c-420c-486d-b1fa-2cdad49e961d"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cb3b16da-6438-44a9-840c-73f1ed966cc5"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91ad30-9ade-4f0c-b78e-cf30469879a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17bb846-0dba-4c08-b496-9327559b34c0}" ma:internalName="TaxCatchAll" ma:showField="CatchAllData" ma:web="8eafee3c-420c-486d-b1fa-2cdad49e96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465B7-16FF-41BD-AD8A-10508F8939B7}">
  <ds:schemaRefs>
    <ds:schemaRef ds:uri="http://schemas.microsoft.com/office/2006/documentManagement/types"/>
    <ds:schemaRef ds:uri="84472ea8-4dd9-4fd3-b5d6-47952a17f14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sharepoint/v3"/>
    <ds:schemaRef ds:uri="f191ad30-9ade-4f0c-b78e-cf30469879ae"/>
    <ds:schemaRef ds:uri="http://purl.org/dc/terms/"/>
    <ds:schemaRef ds:uri="8eafee3c-420c-486d-b1fa-2cdad49e961d"/>
    <ds:schemaRef ds:uri="http://www.w3.org/XML/1998/namespace"/>
    <ds:schemaRef ds:uri="http://purl.org/dc/dcmitype/"/>
  </ds:schemaRefs>
</ds:datastoreItem>
</file>

<file path=customXml/itemProps2.xml><?xml version="1.0" encoding="utf-8"?>
<ds:datastoreItem xmlns:ds="http://schemas.openxmlformats.org/officeDocument/2006/customXml" ds:itemID="{E7DCF6C8-BD75-46A7-9943-30A5FC146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472ea8-4dd9-4fd3-b5d6-47952a17f14e"/>
    <ds:schemaRef ds:uri="8eafee3c-420c-486d-b1fa-2cdad49e961d"/>
    <ds:schemaRef ds:uri="f191ad30-9ade-4f0c-b78e-cf3046987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E580DE-A42E-4942-B981-8D0EF8D7092B}">
  <ds:schemaRefs>
    <ds:schemaRef ds:uri="http://schemas.microsoft.com/sharepoint/v3/contenttype/forms"/>
  </ds:schemaRefs>
</ds:datastoreItem>
</file>

<file path=customXml/itemProps4.xml><?xml version="1.0" encoding="utf-8"?>
<ds:datastoreItem xmlns:ds="http://schemas.openxmlformats.org/officeDocument/2006/customXml" ds:itemID="{E575EB15-CAA6-4553-B304-01880FFCE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16789</Words>
  <Characters>95700</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Attachment: Product Information Atezolizumab</vt:lpstr>
    </vt:vector>
  </TitlesOfParts>
  <Company>F. Hoffmann-La Roche, Ltd.</Company>
  <LinksUpToDate>false</LinksUpToDate>
  <CharactersWithSpaces>112265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Atezolizumab</dc:title>
  <dc:subject>prescription medicines</dc:subject>
  <dc:creator>Kylee Alma</dc:creator>
  <cp:keywords/>
  <dc:description/>
  <cp:lastPrinted>2019-08-27T04:05:00Z</cp:lastPrinted>
  <dcterms:created xsi:type="dcterms:W3CDTF">2020-06-16T04:53:00Z</dcterms:created>
  <dcterms:modified xsi:type="dcterms:W3CDTF">2020-06-16T05:28:00Z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0x010100E1B3445588881D4EBDF11CECAC0F229E006236D92EBEB722408B4DF16F88D56411</vt:lpwstr>
  </property>
  <property fmtid="{D5CDD505-2E9C-101B-9397-08002B2CF9AE}" pid="3" name="Platypus_REG Status">
    <vt:lpwstr>1</vt:lpwstr>
  </property>
  <property fmtid="{D5CDD505-2E9C-101B-9397-08002B2CF9AE}" pid="4" name="Platypus_REG Country">
    <vt:lpwstr>2</vt:lpwstr>
  </property>
  <property fmtid="{D5CDD505-2E9C-101B-9397-08002B2CF9AE}" pid="5" name="REG_Team_Members">
    <vt:lpwstr/>
  </property>
  <property fmtid="{D5CDD505-2E9C-101B-9397-08002B2CF9AE}" pid="6" name="Platypus_REG Primary Group">
    <vt:lpwstr>3</vt:lpwstr>
  </property>
  <property fmtid="{D5CDD505-2E9C-101B-9397-08002B2CF9AE}" pid="7" name="Platypus_REG NON_CONDOR Process Type">
    <vt:lpwstr>2</vt:lpwstr>
  </property>
  <property fmtid="{D5CDD505-2E9C-101B-9397-08002B2CF9AE}" pid="8" name="Platypus_REG Category">
    <vt:lpwstr>3</vt:lpwstr>
  </property>
  <property fmtid="{D5CDD505-2E9C-101B-9397-08002B2CF9AE}" pid="9" name="Platypus_REG NON-CONDOR Process Type">
    <vt:lpwstr>2</vt:lpwstr>
  </property>
  <property fmtid="{D5CDD505-2E9C-101B-9397-08002B2CF9AE}" pid="10" name="Platypus_REG Registration Activities">
    <vt:lpwstr>8</vt:lpwstr>
  </property>
  <property fmtid="{D5CDD505-2E9C-101B-9397-08002B2CF9AE}" pid="11" name="_dlc_policyId">
    <vt:lpwstr>/team/201211a2/ProcessIQ/Published</vt:lpwstr>
  </property>
  <property fmtid="{D5CDD505-2E9C-101B-9397-08002B2CF9AE}" pid="12" name="ItemRetentionFormula">
    <vt:lpwstr>&lt;formula id="Roche.Common.Coremap.ExpirationFormula" /&gt;</vt:lpwstr>
  </property>
  <property fmtid="{D5CDD505-2E9C-101B-9397-08002B2CF9AE}" pid="13" name="_dlc_DocIdItemGuid">
    <vt:lpwstr>453808dd-6b03-4322-a528-b36a94a7430d</vt:lpwstr>
  </property>
  <property fmtid="{D5CDD505-2E9C-101B-9397-08002B2CF9AE}" pid="14" name="TaxKeyword">
    <vt:lpwstr/>
  </property>
  <property fmtid="{D5CDD505-2E9C-101B-9397-08002B2CF9AE}" pid="15" name="Order">
    <vt:r8>77800</vt:r8>
  </property>
  <property fmtid="{D5CDD505-2E9C-101B-9397-08002B2CF9AE}" pid="16" name="WorkflowChangePath">
    <vt:lpwstr>d0a6ed6f-b848-485e-a33c-9821f7465e44,5;</vt:lpwstr>
  </property>
</Properties>
</file>