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5B314" w14:textId="77777777" w:rsidR="00D844B2" w:rsidRPr="00794B40" w:rsidRDefault="00D844B2" w:rsidP="00AE74F3">
      <w:pPr>
        <w:pStyle w:val="Heading1"/>
        <w:rPr>
          <w:rFonts w:hint="eastAsia"/>
        </w:rPr>
      </w:pPr>
      <w:r w:rsidRPr="00794B40">
        <w:t>Name of the medicine</w:t>
      </w:r>
      <w:bookmarkStart w:id="0" w:name="_GoBack"/>
      <w:bookmarkEnd w:id="0"/>
    </w:p>
    <w:p w14:paraId="3375B315" w14:textId="17715791" w:rsidR="00D844B2" w:rsidRPr="00794B40" w:rsidRDefault="008C70BA" w:rsidP="005B6021">
      <w:pPr>
        <w:rPr>
          <w:sz w:val="36"/>
          <w:szCs w:val="36"/>
        </w:rPr>
      </w:pPr>
      <w:r w:rsidRPr="00794B40">
        <w:rPr>
          <w:sz w:val="36"/>
          <w:szCs w:val="36"/>
        </w:rPr>
        <w:t>Tecentriq</w:t>
      </w:r>
      <w:r w:rsidR="00D844B2" w:rsidRPr="00794B40">
        <w:rPr>
          <w:sz w:val="36"/>
          <w:szCs w:val="36"/>
          <w:vertAlign w:val="superscript"/>
        </w:rPr>
        <w:t>®</w:t>
      </w:r>
    </w:p>
    <w:p w14:paraId="3375B316" w14:textId="569BCB81" w:rsidR="00D844B2" w:rsidRPr="00794B40" w:rsidRDefault="0031230D" w:rsidP="00D844B2">
      <w:pPr>
        <w:pStyle w:val="Heading9"/>
      </w:pPr>
      <w:r w:rsidRPr="00794B40">
        <w:t>atezolizumab (rch)</w:t>
      </w:r>
      <w:r w:rsidR="00D844B2" w:rsidRPr="00794B40">
        <w:t xml:space="preserve"> </w:t>
      </w:r>
    </w:p>
    <w:p w14:paraId="3375B321" w14:textId="3CE0E7FC" w:rsidR="000B118C" w:rsidRPr="00794B40" w:rsidRDefault="00CF3480" w:rsidP="008C4322">
      <w:pPr>
        <w:rPr>
          <w:lang w:val="en-GB"/>
        </w:rPr>
      </w:pPr>
      <w:r w:rsidRPr="00794B40">
        <w:rPr>
          <w:lang w:val="en-GB"/>
        </w:rPr>
        <w:t xml:space="preserve">CAS: </w:t>
      </w:r>
      <w:r w:rsidR="00FE059F" w:rsidRPr="00794B40">
        <w:rPr>
          <w:lang w:val="en-GB"/>
        </w:rPr>
        <w:t>1380723-44-3</w:t>
      </w:r>
    </w:p>
    <w:p w14:paraId="032E398B" w14:textId="77777777" w:rsidR="00FE059F" w:rsidRPr="00794B40" w:rsidRDefault="00FE059F" w:rsidP="00FE059F"/>
    <w:p w14:paraId="3375B322" w14:textId="221DA65F" w:rsidR="000B118C" w:rsidRPr="00794B40" w:rsidRDefault="008C70BA" w:rsidP="00FE059F">
      <w:r w:rsidRPr="00794B40">
        <w:t xml:space="preserve">Tecentriq </w:t>
      </w:r>
      <w:r w:rsidR="00FE059F" w:rsidRPr="00794B40">
        <w:t>is an engineered, humani</w:t>
      </w:r>
      <w:r w:rsidR="00C26231" w:rsidRPr="00794B40">
        <w:t>s</w:t>
      </w:r>
      <w:r w:rsidR="00FE059F" w:rsidRPr="00794B40">
        <w:t xml:space="preserve">ed, monoclonal antibody that directly binds to PD-L1 and blocks interactions with the PD-1 and B7.1 receptors. </w:t>
      </w:r>
      <w:r w:rsidRPr="00794B40">
        <w:t xml:space="preserve">Tecentriq </w:t>
      </w:r>
      <w:r w:rsidR="00FE059F" w:rsidRPr="00794B40">
        <w:t>is a non</w:t>
      </w:r>
      <w:r w:rsidR="009D56A2" w:rsidRPr="00794B40">
        <w:t>-</w:t>
      </w:r>
      <w:r w:rsidR="00FE059F" w:rsidRPr="00794B40">
        <w:t xml:space="preserve">glycosylated IgG1 immunoglobulin that has a calculated molecular mass of 145 kDa. </w:t>
      </w:r>
    </w:p>
    <w:p w14:paraId="3375B323" w14:textId="77777777" w:rsidR="00D844B2" w:rsidRPr="00794B40" w:rsidRDefault="00D844B2" w:rsidP="00AE74F3">
      <w:pPr>
        <w:pStyle w:val="Heading1"/>
        <w:rPr>
          <w:rFonts w:hint="eastAsia"/>
        </w:rPr>
      </w:pPr>
      <w:r w:rsidRPr="00794B40">
        <w:t>Description</w:t>
      </w:r>
    </w:p>
    <w:p w14:paraId="6285AA4A" w14:textId="392EB7D7" w:rsidR="0031230D" w:rsidRPr="00794B40" w:rsidRDefault="008C70BA" w:rsidP="00FE059F">
      <w:r w:rsidRPr="00794B40">
        <w:t>Tecentriq</w:t>
      </w:r>
      <w:r w:rsidR="0031230D" w:rsidRPr="00794B40">
        <w:t xml:space="preserve"> is supplied as a single-use vial containing 20 mL preservative-free, colo</w:t>
      </w:r>
      <w:r w:rsidR="00FE059F" w:rsidRPr="00794B40">
        <w:t>u</w:t>
      </w:r>
      <w:r w:rsidR="0031230D" w:rsidRPr="00794B40">
        <w:t>rless to slightly yellow solution, at a concentration of 60 mg/mL. Each vial contains a total of 1200 mg atezolizumab</w:t>
      </w:r>
      <w:r w:rsidR="00FE059F" w:rsidRPr="00794B40">
        <w:t xml:space="preserve"> with the following excipients: histidine, </w:t>
      </w:r>
      <w:r w:rsidR="00D41C56" w:rsidRPr="00794B40">
        <w:t xml:space="preserve">glacial </w:t>
      </w:r>
      <w:r w:rsidR="00FE059F" w:rsidRPr="00794B40">
        <w:t>acetic acid, sucrose, polysorbate 20 and water for injections.</w:t>
      </w:r>
    </w:p>
    <w:p w14:paraId="3375B328" w14:textId="77777777" w:rsidR="00D844B2" w:rsidRPr="00794B40" w:rsidRDefault="00D844B2" w:rsidP="00AE74F3">
      <w:pPr>
        <w:pStyle w:val="Heading1"/>
        <w:rPr>
          <w:rFonts w:hint="eastAsia"/>
        </w:rPr>
      </w:pPr>
      <w:r w:rsidRPr="00794B40">
        <w:t>Pharmacology</w:t>
      </w:r>
    </w:p>
    <w:p w14:paraId="22B03417" w14:textId="5CCB17FE" w:rsidR="003F645B" w:rsidRPr="00794B40" w:rsidRDefault="003F645B" w:rsidP="003F645B">
      <w:pPr>
        <w:pStyle w:val="Heading2"/>
        <w:rPr>
          <w:rFonts w:hint="eastAsia"/>
        </w:rPr>
      </w:pPr>
      <w:r w:rsidRPr="00794B40">
        <w:t>Pharmacodynamics</w:t>
      </w:r>
    </w:p>
    <w:p w14:paraId="197A43EC" w14:textId="0B03D6C8" w:rsidR="00505E00" w:rsidRPr="00794B40" w:rsidRDefault="00505E00" w:rsidP="00505E00">
      <w:r w:rsidRPr="00794B40">
        <w:t>Binding of PD-L1 to the PD-1 and B7.1 receptors found on T cells suppresses cytotoxic T-cell activity through the inhibition of T-cell proliferation and cytokine production.  PD-L1 may be expressed on tumour cells and tumour-infiltrating immune cells, and can contribute to the inhibition of the anti</w:t>
      </w:r>
      <w:r w:rsidR="00655A25" w:rsidRPr="00794B40">
        <w:t>-tumour</w:t>
      </w:r>
      <w:r w:rsidRPr="00794B40">
        <w:t xml:space="preserve"> immune response in the microenvironment.  </w:t>
      </w:r>
    </w:p>
    <w:p w14:paraId="6A6F2BC4" w14:textId="77777777" w:rsidR="00505E00" w:rsidRPr="00794B40" w:rsidRDefault="00505E00" w:rsidP="00505E00"/>
    <w:p w14:paraId="3375B329" w14:textId="2A82881D" w:rsidR="00D844B2" w:rsidRPr="00794B40" w:rsidRDefault="00505E00" w:rsidP="00505E00">
      <w:r w:rsidRPr="00794B40">
        <w:t>Atezolizumab is an Fc-engineered human</w:t>
      </w:r>
      <w:r w:rsidR="00C26231" w:rsidRPr="00794B40">
        <w:t>ise</w:t>
      </w:r>
      <w:r w:rsidRPr="00794B40">
        <w:t>d immunoglobulin G1 (IgG1) monoclonal antibody that directly binds to PD-L1 and blocks interactions with the PD-1 and B7.1 receptors, releasing PD-L1/PD-1 pathway-mediated inhibition of the immune response, including reactivating the anti</w:t>
      </w:r>
      <w:r w:rsidR="00655A25" w:rsidRPr="00794B40">
        <w:t>-tumour</w:t>
      </w:r>
      <w:r w:rsidRPr="00794B40">
        <w:t xml:space="preserve"> immune response. Atezolizumab leaves the PD-L2/PD-1 interaction intact</w:t>
      </w:r>
      <w:r w:rsidR="0052165C" w:rsidRPr="00794B40">
        <w:t>, allowing PD-L2/PD-1 mediated inhibitory signals to persist</w:t>
      </w:r>
      <w:r w:rsidRPr="00794B40">
        <w:t xml:space="preserve">. In syngeneic mouse </w:t>
      </w:r>
      <w:r w:rsidR="00655A25" w:rsidRPr="00794B40">
        <w:t>tumour</w:t>
      </w:r>
      <w:r w:rsidRPr="00794B40">
        <w:t xml:space="preserve"> models, blocking PD-L1 activity resulted in decreased tumo</w:t>
      </w:r>
      <w:r w:rsidR="0052165C" w:rsidRPr="00794B40">
        <w:t>u</w:t>
      </w:r>
      <w:r w:rsidRPr="00794B40">
        <w:t>r growth.</w:t>
      </w:r>
    </w:p>
    <w:p w14:paraId="0221EFA3" w14:textId="06505569" w:rsidR="003F645B" w:rsidRPr="00794B40" w:rsidRDefault="003F645B" w:rsidP="003F645B">
      <w:pPr>
        <w:pStyle w:val="Heading2"/>
        <w:rPr>
          <w:rFonts w:hint="eastAsia"/>
        </w:rPr>
      </w:pPr>
      <w:r w:rsidRPr="00794B40">
        <w:t>Pharmacokinetics</w:t>
      </w:r>
    </w:p>
    <w:p w14:paraId="69A8376A" w14:textId="6CAC9B1F" w:rsidR="003F645B" w:rsidRPr="00794B40" w:rsidRDefault="003F645B" w:rsidP="003F645B">
      <w:r w:rsidRPr="00794B40">
        <w:t>The pharmacokinetics of atezolizumab has been character</w:t>
      </w:r>
      <w:r w:rsidR="00C26231" w:rsidRPr="00794B40">
        <w:t>ise</w:t>
      </w:r>
      <w:r w:rsidRPr="00794B40">
        <w:t>d in patients in multiple clinical trials at doses 0.01 mg/kg to 20 mg/kg every 3 weeks including the fixed dose 1200 mg. Exposure to atezolizumab increased dose proportionally over the dose range 1</w:t>
      </w:r>
      <w:r w:rsidRPr="00794B40">
        <w:rPr>
          <w:rFonts w:hint="eastAsia"/>
        </w:rPr>
        <w:t xml:space="preserve"> mg/kg to 20 mg/kg. A population analysis that included 472 patients described atezolizumab pharmacokinetics for the dose range 1 </w:t>
      </w:r>
      <w:r w:rsidR="009D6DE6" w:rsidRPr="00794B40">
        <w:t>-</w:t>
      </w:r>
      <w:r w:rsidRPr="00794B40">
        <w:rPr>
          <w:rFonts w:hint="eastAsia"/>
        </w:rPr>
        <w:t xml:space="preserve"> 20 mg/kg with a linear two-compartment disposition model with first-order elimination. A population pharmacokinetic analysi</w:t>
      </w:r>
      <w:r w:rsidRPr="00794B40">
        <w:t>s suggests that steady-state is obtained after 6 to 9 weeks (2 to 3 cycles) of repeated dosing. The systemic accumulation in area under the curve (AUC), maximum concentration (C</w:t>
      </w:r>
      <w:r w:rsidRPr="00794B40">
        <w:rPr>
          <w:vertAlign w:val="subscript"/>
        </w:rPr>
        <w:t>max</w:t>
      </w:r>
      <w:r w:rsidRPr="00794B40">
        <w:t>) and trough concentration (C</w:t>
      </w:r>
      <w:r w:rsidRPr="00794B40">
        <w:rPr>
          <w:vertAlign w:val="subscript"/>
        </w:rPr>
        <w:t>min</w:t>
      </w:r>
      <w:r w:rsidRPr="00794B40">
        <w:t xml:space="preserve">) was 1.91, 1.46 and 2.75-fold, respectively. </w:t>
      </w:r>
    </w:p>
    <w:p w14:paraId="0F01E8B8" w14:textId="77777777" w:rsidR="009D6DE6" w:rsidRPr="00794B40" w:rsidRDefault="009D6DE6" w:rsidP="003F645B"/>
    <w:p w14:paraId="6AF2F93C" w14:textId="1F6B209E" w:rsidR="003F645B" w:rsidRPr="00794B40" w:rsidRDefault="003F645B" w:rsidP="003F645B">
      <w:r w:rsidRPr="00794B40">
        <w:t>Based on analys</w:t>
      </w:r>
      <w:r w:rsidR="00ED1FFD">
        <w:t>e</w:t>
      </w:r>
      <w:r w:rsidRPr="00794B40">
        <w:t xml:space="preserve">s of </w:t>
      </w:r>
      <w:r w:rsidR="00ED1FFD">
        <w:t xml:space="preserve">population pharmacokinetics and </w:t>
      </w:r>
      <w:r w:rsidRPr="00794B40">
        <w:t>exposure</w:t>
      </w:r>
      <w:r w:rsidR="00ED1FFD">
        <w:t>-</w:t>
      </w:r>
      <w:r w:rsidRPr="00794B40">
        <w:t xml:space="preserve">safety and </w:t>
      </w:r>
      <w:r w:rsidR="00ED1FFD">
        <w:t>-</w:t>
      </w:r>
      <w:r w:rsidRPr="00794B40">
        <w:t xml:space="preserve">efficacy </w:t>
      </w:r>
      <w:r w:rsidR="00ED1FFD">
        <w:t>relationships</w:t>
      </w:r>
      <w:r w:rsidRPr="00794B40">
        <w:t>, the following factors have no clinically relevant effect: age (21</w:t>
      </w:r>
      <w:r w:rsidR="009D6DE6" w:rsidRPr="00794B40">
        <w:t xml:space="preserve"> </w:t>
      </w:r>
      <w:r w:rsidRPr="00794B40">
        <w:t>-</w:t>
      </w:r>
      <w:r w:rsidR="009D6DE6" w:rsidRPr="00794B40">
        <w:t xml:space="preserve"> </w:t>
      </w:r>
      <w:r w:rsidRPr="00794B40">
        <w:t xml:space="preserve">89 years), body weight, gender, positive anti-therapeutic antibody (ATA) status, albumin levels, </w:t>
      </w:r>
      <w:r w:rsidR="00655A25" w:rsidRPr="00794B40">
        <w:t>tumour</w:t>
      </w:r>
      <w:r w:rsidRPr="00794B40">
        <w:t xml:space="preserve"> </w:t>
      </w:r>
      <w:r w:rsidRPr="00794B40">
        <w:lastRenderedPageBreak/>
        <w:t xml:space="preserve">burden, region or ethnicity, renal impairment, mild hepatic impairment, level of PD-L1 expression, or </w:t>
      </w:r>
      <w:r w:rsidR="00237C72" w:rsidRPr="00794B40">
        <w:t xml:space="preserve">Eastern Cooperative Oncology Group (ECOG) </w:t>
      </w:r>
      <w:r w:rsidRPr="00794B40">
        <w:t xml:space="preserve">status. </w:t>
      </w:r>
      <w:r w:rsidR="00D74142">
        <w:t>No dose adjustments are recommended.</w:t>
      </w:r>
    </w:p>
    <w:p w14:paraId="3375B32B" w14:textId="77777777" w:rsidR="00D844B2" w:rsidRPr="00794B40" w:rsidRDefault="00D844B2" w:rsidP="009D6DE6">
      <w:pPr>
        <w:pStyle w:val="Heading3"/>
      </w:pPr>
      <w:r w:rsidRPr="00794B40">
        <w:t>Absorption</w:t>
      </w:r>
    </w:p>
    <w:p w14:paraId="3375B32C" w14:textId="59A596F6" w:rsidR="00D844B2" w:rsidRPr="00794B40" w:rsidRDefault="00E61D05" w:rsidP="00D844B2">
      <w:r w:rsidRPr="00794B40">
        <w:t xml:space="preserve">Tecentriq </w:t>
      </w:r>
      <w:r w:rsidR="009D6DE6" w:rsidRPr="00794B40">
        <w:t xml:space="preserve">is administered as an </w:t>
      </w:r>
      <w:r w:rsidR="00237C72" w:rsidRPr="00794B40">
        <w:t>intravenous</w:t>
      </w:r>
      <w:r w:rsidR="009D6DE6" w:rsidRPr="00794B40">
        <w:t xml:space="preserve"> </w:t>
      </w:r>
      <w:r w:rsidR="00237C72" w:rsidRPr="00794B40">
        <w:t xml:space="preserve">(IV) </w:t>
      </w:r>
      <w:r w:rsidR="009D6DE6" w:rsidRPr="00794B40">
        <w:t xml:space="preserve">infusion. There have been no studies performed with other routes of administration. </w:t>
      </w:r>
    </w:p>
    <w:p w14:paraId="3375B32D" w14:textId="77777777" w:rsidR="00D844B2" w:rsidRPr="00794B40" w:rsidRDefault="00D844B2" w:rsidP="009D6DE6">
      <w:pPr>
        <w:pStyle w:val="Heading3"/>
        <w:rPr>
          <w:lang w:val="en-GB"/>
        </w:rPr>
      </w:pPr>
      <w:r w:rsidRPr="00794B40">
        <w:rPr>
          <w:lang w:val="en-GB"/>
        </w:rPr>
        <w:t>Distribution</w:t>
      </w:r>
    </w:p>
    <w:p w14:paraId="3375B32E" w14:textId="6EC96AF2" w:rsidR="00D844B2" w:rsidRPr="00794B40" w:rsidRDefault="009D6DE6" w:rsidP="00D844B2">
      <w:r w:rsidRPr="00794B40">
        <w:t>A population pharmacokinetic analysis indicates that central compartment volume of distribution (V</w:t>
      </w:r>
      <w:r w:rsidRPr="00794B40">
        <w:rPr>
          <w:vertAlign w:val="subscript"/>
        </w:rPr>
        <w:t>1</w:t>
      </w:r>
      <w:r w:rsidRPr="00794B40">
        <w:t>) is 3.28 L and volume at steady-state (V</w:t>
      </w:r>
      <w:r w:rsidRPr="00794B40">
        <w:rPr>
          <w:vertAlign w:val="subscript"/>
        </w:rPr>
        <w:t>ss</w:t>
      </w:r>
      <w:r w:rsidRPr="00794B40">
        <w:t>) is 6.91 L in the typical patient</w:t>
      </w:r>
      <w:r w:rsidR="00016089" w:rsidRPr="00794B40">
        <w:t>.</w:t>
      </w:r>
    </w:p>
    <w:p w14:paraId="3375B32F" w14:textId="77777777" w:rsidR="00D844B2" w:rsidRPr="00794B40" w:rsidRDefault="00D844B2" w:rsidP="009D6DE6">
      <w:pPr>
        <w:pStyle w:val="Heading3"/>
        <w:rPr>
          <w:lang w:val="en-GB"/>
        </w:rPr>
      </w:pPr>
      <w:r w:rsidRPr="00794B40">
        <w:rPr>
          <w:lang w:val="en-GB"/>
        </w:rPr>
        <w:t>Metabolism</w:t>
      </w:r>
    </w:p>
    <w:p w14:paraId="3375B330" w14:textId="4E5573AB" w:rsidR="00D844B2" w:rsidRPr="00794B40" w:rsidRDefault="009D6DE6" w:rsidP="00D844B2">
      <w:r w:rsidRPr="00794B40">
        <w:t>The metabolism of atezolizumab has not been directly studied. Antibodies are cleared principally by catabolism.</w:t>
      </w:r>
    </w:p>
    <w:p w14:paraId="3375B331" w14:textId="77777777" w:rsidR="00D844B2" w:rsidRPr="00794B40" w:rsidRDefault="00D844B2" w:rsidP="009D6DE6">
      <w:pPr>
        <w:pStyle w:val="Heading3"/>
        <w:rPr>
          <w:lang w:val="en-GB"/>
        </w:rPr>
      </w:pPr>
      <w:r w:rsidRPr="00794B40">
        <w:rPr>
          <w:lang w:val="en-GB"/>
        </w:rPr>
        <w:t>Excretion</w:t>
      </w:r>
    </w:p>
    <w:p w14:paraId="3375B332" w14:textId="22912FF5" w:rsidR="00D844B2" w:rsidRPr="00794B40" w:rsidRDefault="009D6DE6" w:rsidP="00D844B2">
      <w:r w:rsidRPr="00794B40">
        <w:t>A population pharmacokinetic analysis indicates that the clearance of atezolizumab is 0.200 L/day and the typical terminal elimination half-life (t</w:t>
      </w:r>
      <w:r w:rsidRPr="00794B40">
        <w:rPr>
          <w:vertAlign w:val="subscript"/>
        </w:rPr>
        <w:t>1/2</w:t>
      </w:r>
      <w:r w:rsidRPr="00794B40">
        <w:t>) is 27 days.</w:t>
      </w:r>
    </w:p>
    <w:p w14:paraId="3D65081C" w14:textId="2877F8EE" w:rsidR="009D6DE6" w:rsidRPr="00794B40" w:rsidRDefault="009D6DE6" w:rsidP="009D6DE6">
      <w:pPr>
        <w:pStyle w:val="Heading3"/>
      </w:pPr>
      <w:r w:rsidRPr="00794B40">
        <w:t xml:space="preserve">Pharmacokinetics in Special Populations </w:t>
      </w:r>
    </w:p>
    <w:p w14:paraId="67F4F5F5" w14:textId="77777777" w:rsidR="009D6DE6" w:rsidRPr="00794B40" w:rsidRDefault="009D6DE6" w:rsidP="003A543B">
      <w:pPr>
        <w:pStyle w:val="Heading4"/>
      </w:pPr>
      <w:r w:rsidRPr="00794B40">
        <w:t>Children</w:t>
      </w:r>
    </w:p>
    <w:p w14:paraId="3B8CA566" w14:textId="7C7556BC" w:rsidR="009D6DE6" w:rsidRPr="00794B40" w:rsidRDefault="009D6DE6" w:rsidP="009D6DE6">
      <w:r w:rsidRPr="00794B40">
        <w:t xml:space="preserve">No studies have been conducted to investigate the pharmacokinetics of </w:t>
      </w:r>
      <w:r w:rsidR="00266F4D" w:rsidRPr="00794B40">
        <w:t xml:space="preserve">Tecentriq </w:t>
      </w:r>
      <w:r w:rsidRPr="00794B40">
        <w:t>in children.</w:t>
      </w:r>
    </w:p>
    <w:p w14:paraId="1DB21B64" w14:textId="77777777" w:rsidR="009D6DE6" w:rsidRPr="00794B40" w:rsidRDefault="009D6DE6" w:rsidP="003A543B">
      <w:pPr>
        <w:pStyle w:val="Heading4"/>
      </w:pPr>
      <w:r w:rsidRPr="00794B40">
        <w:t xml:space="preserve">Elderly </w:t>
      </w:r>
    </w:p>
    <w:p w14:paraId="54D17CEE" w14:textId="75FC8C3C" w:rsidR="009D6DE6" w:rsidRPr="00794B40" w:rsidRDefault="009D6DE6" w:rsidP="009D6DE6">
      <w:r w:rsidRPr="00794B40">
        <w:t xml:space="preserve">No dedicated studies of </w:t>
      </w:r>
      <w:r w:rsidR="008C70BA" w:rsidRPr="00794B40">
        <w:t xml:space="preserve">Tecentriq </w:t>
      </w:r>
      <w:r w:rsidRPr="00794B40">
        <w:t>have been conducted in elderly patients. The effect of age on the pharmacokinetics of atezolizumab was assessed in a population pharmacokinetic analysis. Age was not identified as a significant covariate influencing atezol</w:t>
      </w:r>
      <w:r w:rsidRPr="00794B40">
        <w:rPr>
          <w:rFonts w:hint="eastAsia"/>
        </w:rPr>
        <w:t>izumab pharmacokinetics based on patients of age range of 21</w:t>
      </w:r>
      <w:r w:rsidR="003A543B" w:rsidRPr="00794B40">
        <w:t xml:space="preserve"> </w:t>
      </w:r>
      <w:r w:rsidRPr="00794B40">
        <w:rPr>
          <w:rFonts w:hint="eastAsia"/>
        </w:rPr>
        <w:t>-</w:t>
      </w:r>
      <w:r w:rsidR="003A543B" w:rsidRPr="00794B40">
        <w:t xml:space="preserve"> </w:t>
      </w:r>
      <w:r w:rsidRPr="00794B40">
        <w:rPr>
          <w:rFonts w:hint="eastAsia"/>
        </w:rPr>
        <w:t>89 years (n</w:t>
      </w:r>
      <w:r w:rsidR="003A543B" w:rsidRPr="00794B40">
        <w:t xml:space="preserve"> = </w:t>
      </w:r>
      <w:r w:rsidRPr="00794B40">
        <w:rPr>
          <w:rFonts w:hint="eastAsia"/>
        </w:rPr>
        <w:t xml:space="preserve">472), and median of 62 years of age.  No clinically important difference was observed in the pharmacokinetics of atezolizumab among patients </w:t>
      </w:r>
      <w:r w:rsidR="003A543B" w:rsidRPr="00794B40">
        <w:t>&lt;</w:t>
      </w:r>
      <w:r w:rsidRPr="00794B40">
        <w:rPr>
          <w:rFonts w:hint="eastAsia"/>
        </w:rPr>
        <w:t xml:space="preserve"> 65 years (n</w:t>
      </w:r>
      <w:r w:rsidR="00C26231" w:rsidRPr="00794B40">
        <w:t xml:space="preserve"> </w:t>
      </w:r>
      <w:r w:rsidR="003A543B" w:rsidRPr="00794B40">
        <w:t>=</w:t>
      </w:r>
      <w:r w:rsidR="00C26231" w:rsidRPr="00794B40">
        <w:t xml:space="preserve"> </w:t>
      </w:r>
      <w:r w:rsidRPr="00794B40">
        <w:rPr>
          <w:rFonts w:hint="eastAsia"/>
        </w:rPr>
        <w:t>274), patients between 65</w:t>
      </w:r>
      <w:r w:rsidR="003A543B" w:rsidRPr="00794B40">
        <w:t xml:space="preserve"> - </w:t>
      </w:r>
      <w:r w:rsidRPr="00794B40">
        <w:rPr>
          <w:rFonts w:hint="eastAsia"/>
        </w:rPr>
        <w:t>75 years (n</w:t>
      </w:r>
      <w:r w:rsidR="003A543B" w:rsidRPr="00794B40">
        <w:t xml:space="preserve"> = </w:t>
      </w:r>
      <w:r w:rsidRPr="00794B40">
        <w:rPr>
          <w:rFonts w:hint="eastAsia"/>
        </w:rPr>
        <w:t>152) and patients</w:t>
      </w:r>
      <w:r w:rsidR="003A543B" w:rsidRPr="00794B40">
        <w:t xml:space="preserve"> &gt; </w:t>
      </w:r>
      <w:r w:rsidRPr="00794B40">
        <w:rPr>
          <w:rFonts w:hint="eastAsia"/>
        </w:rPr>
        <w:t>75 years (n</w:t>
      </w:r>
      <w:r w:rsidR="003A543B" w:rsidRPr="00794B40">
        <w:t xml:space="preserve"> = </w:t>
      </w:r>
      <w:r w:rsidRPr="00794B40">
        <w:rPr>
          <w:rFonts w:hint="eastAsia"/>
        </w:rPr>
        <w:t xml:space="preserve">46) (see </w:t>
      </w:r>
      <w:r w:rsidR="003A543B" w:rsidRPr="00794B40">
        <w:rPr>
          <w:i/>
        </w:rPr>
        <w:t>DOSAGE AND ADMINISTRATION</w:t>
      </w:r>
      <w:r w:rsidRPr="00794B40">
        <w:rPr>
          <w:rFonts w:hint="eastAsia"/>
        </w:rPr>
        <w:t xml:space="preserve">). </w:t>
      </w:r>
    </w:p>
    <w:p w14:paraId="03B299BF" w14:textId="77777777" w:rsidR="009D6DE6" w:rsidRPr="00794B40" w:rsidRDefault="009D6DE6" w:rsidP="003A543B">
      <w:pPr>
        <w:pStyle w:val="Heading4"/>
      </w:pPr>
      <w:r w:rsidRPr="00794B40">
        <w:t xml:space="preserve">Renal impairment </w:t>
      </w:r>
    </w:p>
    <w:p w14:paraId="75C0DB59" w14:textId="607671D1" w:rsidR="009D6DE6" w:rsidRPr="00794B40" w:rsidRDefault="009D6DE6" w:rsidP="009D6DE6">
      <w:r w:rsidRPr="00794B40">
        <w:t xml:space="preserve">No dedicated studies of </w:t>
      </w:r>
      <w:r w:rsidR="008C70BA" w:rsidRPr="00794B40">
        <w:t xml:space="preserve">Tecentriq </w:t>
      </w:r>
      <w:r w:rsidRPr="00794B40">
        <w:t>have been conducted in patients with renal impairment.  In the population pharmacokinetic analysis, no clinically important differences in the clearance of atezolizumab were found in patients with mild (eGFR 60 to 89 mL/mi</w:t>
      </w:r>
      <w:r w:rsidRPr="00794B40">
        <w:rPr>
          <w:rFonts w:hint="eastAsia"/>
        </w:rPr>
        <w:t>n/1.73 m</w:t>
      </w:r>
      <w:r w:rsidRPr="00794B40">
        <w:rPr>
          <w:rFonts w:hint="eastAsia"/>
          <w:vertAlign w:val="superscript"/>
        </w:rPr>
        <w:t>2</w:t>
      </w:r>
      <w:r w:rsidRPr="00794B40">
        <w:rPr>
          <w:rFonts w:hint="eastAsia"/>
        </w:rPr>
        <w:t>; n</w:t>
      </w:r>
      <w:r w:rsidR="003A543B" w:rsidRPr="00794B40">
        <w:t xml:space="preserve"> = </w:t>
      </w:r>
      <w:r w:rsidRPr="00794B40">
        <w:rPr>
          <w:rFonts w:hint="eastAsia"/>
        </w:rPr>
        <w:t>208) or moderate (eGFR 30 to 59 mL/min/1.73 m2; n</w:t>
      </w:r>
      <w:r w:rsidR="003A543B" w:rsidRPr="00794B40">
        <w:t xml:space="preserve"> = </w:t>
      </w:r>
      <w:r w:rsidRPr="00794B40">
        <w:rPr>
          <w:rFonts w:hint="eastAsia"/>
        </w:rPr>
        <w:t>116) renal impairment compared to patients with normal (eGFR greater than or equal to 90 mL/min/1.73 m</w:t>
      </w:r>
      <w:r w:rsidRPr="00794B40">
        <w:rPr>
          <w:rFonts w:hint="eastAsia"/>
          <w:vertAlign w:val="superscript"/>
        </w:rPr>
        <w:t>2</w:t>
      </w:r>
      <w:r w:rsidRPr="00794B40">
        <w:rPr>
          <w:rFonts w:hint="eastAsia"/>
        </w:rPr>
        <w:t>; n</w:t>
      </w:r>
      <w:r w:rsidR="003A543B" w:rsidRPr="00794B40">
        <w:t xml:space="preserve"> = </w:t>
      </w:r>
      <w:r w:rsidRPr="00794B40">
        <w:rPr>
          <w:rFonts w:hint="eastAsia"/>
        </w:rPr>
        <w:t>140) renal function.  Only a few patients had severe renal impairment (eGFR 15 to 29 mL/min/1.73 m</w:t>
      </w:r>
      <w:r w:rsidRPr="00794B40">
        <w:rPr>
          <w:rFonts w:hint="eastAsia"/>
          <w:vertAlign w:val="superscript"/>
        </w:rPr>
        <w:t>2</w:t>
      </w:r>
      <w:r w:rsidRPr="00794B40">
        <w:rPr>
          <w:rFonts w:hint="eastAsia"/>
        </w:rPr>
        <w:t>; n</w:t>
      </w:r>
      <w:r w:rsidR="003A543B" w:rsidRPr="00794B40">
        <w:t xml:space="preserve"> = </w:t>
      </w:r>
      <w:r w:rsidRPr="00794B40">
        <w:rPr>
          <w:rFonts w:hint="eastAsia"/>
        </w:rPr>
        <w:t xml:space="preserve">8) (see </w:t>
      </w:r>
      <w:r w:rsidR="003A543B" w:rsidRPr="00794B40">
        <w:rPr>
          <w:i/>
        </w:rPr>
        <w:t>DOSAGE AND ADMINISTRATION</w:t>
      </w:r>
      <w:r w:rsidRPr="00794B40">
        <w:rPr>
          <w:rFonts w:hint="eastAsia"/>
        </w:rPr>
        <w:t xml:space="preserve">). </w:t>
      </w:r>
    </w:p>
    <w:p w14:paraId="02ABD08F" w14:textId="77777777" w:rsidR="009D6DE6" w:rsidRPr="00794B40" w:rsidRDefault="009D6DE6" w:rsidP="003A543B">
      <w:pPr>
        <w:pStyle w:val="Heading4"/>
      </w:pPr>
      <w:r w:rsidRPr="00794B40">
        <w:t xml:space="preserve">Hepatic impairment </w:t>
      </w:r>
    </w:p>
    <w:p w14:paraId="13EBDA5A" w14:textId="5EC0C2E3" w:rsidR="009D6DE6" w:rsidRPr="00794B40" w:rsidRDefault="009D6DE6" w:rsidP="009D6DE6">
      <w:r w:rsidRPr="00794B40">
        <w:t xml:space="preserve">No dedicated studies of </w:t>
      </w:r>
      <w:r w:rsidR="008C70BA" w:rsidRPr="00794B40">
        <w:t xml:space="preserve">Tecentriq </w:t>
      </w:r>
      <w:r w:rsidRPr="00794B40">
        <w:t>have been conducted in patients with hepatic impairment. In the population pharmacokinetic analysis, there were no clinically important differences in the clearance of atezolizumab between patients with mild hepatic impair</w:t>
      </w:r>
      <w:r w:rsidRPr="00794B40">
        <w:rPr>
          <w:rFonts w:hint="eastAsia"/>
        </w:rPr>
        <w:t xml:space="preserve">ment (bilirubin </w:t>
      </w:r>
      <w:r w:rsidR="003A543B" w:rsidRPr="00794B40">
        <w:t>≤</w:t>
      </w:r>
      <w:r w:rsidRPr="00794B40">
        <w:rPr>
          <w:rFonts w:hint="eastAsia"/>
        </w:rPr>
        <w:t xml:space="preserve"> ULN and AST </w:t>
      </w:r>
      <w:r w:rsidR="003A543B" w:rsidRPr="00794B40">
        <w:t>&gt;</w:t>
      </w:r>
      <w:r w:rsidRPr="00794B40">
        <w:rPr>
          <w:rFonts w:hint="eastAsia"/>
        </w:rPr>
        <w:t xml:space="preserve"> ULN or bilirubin </w:t>
      </w:r>
      <w:r w:rsidR="00D41C56">
        <w:t>&gt;</w:t>
      </w:r>
      <w:r w:rsidR="00D41C56" w:rsidRPr="00794B40">
        <w:rPr>
          <w:rFonts w:hint="eastAsia"/>
        </w:rPr>
        <w:t xml:space="preserve"> </w:t>
      </w:r>
      <w:r w:rsidRPr="00794B40">
        <w:rPr>
          <w:rFonts w:hint="eastAsia"/>
        </w:rPr>
        <w:t xml:space="preserve">1.0 to 1.5 </w:t>
      </w:r>
      <w:r w:rsidR="003A543B" w:rsidRPr="00794B40">
        <w:t>X</w:t>
      </w:r>
      <w:r w:rsidRPr="00794B40">
        <w:rPr>
          <w:rFonts w:hint="eastAsia"/>
        </w:rPr>
        <w:t xml:space="preserve"> ULN and any AST, n </w:t>
      </w:r>
      <w:r w:rsidR="003A543B" w:rsidRPr="00794B40">
        <w:t>=</w:t>
      </w:r>
      <w:r w:rsidRPr="00794B40">
        <w:rPr>
          <w:rFonts w:hint="eastAsia"/>
        </w:rPr>
        <w:t xml:space="preserve"> 71) and normal </w:t>
      </w:r>
      <w:r w:rsidRPr="00794B40">
        <w:rPr>
          <w:rFonts w:hint="eastAsia"/>
        </w:rPr>
        <w:lastRenderedPageBreak/>
        <w:t>hepatic functio</w:t>
      </w:r>
      <w:r w:rsidRPr="00CF63C2">
        <w:rPr>
          <w:rFonts w:hint="eastAsia"/>
        </w:rPr>
        <w:t xml:space="preserve">n (bilirubin and AST </w:t>
      </w:r>
      <w:r w:rsidR="003A543B" w:rsidRPr="00CF63C2">
        <w:t xml:space="preserve">≤ </w:t>
      </w:r>
      <w:r w:rsidRPr="00CF63C2">
        <w:rPr>
          <w:rFonts w:hint="eastAsia"/>
        </w:rPr>
        <w:t>ULN, n</w:t>
      </w:r>
      <w:r w:rsidR="003A543B" w:rsidRPr="00CF63C2">
        <w:t xml:space="preserve"> </w:t>
      </w:r>
      <w:r w:rsidRPr="00CF63C2">
        <w:rPr>
          <w:rFonts w:hint="eastAsia"/>
        </w:rPr>
        <w:t>=</w:t>
      </w:r>
      <w:r w:rsidR="003A543B" w:rsidRPr="00CF63C2">
        <w:t xml:space="preserve"> </w:t>
      </w:r>
      <w:r w:rsidRPr="00CF63C2">
        <w:rPr>
          <w:rFonts w:hint="eastAsia"/>
        </w:rPr>
        <w:t xml:space="preserve">401). No data are available in patients with either moderate </w:t>
      </w:r>
      <w:r w:rsidR="00CF63C2" w:rsidRPr="00355E56">
        <w:t>(bilirubin</w:t>
      </w:r>
      <w:r w:rsidR="00CF63C2" w:rsidRPr="00355E56">
        <w:rPr>
          <w:rFonts w:cs="Arial"/>
          <w:sz w:val="11"/>
        </w:rPr>
        <w:t> </w:t>
      </w:r>
      <w:r w:rsidR="00CF63C2" w:rsidRPr="00355E56">
        <w:rPr>
          <w:rFonts w:cs="Arial"/>
        </w:rPr>
        <w:sym w:font="Symbol" w:char="F03E"/>
      </w:r>
      <w:r w:rsidR="00CF63C2" w:rsidRPr="00355E56">
        <w:rPr>
          <w:rFonts w:cs="Arial"/>
          <w:sz w:val="11"/>
        </w:rPr>
        <w:t> </w:t>
      </w:r>
      <w:r w:rsidR="00CF63C2" w:rsidRPr="00355E56">
        <w:t>1.5 to 3.0 </w:t>
      </w:r>
      <w:r w:rsidR="00CF63C2" w:rsidRPr="00355E56">
        <w:rPr>
          <w:rFonts w:ascii="Symbol" w:hAnsi="Symbol"/>
        </w:rPr>
        <w:t></w:t>
      </w:r>
      <w:r w:rsidR="00CF63C2" w:rsidRPr="00355E56">
        <w:t xml:space="preserve"> ULN and any AST) </w:t>
      </w:r>
      <w:r w:rsidRPr="00CF63C2">
        <w:rPr>
          <w:rFonts w:hint="eastAsia"/>
        </w:rPr>
        <w:t xml:space="preserve">or severe </w:t>
      </w:r>
      <w:r w:rsidR="00CF63C2" w:rsidRPr="00355E56">
        <w:t>(bilirubin</w:t>
      </w:r>
      <w:r w:rsidR="00CF63C2" w:rsidRPr="00355E56">
        <w:rPr>
          <w:rFonts w:cs="Arial"/>
          <w:sz w:val="11"/>
        </w:rPr>
        <w:t> </w:t>
      </w:r>
      <w:r w:rsidR="00CF63C2" w:rsidRPr="00355E56">
        <w:rPr>
          <w:rFonts w:cs="Arial"/>
        </w:rPr>
        <w:sym w:font="Symbol" w:char="F03E"/>
      </w:r>
      <w:r w:rsidR="00CF63C2" w:rsidRPr="00355E56">
        <w:rPr>
          <w:rFonts w:cs="Arial"/>
          <w:sz w:val="11"/>
        </w:rPr>
        <w:t> </w:t>
      </w:r>
      <w:r w:rsidR="00CF63C2" w:rsidRPr="00355E56">
        <w:t>3.0 </w:t>
      </w:r>
      <w:r w:rsidR="00CF63C2" w:rsidRPr="00355E56">
        <w:rPr>
          <w:rFonts w:ascii="Symbol" w:hAnsi="Symbol"/>
        </w:rPr>
        <w:t></w:t>
      </w:r>
      <w:r w:rsidR="00CF63C2" w:rsidRPr="00355E56">
        <w:t xml:space="preserve"> ULN and any AST) </w:t>
      </w:r>
      <w:r w:rsidRPr="00CF63C2">
        <w:rPr>
          <w:rFonts w:hint="eastAsia"/>
        </w:rPr>
        <w:t>hepa</w:t>
      </w:r>
      <w:r w:rsidRPr="00794B40">
        <w:rPr>
          <w:rFonts w:hint="eastAsia"/>
        </w:rPr>
        <w:t>tic impairment. Hepatic impairment w</w:t>
      </w:r>
      <w:r w:rsidRPr="00794B40">
        <w:t xml:space="preserve">as defined by the National Cancer Institute (NCI) criteria of hepatic dysfunction (see </w:t>
      </w:r>
      <w:r w:rsidR="003A543B" w:rsidRPr="00794B40">
        <w:rPr>
          <w:i/>
        </w:rPr>
        <w:t>DOSAGE AND ADMINISTRATION</w:t>
      </w:r>
      <w:r w:rsidRPr="00794B40">
        <w:t xml:space="preserve">). </w:t>
      </w:r>
    </w:p>
    <w:p w14:paraId="3375B333" w14:textId="77777777" w:rsidR="00D844B2" w:rsidRPr="00794B40" w:rsidRDefault="00D844B2" w:rsidP="00AE74F3">
      <w:pPr>
        <w:pStyle w:val="Heading1"/>
        <w:rPr>
          <w:rFonts w:hint="eastAsia"/>
        </w:rPr>
      </w:pPr>
      <w:r w:rsidRPr="00794B40">
        <w:t>Clinical trials</w:t>
      </w:r>
    </w:p>
    <w:p w14:paraId="0399B3C8" w14:textId="64EB3FF3" w:rsidR="001B3C8D" w:rsidRPr="00651C35" w:rsidRDefault="001B3C8D" w:rsidP="00651C35">
      <w:pPr>
        <w:pStyle w:val="Heading3"/>
      </w:pPr>
      <w:r w:rsidRPr="001B3C8D">
        <w:rPr>
          <w:lang w:val="en-US"/>
        </w:rPr>
        <w:t>GO28915</w:t>
      </w:r>
    </w:p>
    <w:p w14:paraId="3A92ACEA" w14:textId="03404CBC" w:rsidR="001B3C8D" w:rsidRDefault="001B3C8D" w:rsidP="001B3C8D">
      <w:pPr>
        <w:rPr>
          <w:lang w:val="en-US"/>
        </w:rPr>
      </w:pPr>
      <w:r w:rsidRPr="001B3C8D">
        <w:rPr>
          <w:lang w:val="en-US"/>
        </w:rPr>
        <w:t>A phase III, open-label, multi-cent</w:t>
      </w:r>
      <w:r w:rsidR="002C086E">
        <w:rPr>
          <w:lang w:val="en-US"/>
        </w:rPr>
        <w:t>re</w:t>
      </w:r>
      <w:r w:rsidRPr="001B3C8D">
        <w:rPr>
          <w:lang w:val="en-US"/>
        </w:rPr>
        <w:t>, international, randomi</w:t>
      </w:r>
      <w:r w:rsidR="002C086E">
        <w:rPr>
          <w:lang w:val="en-US"/>
        </w:rPr>
        <w:t>s</w:t>
      </w:r>
      <w:r w:rsidRPr="001B3C8D">
        <w:rPr>
          <w:lang w:val="en-US"/>
        </w:rPr>
        <w:t xml:space="preserve">ed study, GO28915 (OAK), was conducted to evaluate the efficacy and safety of </w:t>
      </w:r>
      <w:r w:rsidR="008C70BA" w:rsidRPr="001B3C8D">
        <w:rPr>
          <w:lang w:val="en-US"/>
        </w:rPr>
        <w:t xml:space="preserve">Tecentriq </w:t>
      </w:r>
      <w:r w:rsidRPr="001B3C8D">
        <w:rPr>
          <w:lang w:val="en-US"/>
        </w:rPr>
        <w:t>compared with docetaxel in patients with locally advanced or metastatic NSCLC who have progressed during or following a platinum-containing regimen. A total of 1225 patients were enrolled, with the primary analysis population consisting of the first 850 randomi</w:t>
      </w:r>
      <w:r>
        <w:rPr>
          <w:lang w:val="en-US"/>
        </w:rPr>
        <w:t>s</w:t>
      </w:r>
      <w:r w:rsidRPr="001B3C8D">
        <w:rPr>
          <w:lang w:val="en-US"/>
        </w:rPr>
        <w:t>ed patients. Eligible patients were stratified by PD</w:t>
      </w:r>
      <w:r>
        <w:rPr>
          <w:lang w:val="en-US"/>
        </w:rPr>
        <w:t>-</w:t>
      </w:r>
      <w:r w:rsidRPr="001B3C8D">
        <w:rPr>
          <w:lang w:val="en-US"/>
        </w:rPr>
        <w:t>L1 expression status in tumo</w:t>
      </w:r>
      <w:r>
        <w:rPr>
          <w:lang w:val="en-US"/>
        </w:rPr>
        <w:t>u</w:t>
      </w:r>
      <w:r w:rsidRPr="001B3C8D">
        <w:rPr>
          <w:lang w:val="en-US"/>
        </w:rPr>
        <w:t>r-infiltrating immune cells (IC), by the number of prior chemotherapy regimens, and by histology. Patients were randomi</w:t>
      </w:r>
      <w:r>
        <w:rPr>
          <w:lang w:val="en-US"/>
        </w:rPr>
        <w:t>s</w:t>
      </w:r>
      <w:r w:rsidRPr="001B3C8D">
        <w:rPr>
          <w:lang w:val="en-US"/>
        </w:rPr>
        <w:t xml:space="preserve">ed (1:1) to receive either </w:t>
      </w:r>
      <w:r w:rsidR="008C70BA" w:rsidRPr="001B3C8D">
        <w:rPr>
          <w:lang w:val="en-US"/>
        </w:rPr>
        <w:t xml:space="preserve">Tecentriq </w:t>
      </w:r>
      <w:r w:rsidRPr="001B3C8D">
        <w:rPr>
          <w:lang w:val="en-US"/>
        </w:rPr>
        <w:t>or docetaxel. This study excluded patients who had a history of autoimmune disease, active or corticosteroid-dependent brain metastases, administration of a live, attenuated vaccine within 28 days prior to enrollment, administration of systemic immunostimulatory agents within 4 weeks or systemic immunosuppressive medications within 2 weeks prior to enrollment. Tumo</w:t>
      </w:r>
      <w:r w:rsidR="002C086E">
        <w:rPr>
          <w:lang w:val="en-US"/>
        </w:rPr>
        <w:t>u</w:t>
      </w:r>
      <w:r w:rsidRPr="001B3C8D">
        <w:rPr>
          <w:lang w:val="en-US"/>
        </w:rPr>
        <w:t xml:space="preserve">r assessments were conducted every 6 weeks for the first 36 weeks, and every 9 weeks thereafter. </w:t>
      </w:r>
    </w:p>
    <w:p w14:paraId="6827A5F2" w14:textId="77777777" w:rsidR="001B3C8D" w:rsidRPr="001B3C8D" w:rsidRDefault="001B3C8D" w:rsidP="001B3C8D">
      <w:pPr>
        <w:rPr>
          <w:lang w:val="en-US"/>
        </w:rPr>
      </w:pPr>
    </w:p>
    <w:p w14:paraId="28005BC2" w14:textId="13488767" w:rsidR="001B3C8D" w:rsidRDefault="001B3C8D" w:rsidP="001B3C8D">
      <w:pPr>
        <w:rPr>
          <w:lang w:val="en-US"/>
        </w:rPr>
      </w:pPr>
      <w:r w:rsidRPr="001B3C8D">
        <w:rPr>
          <w:lang w:val="en-US"/>
        </w:rPr>
        <w:t>The demographic and baseline disease characteristics of the primary analysis population were well balanced between the treatment arms. The median age was 64 years (range: 33 to 85), and 61% of patients were male. The majority of patients were white (70%). Approximately three-</w:t>
      </w:r>
      <w:r w:rsidR="00D41C56">
        <w:rPr>
          <w:lang w:val="en-US"/>
        </w:rPr>
        <w:t>quarters</w:t>
      </w:r>
      <w:r w:rsidRPr="001B3C8D">
        <w:rPr>
          <w:lang w:val="en-US"/>
        </w:rPr>
        <w:t xml:space="preserve"> of patients had non-squamous disease (74%), 10% had known EGFR mutation, 0.2% had known ALK rearrangements, 10% had CNS metastases at baseline, and most patients were current or previous smokers (82%). Baseline ECOG performance status was 0 (37%) or 1 (63%). Seventy five percent of patients received only one prior platinum-based therapeutic regimen. </w:t>
      </w:r>
    </w:p>
    <w:p w14:paraId="6E9CA422" w14:textId="77777777" w:rsidR="001B3C8D" w:rsidRPr="001B3C8D" w:rsidRDefault="001B3C8D" w:rsidP="001B3C8D">
      <w:pPr>
        <w:rPr>
          <w:lang w:val="en-US"/>
        </w:rPr>
      </w:pPr>
    </w:p>
    <w:p w14:paraId="30CCF7A5" w14:textId="6AF5BEF6" w:rsidR="001B3C8D" w:rsidRDefault="008C70BA" w:rsidP="001B3C8D">
      <w:pPr>
        <w:rPr>
          <w:lang w:val="en-US"/>
        </w:rPr>
      </w:pPr>
      <w:r w:rsidRPr="001B3C8D">
        <w:rPr>
          <w:lang w:val="en-US"/>
        </w:rPr>
        <w:t xml:space="preserve">Tecentriq </w:t>
      </w:r>
      <w:r w:rsidR="001B3C8D" w:rsidRPr="001B3C8D">
        <w:rPr>
          <w:lang w:val="en-US"/>
        </w:rPr>
        <w:t xml:space="preserve">was administered as a fixed dose of 1200 mg by IV infusion every 3 weeks. No dose reduction was allowed. Patients were treated until loss of clinical benefit as assessed by the investigator. Docetaxel was administered </w:t>
      </w:r>
      <w:r w:rsidR="00D41C56">
        <w:rPr>
          <w:lang w:val="en-US"/>
        </w:rPr>
        <w:t xml:space="preserve">at </w:t>
      </w:r>
      <w:r w:rsidR="001B3C8D" w:rsidRPr="001B3C8D">
        <w:rPr>
          <w:lang w:val="en-US"/>
        </w:rPr>
        <w:t>75 mg/m</w:t>
      </w:r>
      <w:r w:rsidR="001B3C8D" w:rsidRPr="00651C35">
        <w:rPr>
          <w:vertAlign w:val="superscript"/>
          <w:lang w:val="en-US"/>
        </w:rPr>
        <w:t>2</w:t>
      </w:r>
      <w:r w:rsidR="001B3C8D" w:rsidRPr="001B3C8D">
        <w:rPr>
          <w:lang w:val="en-US"/>
        </w:rPr>
        <w:t xml:space="preserve"> by IV infusion on day 1 of each 21 day cy</w:t>
      </w:r>
      <w:r w:rsidR="001B3C8D">
        <w:rPr>
          <w:lang w:val="en-US"/>
        </w:rPr>
        <w:t xml:space="preserve">cle until disease progression. </w:t>
      </w:r>
      <w:r w:rsidR="001B3C8D" w:rsidRPr="001B3C8D">
        <w:rPr>
          <w:lang w:val="en-US"/>
        </w:rPr>
        <w:t xml:space="preserve">For all treated patients, the median duration of treatment was 2.1 months for the docetaxel arm and 3.4 months for the </w:t>
      </w:r>
      <w:r w:rsidRPr="001B3C8D">
        <w:rPr>
          <w:lang w:val="en-US"/>
        </w:rPr>
        <w:t xml:space="preserve">Tecentriq </w:t>
      </w:r>
      <w:r w:rsidR="001B3C8D" w:rsidRPr="001B3C8D">
        <w:rPr>
          <w:lang w:val="en-US"/>
        </w:rPr>
        <w:t xml:space="preserve">arm. </w:t>
      </w:r>
    </w:p>
    <w:p w14:paraId="136BAE25" w14:textId="77777777" w:rsidR="00D27F0E" w:rsidRPr="001B3C8D" w:rsidRDefault="00D27F0E" w:rsidP="001B3C8D">
      <w:pPr>
        <w:rPr>
          <w:lang w:val="en-US"/>
        </w:rPr>
      </w:pPr>
    </w:p>
    <w:p w14:paraId="42454A6F" w14:textId="166F96F1" w:rsidR="001B3C8D" w:rsidRDefault="001B3C8D" w:rsidP="001B3C8D">
      <w:pPr>
        <w:rPr>
          <w:lang w:val="en-US"/>
        </w:rPr>
      </w:pPr>
      <w:r w:rsidRPr="001B3C8D">
        <w:rPr>
          <w:lang w:val="en-US"/>
        </w:rPr>
        <w:t>The primary efficacy endpoint was OS. The key results of this study with a median survival follow-up of 21 months are summari</w:t>
      </w:r>
      <w:r w:rsidR="00D41C56">
        <w:rPr>
          <w:lang w:val="en-US"/>
        </w:rPr>
        <w:t>s</w:t>
      </w:r>
      <w:r w:rsidRPr="001B3C8D">
        <w:rPr>
          <w:lang w:val="en-US"/>
        </w:rPr>
        <w:t xml:space="preserve">ed in Table </w:t>
      </w:r>
      <w:r w:rsidR="002C086E">
        <w:rPr>
          <w:lang w:val="en-US"/>
        </w:rPr>
        <w:t>1</w:t>
      </w:r>
      <w:r w:rsidRPr="001B3C8D">
        <w:rPr>
          <w:lang w:val="en-US"/>
        </w:rPr>
        <w:t xml:space="preserve">. Kaplan-Meier curves for OS in the ITT population are presented in Figure </w:t>
      </w:r>
      <w:r w:rsidR="002C086E">
        <w:rPr>
          <w:lang w:val="en-US"/>
        </w:rPr>
        <w:t>1</w:t>
      </w:r>
      <w:r w:rsidRPr="001B3C8D">
        <w:rPr>
          <w:lang w:val="en-US"/>
        </w:rPr>
        <w:t xml:space="preserve">. Figure </w:t>
      </w:r>
      <w:r w:rsidR="002C086E">
        <w:rPr>
          <w:lang w:val="en-US"/>
        </w:rPr>
        <w:t>2</w:t>
      </w:r>
      <w:r w:rsidRPr="001B3C8D">
        <w:rPr>
          <w:lang w:val="en-US"/>
        </w:rPr>
        <w:t xml:space="preserve"> summari</w:t>
      </w:r>
      <w:r w:rsidR="00D27F0E">
        <w:rPr>
          <w:lang w:val="en-US"/>
        </w:rPr>
        <w:t>s</w:t>
      </w:r>
      <w:r w:rsidRPr="001B3C8D">
        <w:rPr>
          <w:lang w:val="en-US"/>
        </w:rPr>
        <w:t xml:space="preserve">es the results of OS in the ITT and PD-L1 subgroups, demonstrating OS benefit with </w:t>
      </w:r>
      <w:r w:rsidR="00266F4D" w:rsidRPr="001B3C8D">
        <w:rPr>
          <w:lang w:val="en-US"/>
        </w:rPr>
        <w:t xml:space="preserve">Tecentriq </w:t>
      </w:r>
      <w:r w:rsidRPr="001B3C8D">
        <w:rPr>
          <w:lang w:val="en-US"/>
        </w:rPr>
        <w:t>in all subgroups, including th</w:t>
      </w:r>
      <w:r w:rsidR="00016A38">
        <w:rPr>
          <w:lang w:val="en-US"/>
        </w:rPr>
        <w:t>e TC0/IC0 subgroup (</w:t>
      </w:r>
      <w:r w:rsidRPr="001B3C8D">
        <w:rPr>
          <w:lang w:val="en-US"/>
        </w:rPr>
        <w:t>PD-L1 expression &lt;</w:t>
      </w:r>
      <w:r w:rsidR="00D27F0E">
        <w:rPr>
          <w:lang w:val="en-US"/>
        </w:rPr>
        <w:t xml:space="preserve"> </w:t>
      </w:r>
      <w:r w:rsidRPr="001B3C8D">
        <w:rPr>
          <w:lang w:val="en-US"/>
        </w:rPr>
        <w:t>1% in TC and IC</w:t>
      </w:r>
      <w:r w:rsidR="00016A38">
        <w:rPr>
          <w:lang w:val="en-US"/>
        </w:rPr>
        <w:t>)</w:t>
      </w:r>
      <w:r w:rsidRPr="001B3C8D">
        <w:rPr>
          <w:lang w:val="en-US"/>
        </w:rPr>
        <w:t>.</w:t>
      </w:r>
    </w:p>
    <w:p w14:paraId="32BDA4D7" w14:textId="77777777" w:rsidR="00D27F0E" w:rsidRPr="001B3C8D" w:rsidRDefault="00D27F0E" w:rsidP="001B3C8D">
      <w:pPr>
        <w:rPr>
          <w:lang w:val="en-US"/>
        </w:rPr>
      </w:pPr>
    </w:p>
    <w:p w14:paraId="334C36B3" w14:textId="77777777" w:rsidR="002C086E" w:rsidRDefault="002C086E" w:rsidP="001B3C8D">
      <w:pPr>
        <w:rPr>
          <w:b/>
          <w:lang w:val="en-US"/>
        </w:rPr>
      </w:pPr>
      <w:r>
        <w:rPr>
          <w:b/>
          <w:lang w:val="en-US"/>
        </w:rPr>
        <w:br w:type="page"/>
      </w:r>
    </w:p>
    <w:p w14:paraId="774567D3" w14:textId="1E3A07DC" w:rsidR="001B3C8D" w:rsidRPr="00651C35" w:rsidRDefault="001B3C8D" w:rsidP="001B3C8D">
      <w:pPr>
        <w:rPr>
          <w:b/>
          <w:lang w:val="en-US"/>
        </w:rPr>
      </w:pPr>
      <w:r w:rsidRPr="00651C35">
        <w:rPr>
          <w:b/>
          <w:lang w:val="en-US"/>
        </w:rPr>
        <w:lastRenderedPageBreak/>
        <w:t xml:space="preserve">Table </w:t>
      </w:r>
      <w:r w:rsidR="002C086E">
        <w:rPr>
          <w:b/>
          <w:lang w:val="en-US"/>
        </w:rPr>
        <w:t>1.</w:t>
      </w:r>
      <w:r w:rsidRPr="00651C35">
        <w:rPr>
          <w:b/>
          <w:lang w:val="en-US"/>
        </w:rPr>
        <w:t xml:space="preserve"> Summary of Efficacy in the Primary Analysis Population (GO28915)</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2626"/>
        <w:gridCol w:w="2583"/>
      </w:tblGrid>
      <w:tr w:rsidR="002C086E" w:rsidRPr="002C086E" w14:paraId="61E4A732" w14:textId="77777777" w:rsidTr="00651C35">
        <w:trPr>
          <w:tblHeader/>
        </w:trPr>
        <w:tc>
          <w:tcPr>
            <w:tcW w:w="3629" w:type="dxa"/>
            <w:tcBorders>
              <w:top w:val="single" w:sz="4" w:space="0" w:color="auto"/>
              <w:left w:val="single" w:sz="4" w:space="0" w:color="auto"/>
              <w:bottom w:val="single" w:sz="4" w:space="0" w:color="auto"/>
              <w:right w:val="nil"/>
            </w:tcBorders>
            <w:shd w:val="clear" w:color="auto" w:fill="auto"/>
          </w:tcPr>
          <w:p w14:paraId="38263824" w14:textId="77777777" w:rsidR="00D27F0E" w:rsidRPr="00651C35" w:rsidRDefault="00D27F0E" w:rsidP="006127B9">
            <w:pPr>
              <w:keepNext/>
              <w:spacing w:beforeLines="20" w:before="48" w:after="20"/>
              <w:rPr>
                <w:b/>
                <w:sz w:val="22"/>
                <w:lang w:eastAsia="zh-CN"/>
              </w:rPr>
            </w:pPr>
            <w:r w:rsidRPr="00651C35">
              <w:rPr>
                <w:rFonts w:eastAsia="Times New Roman"/>
                <w:b/>
                <w:sz w:val="22"/>
                <w:lang w:eastAsia="zh-CN"/>
              </w:rPr>
              <w:t>Efficacy endpoints</w:t>
            </w:r>
          </w:p>
        </w:tc>
        <w:tc>
          <w:tcPr>
            <w:tcW w:w="2626" w:type="dxa"/>
            <w:tcBorders>
              <w:top w:val="single" w:sz="4" w:space="0" w:color="auto"/>
              <w:left w:val="nil"/>
              <w:bottom w:val="single" w:sz="4" w:space="0" w:color="auto"/>
              <w:right w:val="nil"/>
            </w:tcBorders>
            <w:shd w:val="clear" w:color="auto" w:fill="auto"/>
          </w:tcPr>
          <w:p w14:paraId="392280C8" w14:textId="2638998D" w:rsidR="00D27F0E" w:rsidRPr="00651C35" w:rsidRDefault="00266F4D" w:rsidP="006127B9">
            <w:pPr>
              <w:keepNext/>
              <w:spacing w:beforeLines="20" w:before="48" w:after="20"/>
              <w:jc w:val="center"/>
              <w:rPr>
                <w:b/>
                <w:sz w:val="22"/>
                <w:lang w:eastAsia="zh-CN"/>
              </w:rPr>
            </w:pPr>
            <w:r w:rsidRPr="00651C35">
              <w:rPr>
                <w:rFonts w:eastAsia="Times New Roman"/>
                <w:b/>
                <w:sz w:val="22"/>
                <w:lang w:eastAsia="zh-CN"/>
              </w:rPr>
              <w:t>Tecentriq</w:t>
            </w:r>
          </w:p>
        </w:tc>
        <w:tc>
          <w:tcPr>
            <w:tcW w:w="2583" w:type="dxa"/>
            <w:tcBorders>
              <w:top w:val="single" w:sz="4" w:space="0" w:color="auto"/>
              <w:left w:val="nil"/>
              <w:bottom w:val="single" w:sz="4" w:space="0" w:color="auto"/>
              <w:right w:val="single" w:sz="4" w:space="0" w:color="auto"/>
            </w:tcBorders>
            <w:shd w:val="clear" w:color="auto" w:fill="auto"/>
          </w:tcPr>
          <w:p w14:paraId="25CA6DD7" w14:textId="77777777" w:rsidR="00D27F0E" w:rsidRPr="00651C35" w:rsidRDefault="00D27F0E" w:rsidP="006127B9">
            <w:pPr>
              <w:keepNext/>
              <w:spacing w:beforeLines="20" w:before="48" w:after="20"/>
              <w:jc w:val="center"/>
              <w:rPr>
                <w:b/>
                <w:sz w:val="22"/>
                <w:lang w:eastAsia="zh-CN"/>
              </w:rPr>
            </w:pPr>
            <w:r w:rsidRPr="00651C35">
              <w:rPr>
                <w:rFonts w:eastAsia="Times New Roman"/>
                <w:b/>
                <w:sz w:val="22"/>
                <w:lang w:eastAsia="zh-CN"/>
              </w:rPr>
              <w:t>Docetaxel</w:t>
            </w:r>
          </w:p>
        </w:tc>
      </w:tr>
      <w:tr w:rsidR="002C086E" w:rsidRPr="002C086E" w14:paraId="48A12BD1" w14:textId="77777777" w:rsidTr="00651C35">
        <w:tc>
          <w:tcPr>
            <w:tcW w:w="3629" w:type="dxa"/>
            <w:tcBorders>
              <w:top w:val="single" w:sz="4" w:space="0" w:color="auto"/>
              <w:left w:val="single" w:sz="4" w:space="0" w:color="auto"/>
              <w:bottom w:val="single" w:sz="4" w:space="0" w:color="auto"/>
              <w:right w:val="nil"/>
            </w:tcBorders>
            <w:shd w:val="clear" w:color="auto" w:fill="auto"/>
          </w:tcPr>
          <w:p w14:paraId="1BEF1E0E" w14:textId="77777777" w:rsidR="00D27F0E" w:rsidRPr="00651C35" w:rsidRDefault="00D27F0E" w:rsidP="006127B9">
            <w:pPr>
              <w:keepNext/>
              <w:spacing w:beforeLines="20" w:before="48" w:after="20"/>
              <w:rPr>
                <w:b/>
                <w:i/>
                <w:sz w:val="22"/>
                <w:lang w:eastAsia="zh-CN"/>
              </w:rPr>
            </w:pPr>
            <w:r w:rsidRPr="00651C35">
              <w:rPr>
                <w:rFonts w:eastAsia="Times New Roman"/>
                <w:b/>
                <w:i/>
                <w:sz w:val="22"/>
                <w:lang w:eastAsia="zh-CN"/>
              </w:rPr>
              <w:t>Primary Efficacy Endpoint</w:t>
            </w:r>
          </w:p>
        </w:tc>
        <w:tc>
          <w:tcPr>
            <w:tcW w:w="2626" w:type="dxa"/>
            <w:tcBorders>
              <w:top w:val="single" w:sz="4" w:space="0" w:color="auto"/>
              <w:left w:val="nil"/>
              <w:bottom w:val="single" w:sz="4" w:space="0" w:color="auto"/>
              <w:right w:val="nil"/>
            </w:tcBorders>
            <w:shd w:val="clear" w:color="auto" w:fill="auto"/>
          </w:tcPr>
          <w:p w14:paraId="3F60C059" w14:textId="77777777" w:rsidR="00D27F0E" w:rsidRPr="00651C35" w:rsidRDefault="00D27F0E" w:rsidP="006127B9">
            <w:pPr>
              <w:keepNext/>
              <w:spacing w:beforeLines="20" w:before="48" w:after="20"/>
              <w:rPr>
                <w:sz w:val="22"/>
                <w:lang w:eastAsia="zh-CN"/>
              </w:rPr>
            </w:pPr>
          </w:p>
        </w:tc>
        <w:tc>
          <w:tcPr>
            <w:tcW w:w="2583" w:type="dxa"/>
            <w:tcBorders>
              <w:top w:val="single" w:sz="4" w:space="0" w:color="auto"/>
              <w:left w:val="nil"/>
              <w:bottom w:val="single" w:sz="4" w:space="0" w:color="auto"/>
              <w:right w:val="single" w:sz="4" w:space="0" w:color="auto"/>
            </w:tcBorders>
            <w:shd w:val="clear" w:color="auto" w:fill="auto"/>
          </w:tcPr>
          <w:p w14:paraId="7DBFF82F" w14:textId="77777777" w:rsidR="00D27F0E" w:rsidRPr="00651C35" w:rsidRDefault="00D27F0E" w:rsidP="006127B9">
            <w:pPr>
              <w:keepNext/>
              <w:spacing w:beforeLines="20" w:before="48" w:after="20"/>
              <w:rPr>
                <w:sz w:val="22"/>
                <w:lang w:eastAsia="zh-CN"/>
              </w:rPr>
            </w:pPr>
          </w:p>
        </w:tc>
      </w:tr>
      <w:tr w:rsidR="002C086E" w:rsidRPr="002C086E" w14:paraId="6C5FE4EE" w14:textId="77777777" w:rsidTr="00651C35">
        <w:tc>
          <w:tcPr>
            <w:tcW w:w="3629" w:type="dxa"/>
            <w:tcBorders>
              <w:top w:val="single" w:sz="4" w:space="0" w:color="auto"/>
              <w:left w:val="single" w:sz="4" w:space="0" w:color="auto"/>
              <w:bottom w:val="nil"/>
              <w:right w:val="nil"/>
            </w:tcBorders>
            <w:shd w:val="clear" w:color="auto" w:fill="auto"/>
          </w:tcPr>
          <w:p w14:paraId="6A1ADDCB" w14:textId="77777777" w:rsidR="00D27F0E" w:rsidRPr="00651C35" w:rsidRDefault="00D27F0E" w:rsidP="006127B9">
            <w:pPr>
              <w:keepNext/>
              <w:spacing w:beforeLines="20" w:before="48" w:after="20"/>
              <w:rPr>
                <w:b/>
                <w:i/>
                <w:sz w:val="22"/>
                <w:lang w:eastAsia="zh-CN"/>
              </w:rPr>
            </w:pPr>
            <w:r w:rsidRPr="00651C35">
              <w:rPr>
                <w:rFonts w:eastAsia="Times New Roman"/>
                <w:b/>
                <w:i/>
                <w:sz w:val="22"/>
                <w:lang w:eastAsia="zh-CN"/>
              </w:rPr>
              <w:t>OS</w:t>
            </w:r>
          </w:p>
        </w:tc>
        <w:tc>
          <w:tcPr>
            <w:tcW w:w="2626" w:type="dxa"/>
            <w:tcBorders>
              <w:top w:val="single" w:sz="4" w:space="0" w:color="auto"/>
              <w:left w:val="nil"/>
              <w:bottom w:val="nil"/>
              <w:right w:val="nil"/>
            </w:tcBorders>
            <w:shd w:val="clear" w:color="auto" w:fill="auto"/>
          </w:tcPr>
          <w:p w14:paraId="23BBB207" w14:textId="77777777" w:rsidR="00D27F0E" w:rsidRPr="00651C35" w:rsidRDefault="00D27F0E" w:rsidP="006127B9">
            <w:pPr>
              <w:keepNext/>
              <w:spacing w:beforeLines="20" w:before="48" w:after="20"/>
              <w:rPr>
                <w:sz w:val="22"/>
                <w:lang w:eastAsia="zh-CN"/>
              </w:rPr>
            </w:pPr>
          </w:p>
        </w:tc>
        <w:tc>
          <w:tcPr>
            <w:tcW w:w="2583" w:type="dxa"/>
            <w:tcBorders>
              <w:top w:val="single" w:sz="4" w:space="0" w:color="auto"/>
              <w:left w:val="nil"/>
              <w:bottom w:val="nil"/>
              <w:right w:val="single" w:sz="4" w:space="0" w:color="auto"/>
            </w:tcBorders>
            <w:shd w:val="clear" w:color="auto" w:fill="auto"/>
          </w:tcPr>
          <w:p w14:paraId="72A984FD" w14:textId="77777777" w:rsidR="00D27F0E" w:rsidRPr="00651C35" w:rsidRDefault="00D27F0E" w:rsidP="006127B9">
            <w:pPr>
              <w:keepNext/>
              <w:spacing w:beforeLines="20" w:before="48" w:after="20"/>
              <w:rPr>
                <w:sz w:val="22"/>
                <w:lang w:eastAsia="zh-CN"/>
              </w:rPr>
            </w:pPr>
          </w:p>
        </w:tc>
      </w:tr>
      <w:tr w:rsidR="002C086E" w:rsidRPr="002C086E" w14:paraId="008947D9" w14:textId="77777777" w:rsidTr="00651C35">
        <w:tc>
          <w:tcPr>
            <w:tcW w:w="3629" w:type="dxa"/>
            <w:tcBorders>
              <w:top w:val="nil"/>
              <w:left w:val="single" w:sz="4" w:space="0" w:color="auto"/>
              <w:bottom w:val="nil"/>
              <w:right w:val="nil"/>
            </w:tcBorders>
            <w:shd w:val="clear" w:color="auto" w:fill="auto"/>
          </w:tcPr>
          <w:p w14:paraId="35DE6470" w14:textId="77777777" w:rsidR="00D27F0E" w:rsidRPr="00651C35" w:rsidRDefault="00D27F0E" w:rsidP="006127B9">
            <w:pPr>
              <w:keepNext/>
              <w:spacing w:beforeLines="20" w:before="48" w:after="20"/>
              <w:rPr>
                <w:b/>
                <w:sz w:val="22"/>
                <w:lang w:eastAsia="zh-CN"/>
              </w:rPr>
            </w:pPr>
            <w:r w:rsidRPr="00651C35">
              <w:rPr>
                <w:rFonts w:eastAsia="Times New Roman"/>
                <w:b/>
                <w:sz w:val="22"/>
                <w:lang w:eastAsia="zh-CN"/>
              </w:rPr>
              <w:t xml:space="preserve">All comers* </w:t>
            </w:r>
          </w:p>
        </w:tc>
        <w:tc>
          <w:tcPr>
            <w:tcW w:w="2626" w:type="dxa"/>
            <w:tcBorders>
              <w:top w:val="nil"/>
              <w:left w:val="nil"/>
              <w:bottom w:val="nil"/>
              <w:right w:val="nil"/>
            </w:tcBorders>
            <w:shd w:val="clear" w:color="auto" w:fill="auto"/>
          </w:tcPr>
          <w:p w14:paraId="2FBFFEC5" w14:textId="4F824B3F" w:rsidR="00D27F0E" w:rsidRPr="00651C35" w:rsidRDefault="00D27F0E" w:rsidP="006127B9">
            <w:pPr>
              <w:keepNext/>
              <w:spacing w:beforeLines="20" w:before="48" w:after="20"/>
              <w:jc w:val="center"/>
              <w:rPr>
                <w:sz w:val="22"/>
                <w:lang w:eastAsia="zh-CN"/>
              </w:rPr>
            </w:pPr>
            <w:r w:rsidRPr="00651C35">
              <w:rPr>
                <w:sz w:val="22"/>
                <w:lang w:eastAsia="zh-CN"/>
              </w:rPr>
              <w:t>n</w:t>
            </w:r>
            <w:r w:rsidR="002C086E" w:rsidRPr="00651C35">
              <w:rPr>
                <w:sz w:val="22"/>
                <w:lang w:eastAsia="zh-CN"/>
              </w:rPr>
              <w:t xml:space="preserve"> </w:t>
            </w:r>
            <w:r w:rsidRPr="00651C35">
              <w:rPr>
                <w:sz w:val="22"/>
                <w:lang w:eastAsia="zh-CN"/>
              </w:rPr>
              <w:t>=</w:t>
            </w:r>
            <w:r w:rsidR="002C086E" w:rsidRPr="00651C35">
              <w:rPr>
                <w:sz w:val="22"/>
                <w:lang w:eastAsia="zh-CN"/>
              </w:rPr>
              <w:t xml:space="preserve"> </w:t>
            </w:r>
            <w:r w:rsidRPr="00651C35">
              <w:rPr>
                <w:sz w:val="22"/>
                <w:lang w:eastAsia="zh-CN"/>
              </w:rPr>
              <w:t>425</w:t>
            </w:r>
          </w:p>
        </w:tc>
        <w:tc>
          <w:tcPr>
            <w:tcW w:w="2583" w:type="dxa"/>
            <w:tcBorders>
              <w:top w:val="nil"/>
              <w:left w:val="nil"/>
              <w:bottom w:val="nil"/>
              <w:right w:val="single" w:sz="4" w:space="0" w:color="auto"/>
            </w:tcBorders>
            <w:shd w:val="clear" w:color="auto" w:fill="auto"/>
          </w:tcPr>
          <w:p w14:paraId="739D9C7C" w14:textId="548211E6" w:rsidR="00D27F0E" w:rsidRPr="00651C35" w:rsidRDefault="00D27F0E" w:rsidP="006127B9">
            <w:pPr>
              <w:keepNext/>
              <w:spacing w:beforeLines="20" w:before="48" w:after="20"/>
              <w:jc w:val="center"/>
              <w:rPr>
                <w:sz w:val="22"/>
                <w:lang w:eastAsia="zh-CN"/>
              </w:rPr>
            </w:pPr>
            <w:r w:rsidRPr="00651C35">
              <w:rPr>
                <w:sz w:val="22"/>
                <w:lang w:eastAsia="zh-CN"/>
              </w:rPr>
              <w:t>n</w:t>
            </w:r>
            <w:r w:rsidR="002C086E" w:rsidRPr="00651C35">
              <w:rPr>
                <w:sz w:val="22"/>
                <w:lang w:eastAsia="zh-CN"/>
              </w:rPr>
              <w:t xml:space="preserve"> </w:t>
            </w:r>
            <w:r w:rsidRPr="00651C35">
              <w:rPr>
                <w:sz w:val="22"/>
                <w:lang w:eastAsia="zh-CN"/>
              </w:rPr>
              <w:t>=</w:t>
            </w:r>
            <w:r w:rsidR="002C086E" w:rsidRPr="00651C35">
              <w:rPr>
                <w:sz w:val="22"/>
                <w:lang w:eastAsia="zh-CN"/>
              </w:rPr>
              <w:t xml:space="preserve"> </w:t>
            </w:r>
            <w:r w:rsidRPr="00651C35">
              <w:rPr>
                <w:sz w:val="22"/>
                <w:lang w:eastAsia="zh-CN"/>
              </w:rPr>
              <w:t>425</w:t>
            </w:r>
          </w:p>
        </w:tc>
      </w:tr>
      <w:tr w:rsidR="002C086E" w:rsidRPr="002C086E" w14:paraId="5DF2E8BB" w14:textId="77777777" w:rsidTr="00651C35">
        <w:tc>
          <w:tcPr>
            <w:tcW w:w="3629" w:type="dxa"/>
            <w:tcBorders>
              <w:top w:val="nil"/>
              <w:left w:val="single" w:sz="4" w:space="0" w:color="auto"/>
              <w:bottom w:val="nil"/>
              <w:right w:val="nil"/>
            </w:tcBorders>
            <w:shd w:val="clear" w:color="auto" w:fill="auto"/>
          </w:tcPr>
          <w:p w14:paraId="2D95FA9E"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No. of deaths (%)</w:t>
            </w:r>
          </w:p>
        </w:tc>
        <w:tc>
          <w:tcPr>
            <w:tcW w:w="2626" w:type="dxa"/>
            <w:tcBorders>
              <w:top w:val="nil"/>
              <w:left w:val="nil"/>
              <w:bottom w:val="nil"/>
              <w:right w:val="nil"/>
            </w:tcBorders>
            <w:shd w:val="clear" w:color="auto" w:fill="auto"/>
          </w:tcPr>
          <w:p w14:paraId="6DBC4E5F" w14:textId="77777777" w:rsidR="00D27F0E" w:rsidRPr="00651C35" w:rsidRDefault="00D27F0E" w:rsidP="006127B9">
            <w:pPr>
              <w:keepNext/>
              <w:spacing w:beforeLines="20" w:before="48" w:after="20"/>
              <w:jc w:val="center"/>
              <w:rPr>
                <w:sz w:val="22"/>
                <w:lang w:eastAsia="zh-CN"/>
              </w:rPr>
            </w:pPr>
            <w:r w:rsidRPr="00651C35">
              <w:rPr>
                <w:sz w:val="22"/>
                <w:lang w:eastAsia="zh-CN"/>
              </w:rPr>
              <w:t>271 (64%)</w:t>
            </w:r>
          </w:p>
        </w:tc>
        <w:tc>
          <w:tcPr>
            <w:tcW w:w="2583" w:type="dxa"/>
            <w:tcBorders>
              <w:top w:val="nil"/>
              <w:left w:val="nil"/>
              <w:bottom w:val="nil"/>
              <w:right w:val="single" w:sz="4" w:space="0" w:color="auto"/>
            </w:tcBorders>
            <w:shd w:val="clear" w:color="auto" w:fill="auto"/>
          </w:tcPr>
          <w:p w14:paraId="6C178915" w14:textId="77777777" w:rsidR="00D27F0E" w:rsidRPr="00651C35" w:rsidRDefault="00D27F0E" w:rsidP="006127B9">
            <w:pPr>
              <w:keepNext/>
              <w:spacing w:beforeLines="20" w:before="48" w:after="20"/>
              <w:jc w:val="center"/>
              <w:rPr>
                <w:sz w:val="22"/>
                <w:lang w:eastAsia="zh-CN"/>
              </w:rPr>
            </w:pPr>
            <w:r w:rsidRPr="00651C35">
              <w:rPr>
                <w:sz w:val="22"/>
                <w:lang w:eastAsia="zh-CN"/>
              </w:rPr>
              <w:t>298 (70%)</w:t>
            </w:r>
          </w:p>
        </w:tc>
      </w:tr>
      <w:tr w:rsidR="002C086E" w:rsidRPr="002C086E" w14:paraId="16F67B77" w14:textId="77777777" w:rsidTr="00651C35">
        <w:tc>
          <w:tcPr>
            <w:tcW w:w="3629" w:type="dxa"/>
            <w:tcBorders>
              <w:top w:val="nil"/>
              <w:left w:val="single" w:sz="4" w:space="0" w:color="auto"/>
              <w:bottom w:val="nil"/>
              <w:right w:val="nil"/>
            </w:tcBorders>
            <w:shd w:val="clear" w:color="auto" w:fill="auto"/>
          </w:tcPr>
          <w:p w14:paraId="4AD742BF"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Median time to events (months) </w:t>
            </w:r>
          </w:p>
        </w:tc>
        <w:tc>
          <w:tcPr>
            <w:tcW w:w="2626" w:type="dxa"/>
            <w:tcBorders>
              <w:top w:val="nil"/>
              <w:left w:val="nil"/>
              <w:bottom w:val="nil"/>
              <w:right w:val="nil"/>
            </w:tcBorders>
            <w:shd w:val="clear" w:color="auto" w:fill="auto"/>
          </w:tcPr>
          <w:p w14:paraId="3F287A0B" w14:textId="77777777" w:rsidR="00D27F0E" w:rsidRPr="00651C35" w:rsidRDefault="00D27F0E" w:rsidP="006127B9">
            <w:pPr>
              <w:keepNext/>
              <w:spacing w:beforeLines="20" w:before="48" w:after="20"/>
              <w:jc w:val="center"/>
              <w:rPr>
                <w:sz w:val="22"/>
                <w:lang w:eastAsia="zh-CN"/>
              </w:rPr>
            </w:pPr>
            <w:r w:rsidRPr="00651C35">
              <w:rPr>
                <w:sz w:val="22"/>
                <w:lang w:eastAsia="zh-CN"/>
              </w:rPr>
              <w:t>13.8</w:t>
            </w:r>
          </w:p>
        </w:tc>
        <w:tc>
          <w:tcPr>
            <w:tcW w:w="2583" w:type="dxa"/>
            <w:tcBorders>
              <w:top w:val="nil"/>
              <w:left w:val="nil"/>
              <w:bottom w:val="nil"/>
              <w:right w:val="single" w:sz="4" w:space="0" w:color="auto"/>
            </w:tcBorders>
            <w:shd w:val="clear" w:color="auto" w:fill="auto"/>
          </w:tcPr>
          <w:p w14:paraId="0EDEDDFA" w14:textId="77777777" w:rsidR="00D27F0E" w:rsidRPr="00651C35" w:rsidRDefault="00D27F0E" w:rsidP="006127B9">
            <w:pPr>
              <w:keepNext/>
              <w:spacing w:beforeLines="20" w:before="48" w:after="20"/>
              <w:jc w:val="center"/>
              <w:rPr>
                <w:sz w:val="22"/>
                <w:lang w:eastAsia="zh-CN"/>
              </w:rPr>
            </w:pPr>
            <w:r w:rsidRPr="00651C35">
              <w:rPr>
                <w:sz w:val="22"/>
                <w:lang w:eastAsia="zh-CN"/>
              </w:rPr>
              <w:t>9.6</w:t>
            </w:r>
          </w:p>
        </w:tc>
      </w:tr>
      <w:tr w:rsidR="002C086E" w:rsidRPr="002C086E" w14:paraId="09E7B6F8" w14:textId="77777777" w:rsidTr="0065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9" w:type="dxa"/>
            <w:tcBorders>
              <w:left w:val="single" w:sz="4" w:space="0" w:color="auto"/>
            </w:tcBorders>
          </w:tcPr>
          <w:p w14:paraId="08EB4E30"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95% CI</w:t>
            </w:r>
          </w:p>
        </w:tc>
        <w:tc>
          <w:tcPr>
            <w:tcW w:w="2626" w:type="dxa"/>
          </w:tcPr>
          <w:p w14:paraId="462345A1" w14:textId="77777777" w:rsidR="00D27F0E" w:rsidRPr="00651C35" w:rsidRDefault="00D27F0E" w:rsidP="006127B9">
            <w:pPr>
              <w:keepNext/>
              <w:spacing w:beforeLines="20" w:before="48" w:after="20"/>
              <w:jc w:val="center"/>
              <w:rPr>
                <w:sz w:val="22"/>
                <w:lang w:eastAsia="zh-CN"/>
              </w:rPr>
            </w:pPr>
            <w:r w:rsidRPr="00651C35">
              <w:rPr>
                <w:sz w:val="22"/>
                <w:lang w:eastAsia="zh-CN"/>
              </w:rPr>
              <w:t>(11.8, 15.7)</w:t>
            </w:r>
          </w:p>
        </w:tc>
        <w:tc>
          <w:tcPr>
            <w:tcW w:w="2583" w:type="dxa"/>
            <w:tcBorders>
              <w:right w:val="single" w:sz="4" w:space="0" w:color="auto"/>
            </w:tcBorders>
          </w:tcPr>
          <w:p w14:paraId="5233022F" w14:textId="77777777" w:rsidR="00D27F0E" w:rsidRPr="00651C35" w:rsidRDefault="00D27F0E" w:rsidP="006127B9">
            <w:pPr>
              <w:keepNext/>
              <w:spacing w:beforeLines="20" w:before="48" w:after="20"/>
              <w:jc w:val="center"/>
              <w:rPr>
                <w:sz w:val="22"/>
                <w:lang w:eastAsia="zh-CN"/>
              </w:rPr>
            </w:pPr>
            <w:r w:rsidRPr="00651C35">
              <w:rPr>
                <w:sz w:val="22"/>
                <w:lang w:eastAsia="zh-CN"/>
              </w:rPr>
              <w:t>(8.6, 11.2)</w:t>
            </w:r>
          </w:p>
        </w:tc>
      </w:tr>
      <w:tr w:rsidR="002C086E" w:rsidRPr="002C086E" w14:paraId="1168B743" w14:textId="77777777" w:rsidTr="0065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29" w:type="dxa"/>
            <w:tcBorders>
              <w:left w:val="single" w:sz="4" w:space="0" w:color="auto"/>
            </w:tcBorders>
          </w:tcPr>
          <w:p w14:paraId="1962FF2B" w14:textId="5E7C94DA" w:rsidR="00D27F0E" w:rsidRPr="00651C35" w:rsidRDefault="00D27F0E" w:rsidP="00016A38">
            <w:pPr>
              <w:keepNext/>
              <w:spacing w:beforeLines="20" w:before="48" w:after="20"/>
              <w:rPr>
                <w:sz w:val="22"/>
                <w:lang w:eastAsia="zh-CN"/>
              </w:rPr>
            </w:pPr>
            <w:r w:rsidRPr="00651C35">
              <w:rPr>
                <w:rFonts w:eastAsia="Times New Roman"/>
                <w:sz w:val="22"/>
                <w:lang w:eastAsia="zh-CN"/>
              </w:rPr>
              <w:t xml:space="preserve">   Stratified</w:t>
            </w:r>
            <w:r w:rsidR="00016A38">
              <w:rPr>
                <w:rFonts w:eastAsia="Times New Roman"/>
                <w:sz w:val="22"/>
                <w:vertAlign w:val="superscript"/>
                <w:lang w:eastAsia="zh-CN"/>
              </w:rPr>
              <w:t>#</w:t>
            </w:r>
            <w:r w:rsidRPr="00651C35">
              <w:rPr>
                <w:rFonts w:eastAsia="Times New Roman"/>
                <w:sz w:val="22"/>
                <w:lang w:eastAsia="zh-CN"/>
              </w:rPr>
              <w:t xml:space="preserve"> hazard ratio (95% CI)</w:t>
            </w:r>
          </w:p>
        </w:tc>
        <w:tc>
          <w:tcPr>
            <w:tcW w:w="5209" w:type="dxa"/>
            <w:gridSpan w:val="2"/>
            <w:tcBorders>
              <w:right w:val="single" w:sz="4" w:space="0" w:color="auto"/>
            </w:tcBorders>
          </w:tcPr>
          <w:p w14:paraId="05E3DB82" w14:textId="77777777" w:rsidR="00D27F0E" w:rsidRPr="00651C35" w:rsidRDefault="00D27F0E" w:rsidP="006127B9">
            <w:pPr>
              <w:keepNext/>
              <w:spacing w:beforeLines="20" w:before="48" w:after="20"/>
              <w:jc w:val="center"/>
              <w:rPr>
                <w:sz w:val="22"/>
                <w:lang w:eastAsia="zh-CN"/>
              </w:rPr>
            </w:pPr>
            <w:r w:rsidRPr="00651C35">
              <w:rPr>
                <w:sz w:val="22"/>
                <w:lang w:eastAsia="zh-CN"/>
              </w:rPr>
              <w:t>0.73 (0.62, 0.87)</w:t>
            </w:r>
          </w:p>
        </w:tc>
      </w:tr>
      <w:tr w:rsidR="002C086E" w:rsidRPr="002C086E" w14:paraId="31269EC1" w14:textId="77777777" w:rsidTr="00651C35">
        <w:tc>
          <w:tcPr>
            <w:tcW w:w="3629" w:type="dxa"/>
            <w:tcBorders>
              <w:top w:val="nil"/>
              <w:left w:val="single" w:sz="4" w:space="0" w:color="auto"/>
              <w:bottom w:val="nil"/>
              <w:right w:val="nil"/>
            </w:tcBorders>
            <w:shd w:val="clear" w:color="auto" w:fill="auto"/>
          </w:tcPr>
          <w:p w14:paraId="794B3F2E"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p-value**</w:t>
            </w:r>
          </w:p>
        </w:tc>
        <w:tc>
          <w:tcPr>
            <w:tcW w:w="5209" w:type="dxa"/>
            <w:gridSpan w:val="2"/>
            <w:tcBorders>
              <w:top w:val="nil"/>
              <w:left w:val="nil"/>
              <w:bottom w:val="nil"/>
              <w:right w:val="single" w:sz="4" w:space="0" w:color="auto"/>
            </w:tcBorders>
            <w:shd w:val="clear" w:color="auto" w:fill="auto"/>
          </w:tcPr>
          <w:p w14:paraId="56C3D09B" w14:textId="77777777" w:rsidR="00D27F0E" w:rsidRPr="00651C35" w:rsidRDefault="00D27F0E" w:rsidP="006127B9">
            <w:pPr>
              <w:keepNext/>
              <w:spacing w:beforeLines="20" w:before="48" w:after="20"/>
              <w:jc w:val="center"/>
              <w:rPr>
                <w:sz w:val="22"/>
                <w:lang w:eastAsia="zh-CN"/>
              </w:rPr>
            </w:pPr>
            <w:r w:rsidRPr="00651C35">
              <w:rPr>
                <w:sz w:val="22"/>
                <w:lang w:eastAsia="zh-CN"/>
              </w:rPr>
              <w:t>0.0003</w:t>
            </w:r>
          </w:p>
        </w:tc>
      </w:tr>
      <w:tr w:rsidR="002C086E" w:rsidRPr="002C086E" w14:paraId="176F0928" w14:textId="77777777" w:rsidTr="00651C35">
        <w:tc>
          <w:tcPr>
            <w:tcW w:w="3629" w:type="dxa"/>
            <w:tcBorders>
              <w:top w:val="nil"/>
              <w:left w:val="single" w:sz="4" w:space="0" w:color="auto"/>
              <w:bottom w:val="nil"/>
              <w:right w:val="nil"/>
            </w:tcBorders>
            <w:shd w:val="clear" w:color="auto" w:fill="auto"/>
            <w:vAlign w:val="center"/>
          </w:tcPr>
          <w:p w14:paraId="31A520CA" w14:textId="77777777" w:rsidR="00D27F0E" w:rsidRPr="00651C35" w:rsidRDefault="00D27F0E" w:rsidP="006127B9">
            <w:pPr>
              <w:keepNext/>
              <w:spacing w:beforeLines="20" w:before="48" w:after="20"/>
              <w:ind w:left="180"/>
              <w:rPr>
                <w:rFonts w:eastAsia="Times New Roman"/>
                <w:sz w:val="22"/>
                <w:lang w:eastAsia="zh-CN"/>
              </w:rPr>
            </w:pPr>
            <w:r w:rsidRPr="00651C35">
              <w:rPr>
                <w:rFonts w:eastAsia="Times New Roman"/>
                <w:sz w:val="22"/>
                <w:lang w:eastAsia="zh-CN"/>
              </w:rPr>
              <w:t>12-month OS (%)</w:t>
            </w:r>
          </w:p>
        </w:tc>
        <w:tc>
          <w:tcPr>
            <w:tcW w:w="2626" w:type="dxa"/>
            <w:tcBorders>
              <w:top w:val="nil"/>
              <w:left w:val="nil"/>
              <w:bottom w:val="nil"/>
              <w:right w:val="nil"/>
            </w:tcBorders>
            <w:shd w:val="clear" w:color="auto" w:fill="auto"/>
            <w:vAlign w:val="center"/>
          </w:tcPr>
          <w:p w14:paraId="26E7B495" w14:textId="77777777" w:rsidR="00D27F0E" w:rsidRPr="00651C35" w:rsidRDefault="00D27F0E" w:rsidP="006127B9">
            <w:pPr>
              <w:keepNext/>
              <w:jc w:val="center"/>
              <w:rPr>
                <w:sz w:val="22"/>
                <w:lang w:eastAsia="zh-CN"/>
              </w:rPr>
            </w:pPr>
            <w:r w:rsidRPr="00651C35">
              <w:rPr>
                <w:rFonts w:eastAsia="Times New Roman"/>
                <w:sz w:val="22"/>
                <w:lang w:eastAsia="zh-CN"/>
              </w:rPr>
              <w:t>218 (55%)</w:t>
            </w:r>
          </w:p>
        </w:tc>
        <w:tc>
          <w:tcPr>
            <w:tcW w:w="2583" w:type="dxa"/>
            <w:tcBorders>
              <w:top w:val="nil"/>
              <w:left w:val="nil"/>
              <w:bottom w:val="nil"/>
              <w:right w:val="single" w:sz="4" w:space="0" w:color="auto"/>
            </w:tcBorders>
            <w:shd w:val="clear" w:color="auto" w:fill="auto"/>
            <w:vAlign w:val="center"/>
          </w:tcPr>
          <w:p w14:paraId="220791BF" w14:textId="77777777" w:rsidR="00D27F0E" w:rsidRPr="00651C35" w:rsidRDefault="00D27F0E" w:rsidP="006127B9">
            <w:pPr>
              <w:keepNext/>
              <w:jc w:val="center"/>
              <w:rPr>
                <w:sz w:val="22"/>
                <w:lang w:eastAsia="zh-CN"/>
              </w:rPr>
            </w:pPr>
            <w:r w:rsidRPr="00651C35">
              <w:rPr>
                <w:rFonts w:eastAsia="Times New Roman"/>
                <w:sz w:val="22"/>
                <w:lang w:eastAsia="zh-CN"/>
              </w:rPr>
              <w:t>151 (41%)</w:t>
            </w:r>
          </w:p>
        </w:tc>
      </w:tr>
      <w:tr w:rsidR="002C086E" w:rsidRPr="002C086E" w14:paraId="42ED6EE1" w14:textId="77777777" w:rsidTr="00651C35">
        <w:tc>
          <w:tcPr>
            <w:tcW w:w="3629" w:type="dxa"/>
            <w:tcBorders>
              <w:top w:val="nil"/>
              <w:left w:val="single" w:sz="4" w:space="0" w:color="auto"/>
              <w:bottom w:val="single" w:sz="4" w:space="0" w:color="auto"/>
              <w:right w:val="nil"/>
            </w:tcBorders>
            <w:shd w:val="clear" w:color="auto" w:fill="auto"/>
            <w:vAlign w:val="center"/>
          </w:tcPr>
          <w:p w14:paraId="19BF02EC" w14:textId="77777777" w:rsidR="00D27F0E" w:rsidRPr="00651C35" w:rsidRDefault="00D27F0E" w:rsidP="006127B9">
            <w:pPr>
              <w:keepNext/>
              <w:ind w:left="180"/>
              <w:rPr>
                <w:sz w:val="22"/>
                <w:lang w:eastAsia="zh-CN"/>
              </w:rPr>
            </w:pPr>
            <w:r w:rsidRPr="00651C35">
              <w:rPr>
                <w:rFonts w:eastAsia="Times New Roman"/>
                <w:sz w:val="22"/>
                <w:lang w:eastAsia="zh-CN"/>
              </w:rPr>
              <w:t>18-month OS (%)</w:t>
            </w:r>
          </w:p>
        </w:tc>
        <w:tc>
          <w:tcPr>
            <w:tcW w:w="2626" w:type="dxa"/>
            <w:tcBorders>
              <w:top w:val="nil"/>
              <w:left w:val="nil"/>
              <w:bottom w:val="single" w:sz="4" w:space="0" w:color="auto"/>
              <w:right w:val="nil"/>
            </w:tcBorders>
            <w:shd w:val="clear" w:color="auto" w:fill="auto"/>
            <w:vAlign w:val="center"/>
          </w:tcPr>
          <w:p w14:paraId="4FDFE4D6" w14:textId="77777777" w:rsidR="00D27F0E" w:rsidRPr="00651C35" w:rsidRDefault="00D27F0E" w:rsidP="006127B9">
            <w:pPr>
              <w:keepNext/>
              <w:jc w:val="center"/>
              <w:rPr>
                <w:sz w:val="22"/>
                <w:lang w:eastAsia="zh-CN"/>
              </w:rPr>
            </w:pPr>
            <w:r w:rsidRPr="00651C35">
              <w:rPr>
                <w:rFonts w:eastAsia="Times New Roman"/>
                <w:sz w:val="22"/>
                <w:lang w:eastAsia="zh-CN"/>
              </w:rPr>
              <w:t>157 (40%)</w:t>
            </w:r>
          </w:p>
        </w:tc>
        <w:tc>
          <w:tcPr>
            <w:tcW w:w="2583" w:type="dxa"/>
            <w:tcBorders>
              <w:top w:val="nil"/>
              <w:left w:val="nil"/>
              <w:bottom w:val="single" w:sz="4" w:space="0" w:color="auto"/>
              <w:right w:val="single" w:sz="4" w:space="0" w:color="auto"/>
            </w:tcBorders>
            <w:shd w:val="clear" w:color="auto" w:fill="auto"/>
            <w:vAlign w:val="center"/>
          </w:tcPr>
          <w:p w14:paraId="5B5ABC0F" w14:textId="77777777" w:rsidR="00D27F0E" w:rsidRPr="00651C35" w:rsidRDefault="00D27F0E" w:rsidP="006127B9">
            <w:pPr>
              <w:keepNext/>
              <w:jc w:val="center"/>
              <w:rPr>
                <w:sz w:val="22"/>
                <w:lang w:eastAsia="zh-CN"/>
              </w:rPr>
            </w:pPr>
            <w:r w:rsidRPr="00651C35">
              <w:rPr>
                <w:rFonts w:eastAsia="Times New Roman"/>
                <w:sz w:val="22"/>
                <w:lang w:eastAsia="zh-CN"/>
              </w:rPr>
              <w:t>98 (27%)</w:t>
            </w:r>
          </w:p>
        </w:tc>
      </w:tr>
      <w:tr w:rsidR="002C086E" w:rsidRPr="002C086E" w14:paraId="56907558" w14:textId="77777777" w:rsidTr="00651C35">
        <w:tc>
          <w:tcPr>
            <w:tcW w:w="3629" w:type="dxa"/>
            <w:tcBorders>
              <w:top w:val="single" w:sz="4" w:space="0" w:color="auto"/>
              <w:left w:val="single" w:sz="4" w:space="0" w:color="auto"/>
              <w:bottom w:val="nil"/>
              <w:right w:val="nil"/>
            </w:tcBorders>
            <w:shd w:val="clear" w:color="auto" w:fill="auto"/>
          </w:tcPr>
          <w:p w14:paraId="29C38901" w14:textId="36DB7501" w:rsidR="00D27F0E" w:rsidRPr="00651C35" w:rsidRDefault="00016A38" w:rsidP="006127B9">
            <w:pPr>
              <w:keepNext/>
              <w:spacing w:beforeLines="20" w:before="48" w:after="20"/>
              <w:rPr>
                <w:rFonts w:eastAsia="Times New Roman"/>
                <w:b/>
                <w:sz w:val="22"/>
                <w:lang w:eastAsia="zh-CN"/>
              </w:rPr>
            </w:pPr>
            <w:r>
              <w:rPr>
                <w:rFonts w:eastAsia="Times New Roman"/>
                <w:b/>
                <w:sz w:val="22"/>
                <w:lang w:eastAsia="zh-CN"/>
              </w:rPr>
              <w:t>TC1/2/3 or IC1/2/3</w:t>
            </w:r>
          </w:p>
        </w:tc>
        <w:tc>
          <w:tcPr>
            <w:tcW w:w="2626" w:type="dxa"/>
            <w:tcBorders>
              <w:top w:val="single" w:sz="4" w:space="0" w:color="auto"/>
              <w:left w:val="nil"/>
              <w:bottom w:val="nil"/>
              <w:right w:val="nil"/>
            </w:tcBorders>
            <w:shd w:val="clear" w:color="auto" w:fill="auto"/>
          </w:tcPr>
          <w:p w14:paraId="4D6BA7FB" w14:textId="2E083886"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241</w:t>
            </w:r>
          </w:p>
        </w:tc>
        <w:tc>
          <w:tcPr>
            <w:tcW w:w="2583" w:type="dxa"/>
            <w:tcBorders>
              <w:top w:val="single" w:sz="4" w:space="0" w:color="auto"/>
              <w:left w:val="nil"/>
              <w:bottom w:val="nil"/>
              <w:right w:val="single" w:sz="4" w:space="0" w:color="auto"/>
            </w:tcBorders>
            <w:shd w:val="clear" w:color="auto" w:fill="auto"/>
          </w:tcPr>
          <w:p w14:paraId="36182000" w14:textId="55B31F72"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222</w:t>
            </w:r>
          </w:p>
        </w:tc>
      </w:tr>
      <w:tr w:rsidR="002C086E" w:rsidRPr="002C086E" w14:paraId="2DFDADF5" w14:textId="77777777" w:rsidTr="00651C35">
        <w:tc>
          <w:tcPr>
            <w:tcW w:w="3629" w:type="dxa"/>
            <w:tcBorders>
              <w:top w:val="nil"/>
              <w:left w:val="single" w:sz="4" w:space="0" w:color="auto"/>
              <w:bottom w:val="nil"/>
              <w:right w:val="nil"/>
            </w:tcBorders>
            <w:shd w:val="clear" w:color="auto" w:fill="auto"/>
          </w:tcPr>
          <w:p w14:paraId="7EF28689"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No. of deaths (%)</w:t>
            </w:r>
          </w:p>
        </w:tc>
        <w:tc>
          <w:tcPr>
            <w:tcW w:w="2626" w:type="dxa"/>
            <w:tcBorders>
              <w:top w:val="nil"/>
              <w:left w:val="nil"/>
              <w:bottom w:val="nil"/>
              <w:right w:val="nil"/>
            </w:tcBorders>
            <w:shd w:val="clear" w:color="auto" w:fill="auto"/>
          </w:tcPr>
          <w:p w14:paraId="3920203E" w14:textId="77777777" w:rsidR="00D27F0E" w:rsidRPr="00651C35" w:rsidRDefault="00D27F0E" w:rsidP="006127B9">
            <w:pPr>
              <w:keepNext/>
              <w:spacing w:beforeLines="20" w:before="48" w:after="20"/>
              <w:jc w:val="center"/>
              <w:rPr>
                <w:sz w:val="22"/>
                <w:lang w:eastAsia="zh-CN"/>
              </w:rPr>
            </w:pPr>
            <w:r w:rsidRPr="00651C35">
              <w:rPr>
                <w:sz w:val="22"/>
                <w:lang w:eastAsia="zh-CN"/>
              </w:rPr>
              <w:t>151 (63%)</w:t>
            </w:r>
          </w:p>
        </w:tc>
        <w:tc>
          <w:tcPr>
            <w:tcW w:w="2583" w:type="dxa"/>
            <w:tcBorders>
              <w:top w:val="nil"/>
              <w:left w:val="nil"/>
              <w:bottom w:val="nil"/>
              <w:right w:val="single" w:sz="4" w:space="0" w:color="auto"/>
            </w:tcBorders>
            <w:shd w:val="clear" w:color="auto" w:fill="auto"/>
          </w:tcPr>
          <w:p w14:paraId="2081C8B6" w14:textId="77777777" w:rsidR="00D27F0E" w:rsidRPr="00651C35" w:rsidRDefault="00D27F0E" w:rsidP="006127B9">
            <w:pPr>
              <w:keepNext/>
              <w:spacing w:beforeLines="20" w:before="48" w:after="20"/>
              <w:jc w:val="center"/>
              <w:rPr>
                <w:sz w:val="22"/>
                <w:lang w:eastAsia="zh-CN"/>
              </w:rPr>
            </w:pPr>
            <w:r w:rsidRPr="00651C35">
              <w:rPr>
                <w:sz w:val="22"/>
                <w:lang w:eastAsia="zh-CN"/>
              </w:rPr>
              <w:t>149 (67%)</w:t>
            </w:r>
          </w:p>
        </w:tc>
      </w:tr>
      <w:tr w:rsidR="002C086E" w:rsidRPr="002C086E" w14:paraId="3D1433AD" w14:textId="77777777" w:rsidTr="006127B9">
        <w:tc>
          <w:tcPr>
            <w:tcW w:w="3629" w:type="dxa"/>
            <w:tcBorders>
              <w:top w:val="nil"/>
              <w:left w:val="single" w:sz="4" w:space="0" w:color="auto"/>
              <w:bottom w:val="nil"/>
              <w:right w:val="nil"/>
            </w:tcBorders>
            <w:shd w:val="clear" w:color="auto" w:fill="auto"/>
          </w:tcPr>
          <w:p w14:paraId="7807608C"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Median time to events (months) </w:t>
            </w:r>
          </w:p>
        </w:tc>
        <w:tc>
          <w:tcPr>
            <w:tcW w:w="2626" w:type="dxa"/>
            <w:tcBorders>
              <w:top w:val="nil"/>
              <w:left w:val="nil"/>
              <w:bottom w:val="nil"/>
              <w:right w:val="nil"/>
            </w:tcBorders>
            <w:shd w:val="clear" w:color="auto" w:fill="auto"/>
          </w:tcPr>
          <w:p w14:paraId="4E0FE52D" w14:textId="77777777" w:rsidR="00D27F0E" w:rsidRPr="00651C35" w:rsidRDefault="00D27F0E" w:rsidP="006127B9">
            <w:pPr>
              <w:keepNext/>
              <w:spacing w:beforeLines="20" w:before="48" w:after="20"/>
              <w:jc w:val="center"/>
              <w:rPr>
                <w:sz w:val="22"/>
                <w:lang w:eastAsia="zh-CN"/>
              </w:rPr>
            </w:pPr>
            <w:r w:rsidRPr="00651C35">
              <w:rPr>
                <w:sz w:val="22"/>
                <w:lang w:eastAsia="zh-CN"/>
              </w:rPr>
              <w:t>15.7</w:t>
            </w:r>
          </w:p>
        </w:tc>
        <w:tc>
          <w:tcPr>
            <w:tcW w:w="2583" w:type="dxa"/>
            <w:tcBorders>
              <w:top w:val="nil"/>
              <w:left w:val="nil"/>
              <w:bottom w:val="nil"/>
              <w:right w:val="single" w:sz="4" w:space="0" w:color="auto"/>
            </w:tcBorders>
            <w:shd w:val="clear" w:color="auto" w:fill="auto"/>
          </w:tcPr>
          <w:p w14:paraId="52D7D506" w14:textId="77777777" w:rsidR="00D27F0E" w:rsidRPr="00651C35" w:rsidRDefault="00D27F0E" w:rsidP="006127B9">
            <w:pPr>
              <w:keepNext/>
              <w:spacing w:beforeLines="20" w:before="48" w:after="20"/>
              <w:jc w:val="center"/>
              <w:rPr>
                <w:sz w:val="22"/>
                <w:lang w:eastAsia="zh-CN"/>
              </w:rPr>
            </w:pPr>
            <w:r w:rsidRPr="00651C35">
              <w:rPr>
                <w:sz w:val="22"/>
                <w:lang w:eastAsia="zh-CN"/>
              </w:rPr>
              <w:t>10.3</w:t>
            </w:r>
          </w:p>
        </w:tc>
      </w:tr>
      <w:tr w:rsidR="002C086E" w:rsidRPr="002C086E" w14:paraId="249DC1A9" w14:textId="77777777" w:rsidTr="00651C35">
        <w:tc>
          <w:tcPr>
            <w:tcW w:w="3629" w:type="dxa"/>
            <w:tcBorders>
              <w:top w:val="nil"/>
              <w:left w:val="single" w:sz="4" w:space="0" w:color="auto"/>
              <w:bottom w:val="nil"/>
              <w:right w:val="nil"/>
            </w:tcBorders>
            <w:shd w:val="clear" w:color="auto" w:fill="auto"/>
          </w:tcPr>
          <w:p w14:paraId="4B0F4E49"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95% CI</w:t>
            </w:r>
          </w:p>
        </w:tc>
        <w:tc>
          <w:tcPr>
            <w:tcW w:w="2626" w:type="dxa"/>
            <w:tcBorders>
              <w:top w:val="nil"/>
              <w:left w:val="nil"/>
              <w:bottom w:val="nil"/>
              <w:right w:val="nil"/>
            </w:tcBorders>
            <w:shd w:val="clear" w:color="auto" w:fill="auto"/>
          </w:tcPr>
          <w:p w14:paraId="253B2994" w14:textId="77777777" w:rsidR="00D27F0E" w:rsidRPr="00651C35" w:rsidRDefault="00D27F0E" w:rsidP="006127B9">
            <w:pPr>
              <w:keepNext/>
              <w:spacing w:beforeLines="20" w:before="48" w:after="20"/>
              <w:jc w:val="center"/>
              <w:rPr>
                <w:sz w:val="22"/>
                <w:lang w:eastAsia="zh-CN"/>
              </w:rPr>
            </w:pPr>
            <w:r w:rsidRPr="00651C35">
              <w:rPr>
                <w:sz w:val="22"/>
                <w:lang w:eastAsia="zh-CN"/>
              </w:rPr>
              <w:t>(12.6, 18.0)</w:t>
            </w:r>
          </w:p>
        </w:tc>
        <w:tc>
          <w:tcPr>
            <w:tcW w:w="2583" w:type="dxa"/>
            <w:tcBorders>
              <w:top w:val="nil"/>
              <w:left w:val="nil"/>
              <w:bottom w:val="nil"/>
              <w:right w:val="single" w:sz="4" w:space="0" w:color="auto"/>
            </w:tcBorders>
            <w:shd w:val="clear" w:color="auto" w:fill="auto"/>
          </w:tcPr>
          <w:p w14:paraId="69B6CB2F" w14:textId="77777777" w:rsidR="00D27F0E" w:rsidRPr="00651C35" w:rsidRDefault="00D27F0E" w:rsidP="006127B9">
            <w:pPr>
              <w:keepNext/>
              <w:spacing w:beforeLines="20" w:before="48" w:after="20"/>
              <w:jc w:val="center"/>
              <w:rPr>
                <w:sz w:val="22"/>
                <w:lang w:eastAsia="zh-CN"/>
              </w:rPr>
            </w:pPr>
            <w:r w:rsidRPr="00651C35">
              <w:rPr>
                <w:sz w:val="22"/>
                <w:lang w:eastAsia="zh-CN"/>
              </w:rPr>
              <w:t>(8.8, 12.0)</w:t>
            </w:r>
          </w:p>
        </w:tc>
      </w:tr>
      <w:tr w:rsidR="002C086E" w:rsidRPr="002C086E" w14:paraId="64869FAB" w14:textId="77777777" w:rsidTr="006127B9">
        <w:tc>
          <w:tcPr>
            <w:tcW w:w="3629" w:type="dxa"/>
            <w:tcBorders>
              <w:top w:val="nil"/>
              <w:left w:val="single" w:sz="4" w:space="0" w:color="auto"/>
              <w:bottom w:val="nil"/>
              <w:right w:val="nil"/>
            </w:tcBorders>
            <w:shd w:val="clear" w:color="auto" w:fill="auto"/>
          </w:tcPr>
          <w:p w14:paraId="531B4656" w14:textId="2461D421"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Stratified</w:t>
            </w:r>
            <w:r w:rsidR="00CF63C2">
              <w:rPr>
                <w:rFonts w:eastAsia="Times New Roman"/>
                <w:sz w:val="22"/>
                <w:vertAlign w:val="superscript"/>
                <w:lang w:eastAsia="zh-CN"/>
              </w:rPr>
              <w:t>#</w:t>
            </w:r>
            <w:r w:rsidRPr="00651C35">
              <w:rPr>
                <w:rFonts w:eastAsia="Times New Roman"/>
                <w:sz w:val="22"/>
                <w:lang w:eastAsia="zh-CN"/>
              </w:rPr>
              <w:t xml:space="preserve"> hazard ratio (95% CI)</w:t>
            </w:r>
          </w:p>
        </w:tc>
        <w:tc>
          <w:tcPr>
            <w:tcW w:w="5209" w:type="dxa"/>
            <w:gridSpan w:val="2"/>
            <w:tcBorders>
              <w:top w:val="nil"/>
              <w:left w:val="nil"/>
              <w:bottom w:val="nil"/>
              <w:right w:val="single" w:sz="4" w:space="0" w:color="auto"/>
            </w:tcBorders>
            <w:shd w:val="clear" w:color="auto" w:fill="auto"/>
          </w:tcPr>
          <w:p w14:paraId="58663831" w14:textId="77777777" w:rsidR="00D27F0E" w:rsidRPr="00651C35" w:rsidRDefault="00D27F0E" w:rsidP="006127B9">
            <w:pPr>
              <w:keepNext/>
              <w:spacing w:beforeLines="20" w:before="48" w:after="20"/>
              <w:jc w:val="center"/>
              <w:rPr>
                <w:sz w:val="22"/>
                <w:lang w:eastAsia="zh-CN"/>
              </w:rPr>
            </w:pPr>
            <w:r w:rsidRPr="00651C35">
              <w:rPr>
                <w:sz w:val="22"/>
                <w:lang w:eastAsia="zh-CN"/>
              </w:rPr>
              <w:t>0.74 (0.58, 0.93)</w:t>
            </w:r>
          </w:p>
        </w:tc>
      </w:tr>
      <w:tr w:rsidR="002C086E" w:rsidRPr="002C086E" w14:paraId="5426276A" w14:textId="77777777" w:rsidTr="006127B9">
        <w:tc>
          <w:tcPr>
            <w:tcW w:w="3629" w:type="dxa"/>
            <w:tcBorders>
              <w:top w:val="nil"/>
              <w:left w:val="single" w:sz="4" w:space="0" w:color="auto"/>
              <w:bottom w:val="nil"/>
              <w:right w:val="nil"/>
            </w:tcBorders>
            <w:shd w:val="clear" w:color="auto" w:fill="auto"/>
          </w:tcPr>
          <w:p w14:paraId="1BA8443B" w14:textId="77777777" w:rsidR="00D27F0E" w:rsidRPr="00651C35" w:rsidRDefault="00D27F0E" w:rsidP="006127B9">
            <w:pPr>
              <w:keepNext/>
              <w:spacing w:beforeLines="20" w:before="48" w:after="20"/>
              <w:rPr>
                <w:rFonts w:eastAsia="Times New Roman"/>
                <w:sz w:val="22"/>
                <w:lang w:eastAsia="zh-CN"/>
              </w:rPr>
            </w:pPr>
            <w:r w:rsidRPr="00651C35">
              <w:rPr>
                <w:rFonts w:eastAsia="Times New Roman"/>
                <w:sz w:val="22"/>
                <w:lang w:eastAsia="zh-CN"/>
              </w:rPr>
              <w:t xml:space="preserve">        p-value**</w:t>
            </w:r>
          </w:p>
        </w:tc>
        <w:tc>
          <w:tcPr>
            <w:tcW w:w="5209" w:type="dxa"/>
            <w:gridSpan w:val="2"/>
            <w:tcBorders>
              <w:top w:val="nil"/>
              <w:left w:val="nil"/>
              <w:bottom w:val="nil"/>
              <w:right w:val="single" w:sz="4" w:space="0" w:color="auto"/>
            </w:tcBorders>
            <w:shd w:val="clear" w:color="auto" w:fill="auto"/>
          </w:tcPr>
          <w:p w14:paraId="214E4E7F" w14:textId="77777777" w:rsidR="00D27F0E" w:rsidRPr="00651C35" w:rsidRDefault="00D27F0E" w:rsidP="006127B9">
            <w:pPr>
              <w:keepNext/>
              <w:spacing w:beforeLines="20" w:before="48" w:after="20"/>
              <w:jc w:val="center"/>
              <w:rPr>
                <w:sz w:val="22"/>
                <w:lang w:eastAsia="zh-CN"/>
              </w:rPr>
            </w:pPr>
            <w:r w:rsidRPr="00651C35">
              <w:rPr>
                <w:sz w:val="22"/>
                <w:lang w:eastAsia="zh-CN"/>
              </w:rPr>
              <w:t>0.0102</w:t>
            </w:r>
          </w:p>
        </w:tc>
      </w:tr>
      <w:tr w:rsidR="002C086E" w:rsidRPr="002C086E" w14:paraId="6773AB40" w14:textId="77777777" w:rsidTr="006127B9">
        <w:tc>
          <w:tcPr>
            <w:tcW w:w="3629" w:type="dxa"/>
            <w:tcBorders>
              <w:top w:val="nil"/>
              <w:left w:val="single" w:sz="4" w:space="0" w:color="auto"/>
              <w:bottom w:val="nil"/>
              <w:right w:val="nil"/>
            </w:tcBorders>
            <w:shd w:val="clear" w:color="auto" w:fill="auto"/>
            <w:vAlign w:val="center"/>
          </w:tcPr>
          <w:p w14:paraId="56C30012" w14:textId="77777777" w:rsidR="00D27F0E" w:rsidRPr="00651C35" w:rsidRDefault="00D27F0E" w:rsidP="006127B9">
            <w:pPr>
              <w:keepNext/>
              <w:spacing w:beforeLines="20" w:before="48" w:after="20"/>
              <w:ind w:left="180"/>
              <w:rPr>
                <w:rFonts w:eastAsia="Times New Roman"/>
                <w:sz w:val="22"/>
                <w:lang w:eastAsia="zh-CN"/>
              </w:rPr>
            </w:pPr>
            <w:r w:rsidRPr="00651C35">
              <w:rPr>
                <w:rFonts w:eastAsia="Times New Roman"/>
                <w:sz w:val="22"/>
                <w:lang w:eastAsia="zh-CN"/>
              </w:rPr>
              <w:t>12-month OS (%)</w:t>
            </w:r>
          </w:p>
        </w:tc>
        <w:tc>
          <w:tcPr>
            <w:tcW w:w="2626" w:type="dxa"/>
            <w:tcBorders>
              <w:top w:val="nil"/>
              <w:left w:val="nil"/>
              <w:bottom w:val="nil"/>
              <w:right w:val="nil"/>
            </w:tcBorders>
            <w:shd w:val="clear" w:color="auto" w:fill="auto"/>
            <w:vAlign w:val="center"/>
          </w:tcPr>
          <w:p w14:paraId="11E6A854" w14:textId="77777777" w:rsidR="00D27F0E" w:rsidRPr="00651C35" w:rsidRDefault="00D27F0E" w:rsidP="006127B9">
            <w:pPr>
              <w:keepNext/>
              <w:jc w:val="center"/>
              <w:rPr>
                <w:sz w:val="22"/>
                <w:lang w:eastAsia="zh-CN"/>
              </w:rPr>
            </w:pPr>
            <w:r w:rsidRPr="00651C35">
              <w:rPr>
                <w:rFonts w:eastAsia="Times New Roman"/>
                <w:sz w:val="22"/>
                <w:lang w:eastAsia="zh-CN"/>
              </w:rPr>
              <w:t>58%</w:t>
            </w:r>
          </w:p>
        </w:tc>
        <w:tc>
          <w:tcPr>
            <w:tcW w:w="2583" w:type="dxa"/>
            <w:tcBorders>
              <w:top w:val="nil"/>
              <w:left w:val="nil"/>
              <w:bottom w:val="nil"/>
              <w:right w:val="single" w:sz="4" w:space="0" w:color="auto"/>
            </w:tcBorders>
            <w:shd w:val="clear" w:color="auto" w:fill="auto"/>
            <w:vAlign w:val="center"/>
          </w:tcPr>
          <w:p w14:paraId="58D466AC" w14:textId="77777777" w:rsidR="00D27F0E" w:rsidRPr="00651C35" w:rsidRDefault="00D27F0E" w:rsidP="006127B9">
            <w:pPr>
              <w:keepNext/>
              <w:jc w:val="center"/>
              <w:rPr>
                <w:sz w:val="22"/>
                <w:lang w:eastAsia="zh-CN"/>
              </w:rPr>
            </w:pPr>
            <w:r w:rsidRPr="00651C35">
              <w:rPr>
                <w:rFonts w:eastAsia="Times New Roman"/>
                <w:sz w:val="22"/>
                <w:lang w:eastAsia="zh-CN"/>
              </w:rPr>
              <w:t>43%</w:t>
            </w:r>
          </w:p>
        </w:tc>
      </w:tr>
      <w:tr w:rsidR="002C086E" w:rsidRPr="002C086E" w14:paraId="4D068768" w14:textId="77777777" w:rsidTr="006127B9">
        <w:tc>
          <w:tcPr>
            <w:tcW w:w="3629" w:type="dxa"/>
            <w:tcBorders>
              <w:top w:val="nil"/>
              <w:left w:val="single" w:sz="4" w:space="0" w:color="auto"/>
              <w:bottom w:val="single" w:sz="4" w:space="0" w:color="auto"/>
              <w:right w:val="nil"/>
            </w:tcBorders>
            <w:shd w:val="clear" w:color="auto" w:fill="auto"/>
            <w:vAlign w:val="center"/>
          </w:tcPr>
          <w:p w14:paraId="5B7D9D20" w14:textId="77777777" w:rsidR="00D27F0E" w:rsidRPr="00651C35" w:rsidRDefault="00D27F0E" w:rsidP="006127B9">
            <w:pPr>
              <w:keepNext/>
              <w:ind w:left="180"/>
              <w:rPr>
                <w:sz w:val="22"/>
                <w:lang w:eastAsia="zh-CN"/>
              </w:rPr>
            </w:pPr>
            <w:r w:rsidRPr="00651C35">
              <w:rPr>
                <w:rFonts w:eastAsia="Times New Roman"/>
                <w:sz w:val="22"/>
                <w:lang w:eastAsia="zh-CN"/>
              </w:rPr>
              <w:t>18-month OS (%)</w:t>
            </w:r>
          </w:p>
        </w:tc>
        <w:tc>
          <w:tcPr>
            <w:tcW w:w="2626" w:type="dxa"/>
            <w:tcBorders>
              <w:top w:val="nil"/>
              <w:left w:val="nil"/>
              <w:bottom w:val="single" w:sz="4" w:space="0" w:color="auto"/>
              <w:right w:val="nil"/>
            </w:tcBorders>
            <w:shd w:val="clear" w:color="auto" w:fill="auto"/>
            <w:vAlign w:val="center"/>
          </w:tcPr>
          <w:p w14:paraId="7D01BD85" w14:textId="77777777" w:rsidR="00D27F0E" w:rsidRPr="00651C35" w:rsidRDefault="00D27F0E" w:rsidP="006127B9">
            <w:pPr>
              <w:keepNext/>
              <w:jc w:val="center"/>
              <w:rPr>
                <w:sz w:val="22"/>
                <w:lang w:eastAsia="zh-CN"/>
              </w:rPr>
            </w:pPr>
            <w:r w:rsidRPr="00651C35">
              <w:rPr>
                <w:rFonts w:eastAsia="Times New Roman"/>
                <w:sz w:val="22"/>
                <w:lang w:eastAsia="zh-CN"/>
              </w:rPr>
              <w:t>44%</w:t>
            </w:r>
          </w:p>
        </w:tc>
        <w:tc>
          <w:tcPr>
            <w:tcW w:w="2583" w:type="dxa"/>
            <w:tcBorders>
              <w:top w:val="nil"/>
              <w:left w:val="nil"/>
              <w:bottom w:val="single" w:sz="4" w:space="0" w:color="auto"/>
              <w:right w:val="single" w:sz="4" w:space="0" w:color="auto"/>
            </w:tcBorders>
            <w:shd w:val="clear" w:color="auto" w:fill="auto"/>
            <w:vAlign w:val="center"/>
          </w:tcPr>
          <w:p w14:paraId="46D0A2E8" w14:textId="77777777" w:rsidR="00D27F0E" w:rsidRPr="00651C35" w:rsidRDefault="00D27F0E" w:rsidP="006127B9">
            <w:pPr>
              <w:keepNext/>
              <w:jc w:val="center"/>
              <w:rPr>
                <w:sz w:val="22"/>
                <w:lang w:eastAsia="zh-CN"/>
              </w:rPr>
            </w:pPr>
            <w:r w:rsidRPr="00651C35">
              <w:rPr>
                <w:rFonts w:eastAsia="Times New Roman"/>
                <w:sz w:val="22"/>
                <w:lang w:eastAsia="zh-CN"/>
              </w:rPr>
              <w:t>29%</w:t>
            </w:r>
          </w:p>
        </w:tc>
      </w:tr>
      <w:tr w:rsidR="002C086E" w:rsidRPr="002C086E" w14:paraId="30D521E9" w14:textId="77777777" w:rsidTr="00651C35">
        <w:tc>
          <w:tcPr>
            <w:tcW w:w="8838" w:type="dxa"/>
            <w:gridSpan w:val="3"/>
            <w:tcBorders>
              <w:top w:val="single" w:sz="4" w:space="0" w:color="auto"/>
              <w:left w:val="single" w:sz="4" w:space="0" w:color="auto"/>
              <w:bottom w:val="single" w:sz="4" w:space="0" w:color="auto"/>
              <w:right w:val="single" w:sz="4" w:space="0" w:color="auto"/>
            </w:tcBorders>
            <w:shd w:val="clear" w:color="auto" w:fill="auto"/>
          </w:tcPr>
          <w:p w14:paraId="0E85748E" w14:textId="77777777" w:rsidR="00D27F0E" w:rsidRPr="00651C35" w:rsidRDefault="00D27F0E" w:rsidP="006127B9">
            <w:pPr>
              <w:keepNext/>
              <w:spacing w:beforeLines="20" w:before="48" w:after="20"/>
              <w:rPr>
                <w:b/>
                <w:i/>
                <w:sz w:val="22"/>
                <w:lang w:eastAsia="zh-CN"/>
              </w:rPr>
            </w:pPr>
            <w:r w:rsidRPr="00651C35">
              <w:rPr>
                <w:rFonts w:eastAsia="Times New Roman"/>
                <w:b/>
                <w:i/>
                <w:sz w:val="22"/>
                <w:lang w:eastAsia="zh-CN"/>
              </w:rPr>
              <w:t>Secondary Endpoints</w:t>
            </w:r>
          </w:p>
        </w:tc>
      </w:tr>
      <w:tr w:rsidR="002C086E" w:rsidRPr="002C086E" w14:paraId="607C7848" w14:textId="77777777" w:rsidTr="00651C35">
        <w:tc>
          <w:tcPr>
            <w:tcW w:w="8838" w:type="dxa"/>
            <w:gridSpan w:val="3"/>
            <w:tcBorders>
              <w:top w:val="single" w:sz="4" w:space="0" w:color="auto"/>
              <w:left w:val="single" w:sz="4" w:space="0" w:color="auto"/>
              <w:bottom w:val="nil"/>
              <w:right w:val="single" w:sz="4" w:space="0" w:color="auto"/>
            </w:tcBorders>
            <w:shd w:val="clear" w:color="auto" w:fill="auto"/>
          </w:tcPr>
          <w:p w14:paraId="7B82B591" w14:textId="77777777" w:rsidR="00D27F0E" w:rsidRPr="00651C35" w:rsidRDefault="00D27F0E" w:rsidP="006127B9">
            <w:pPr>
              <w:keepNext/>
              <w:spacing w:beforeLines="20" w:before="48" w:after="20"/>
              <w:rPr>
                <w:sz w:val="22"/>
                <w:lang w:eastAsia="zh-CN"/>
              </w:rPr>
            </w:pPr>
            <w:r w:rsidRPr="00651C35">
              <w:rPr>
                <w:rFonts w:eastAsia="Times New Roman"/>
                <w:b/>
                <w:i/>
                <w:sz w:val="22"/>
                <w:lang w:eastAsia="zh-CN"/>
              </w:rPr>
              <w:t>Investigator-assessed PFS (RECIST v1.1)</w:t>
            </w:r>
          </w:p>
        </w:tc>
      </w:tr>
      <w:tr w:rsidR="002C086E" w:rsidRPr="002C086E" w14:paraId="4590E6E1" w14:textId="77777777" w:rsidTr="00651C35">
        <w:tc>
          <w:tcPr>
            <w:tcW w:w="3629" w:type="dxa"/>
            <w:tcBorders>
              <w:top w:val="nil"/>
              <w:left w:val="single" w:sz="4" w:space="0" w:color="auto"/>
              <w:bottom w:val="nil"/>
              <w:right w:val="nil"/>
            </w:tcBorders>
            <w:shd w:val="clear" w:color="auto" w:fill="auto"/>
          </w:tcPr>
          <w:p w14:paraId="221F3EB2" w14:textId="77777777" w:rsidR="00D27F0E" w:rsidRPr="00651C35" w:rsidRDefault="00D27F0E" w:rsidP="006127B9">
            <w:pPr>
              <w:keepNext/>
              <w:spacing w:beforeLines="20" w:before="48" w:after="20"/>
              <w:rPr>
                <w:b/>
                <w:sz w:val="22"/>
                <w:lang w:eastAsia="zh-CN"/>
              </w:rPr>
            </w:pPr>
            <w:r w:rsidRPr="00651C35">
              <w:rPr>
                <w:rFonts w:eastAsia="Times New Roman"/>
                <w:b/>
                <w:sz w:val="22"/>
                <w:lang w:eastAsia="zh-CN"/>
              </w:rPr>
              <w:t>All comers*</w:t>
            </w:r>
          </w:p>
        </w:tc>
        <w:tc>
          <w:tcPr>
            <w:tcW w:w="2626" w:type="dxa"/>
            <w:tcBorders>
              <w:top w:val="nil"/>
              <w:left w:val="nil"/>
              <w:bottom w:val="nil"/>
              <w:right w:val="nil"/>
            </w:tcBorders>
            <w:shd w:val="clear" w:color="auto" w:fill="auto"/>
          </w:tcPr>
          <w:p w14:paraId="23B4F2A8" w14:textId="11C838D4"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425</w:t>
            </w:r>
          </w:p>
        </w:tc>
        <w:tc>
          <w:tcPr>
            <w:tcW w:w="2583" w:type="dxa"/>
            <w:tcBorders>
              <w:top w:val="nil"/>
              <w:left w:val="nil"/>
              <w:bottom w:val="nil"/>
              <w:right w:val="single" w:sz="4" w:space="0" w:color="auto"/>
            </w:tcBorders>
            <w:shd w:val="clear" w:color="auto" w:fill="auto"/>
          </w:tcPr>
          <w:p w14:paraId="6FCDCF26" w14:textId="23C8A1C4"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425</w:t>
            </w:r>
          </w:p>
        </w:tc>
      </w:tr>
      <w:tr w:rsidR="002C086E" w:rsidRPr="002C086E" w14:paraId="2EB81B8F" w14:textId="77777777" w:rsidTr="00651C35">
        <w:tc>
          <w:tcPr>
            <w:tcW w:w="3629" w:type="dxa"/>
            <w:tcBorders>
              <w:top w:val="nil"/>
              <w:left w:val="single" w:sz="4" w:space="0" w:color="auto"/>
              <w:bottom w:val="nil"/>
              <w:right w:val="nil"/>
            </w:tcBorders>
            <w:shd w:val="clear" w:color="auto" w:fill="auto"/>
          </w:tcPr>
          <w:p w14:paraId="62F62C2A"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No. of events (%)</w:t>
            </w:r>
          </w:p>
        </w:tc>
        <w:tc>
          <w:tcPr>
            <w:tcW w:w="2626" w:type="dxa"/>
            <w:tcBorders>
              <w:top w:val="nil"/>
              <w:left w:val="nil"/>
              <w:bottom w:val="nil"/>
              <w:right w:val="nil"/>
            </w:tcBorders>
            <w:shd w:val="clear" w:color="auto" w:fill="auto"/>
            <w:vAlign w:val="center"/>
          </w:tcPr>
          <w:p w14:paraId="19092CB7" w14:textId="77777777" w:rsidR="00D27F0E" w:rsidRPr="00651C35" w:rsidRDefault="00D27F0E" w:rsidP="006127B9">
            <w:pPr>
              <w:keepNext/>
              <w:spacing w:beforeLines="20" w:before="48" w:after="20"/>
              <w:jc w:val="center"/>
              <w:rPr>
                <w:sz w:val="22"/>
                <w:lang w:eastAsia="zh-CN"/>
              </w:rPr>
            </w:pPr>
            <w:r w:rsidRPr="00651C35">
              <w:rPr>
                <w:sz w:val="22"/>
                <w:lang w:eastAsia="zh-CN"/>
              </w:rPr>
              <w:t>380 (89%)</w:t>
            </w:r>
          </w:p>
        </w:tc>
        <w:tc>
          <w:tcPr>
            <w:tcW w:w="2583" w:type="dxa"/>
            <w:tcBorders>
              <w:top w:val="nil"/>
              <w:left w:val="nil"/>
              <w:bottom w:val="nil"/>
              <w:right w:val="single" w:sz="4" w:space="0" w:color="auto"/>
            </w:tcBorders>
            <w:shd w:val="clear" w:color="auto" w:fill="auto"/>
            <w:vAlign w:val="center"/>
          </w:tcPr>
          <w:p w14:paraId="100519B6" w14:textId="77777777" w:rsidR="00D27F0E" w:rsidRPr="00651C35" w:rsidRDefault="00D27F0E" w:rsidP="006127B9">
            <w:pPr>
              <w:keepNext/>
              <w:spacing w:beforeLines="20" w:before="48" w:after="20"/>
              <w:jc w:val="center"/>
              <w:rPr>
                <w:sz w:val="22"/>
                <w:lang w:eastAsia="zh-CN"/>
              </w:rPr>
            </w:pPr>
            <w:r w:rsidRPr="00651C35">
              <w:rPr>
                <w:sz w:val="22"/>
                <w:lang w:eastAsia="zh-CN"/>
              </w:rPr>
              <w:t>375 (88%)</w:t>
            </w:r>
          </w:p>
        </w:tc>
      </w:tr>
      <w:tr w:rsidR="002C086E" w:rsidRPr="002C086E" w14:paraId="2C28EBA1" w14:textId="77777777" w:rsidTr="00651C35">
        <w:tc>
          <w:tcPr>
            <w:tcW w:w="3629" w:type="dxa"/>
            <w:tcBorders>
              <w:top w:val="nil"/>
              <w:left w:val="single" w:sz="4" w:space="0" w:color="auto"/>
              <w:bottom w:val="nil"/>
              <w:right w:val="nil"/>
            </w:tcBorders>
            <w:shd w:val="clear" w:color="auto" w:fill="auto"/>
          </w:tcPr>
          <w:p w14:paraId="6805F884"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Median duration of PFS (months)</w:t>
            </w:r>
          </w:p>
        </w:tc>
        <w:tc>
          <w:tcPr>
            <w:tcW w:w="2626" w:type="dxa"/>
            <w:tcBorders>
              <w:top w:val="nil"/>
              <w:left w:val="nil"/>
              <w:bottom w:val="nil"/>
              <w:right w:val="nil"/>
            </w:tcBorders>
            <w:shd w:val="clear" w:color="auto" w:fill="auto"/>
            <w:vAlign w:val="center"/>
          </w:tcPr>
          <w:p w14:paraId="481BC94D" w14:textId="77777777" w:rsidR="00D27F0E" w:rsidRPr="00651C35" w:rsidRDefault="00D27F0E" w:rsidP="006127B9">
            <w:pPr>
              <w:keepNext/>
              <w:spacing w:beforeLines="20" w:before="48" w:after="20"/>
              <w:jc w:val="center"/>
              <w:rPr>
                <w:sz w:val="22"/>
                <w:lang w:eastAsia="zh-CN"/>
              </w:rPr>
            </w:pPr>
            <w:r w:rsidRPr="00651C35">
              <w:rPr>
                <w:sz w:val="22"/>
                <w:lang w:eastAsia="zh-CN"/>
              </w:rPr>
              <w:t>2.8</w:t>
            </w:r>
          </w:p>
        </w:tc>
        <w:tc>
          <w:tcPr>
            <w:tcW w:w="2583" w:type="dxa"/>
            <w:tcBorders>
              <w:top w:val="nil"/>
              <w:left w:val="nil"/>
              <w:bottom w:val="nil"/>
              <w:right w:val="single" w:sz="4" w:space="0" w:color="auto"/>
            </w:tcBorders>
            <w:shd w:val="clear" w:color="auto" w:fill="auto"/>
            <w:vAlign w:val="center"/>
          </w:tcPr>
          <w:p w14:paraId="6D0677A5" w14:textId="77777777" w:rsidR="00D27F0E" w:rsidRPr="00651C35" w:rsidRDefault="00D27F0E" w:rsidP="006127B9">
            <w:pPr>
              <w:keepNext/>
              <w:spacing w:beforeLines="20" w:before="48" w:after="20"/>
              <w:jc w:val="center"/>
              <w:rPr>
                <w:sz w:val="22"/>
                <w:lang w:eastAsia="zh-CN"/>
              </w:rPr>
            </w:pPr>
            <w:r w:rsidRPr="00651C35">
              <w:rPr>
                <w:sz w:val="22"/>
                <w:lang w:eastAsia="zh-CN"/>
              </w:rPr>
              <w:t>4.0</w:t>
            </w:r>
          </w:p>
        </w:tc>
      </w:tr>
      <w:tr w:rsidR="002C086E" w:rsidRPr="002C086E" w14:paraId="0DBB7D0C" w14:textId="77777777" w:rsidTr="00651C35">
        <w:tc>
          <w:tcPr>
            <w:tcW w:w="3629" w:type="dxa"/>
            <w:tcBorders>
              <w:top w:val="nil"/>
              <w:left w:val="single" w:sz="4" w:space="0" w:color="auto"/>
              <w:bottom w:val="nil"/>
              <w:right w:val="nil"/>
            </w:tcBorders>
            <w:shd w:val="clear" w:color="auto" w:fill="auto"/>
          </w:tcPr>
          <w:p w14:paraId="38E44E8A"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95% CI</w:t>
            </w:r>
          </w:p>
        </w:tc>
        <w:tc>
          <w:tcPr>
            <w:tcW w:w="2626" w:type="dxa"/>
            <w:tcBorders>
              <w:top w:val="nil"/>
              <w:left w:val="nil"/>
              <w:bottom w:val="nil"/>
              <w:right w:val="nil"/>
            </w:tcBorders>
            <w:shd w:val="clear" w:color="auto" w:fill="auto"/>
            <w:vAlign w:val="center"/>
          </w:tcPr>
          <w:p w14:paraId="29A5CFD0" w14:textId="77777777" w:rsidR="00D27F0E" w:rsidRPr="00651C35" w:rsidRDefault="00D27F0E" w:rsidP="006127B9">
            <w:pPr>
              <w:keepNext/>
              <w:spacing w:beforeLines="20" w:before="48" w:after="20"/>
              <w:jc w:val="center"/>
              <w:rPr>
                <w:sz w:val="22"/>
                <w:lang w:eastAsia="zh-CN"/>
              </w:rPr>
            </w:pPr>
            <w:r w:rsidRPr="00651C35">
              <w:rPr>
                <w:sz w:val="22"/>
                <w:lang w:eastAsia="zh-CN"/>
              </w:rPr>
              <w:t>(2.6, 3.0)</w:t>
            </w:r>
          </w:p>
        </w:tc>
        <w:tc>
          <w:tcPr>
            <w:tcW w:w="2583" w:type="dxa"/>
            <w:tcBorders>
              <w:top w:val="nil"/>
              <w:left w:val="nil"/>
              <w:bottom w:val="nil"/>
              <w:right w:val="single" w:sz="4" w:space="0" w:color="auto"/>
            </w:tcBorders>
            <w:shd w:val="clear" w:color="auto" w:fill="auto"/>
            <w:vAlign w:val="center"/>
          </w:tcPr>
          <w:p w14:paraId="59222392" w14:textId="77777777" w:rsidR="00D27F0E" w:rsidRPr="00651C35" w:rsidRDefault="00D27F0E" w:rsidP="006127B9">
            <w:pPr>
              <w:keepNext/>
              <w:spacing w:beforeLines="20" w:before="48" w:after="20"/>
              <w:jc w:val="center"/>
              <w:rPr>
                <w:sz w:val="22"/>
                <w:lang w:eastAsia="zh-CN"/>
              </w:rPr>
            </w:pPr>
            <w:r w:rsidRPr="00651C35">
              <w:rPr>
                <w:sz w:val="22"/>
                <w:lang w:eastAsia="zh-CN"/>
              </w:rPr>
              <w:t>(3.3, 4.2)</w:t>
            </w:r>
          </w:p>
        </w:tc>
      </w:tr>
      <w:tr w:rsidR="002C086E" w:rsidRPr="002C086E" w14:paraId="5FABEB35" w14:textId="77777777" w:rsidTr="00651C35">
        <w:tc>
          <w:tcPr>
            <w:tcW w:w="3629" w:type="dxa"/>
            <w:tcBorders>
              <w:top w:val="nil"/>
              <w:left w:val="single" w:sz="4" w:space="0" w:color="auto"/>
              <w:bottom w:val="single" w:sz="4" w:space="0" w:color="auto"/>
              <w:right w:val="nil"/>
            </w:tcBorders>
            <w:shd w:val="clear" w:color="auto" w:fill="auto"/>
          </w:tcPr>
          <w:p w14:paraId="6CB8E323" w14:textId="65A85B5C"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Stratified</w:t>
            </w:r>
            <w:r w:rsidR="00CF63C2">
              <w:rPr>
                <w:rFonts w:eastAsia="Times New Roman"/>
                <w:sz w:val="22"/>
                <w:vertAlign w:val="superscript"/>
                <w:lang w:eastAsia="zh-CN"/>
              </w:rPr>
              <w:t>#</w:t>
            </w:r>
            <w:r w:rsidRPr="00651C35">
              <w:rPr>
                <w:rFonts w:eastAsia="Times New Roman"/>
                <w:sz w:val="22"/>
                <w:lang w:eastAsia="zh-CN"/>
              </w:rPr>
              <w:t xml:space="preserve"> hazard ratio (95% CI)</w:t>
            </w:r>
          </w:p>
        </w:tc>
        <w:tc>
          <w:tcPr>
            <w:tcW w:w="5209" w:type="dxa"/>
            <w:gridSpan w:val="2"/>
            <w:tcBorders>
              <w:top w:val="nil"/>
              <w:left w:val="nil"/>
              <w:bottom w:val="single" w:sz="4" w:space="0" w:color="auto"/>
              <w:right w:val="single" w:sz="4" w:space="0" w:color="auto"/>
            </w:tcBorders>
            <w:shd w:val="clear" w:color="auto" w:fill="auto"/>
            <w:vAlign w:val="center"/>
          </w:tcPr>
          <w:p w14:paraId="0BEEB53F" w14:textId="77777777" w:rsidR="00D27F0E" w:rsidRPr="00651C35" w:rsidRDefault="00D27F0E" w:rsidP="006127B9">
            <w:pPr>
              <w:keepNext/>
              <w:spacing w:beforeLines="20" w:before="48" w:after="20"/>
              <w:jc w:val="center"/>
              <w:rPr>
                <w:sz w:val="22"/>
                <w:lang w:eastAsia="zh-CN"/>
              </w:rPr>
            </w:pPr>
            <w:r w:rsidRPr="00651C35">
              <w:rPr>
                <w:sz w:val="22"/>
                <w:lang w:eastAsia="zh-CN"/>
              </w:rPr>
              <w:t>0.95 (0.82, 1.10)</w:t>
            </w:r>
          </w:p>
        </w:tc>
      </w:tr>
      <w:tr w:rsidR="002C086E" w:rsidRPr="002C086E" w14:paraId="66F88F5D" w14:textId="77777777" w:rsidTr="00651C35">
        <w:tc>
          <w:tcPr>
            <w:tcW w:w="8838" w:type="dxa"/>
            <w:gridSpan w:val="3"/>
            <w:tcBorders>
              <w:top w:val="single" w:sz="4" w:space="0" w:color="auto"/>
              <w:left w:val="single" w:sz="4" w:space="0" w:color="auto"/>
              <w:bottom w:val="nil"/>
              <w:right w:val="single" w:sz="4" w:space="0" w:color="auto"/>
            </w:tcBorders>
            <w:shd w:val="clear" w:color="auto" w:fill="auto"/>
          </w:tcPr>
          <w:p w14:paraId="616B285E" w14:textId="77777777" w:rsidR="00D27F0E" w:rsidRPr="00651C35" w:rsidRDefault="00D27F0E" w:rsidP="006127B9">
            <w:pPr>
              <w:keepNext/>
              <w:spacing w:beforeLines="20" w:before="48" w:after="20"/>
              <w:rPr>
                <w:sz w:val="22"/>
                <w:lang w:eastAsia="zh-CN"/>
              </w:rPr>
            </w:pPr>
            <w:r w:rsidRPr="00651C35">
              <w:rPr>
                <w:rFonts w:eastAsia="Times New Roman"/>
                <w:b/>
                <w:i/>
                <w:sz w:val="22"/>
                <w:lang w:eastAsia="zh-CN"/>
              </w:rPr>
              <w:t>Investigator-assessed ORR (RECIST v1.1)</w:t>
            </w:r>
          </w:p>
        </w:tc>
      </w:tr>
      <w:tr w:rsidR="002C086E" w:rsidRPr="002C086E" w14:paraId="739B8A5F" w14:textId="77777777" w:rsidTr="00651C35">
        <w:tc>
          <w:tcPr>
            <w:tcW w:w="3629" w:type="dxa"/>
            <w:tcBorders>
              <w:top w:val="nil"/>
              <w:left w:val="single" w:sz="4" w:space="0" w:color="auto"/>
              <w:bottom w:val="nil"/>
              <w:right w:val="nil"/>
            </w:tcBorders>
            <w:shd w:val="clear" w:color="auto" w:fill="auto"/>
          </w:tcPr>
          <w:p w14:paraId="68A0CE3B" w14:textId="0BCF645E" w:rsidR="00D27F0E" w:rsidRPr="00651C35" w:rsidRDefault="00D27F0E" w:rsidP="00710BDD">
            <w:pPr>
              <w:keepNext/>
              <w:spacing w:beforeLines="20" w:before="48" w:after="20"/>
              <w:rPr>
                <w:b/>
                <w:sz w:val="22"/>
                <w:lang w:eastAsia="zh-CN"/>
              </w:rPr>
            </w:pPr>
            <w:r w:rsidRPr="00651C35">
              <w:rPr>
                <w:rFonts w:eastAsia="Times New Roman"/>
                <w:b/>
                <w:sz w:val="22"/>
                <w:lang w:eastAsia="zh-CN"/>
              </w:rPr>
              <w:t>All comers</w:t>
            </w:r>
            <w:r w:rsidR="00CF63C2" w:rsidRPr="00651C35">
              <w:rPr>
                <w:rFonts w:eastAsia="Times New Roman"/>
                <w:b/>
                <w:sz w:val="22"/>
                <w:lang w:eastAsia="zh-CN"/>
              </w:rPr>
              <w:t>*</w:t>
            </w:r>
          </w:p>
        </w:tc>
        <w:tc>
          <w:tcPr>
            <w:tcW w:w="2626" w:type="dxa"/>
            <w:tcBorders>
              <w:top w:val="nil"/>
              <w:left w:val="nil"/>
              <w:bottom w:val="nil"/>
              <w:right w:val="nil"/>
            </w:tcBorders>
            <w:shd w:val="clear" w:color="auto" w:fill="auto"/>
          </w:tcPr>
          <w:p w14:paraId="7C149967" w14:textId="11E5D0B3"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425</w:t>
            </w:r>
          </w:p>
        </w:tc>
        <w:tc>
          <w:tcPr>
            <w:tcW w:w="2583" w:type="dxa"/>
            <w:tcBorders>
              <w:top w:val="nil"/>
              <w:left w:val="nil"/>
              <w:bottom w:val="nil"/>
              <w:right w:val="single" w:sz="4" w:space="0" w:color="auto"/>
            </w:tcBorders>
            <w:shd w:val="clear" w:color="auto" w:fill="auto"/>
          </w:tcPr>
          <w:p w14:paraId="3D4DFACE" w14:textId="40E6E770"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425</w:t>
            </w:r>
          </w:p>
        </w:tc>
      </w:tr>
      <w:tr w:rsidR="002C086E" w:rsidRPr="002C086E" w14:paraId="60B8C375" w14:textId="77777777" w:rsidTr="00651C35">
        <w:tc>
          <w:tcPr>
            <w:tcW w:w="3629" w:type="dxa"/>
            <w:tcBorders>
              <w:top w:val="nil"/>
              <w:left w:val="single" w:sz="4" w:space="0" w:color="auto"/>
              <w:bottom w:val="nil"/>
              <w:right w:val="nil"/>
            </w:tcBorders>
            <w:shd w:val="clear" w:color="auto" w:fill="auto"/>
          </w:tcPr>
          <w:p w14:paraId="3118610A"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No. of responders (%)</w:t>
            </w:r>
          </w:p>
        </w:tc>
        <w:tc>
          <w:tcPr>
            <w:tcW w:w="2626" w:type="dxa"/>
            <w:tcBorders>
              <w:top w:val="nil"/>
              <w:left w:val="nil"/>
              <w:bottom w:val="nil"/>
              <w:right w:val="nil"/>
            </w:tcBorders>
            <w:shd w:val="clear" w:color="auto" w:fill="auto"/>
            <w:vAlign w:val="center"/>
          </w:tcPr>
          <w:p w14:paraId="0F4F8026" w14:textId="77777777" w:rsidR="00D27F0E" w:rsidRPr="00651C35" w:rsidRDefault="00D27F0E" w:rsidP="006127B9">
            <w:pPr>
              <w:keepNext/>
              <w:spacing w:beforeLines="20" w:before="48" w:after="20"/>
              <w:jc w:val="center"/>
              <w:rPr>
                <w:sz w:val="22"/>
                <w:lang w:eastAsia="zh-CN"/>
              </w:rPr>
            </w:pPr>
            <w:r w:rsidRPr="00651C35">
              <w:rPr>
                <w:sz w:val="22"/>
                <w:lang w:eastAsia="zh-CN"/>
              </w:rPr>
              <w:t>58 (14%)</w:t>
            </w:r>
          </w:p>
        </w:tc>
        <w:tc>
          <w:tcPr>
            <w:tcW w:w="2583" w:type="dxa"/>
            <w:tcBorders>
              <w:top w:val="nil"/>
              <w:left w:val="nil"/>
              <w:bottom w:val="nil"/>
              <w:right w:val="single" w:sz="4" w:space="0" w:color="auto"/>
            </w:tcBorders>
            <w:shd w:val="clear" w:color="auto" w:fill="auto"/>
            <w:vAlign w:val="center"/>
          </w:tcPr>
          <w:p w14:paraId="77F3D82A" w14:textId="77777777" w:rsidR="00D27F0E" w:rsidRPr="00651C35" w:rsidRDefault="00D27F0E" w:rsidP="006127B9">
            <w:pPr>
              <w:keepNext/>
              <w:spacing w:beforeLines="20" w:before="48" w:after="20"/>
              <w:jc w:val="center"/>
              <w:rPr>
                <w:sz w:val="22"/>
                <w:lang w:eastAsia="zh-CN"/>
              </w:rPr>
            </w:pPr>
            <w:r w:rsidRPr="00651C35">
              <w:rPr>
                <w:sz w:val="22"/>
                <w:lang w:eastAsia="zh-CN"/>
              </w:rPr>
              <w:t>57 (13%)</w:t>
            </w:r>
          </w:p>
        </w:tc>
      </w:tr>
      <w:tr w:rsidR="002C086E" w:rsidRPr="002C086E" w14:paraId="2ADCAC3D" w14:textId="77777777" w:rsidTr="00651C35">
        <w:tc>
          <w:tcPr>
            <w:tcW w:w="3629" w:type="dxa"/>
            <w:tcBorders>
              <w:top w:val="nil"/>
              <w:left w:val="single" w:sz="4" w:space="0" w:color="auto"/>
              <w:bottom w:val="single" w:sz="4" w:space="0" w:color="auto"/>
              <w:right w:val="nil"/>
            </w:tcBorders>
            <w:shd w:val="clear" w:color="auto" w:fill="auto"/>
          </w:tcPr>
          <w:p w14:paraId="2B2F579E"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95% CI</w:t>
            </w:r>
          </w:p>
        </w:tc>
        <w:tc>
          <w:tcPr>
            <w:tcW w:w="2626" w:type="dxa"/>
            <w:tcBorders>
              <w:top w:val="nil"/>
              <w:left w:val="nil"/>
              <w:bottom w:val="single" w:sz="4" w:space="0" w:color="auto"/>
              <w:right w:val="nil"/>
            </w:tcBorders>
            <w:shd w:val="clear" w:color="auto" w:fill="auto"/>
            <w:vAlign w:val="center"/>
          </w:tcPr>
          <w:p w14:paraId="52410264" w14:textId="77777777" w:rsidR="00D27F0E" w:rsidRPr="00651C35" w:rsidRDefault="00D27F0E" w:rsidP="006127B9">
            <w:pPr>
              <w:keepNext/>
              <w:spacing w:beforeLines="20" w:before="48" w:after="20"/>
              <w:jc w:val="center"/>
              <w:rPr>
                <w:sz w:val="22"/>
                <w:lang w:eastAsia="zh-CN"/>
              </w:rPr>
            </w:pPr>
            <w:r w:rsidRPr="00651C35">
              <w:rPr>
                <w:sz w:val="22"/>
                <w:lang w:eastAsia="zh-CN"/>
              </w:rPr>
              <w:t>(10.5, 17.3)</w:t>
            </w:r>
          </w:p>
        </w:tc>
        <w:tc>
          <w:tcPr>
            <w:tcW w:w="2583" w:type="dxa"/>
            <w:tcBorders>
              <w:top w:val="nil"/>
              <w:left w:val="nil"/>
              <w:bottom w:val="single" w:sz="4" w:space="0" w:color="auto"/>
              <w:right w:val="single" w:sz="4" w:space="0" w:color="auto"/>
            </w:tcBorders>
            <w:shd w:val="clear" w:color="auto" w:fill="auto"/>
            <w:vAlign w:val="center"/>
          </w:tcPr>
          <w:p w14:paraId="2305A6CC" w14:textId="77777777" w:rsidR="00D27F0E" w:rsidRPr="00651C35" w:rsidRDefault="00D27F0E" w:rsidP="006127B9">
            <w:pPr>
              <w:keepNext/>
              <w:spacing w:beforeLines="20" w:before="48" w:after="20"/>
              <w:jc w:val="center"/>
              <w:rPr>
                <w:sz w:val="22"/>
                <w:lang w:eastAsia="zh-CN"/>
              </w:rPr>
            </w:pPr>
            <w:r w:rsidRPr="00651C35">
              <w:rPr>
                <w:sz w:val="22"/>
                <w:lang w:eastAsia="zh-CN"/>
              </w:rPr>
              <w:t>(10.3, 17.0)</w:t>
            </w:r>
          </w:p>
        </w:tc>
      </w:tr>
      <w:tr w:rsidR="002C086E" w:rsidRPr="002C086E" w14:paraId="697E603D" w14:textId="77777777" w:rsidTr="00651C35">
        <w:tc>
          <w:tcPr>
            <w:tcW w:w="6255" w:type="dxa"/>
            <w:gridSpan w:val="2"/>
            <w:tcBorders>
              <w:top w:val="single" w:sz="4" w:space="0" w:color="auto"/>
              <w:left w:val="single" w:sz="4" w:space="0" w:color="auto"/>
              <w:bottom w:val="nil"/>
              <w:right w:val="nil"/>
            </w:tcBorders>
            <w:shd w:val="clear" w:color="auto" w:fill="auto"/>
          </w:tcPr>
          <w:p w14:paraId="6EC8689D" w14:textId="77777777" w:rsidR="00D27F0E" w:rsidRPr="00651C35" w:rsidRDefault="00D27F0E" w:rsidP="006127B9">
            <w:pPr>
              <w:keepNext/>
              <w:spacing w:beforeLines="20" w:before="48" w:after="20"/>
              <w:rPr>
                <w:sz w:val="22"/>
                <w:lang w:eastAsia="zh-CN"/>
              </w:rPr>
            </w:pPr>
            <w:r w:rsidRPr="00651C35">
              <w:rPr>
                <w:rFonts w:eastAsia="Times New Roman"/>
                <w:b/>
                <w:i/>
                <w:sz w:val="22"/>
                <w:lang w:eastAsia="zh-CN"/>
              </w:rPr>
              <w:t>Investigator-assessed DOR (RECIST v1.1)</w:t>
            </w:r>
          </w:p>
        </w:tc>
        <w:tc>
          <w:tcPr>
            <w:tcW w:w="2583" w:type="dxa"/>
            <w:tcBorders>
              <w:top w:val="single" w:sz="4" w:space="0" w:color="auto"/>
              <w:left w:val="nil"/>
              <w:bottom w:val="nil"/>
              <w:right w:val="single" w:sz="4" w:space="0" w:color="auto"/>
            </w:tcBorders>
            <w:shd w:val="clear" w:color="auto" w:fill="auto"/>
          </w:tcPr>
          <w:p w14:paraId="196241AE" w14:textId="77777777" w:rsidR="00D27F0E" w:rsidRPr="00651C35" w:rsidRDefault="00D27F0E" w:rsidP="006127B9">
            <w:pPr>
              <w:keepNext/>
              <w:spacing w:beforeLines="20" w:before="48" w:after="20"/>
              <w:rPr>
                <w:sz w:val="22"/>
                <w:lang w:eastAsia="zh-CN"/>
              </w:rPr>
            </w:pPr>
          </w:p>
        </w:tc>
      </w:tr>
      <w:tr w:rsidR="002C086E" w:rsidRPr="002C086E" w14:paraId="37B8CE6A" w14:textId="77777777" w:rsidTr="00651C35">
        <w:tc>
          <w:tcPr>
            <w:tcW w:w="3629" w:type="dxa"/>
            <w:tcBorders>
              <w:top w:val="nil"/>
              <w:left w:val="single" w:sz="4" w:space="0" w:color="auto"/>
              <w:bottom w:val="nil"/>
              <w:right w:val="nil"/>
            </w:tcBorders>
            <w:shd w:val="clear" w:color="auto" w:fill="auto"/>
          </w:tcPr>
          <w:p w14:paraId="303EEE8F" w14:textId="7EE7466D" w:rsidR="00D27F0E" w:rsidRPr="00651C35" w:rsidRDefault="00D27F0E" w:rsidP="00710BDD">
            <w:pPr>
              <w:keepNext/>
              <w:spacing w:beforeLines="20" w:before="48" w:after="20"/>
              <w:rPr>
                <w:b/>
                <w:sz w:val="22"/>
                <w:lang w:eastAsia="zh-CN"/>
              </w:rPr>
            </w:pPr>
            <w:r w:rsidRPr="00651C35">
              <w:rPr>
                <w:rFonts w:eastAsia="Times New Roman"/>
                <w:b/>
                <w:sz w:val="22"/>
                <w:lang w:eastAsia="zh-CN"/>
              </w:rPr>
              <w:t>All comers</w:t>
            </w:r>
            <w:r w:rsidR="00CF63C2" w:rsidRPr="00651C35">
              <w:rPr>
                <w:rFonts w:eastAsia="Times New Roman"/>
                <w:b/>
                <w:sz w:val="22"/>
                <w:lang w:eastAsia="zh-CN"/>
              </w:rPr>
              <w:t>*</w:t>
            </w:r>
          </w:p>
        </w:tc>
        <w:tc>
          <w:tcPr>
            <w:tcW w:w="2626" w:type="dxa"/>
            <w:tcBorders>
              <w:top w:val="nil"/>
              <w:left w:val="nil"/>
              <w:bottom w:val="nil"/>
              <w:right w:val="nil"/>
            </w:tcBorders>
            <w:shd w:val="clear" w:color="auto" w:fill="auto"/>
          </w:tcPr>
          <w:p w14:paraId="7952BB16" w14:textId="20BBF1BF"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58</w:t>
            </w:r>
          </w:p>
        </w:tc>
        <w:tc>
          <w:tcPr>
            <w:tcW w:w="2583" w:type="dxa"/>
            <w:tcBorders>
              <w:top w:val="nil"/>
              <w:left w:val="nil"/>
              <w:bottom w:val="nil"/>
              <w:right w:val="single" w:sz="4" w:space="0" w:color="auto"/>
            </w:tcBorders>
            <w:shd w:val="clear" w:color="auto" w:fill="auto"/>
          </w:tcPr>
          <w:p w14:paraId="75E044B5" w14:textId="5EBD3440" w:rsidR="00D27F0E" w:rsidRPr="00651C35" w:rsidRDefault="00D27F0E" w:rsidP="006127B9">
            <w:pPr>
              <w:keepNext/>
              <w:spacing w:beforeLines="20" w:before="48" w:after="20"/>
              <w:jc w:val="center"/>
              <w:rPr>
                <w:sz w:val="22"/>
                <w:lang w:eastAsia="zh-CN"/>
              </w:rPr>
            </w:pPr>
            <w:r w:rsidRPr="00651C35">
              <w:rPr>
                <w:sz w:val="22"/>
                <w:lang w:eastAsia="zh-CN"/>
              </w:rPr>
              <w:t>n</w:t>
            </w:r>
            <w:r w:rsidR="002C086E">
              <w:rPr>
                <w:sz w:val="22"/>
                <w:lang w:eastAsia="zh-CN"/>
              </w:rPr>
              <w:t xml:space="preserve"> </w:t>
            </w:r>
            <w:r w:rsidRPr="00651C35">
              <w:rPr>
                <w:sz w:val="22"/>
                <w:lang w:eastAsia="zh-CN"/>
              </w:rPr>
              <w:t>=</w:t>
            </w:r>
            <w:r w:rsidR="002C086E">
              <w:rPr>
                <w:sz w:val="22"/>
                <w:lang w:eastAsia="zh-CN"/>
              </w:rPr>
              <w:t xml:space="preserve"> </w:t>
            </w:r>
            <w:r w:rsidRPr="00651C35">
              <w:rPr>
                <w:sz w:val="22"/>
                <w:lang w:eastAsia="zh-CN"/>
              </w:rPr>
              <w:t>57</w:t>
            </w:r>
          </w:p>
        </w:tc>
      </w:tr>
      <w:tr w:rsidR="002C086E" w:rsidRPr="002C086E" w14:paraId="056EFB9E" w14:textId="77777777" w:rsidTr="00651C35">
        <w:tc>
          <w:tcPr>
            <w:tcW w:w="3629" w:type="dxa"/>
            <w:tcBorders>
              <w:top w:val="nil"/>
              <w:left w:val="single" w:sz="4" w:space="0" w:color="auto"/>
              <w:bottom w:val="nil"/>
              <w:right w:val="nil"/>
            </w:tcBorders>
            <w:shd w:val="clear" w:color="auto" w:fill="auto"/>
          </w:tcPr>
          <w:p w14:paraId="47D37952"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Median in months</w:t>
            </w:r>
          </w:p>
        </w:tc>
        <w:tc>
          <w:tcPr>
            <w:tcW w:w="2626" w:type="dxa"/>
            <w:tcBorders>
              <w:top w:val="nil"/>
              <w:left w:val="nil"/>
              <w:bottom w:val="nil"/>
              <w:right w:val="nil"/>
            </w:tcBorders>
            <w:shd w:val="clear" w:color="auto" w:fill="auto"/>
          </w:tcPr>
          <w:p w14:paraId="16E21D34" w14:textId="77777777" w:rsidR="00D27F0E" w:rsidRPr="00651C35" w:rsidRDefault="00D27F0E" w:rsidP="006127B9">
            <w:pPr>
              <w:keepNext/>
              <w:spacing w:beforeLines="20" w:before="48" w:after="20"/>
              <w:jc w:val="center"/>
              <w:rPr>
                <w:sz w:val="22"/>
                <w:lang w:eastAsia="zh-CN"/>
              </w:rPr>
            </w:pPr>
            <w:r w:rsidRPr="00651C35">
              <w:rPr>
                <w:sz w:val="22"/>
                <w:lang w:eastAsia="zh-CN"/>
              </w:rPr>
              <w:t>16.3</w:t>
            </w:r>
          </w:p>
        </w:tc>
        <w:tc>
          <w:tcPr>
            <w:tcW w:w="2583" w:type="dxa"/>
            <w:tcBorders>
              <w:top w:val="nil"/>
              <w:left w:val="nil"/>
              <w:bottom w:val="nil"/>
              <w:right w:val="single" w:sz="4" w:space="0" w:color="auto"/>
            </w:tcBorders>
            <w:shd w:val="clear" w:color="auto" w:fill="auto"/>
          </w:tcPr>
          <w:p w14:paraId="7B870245" w14:textId="77777777" w:rsidR="00D27F0E" w:rsidRPr="00651C35" w:rsidRDefault="00D27F0E" w:rsidP="006127B9">
            <w:pPr>
              <w:keepNext/>
              <w:spacing w:beforeLines="20" w:before="48" w:after="20"/>
              <w:jc w:val="center"/>
              <w:rPr>
                <w:sz w:val="22"/>
                <w:lang w:eastAsia="zh-CN"/>
              </w:rPr>
            </w:pPr>
            <w:r w:rsidRPr="00651C35">
              <w:rPr>
                <w:sz w:val="22"/>
                <w:lang w:eastAsia="zh-CN"/>
              </w:rPr>
              <w:t>6.2</w:t>
            </w:r>
          </w:p>
        </w:tc>
      </w:tr>
      <w:tr w:rsidR="002C086E" w:rsidRPr="002C086E" w14:paraId="07810965" w14:textId="77777777" w:rsidTr="00651C35">
        <w:tc>
          <w:tcPr>
            <w:tcW w:w="3629" w:type="dxa"/>
            <w:tcBorders>
              <w:top w:val="nil"/>
              <w:left w:val="single" w:sz="4" w:space="0" w:color="auto"/>
              <w:bottom w:val="single" w:sz="4" w:space="0" w:color="auto"/>
              <w:right w:val="nil"/>
            </w:tcBorders>
            <w:shd w:val="clear" w:color="auto" w:fill="auto"/>
          </w:tcPr>
          <w:p w14:paraId="0DB79B1E" w14:textId="77777777" w:rsidR="00D27F0E" w:rsidRPr="00651C35" w:rsidRDefault="00D27F0E" w:rsidP="006127B9">
            <w:pPr>
              <w:keepNext/>
              <w:spacing w:beforeLines="20" w:before="48" w:after="20"/>
              <w:rPr>
                <w:sz w:val="22"/>
                <w:lang w:eastAsia="zh-CN"/>
              </w:rPr>
            </w:pPr>
            <w:r w:rsidRPr="00651C35">
              <w:rPr>
                <w:rFonts w:eastAsia="Times New Roman"/>
                <w:sz w:val="22"/>
                <w:lang w:eastAsia="zh-CN"/>
              </w:rPr>
              <w:t xml:space="preserve">   95% CI</w:t>
            </w:r>
          </w:p>
        </w:tc>
        <w:tc>
          <w:tcPr>
            <w:tcW w:w="2626" w:type="dxa"/>
            <w:tcBorders>
              <w:top w:val="nil"/>
              <w:left w:val="nil"/>
              <w:bottom w:val="single" w:sz="4" w:space="0" w:color="auto"/>
              <w:right w:val="nil"/>
            </w:tcBorders>
            <w:shd w:val="clear" w:color="auto" w:fill="auto"/>
          </w:tcPr>
          <w:p w14:paraId="57C682A6" w14:textId="77777777" w:rsidR="00D27F0E" w:rsidRPr="00651C35" w:rsidRDefault="00D27F0E" w:rsidP="006127B9">
            <w:pPr>
              <w:keepNext/>
              <w:spacing w:beforeLines="20" w:before="48" w:after="20"/>
              <w:jc w:val="center"/>
              <w:rPr>
                <w:sz w:val="22"/>
                <w:lang w:eastAsia="zh-CN"/>
              </w:rPr>
            </w:pPr>
            <w:r w:rsidRPr="00651C35">
              <w:rPr>
                <w:sz w:val="22"/>
                <w:lang w:eastAsia="zh-CN"/>
              </w:rPr>
              <w:t>(10.0, NE)</w:t>
            </w:r>
          </w:p>
        </w:tc>
        <w:tc>
          <w:tcPr>
            <w:tcW w:w="2583" w:type="dxa"/>
            <w:tcBorders>
              <w:top w:val="nil"/>
              <w:left w:val="nil"/>
              <w:bottom w:val="single" w:sz="4" w:space="0" w:color="auto"/>
              <w:right w:val="single" w:sz="4" w:space="0" w:color="auto"/>
            </w:tcBorders>
            <w:shd w:val="clear" w:color="auto" w:fill="auto"/>
          </w:tcPr>
          <w:p w14:paraId="758EEF58" w14:textId="77777777" w:rsidR="00D27F0E" w:rsidRPr="00651C35" w:rsidRDefault="00D27F0E" w:rsidP="006127B9">
            <w:pPr>
              <w:keepNext/>
              <w:spacing w:beforeLines="20" w:before="48" w:after="20"/>
              <w:jc w:val="center"/>
              <w:rPr>
                <w:sz w:val="22"/>
                <w:lang w:eastAsia="zh-CN"/>
              </w:rPr>
            </w:pPr>
            <w:r w:rsidRPr="00651C35">
              <w:rPr>
                <w:sz w:val="22"/>
                <w:lang w:eastAsia="zh-CN"/>
              </w:rPr>
              <w:t>(4.9, 7.6)</w:t>
            </w:r>
          </w:p>
        </w:tc>
      </w:tr>
    </w:tbl>
    <w:p w14:paraId="7F5E7C62" w14:textId="16E78BA0" w:rsidR="00016A38" w:rsidRPr="00651C35" w:rsidRDefault="00016A38" w:rsidP="00016A38">
      <w:pPr>
        <w:rPr>
          <w:sz w:val="22"/>
          <w:lang w:val="en-US"/>
        </w:rPr>
      </w:pPr>
      <w:r w:rsidRPr="00651C35">
        <w:rPr>
          <w:sz w:val="22"/>
          <w:lang w:val="en-US"/>
        </w:rPr>
        <w:t>CI = confidence interval; DOR</w:t>
      </w:r>
      <w:r>
        <w:rPr>
          <w:sz w:val="22"/>
          <w:lang w:val="en-US"/>
        </w:rPr>
        <w:t xml:space="preserve"> </w:t>
      </w:r>
      <w:r w:rsidRPr="00651C35">
        <w:rPr>
          <w:sz w:val="22"/>
          <w:lang w:val="en-US"/>
        </w:rPr>
        <w:t>=</w:t>
      </w:r>
      <w:r>
        <w:rPr>
          <w:sz w:val="22"/>
          <w:lang w:val="en-US"/>
        </w:rPr>
        <w:t xml:space="preserve"> </w:t>
      </w:r>
      <w:r w:rsidRPr="00651C35">
        <w:rPr>
          <w:sz w:val="22"/>
          <w:lang w:val="en-US"/>
        </w:rPr>
        <w:t>duration of objective response; IC</w:t>
      </w:r>
      <w:r>
        <w:rPr>
          <w:sz w:val="22"/>
          <w:lang w:val="en-US"/>
        </w:rPr>
        <w:t xml:space="preserve"> </w:t>
      </w:r>
      <w:r w:rsidRPr="00651C35">
        <w:rPr>
          <w:sz w:val="22"/>
          <w:lang w:val="en-US"/>
        </w:rPr>
        <w:t>=</w:t>
      </w:r>
      <w:r>
        <w:rPr>
          <w:sz w:val="22"/>
          <w:lang w:val="en-US"/>
        </w:rPr>
        <w:t xml:space="preserve"> </w:t>
      </w:r>
      <w:r w:rsidRPr="00651C35">
        <w:rPr>
          <w:sz w:val="22"/>
          <w:lang w:val="en-US"/>
        </w:rPr>
        <w:t>tumor-infiltrating immune cells; NE</w:t>
      </w:r>
      <w:r>
        <w:rPr>
          <w:sz w:val="22"/>
          <w:lang w:val="en-US"/>
        </w:rPr>
        <w:t xml:space="preserve"> </w:t>
      </w:r>
      <w:r w:rsidRPr="00651C35">
        <w:rPr>
          <w:sz w:val="22"/>
          <w:lang w:val="en-US"/>
        </w:rPr>
        <w:t>=</w:t>
      </w:r>
      <w:r>
        <w:rPr>
          <w:sz w:val="22"/>
          <w:lang w:val="en-US"/>
        </w:rPr>
        <w:t xml:space="preserve"> </w:t>
      </w:r>
      <w:r w:rsidRPr="00651C35">
        <w:rPr>
          <w:sz w:val="22"/>
          <w:lang w:val="en-US"/>
        </w:rPr>
        <w:t>not estimable; ORR</w:t>
      </w:r>
      <w:r>
        <w:rPr>
          <w:sz w:val="22"/>
          <w:lang w:val="en-US"/>
        </w:rPr>
        <w:t xml:space="preserve"> </w:t>
      </w:r>
      <w:r w:rsidRPr="00651C35">
        <w:rPr>
          <w:sz w:val="22"/>
          <w:lang w:val="en-US"/>
        </w:rPr>
        <w:t>=</w:t>
      </w:r>
      <w:r>
        <w:rPr>
          <w:sz w:val="22"/>
          <w:lang w:val="en-US"/>
        </w:rPr>
        <w:t xml:space="preserve"> </w:t>
      </w:r>
      <w:r w:rsidRPr="00651C35">
        <w:rPr>
          <w:sz w:val="22"/>
          <w:lang w:val="en-US"/>
        </w:rPr>
        <w:t>objective response rate; OS</w:t>
      </w:r>
      <w:r>
        <w:rPr>
          <w:sz w:val="22"/>
          <w:lang w:val="en-US"/>
        </w:rPr>
        <w:t xml:space="preserve"> </w:t>
      </w:r>
      <w:r w:rsidRPr="00651C35">
        <w:rPr>
          <w:sz w:val="22"/>
          <w:lang w:val="en-US"/>
        </w:rPr>
        <w:t>=</w:t>
      </w:r>
      <w:r>
        <w:rPr>
          <w:sz w:val="22"/>
          <w:lang w:val="en-US"/>
        </w:rPr>
        <w:t xml:space="preserve"> </w:t>
      </w:r>
      <w:r w:rsidRPr="00651C35">
        <w:rPr>
          <w:sz w:val="22"/>
          <w:lang w:val="en-US"/>
        </w:rPr>
        <w:t>overall survival; PFS</w:t>
      </w:r>
      <w:r>
        <w:rPr>
          <w:sz w:val="22"/>
          <w:lang w:val="en-US"/>
        </w:rPr>
        <w:t xml:space="preserve"> </w:t>
      </w:r>
      <w:r w:rsidRPr="00651C35">
        <w:rPr>
          <w:sz w:val="22"/>
          <w:lang w:val="en-US"/>
        </w:rPr>
        <w:t>=</w:t>
      </w:r>
      <w:r>
        <w:rPr>
          <w:sz w:val="22"/>
          <w:lang w:val="en-US"/>
        </w:rPr>
        <w:t xml:space="preserve"> </w:t>
      </w:r>
      <w:r w:rsidRPr="00651C35">
        <w:rPr>
          <w:sz w:val="22"/>
          <w:lang w:val="en-US"/>
        </w:rPr>
        <w:t>progression-free survival; RECIST</w:t>
      </w:r>
      <w:r>
        <w:rPr>
          <w:sz w:val="22"/>
          <w:lang w:val="en-US"/>
        </w:rPr>
        <w:t xml:space="preserve"> </w:t>
      </w:r>
      <w:r w:rsidRPr="00651C35">
        <w:rPr>
          <w:sz w:val="22"/>
          <w:lang w:val="en-US"/>
        </w:rPr>
        <w:t>=</w:t>
      </w:r>
      <w:r>
        <w:rPr>
          <w:sz w:val="22"/>
          <w:lang w:val="en-US"/>
        </w:rPr>
        <w:t xml:space="preserve"> </w:t>
      </w:r>
      <w:r w:rsidRPr="00651C35">
        <w:rPr>
          <w:sz w:val="22"/>
          <w:lang w:val="en-US"/>
        </w:rPr>
        <w:t>Response Evaluation Criteria in Solid Tumors v1.1; TC = tumo</w:t>
      </w:r>
      <w:r>
        <w:rPr>
          <w:sz w:val="22"/>
          <w:lang w:val="en-US"/>
        </w:rPr>
        <w:t>u</w:t>
      </w:r>
      <w:r w:rsidRPr="00651C35">
        <w:rPr>
          <w:sz w:val="22"/>
          <w:lang w:val="en-US"/>
        </w:rPr>
        <w:t>r cells.</w:t>
      </w:r>
    </w:p>
    <w:p w14:paraId="66D6AEB0" w14:textId="54CC8609" w:rsidR="00016A38" w:rsidRPr="00651C35" w:rsidRDefault="00016A38" w:rsidP="00016A38">
      <w:pPr>
        <w:rPr>
          <w:sz w:val="22"/>
          <w:lang w:val="en-US"/>
        </w:rPr>
      </w:pPr>
      <w:r w:rsidRPr="00651C35">
        <w:rPr>
          <w:sz w:val="22"/>
          <w:lang w:val="en-US"/>
        </w:rPr>
        <w:t>*</w:t>
      </w:r>
      <w:r>
        <w:rPr>
          <w:sz w:val="22"/>
          <w:lang w:val="en-US"/>
        </w:rPr>
        <w:t xml:space="preserve"> </w:t>
      </w:r>
      <w:r w:rsidRPr="00651C35">
        <w:rPr>
          <w:sz w:val="22"/>
          <w:lang w:val="en-US"/>
        </w:rPr>
        <w:t>All comers refers to the primary analysis population consisting of the first 850 randomi</w:t>
      </w:r>
      <w:r w:rsidR="00CF63C2">
        <w:rPr>
          <w:sz w:val="22"/>
          <w:lang w:val="en-US"/>
        </w:rPr>
        <w:t>s</w:t>
      </w:r>
      <w:r w:rsidRPr="00651C35">
        <w:rPr>
          <w:sz w:val="22"/>
          <w:lang w:val="en-US"/>
        </w:rPr>
        <w:t>ed patients</w:t>
      </w:r>
    </w:p>
    <w:p w14:paraId="54F89624" w14:textId="35C19D8B" w:rsidR="00016A38" w:rsidRPr="00651C35" w:rsidRDefault="00016A38" w:rsidP="00016A38">
      <w:pPr>
        <w:rPr>
          <w:sz w:val="22"/>
          <w:lang w:val="en-US"/>
        </w:rPr>
      </w:pPr>
      <w:r w:rsidRPr="00651C35">
        <w:rPr>
          <w:sz w:val="22"/>
          <w:vertAlign w:val="superscript"/>
          <w:lang w:val="en-US"/>
        </w:rPr>
        <w:t>#</w:t>
      </w:r>
      <w:r>
        <w:rPr>
          <w:sz w:val="22"/>
          <w:lang w:val="en-US"/>
        </w:rPr>
        <w:t xml:space="preserve"> </w:t>
      </w:r>
      <w:r w:rsidRPr="00651C35">
        <w:rPr>
          <w:sz w:val="22"/>
          <w:lang w:val="en-US"/>
        </w:rPr>
        <w:t xml:space="preserve">Stratified by PD-L1 expression in </w:t>
      </w:r>
      <w:r w:rsidR="00D41C56">
        <w:rPr>
          <w:sz w:val="22"/>
          <w:lang w:val="en-US"/>
        </w:rPr>
        <w:t>ICs</w:t>
      </w:r>
      <w:r w:rsidRPr="00651C35">
        <w:rPr>
          <w:sz w:val="22"/>
          <w:lang w:val="en-US"/>
        </w:rPr>
        <w:t>, the number of prior chemotherapy regimens, and histology</w:t>
      </w:r>
    </w:p>
    <w:p w14:paraId="524852D1" w14:textId="5FA4B4C0" w:rsidR="00D27F0E" w:rsidRPr="00651C35" w:rsidRDefault="00016A38" w:rsidP="00016A38">
      <w:pPr>
        <w:rPr>
          <w:sz w:val="22"/>
          <w:lang w:val="en-US"/>
        </w:rPr>
      </w:pPr>
      <w:r w:rsidRPr="00651C35">
        <w:rPr>
          <w:sz w:val="22"/>
          <w:lang w:val="en-US"/>
        </w:rPr>
        <w:t>** Based on the stratified log-rank test</w:t>
      </w:r>
    </w:p>
    <w:p w14:paraId="2C53FC4E" w14:textId="77777777" w:rsidR="002C086E" w:rsidRDefault="002C086E" w:rsidP="001B3C8D">
      <w:pPr>
        <w:rPr>
          <w:b/>
          <w:lang w:val="en-US"/>
        </w:rPr>
      </w:pPr>
      <w:r>
        <w:rPr>
          <w:b/>
          <w:lang w:val="en-US"/>
        </w:rPr>
        <w:br w:type="page"/>
      </w:r>
    </w:p>
    <w:p w14:paraId="649C3EB3" w14:textId="6EFAF348" w:rsidR="001B3C8D" w:rsidRPr="00651C35" w:rsidRDefault="002C086E" w:rsidP="001B3C8D">
      <w:pPr>
        <w:rPr>
          <w:b/>
          <w:lang w:val="en-US"/>
        </w:rPr>
      </w:pPr>
      <w:r w:rsidRPr="00651C35">
        <w:rPr>
          <w:b/>
          <w:lang w:val="en-US"/>
        </w:rPr>
        <w:lastRenderedPageBreak/>
        <w:t>Figure 1.</w:t>
      </w:r>
      <w:r w:rsidR="001B3C8D" w:rsidRPr="00651C35">
        <w:rPr>
          <w:b/>
          <w:lang w:val="en-US"/>
        </w:rPr>
        <w:t xml:space="preserve"> Kaplan-Meier Plot for Overall Survival in the Primary Analysis Population (all comers) (GO28915) </w:t>
      </w:r>
    </w:p>
    <w:p w14:paraId="591E38EF" w14:textId="66534D48" w:rsidR="001B3C8D" w:rsidRDefault="00D27F0E" w:rsidP="001B3C8D">
      <w:pPr>
        <w:rPr>
          <w:lang w:val="en-US"/>
        </w:rPr>
      </w:pPr>
      <w:r>
        <w:rPr>
          <w:rFonts w:eastAsia="Times New Roman" w:cs="Arial"/>
          <w:b/>
          <w:noProof/>
          <w:color w:val="FF0000"/>
          <w:sz w:val="22"/>
          <w:lang w:eastAsia="en-AU"/>
        </w:rPr>
        <w:drawing>
          <wp:inline distT="0" distB="0" distL="0" distR="0" wp14:anchorId="00B7D773" wp14:editId="0E40C85D">
            <wp:extent cx="5486400" cy="3114040"/>
            <wp:effectExtent l="0" t="0" r="0" b="0"/>
            <wp:docPr id="2" name="Picture 2" descr="C:\Users\elmse\Documents\1. ACTIVE\anti-PDL1\Labelling subteam\CDS v2.0\CURRENT OAK Figures\CURRENT OAK KM curves\OAK_g_kmg01_IT850_os_with_table_08NOV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mse\Documents\1. ACTIVE\anti-PDL1\Labelling subteam\CDS v2.0\CURRENT OAK Figures\CURRENT OAK KM curves\OAK_g_kmg01_IT850_os_with_table_08NOV1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114040"/>
                    </a:xfrm>
                    <a:prstGeom prst="rect">
                      <a:avLst/>
                    </a:prstGeom>
                    <a:noFill/>
                    <a:ln>
                      <a:noFill/>
                    </a:ln>
                  </pic:spPr>
                </pic:pic>
              </a:graphicData>
            </a:graphic>
          </wp:inline>
        </w:drawing>
      </w:r>
    </w:p>
    <w:p w14:paraId="5FB6A6CF" w14:textId="77777777" w:rsidR="00D27F0E" w:rsidRPr="001B3C8D" w:rsidRDefault="00D27F0E" w:rsidP="001B3C8D">
      <w:pPr>
        <w:rPr>
          <w:lang w:val="en-US"/>
        </w:rPr>
      </w:pPr>
    </w:p>
    <w:p w14:paraId="777B15D8" w14:textId="6900DED4" w:rsidR="001B3C8D" w:rsidRPr="00651C35" w:rsidRDefault="001B3C8D" w:rsidP="001B3C8D">
      <w:pPr>
        <w:rPr>
          <w:b/>
          <w:lang w:val="en-US"/>
        </w:rPr>
      </w:pPr>
      <w:r w:rsidRPr="00651C35">
        <w:rPr>
          <w:b/>
          <w:lang w:val="en-US"/>
        </w:rPr>
        <w:t>Figure 2</w:t>
      </w:r>
      <w:r w:rsidR="002C086E" w:rsidRPr="00651C35">
        <w:rPr>
          <w:b/>
          <w:lang w:val="en-US"/>
        </w:rPr>
        <w:t>.</w:t>
      </w:r>
      <w:r w:rsidRPr="00651C35">
        <w:rPr>
          <w:b/>
          <w:lang w:val="en-US"/>
        </w:rPr>
        <w:t xml:space="preserve"> Forest Plot of Overall Survival by PD-L1 Expression in the Primary Analysis Population (GO28915) </w:t>
      </w:r>
    </w:p>
    <w:p w14:paraId="4801E452" w14:textId="4AB98B69" w:rsidR="001B3C8D" w:rsidRDefault="001B3C8D" w:rsidP="001B3C8D">
      <w:pPr>
        <w:rPr>
          <w:lang w:val="en-US"/>
        </w:rPr>
      </w:pPr>
      <w:r w:rsidRPr="001B3C8D">
        <w:rPr>
          <w:lang w:val="en-US"/>
        </w:rPr>
        <w:t xml:space="preserve"> </w:t>
      </w:r>
      <w:r w:rsidR="00D27F0E">
        <w:rPr>
          <w:rFonts w:eastAsia="Times New Roman" w:cs="Arial"/>
          <w:b/>
          <w:bCs/>
          <w:iCs/>
          <w:noProof/>
          <w:sz w:val="22"/>
          <w:lang w:eastAsia="en-AU"/>
        </w:rPr>
        <w:drawing>
          <wp:inline distT="0" distB="0" distL="0" distR="0" wp14:anchorId="3A2643D4" wp14:editId="58017385">
            <wp:extent cx="5598795" cy="3631565"/>
            <wp:effectExtent l="0" t="0" r="1905" b="6985"/>
            <wp:docPr id="3" name="Picture 3" descr="OAK_FP_without on-study preva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K_FP_without on-study preval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8795" cy="3631565"/>
                    </a:xfrm>
                    <a:prstGeom prst="rect">
                      <a:avLst/>
                    </a:prstGeom>
                    <a:noFill/>
                    <a:ln>
                      <a:noFill/>
                    </a:ln>
                  </pic:spPr>
                </pic:pic>
              </a:graphicData>
            </a:graphic>
          </wp:inline>
        </w:drawing>
      </w:r>
    </w:p>
    <w:p w14:paraId="0BA10A5D" w14:textId="703493D7" w:rsidR="001B3C8D" w:rsidRDefault="001B3C8D" w:rsidP="001B3C8D">
      <w:pPr>
        <w:rPr>
          <w:lang w:val="en-US"/>
        </w:rPr>
      </w:pPr>
      <w:r w:rsidRPr="001B3C8D">
        <w:rPr>
          <w:lang w:val="en-US"/>
        </w:rPr>
        <w:t xml:space="preserve">An improvement in OS was observed with </w:t>
      </w:r>
      <w:r w:rsidR="008C70BA" w:rsidRPr="001B3C8D">
        <w:rPr>
          <w:lang w:val="en-US"/>
        </w:rPr>
        <w:t xml:space="preserve">Tecentriq </w:t>
      </w:r>
      <w:r w:rsidRPr="001B3C8D">
        <w:rPr>
          <w:lang w:val="en-US"/>
        </w:rPr>
        <w:t xml:space="preserve">compared to docetaxel in both non-squamous NSCLC patients (hazard ratio [HR] of 0.73, 95% CI: 0.60, 0.89; median OS of 15.6 vs. 11.2 months for </w:t>
      </w:r>
      <w:r w:rsidR="008C70BA" w:rsidRPr="001B3C8D">
        <w:rPr>
          <w:lang w:val="en-US"/>
        </w:rPr>
        <w:t xml:space="preserve">Tecentriq </w:t>
      </w:r>
      <w:r w:rsidRPr="001B3C8D">
        <w:rPr>
          <w:lang w:val="en-US"/>
        </w:rPr>
        <w:t xml:space="preserve">and docetaxel, respectively) and squamous NSCLC patients (HR of 0.73, 95% CI: 0.54, 0.98; median OS of 8.9 vs. 7.7 months for </w:t>
      </w:r>
      <w:r w:rsidR="00266F4D" w:rsidRPr="001B3C8D">
        <w:rPr>
          <w:lang w:val="en-US"/>
        </w:rPr>
        <w:t xml:space="preserve">Tecentriq </w:t>
      </w:r>
      <w:r w:rsidRPr="001B3C8D">
        <w:rPr>
          <w:lang w:val="en-US"/>
        </w:rPr>
        <w:t xml:space="preserve">and docetaxel, respectively). The observed OS improvement was consistently demonstrated across </w:t>
      </w:r>
      <w:r w:rsidRPr="001B3C8D">
        <w:rPr>
          <w:lang w:val="en-US"/>
        </w:rPr>
        <w:lastRenderedPageBreak/>
        <w:t xml:space="preserve">subgroups of patients including those with brain </w:t>
      </w:r>
      <w:r w:rsidR="00D27F0E" w:rsidRPr="00D27F0E">
        <w:rPr>
          <w:lang w:val="en-US"/>
        </w:rPr>
        <w:t xml:space="preserve">metastases </w:t>
      </w:r>
      <w:r w:rsidRPr="001B3C8D">
        <w:rPr>
          <w:lang w:val="en-US"/>
        </w:rPr>
        <w:t xml:space="preserve">at baseline (HR of 0.54, 95% CI: 0.31, 0.94; median OS of 20.1 vs. 11.9 months for </w:t>
      </w:r>
      <w:r w:rsidR="008C70BA" w:rsidRPr="001B3C8D">
        <w:rPr>
          <w:lang w:val="en-US"/>
        </w:rPr>
        <w:t xml:space="preserve">Tecentriq </w:t>
      </w:r>
      <w:r w:rsidRPr="001B3C8D">
        <w:rPr>
          <w:lang w:val="en-US"/>
        </w:rPr>
        <w:t xml:space="preserve">and docetaxel respectively) and patients who were never smokers (HR of 0.71, 95% CI: 0.47, 1.08; median OS of 16.3 vs. 12.6 months for </w:t>
      </w:r>
      <w:r w:rsidR="008C70BA" w:rsidRPr="001B3C8D">
        <w:rPr>
          <w:lang w:val="en-US"/>
        </w:rPr>
        <w:t xml:space="preserve">Tecentriq </w:t>
      </w:r>
      <w:r w:rsidRPr="001B3C8D">
        <w:rPr>
          <w:lang w:val="en-US"/>
        </w:rPr>
        <w:t xml:space="preserve">and docetaxel, respectively). However, patients with EGFR mutations did not show improved OS with </w:t>
      </w:r>
      <w:r w:rsidR="008C70BA" w:rsidRPr="001B3C8D">
        <w:rPr>
          <w:lang w:val="en-US"/>
        </w:rPr>
        <w:t xml:space="preserve">Tecentriq </w:t>
      </w:r>
      <w:r w:rsidRPr="001B3C8D">
        <w:rPr>
          <w:lang w:val="en-US"/>
        </w:rPr>
        <w:t xml:space="preserve">compared to docetaxel (HR of 1.24, 95% CI: 0.71, 2.18; median OS of 10.5 vs. 16.2 months for </w:t>
      </w:r>
      <w:r w:rsidR="008C70BA" w:rsidRPr="001B3C8D">
        <w:rPr>
          <w:lang w:val="en-US"/>
        </w:rPr>
        <w:t xml:space="preserve">Tecentriq </w:t>
      </w:r>
      <w:r w:rsidRPr="001B3C8D">
        <w:rPr>
          <w:lang w:val="en-US"/>
        </w:rPr>
        <w:t xml:space="preserve">and docetaxel respectively). </w:t>
      </w:r>
    </w:p>
    <w:p w14:paraId="7BDAF50B" w14:textId="77777777" w:rsidR="00D27F0E" w:rsidRPr="001B3C8D" w:rsidRDefault="00D27F0E" w:rsidP="001B3C8D">
      <w:pPr>
        <w:rPr>
          <w:lang w:val="en-US"/>
        </w:rPr>
      </w:pPr>
    </w:p>
    <w:p w14:paraId="5F57C1D0" w14:textId="7220FA3B" w:rsidR="001B3C8D" w:rsidRPr="001B3C8D" w:rsidRDefault="00DF573D" w:rsidP="00651C35">
      <w:pPr>
        <w:rPr>
          <w:lang w:val="en-US"/>
        </w:rPr>
      </w:pPr>
      <w:r>
        <w:rPr>
          <w:lang w:val="en-US"/>
        </w:rPr>
        <w:t>P</w:t>
      </w:r>
      <w:r w:rsidR="001B3C8D" w:rsidRPr="001B3C8D">
        <w:rPr>
          <w:lang w:val="en-US"/>
        </w:rPr>
        <w:t xml:space="preserve">rolonged time to deterioration of patient-reported pain in chest as measured by the EORTC QLQ-LC13 </w:t>
      </w:r>
      <w:r>
        <w:rPr>
          <w:lang w:val="en-US"/>
        </w:rPr>
        <w:t xml:space="preserve">was observed with Tecentriq </w:t>
      </w:r>
      <w:r w:rsidR="001B3C8D" w:rsidRPr="001B3C8D">
        <w:rPr>
          <w:lang w:val="en-US"/>
        </w:rPr>
        <w:t>compared with docetaxel</w:t>
      </w:r>
      <w:r>
        <w:rPr>
          <w:lang w:val="en-US"/>
        </w:rPr>
        <w:t xml:space="preserve"> (HR 0.71, 95% CI: 0.49, 1.05; median not reached in either arm)</w:t>
      </w:r>
      <w:r w:rsidR="001B3C8D" w:rsidRPr="001B3C8D">
        <w:rPr>
          <w:lang w:val="en-US"/>
        </w:rPr>
        <w:t>. The time to deterioration in other lung cancer symptoms (i.e. cough, dyspn</w:t>
      </w:r>
      <w:r w:rsidR="00D41C56">
        <w:rPr>
          <w:lang w:val="en-US"/>
        </w:rPr>
        <w:t>o</w:t>
      </w:r>
      <w:r w:rsidR="001B3C8D" w:rsidRPr="001B3C8D">
        <w:rPr>
          <w:lang w:val="en-US"/>
        </w:rPr>
        <w:t xml:space="preserve">ea, and arm/shoulder pain) as measured by the EORTC QLQ-LC13 was similar between </w:t>
      </w:r>
      <w:r w:rsidR="008C70BA" w:rsidRPr="001B3C8D">
        <w:rPr>
          <w:lang w:val="en-US"/>
        </w:rPr>
        <w:t xml:space="preserve">Tecentriq </w:t>
      </w:r>
      <w:r w:rsidR="001B3C8D" w:rsidRPr="001B3C8D">
        <w:rPr>
          <w:lang w:val="en-US"/>
        </w:rPr>
        <w:t xml:space="preserve">and docetaxel. The average global health status and functioning scores (i.e. physical, role, social, emotional, and cognitive) as measured by the EORTC QLQ-C30 did not show clinically meaningful deterioration over time for both treatment groups, suggesting maintained health-related quality of life and patient-reported functioning for patients remaining on treatment. </w:t>
      </w:r>
    </w:p>
    <w:p w14:paraId="6E39374C" w14:textId="77777777" w:rsidR="00A03144" w:rsidRPr="009D6881" w:rsidRDefault="00A03144" w:rsidP="00A03144">
      <w:pPr>
        <w:pStyle w:val="Heading3"/>
        <w:rPr>
          <w:lang w:val="en-US"/>
        </w:rPr>
      </w:pPr>
      <w:r w:rsidRPr="009D6881">
        <w:rPr>
          <w:lang w:val="en-US"/>
        </w:rPr>
        <w:t xml:space="preserve">GO28753 </w:t>
      </w:r>
    </w:p>
    <w:p w14:paraId="602DCA68" w14:textId="453EFAE3" w:rsidR="001D7191" w:rsidRDefault="00A03144" w:rsidP="00A03144">
      <w:pPr>
        <w:rPr>
          <w:lang w:val="en-US"/>
        </w:rPr>
      </w:pPr>
      <w:r w:rsidRPr="009D6881">
        <w:rPr>
          <w:lang w:val="en-US"/>
        </w:rPr>
        <w:t xml:space="preserve">A phase II, multi-centre, international, randomised, open-label, controlled study, GO28753 (POPLAR), was conducted in patients with locally advanced or metastatic NSCLC who progressed during or following a platinum-containing regimen, regardless of PD-L1 expression. </w:t>
      </w:r>
      <w:r w:rsidR="001D7191" w:rsidRPr="001D7191">
        <w:rPr>
          <w:lang w:val="en-US"/>
        </w:rPr>
        <w:t>The primary efficacy outcome was overall survival</w:t>
      </w:r>
      <w:r w:rsidR="00BF5CF3">
        <w:rPr>
          <w:lang w:val="en-US"/>
        </w:rPr>
        <w:t>,</w:t>
      </w:r>
      <w:r w:rsidR="00BF5CF3" w:rsidRPr="00BF5CF3">
        <w:rPr>
          <w:lang w:val="en-US"/>
        </w:rPr>
        <w:t xml:space="preserve"> </w:t>
      </w:r>
      <w:r w:rsidR="00BF5CF3" w:rsidRPr="009D6881">
        <w:rPr>
          <w:lang w:val="en-US"/>
        </w:rPr>
        <w:t>defined as the time from random</w:t>
      </w:r>
      <w:r w:rsidR="00BF5CF3">
        <w:rPr>
          <w:lang w:val="en-US"/>
        </w:rPr>
        <w:t>isation to death from any cause</w:t>
      </w:r>
      <w:r w:rsidR="001D7191" w:rsidRPr="001D7191">
        <w:rPr>
          <w:lang w:val="en-US"/>
        </w:rPr>
        <w:t>.</w:t>
      </w:r>
      <w:r w:rsidR="001D7191">
        <w:rPr>
          <w:lang w:val="en-US"/>
        </w:rPr>
        <w:t xml:space="preserve"> </w:t>
      </w:r>
      <w:r w:rsidRPr="009D6881">
        <w:rPr>
          <w:lang w:val="en-US"/>
        </w:rPr>
        <w:t xml:space="preserve">Eligible patients were stratified by PD-L1 IC status (IC0, IC1, IC2, and IC3), by the number of prior chemotherapy regimens (1 vs. 2), and by histology (non-squamous vs. squamous) and then randomised 1:1 to receive either </w:t>
      </w:r>
      <w:r w:rsidR="008C70BA" w:rsidRPr="009D6881">
        <w:rPr>
          <w:lang w:val="en-US"/>
        </w:rPr>
        <w:t xml:space="preserve">Tecentriq </w:t>
      </w:r>
      <w:r w:rsidRPr="009D6881">
        <w:rPr>
          <w:lang w:val="en-US"/>
        </w:rPr>
        <w:t>or docetaxel. Patients were excluded if they had a history of autoimmune disease, active brain metastasis, administration of a live, attenuated vaccine within 28 days prior to enrolment, administration of systemic immunostimulatory agents within 4 weeks or systemic immunosuppressive medications within 2 weeks</w:t>
      </w:r>
      <w:r w:rsidR="00F60578">
        <w:rPr>
          <w:lang w:val="en-US"/>
        </w:rPr>
        <w:t xml:space="preserve"> prior to enrollment</w:t>
      </w:r>
      <w:r w:rsidRPr="009D6881">
        <w:rPr>
          <w:lang w:val="en-US"/>
        </w:rPr>
        <w:t xml:space="preserve">. </w:t>
      </w:r>
    </w:p>
    <w:p w14:paraId="61F9720D" w14:textId="77777777" w:rsidR="00A03144" w:rsidRPr="009D6881" w:rsidRDefault="00A03144" w:rsidP="00A03144">
      <w:pPr>
        <w:rPr>
          <w:lang w:val="en-US"/>
        </w:rPr>
      </w:pPr>
    </w:p>
    <w:p w14:paraId="39994686" w14:textId="1C2BAB5C" w:rsidR="00A03144" w:rsidRDefault="00A03144" w:rsidP="00030023">
      <w:pPr>
        <w:rPr>
          <w:lang w:val="en-US"/>
        </w:rPr>
      </w:pPr>
      <w:r w:rsidRPr="009D6881">
        <w:rPr>
          <w:lang w:val="en-US"/>
        </w:rPr>
        <w:t xml:space="preserve">A total of 287 patients were randomised. The demographic and baseline disease characteristics of the overall patient population were generally well balanced between the treatment arms, and were reflective of the expected characteristics in the previously treated NSCLC population. The median age was 62.0 years for both docetaxel and </w:t>
      </w:r>
      <w:r w:rsidR="008C70BA" w:rsidRPr="009D6881">
        <w:rPr>
          <w:lang w:val="en-US"/>
        </w:rPr>
        <w:t xml:space="preserve">Tecentriq </w:t>
      </w:r>
      <w:r w:rsidRPr="009D6881">
        <w:rPr>
          <w:lang w:val="en-US"/>
        </w:rPr>
        <w:t xml:space="preserve">and a higher proportion of patients were male (53% vs. 65% in docetaxel and </w:t>
      </w:r>
      <w:r w:rsidR="008C70BA" w:rsidRPr="009D6881">
        <w:rPr>
          <w:lang w:val="en-US"/>
        </w:rPr>
        <w:t>Tecentriq</w:t>
      </w:r>
      <w:r w:rsidRPr="009D6881">
        <w:rPr>
          <w:lang w:val="en-US"/>
        </w:rPr>
        <w:t xml:space="preserve">).  Most patients were White (81% vs. 76% in docetaxel and </w:t>
      </w:r>
      <w:r w:rsidR="008C70BA" w:rsidRPr="009D6881">
        <w:rPr>
          <w:lang w:val="en-US"/>
        </w:rPr>
        <w:t>Tecentriq</w:t>
      </w:r>
      <w:r w:rsidRPr="009D6881">
        <w:rPr>
          <w:lang w:val="en-US"/>
        </w:rPr>
        <w:t xml:space="preserve">).  More than half of patients had non-squamous disease (66% in both docetaxel and </w:t>
      </w:r>
      <w:r w:rsidR="008C70BA" w:rsidRPr="009D6881">
        <w:rPr>
          <w:lang w:val="en-US"/>
        </w:rPr>
        <w:t>Tecentriq</w:t>
      </w:r>
      <w:r w:rsidRPr="009D6881">
        <w:rPr>
          <w:lang w:val="en-US"/>
        </w:rPr>
        <w:t xml:space="preserve">).  Most patients were current or previous smokers (80% vs. 81% in docetaxel and </w:t>
      </w:r>
      <w:r w:rsidR="008C70BA" w:rsidRPr="009D6881">
        <w:rPr>
          <w:lang w:val="en-US"/>
        </w:rPr>
        <w:t>Tecentriq</w:t>
      </w:r>
      <w:r w:rsidRPr="009D6881">
        <w:rPr>
          <w:lang w:val="en-US"/>
        </w:rPr>
        <w:t xml:space="preserve">). Approximately two-thirds of patients had ECOG score of 1 (68% in both docetaxel and </w:t>
      </w:r>
      <w:r w:rsidR="008C70BA" w:rsidRPr="009D6881">
        <w:rPr>
          <w:lang w:val="en-US"/>
        </w:rPr>
        <w:t>Tecentriq</w:t>
      </w:r>
      <w:r w:rsidRPr="009D6881">
        <w:rPr>
          <w:lang w:val="en-US"/>
        </w:rPr>
        <w:t xml:space="preserve">). More than half of patients were 2L (67% vs. 65% in docetaxel and </w:t>
      </w:r>
      <w:r w:rsidR="008C70BA" w:rsidRPr="009D6881">
        <w:rPr>
          <w:lang w:val="en-US"/>
        </w:rPr>
        <w:t>Tecentriq</w:t>
      </w:r>
      <w:r w:rsidRPr="009D6881">
        <w:rPr>
          <w:lang w:val="en-US"/>
        </w:rPr>
        <w:t>)</w:t>
      </w:r>
      <w:r w:rsidR="00FD1166">
        <w:rPr>
          <w:lang w:val="en-US"/>
        </w:rPr>
        <w:t xml:space="preserve">, with the remainder </w:t>
      </w:r>
      <w:r w:rsidR="00F60578">
        <w:rPr>
          <w:lang w:val="en-US"/>
        </w:rPr>
        <w:t xml:space="preserve">being </w:t>
      </w:r>
      <w:r w:rsidR="00FD1166">
        <w:rPr>
          <w:lang w:val="en-US"/>
        </w:rPr>
        <w:t>3L</w:t>
      </w:r>
      <w:r w:rsidR="00F60578">
        <w:rPr>
          <w:lang w:val="en-US"/>
        </w:rPr>
        <w:t xml:space="preserve"> patients</w:t>
      </w:r>
      <w:r w:rsidRPr="009D6881">
        <w:rPr>
          <w:lang w:val="en-US"/>
        </w:rPr>
        <w:t xml:space="preserve">. </w:t>
      </w:r>
    </w:p>
    <w:p w14:paraId="242DB73C" w14:textId="77777777" w:rsidR="001D7191" w:rsidRDefault="001D7191" w:rsidP="00030023">
      <w:pPr>
        <w:rPr>
          <w:lang w:val="en-US"/>
        </w:rPr>
      </w:pPr>
    </w:p>
    <w:p w14:paraId="726ECEA5" w14:textId="533127A9" w:rsidR="00A03144" w:rsidRPr="009D6881" w:rsidRDefault="00266F4D" w:rsidP="00030023">
      <w:pPr>
        <w:rPr>
          <w:lang w:val="en-US"/>
        </w:rPr>
      </w:pPr>
      <w:r w:rsidRPr="009D6881">
        <w:rPr>
          <w:lang w:val="en-US"/>
        </w:rPr>
        <w:t xml:space="preserve">Tecentriq </w:t>
      </w:r>
      <w:r w:rsidR="00A03144" w:rsidRPr="009D6881">
        <w:rPr>
          <w:lang w:val="en-US"/>
        </w:rPr>
        <w:t xml:space="preserve">was administered as a fixed dose of 1200 mg by IV infusion every 3 weeks. No dose reduction was allowed. Patients were treated until loss of clinical benefit as assessed by the investigator. </w:t>
      </w:r>
    </w:p>
    <w:p w14:paraId="1FFA879B" w14:textId="113DAE4D" w:rsidR="00A03144" w:rsidRPr="009D6881" w:rsidRDefault="00A03144" w:rsidP="00030023">
      <w:pPr>
        <w:rPr>
          <w:lang w:val="en-US"/>
        </w:rPr>
      </w:pPr>
    </w:p>
    <w:p w14:paraId="7BA5EFC5" w14:textId="2361EFBE" w:rsidR="002217EA" w:rsidRDefault="00BF5CF3" w:rsidP="00030023">
      <w:pPr>
        <w:rPr>
          <w:lang w:val="en-US"/>
        </w:rPr>
      </w:pPr>
      <w:r w:rsidRPr="009D6881">
        <w:rPr>
          <w:lang w:val="en-US"/>
        </w:rPr>
        <w:t xml:space="preserve">The primary analysis occurred after 173 deaths were observed in the intent-to-treat (ITT) population. </w:t>
      </w:r>
      <w:r w:rsidR="00B92A59" w:rsidRPr="009D6881">
        <w:rPr>
          <w:lang w:val="en-US"/>
        </w:rPr>
        <w:t xml:space="preserve">The median duration of treatment was 2.1 months for the docetaxel arm and 3.7 months for the </w:t>
      </w:r>
      <w:r w:rsidR="00266F4D" w:rsidRPr="009D6881">
        <w:rPr>
          <w:lang w:val="en-US"/>
        </w:rPr>
        <w:t xml:space="preserve">Tecentriq </w:t>
      </w:r>
      <w:r w:rsidR="00B92A59" w:rsidRPr="009D6881">
        <w:rPr>
          <w:lang w:val="en-US"/>
        </w:rPr>
        <w:t xml:space="preserve">arm. The median survival follow-up was 15.7 months for the </w:t>
      </w:r>
      <w:r w:rsidR="00B92A59" w:rsidRPr="009D6881">
        <w:rPr>
          <w:lang w:val="en-US"/>
        </w:rPr>
        <w:lastRenderedPageBreak/>
        <w:t xml:space="preserve">docetaxel arm and 14.8 months for the </w:t>
      </w:r>
      <w:r w:rsidR="00266F4D" w:rsidRPr="009D6881">
        <w:rPr>
          <w:lang w:val="en-US"/>
        </w:rPr>
        <w:t xml:space="preserve">Tecentriq </w:t>
      </w:r>
      <w:r w:rsidR="00B92A59" w:rsidRPr="009D6881">
        <w:rPr>
          <w:lang w:val="en-US"/>
        </w:rPr>
        <w:t xml:space="preserve">arm. </w:t>
      </w:r>
      <w:r w:rsidR="00A03144" w:rsidRPr="009D6881">
        <w:rPr>
          <w:lang w:val="en-US"/>
        </w:rPr>
        <w:t xml:space="preserve">The key results of this study are summarised in Tables </w:t>
      </w:r>
      <w:r w:rsidR="002C086E">
        <w:rPr>
          <w:lang w:val="en-US"/>
        </w:rPr>
        <w:t>2</w:t>
      </w:r>
      <w:r w:rsidR="008135CD" w:rsidRPr="009D6881">
        <w:rPr>
          <w:lang w:val="en-US"/>
        </w:rPr>
        <w:t xml:space="preserve"> </w:t>
      </w:r>
      <w:r w:rsidR="00A03144" w:rsidRPr="009D6881">
        <w:rPr>
          <w:lang w:val="en-US"/>
        </w:rPr>
        <w:t xml:space="preserve">and </w:t>
      </w:r>
      <w:r w:rsidR="002C086E">
        <w:rPr>
          <w:lang w:val="en-US"/>
        </w:rPr>
        <w:t>3</w:t>
      </w:r>
      <w:r w:rsidR="00A03144" w:rsidRPr="009D6881">
        <w:rPr>
          <w:lang w:val="en-US"/>
        </w:rPr>
        <w:t xml:space="preserve">. Kaplan-Meier curves for the ITT population are presented in Figure </w:t>
      </w:r>
      <w:r w:rsidR="002C086E">
        <w:rPr>
          <w:lang w:val="en-US"/>
        </w:rPr>
        <w:t>3</w:t>
      </w:r>
      <w:r w:rsidR="00A03144" w:rsidRPr="009D6881">
        <w:rPr>
          <w:lang w:val="en-US"/>
        </w:rPr>
        <w:t xml:space="preserve">. </w:t>
      </w:r>
    </w:p>
    <w:p w14:paraId="5530B3BF" w14:textId="77777777" w:rsidR="000C1668" w:rsidRDefault="000C1668" w:rsidP="00030023">
      <w:pPr>
        <w:rPr>
          <w:b/>
          <w:lang w:val="en-US"/>
        </w:rPr>
      </w:pPr>
    </w:p>
    <w:p w14:paraId="3778A719" w14:textId="0AF5E302" w:rsidR="00A03144" w:rsidRPr="009D6881" w:rsidRDefault="00A03144" w:rsidP="00030023">
      <w:pPr>
        <w:rPr>
          <w:rStyle w:val="Strong"/>
          <w:b w:val="0"/>
        </w:rPr>
      </w:pPr>
      <w:r w:rsidRPr="009D6881">
        <w:rPr>
          <w:b/>
          <w:lang w:val="en-US"/>
        </w:rPr>
        <w:t xml:space="preserve">Table </w:t>
      </w:r>
      <w:r w:rsidR="002C086E">
        <w:rPr>
          <w:b/>
          <w:lang w:val="en-US"/>
        </w:rPr>
        <w:t>2</w:t>
      </w:r>
      <w:r w:rsidRPr="009D6881">
        <w:rPr>
          <w:b/>
          <w:lang w:val="en-US"/>
        </w:rPr>
        <w:t>. Summary of efficacy from GO28753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2520"/>
        <w:gridCol w:w="54"/>
        <w:gridCol w:w="2574"/>
      </w:tblGrid>
      <w:tr w:rsidR="00A03144" w:rsidRPr="009D6881" w14:paraId="0931B2DE" w14:textId="0E2820B4" w:rsidTr="00BB05D8">
        <w:trPr>
          <w:tblHeader/>
        </w:trPr>
        <w:tc>
          <w:tcPr>
            <w:tcW w:w="3708" w:type="dxa"/>
            <w:tcBorders>
              <w:top w:val="single" w:sz="4" w:space="0" w:color="auto"/>
              <w:left w:val="single" w:sz="4" w:space="0" w:color="auto"/>
              <w:bottom w:val="single" w:sz="4" w:space="0" w:color="auto"/>
              <w:right w:val="nil"/>
            </w:tcBorders>
            <w:shd w:val="clear" w:color="auto" w:fill="auto"/>
          </w:tcPr>
          <w:p w14:paraId="2AAF480B" w14:textId="161279FB" w:rsidR="00A03144" w:rsidRPr="009D6881" w:rsidRDefault="00A03144" w:rsidP="00355E56">
            <w:pPr>
              <w:rPr>
                <w:b/>
                <w:sz w:val="22"/>
              </w:rPr>
            </w:pPr>
          </w:p>
          <w:p w14:paraId="216B9F4C" w14:textId="320812CE" w:rsidR="00A03144" w:rsidRPr="009D6881" w:rsidRDefault="00A03144" w:rsidP="00355E56">
            <w:pPr>
              <w:rPr>
                <w:b/>
                <w:sz w:val="22"/>
              </w:rPr>
            </w:pPr>
            <w:r w:rsidRPr="009D6881">
              <w:rPr>
                <w:rFonts w:eastAsia="Times New Roman"/>
                <w:b/>
                <w:sz w:val="22"/>
              </w:rPr>
              <w:t>Efficacy endpoint</w:t>
            </w:r>
          </w:p>
        </w:tc>
        <w:tc>
          <w:tcPr>
            <w:tcW w:w="2520" w:type="dxa"/>
            <w:tcBorders>
              <w:top w:val="single" w:sz="4" w:space="0" w:color="auto"/>
              <w:left w:val="nil"/>
              <w:bottom w:val="single" w:sz="4" w:space="0" w:color="auto"/>
              <w:right w:val="nil"/>
            </w:tcBorders>
            <w:shd w:val="clear" w:color="auto" w:fill="auto"/>
          </w:tcPr>
          <w:p w14:paraId="38CADD28" w14:textId="7AC6455E" w:rsidR="00A03144" w:rsidRPr="009D6881" w:rsidRDefault="00A03144" w:rsidP="00355E56">
            <w:pPr>
              <w:rPr>
                <w:b/>
                <w:sz w:val="22"/>
              </w:rPr>
            </w:pPr>
          </w:p>
          <w:p w14:paraId="59932A5C" w14:textId="2ABCC789" w:rsidR="00A03144" w:rsidRPr="009D6881" w:rsidRDefault="001D20DA" w:rsidP="00355E56">
            <w:pPr>
              <w:rPr>
                <w:b/>
                <w:sz w:val="22"/>
              </w:rPr>
            </w:pPr>
            <w:r w:rsidRPr="009D6881">
              <w:rPr>
                <w:rFonts w:eastAsia="Times New Roman"/>
                <w:b/>
                <w:sz w:val="22"/>
              </w:rPr>
              <w:t>Tecentriq</w:t>
            </w:r>
          </w:p>
        </w:tc>
        <w:tc>
          <w:tcPr>
            <w:tcW w:w="2628" w:type="dxa"/>
            <w:gridSpan w:val="2"/>
            <w:tcBorders>
              <w:top w:val="single" w:sz="4" w:space="0" w:color="auto"/>
              <w:left w:val="nil"/>
              <w:bottom w:val="single" w:sz="4" w:space="0" w:color="auto"/>
              <w:right w:val="single" w:sz="4" w:space="0" w:color="auto"/>
            </w:tcBorders>
            <w:shd w:val="clear" w:color="auto" w:fill="auto"/>
          </w:tcPr>
          <w:p w14:paraId="7DCCFBA9" w14:textId="2775F848" w:rsidR="00A03144" w:rsidRPr="009D6881" w:rsidRDefault="00A03144" w:rsidP="00355E56">
            <w:pPr>
              <w:rPr>
                <w:b/>
                <w:sz w:val="22"/>
              </w:rPr>
            </w:pPr>
          </w:p>
          <w:p w14:paraId="3BDF8658" w14:textId="0CD623CD" w:rsidR="00A03144" w:rsidRPr="009D6881" w:rsidRDefault="00A03144" w:rsidP="00355E56">
            <w:pPr>
              <w:rPr>
                <w:b/>
                <w:sz w:val="22"/>
              </w:rPr>
            </w:pPr>
            <w:r w:rsidRPr="009D6881">
              <w:rPr>
                <w:rFonts w:eastAsia="Times New Roman"/>
                <w:b/>
                <w:sz w:val="22"/>
              </w:rPr>
              <w:t>Docetaxel</w:t>
            </w:r>
          </w:p>
        </w:tc>
      </w:tr>
      <w:tr w:rsidR="00A03144" w:rsidRPr="009D6881" w14:paraId="36C82158" w14:textId="6A5CECC6" w:rsidTr="00BB05D8">
        <w:tc>
          <w:tcPr>
            <w:tcW w:w="3708" w:type="dxa"/>
            <w:tcBorders>
              <w:top w:val="single" w:sz="4" w:space="0" w:color="auto"/>
              <w:left w:val="single" w:sz="4" w:space="0" w:color="auto"/>
              <w:bottom w:val="single" w:sz="4" w:space="0" w:color="auto"/>
              <w:right w:val="nil"/>
            </w:tcBorders>
            <w:shd w:val="clear" w:color="auto" w:fill="auto"/>
            <w:hideMark/>
          </w:tcPr>
          <w:p w14:paraId="52A79A68" w14:textId="7B31FBF2" w:rsidR="00A03144" w:rsidRPr="009D6881" w:rsidRDefault="00A03144" w:rsidP="00355E56">
            <w:pPr>
              <w:rPr>
                <w:b/>
                <w:i/>
                <w:sz w:val="22"/>
              </w:rPr>
            </w:pPr>
            <w:r w:rsidRPr="009D6881">
              <w:rPr>
                <w:rFonts w:eastAsia="Times New Roman"/>
                <w:b/>
                <w:i/>
                <w:sz w:val="22"/>
              </w:rPr>
              <w:t>Primary Efficacy Endpoint</w:t>
            </w:r>
          </w:p>
        </w:tc>
        <w:tc>
          <w:tcPr>
            <w:tcW w:w="2520" w:type="dxa"/>
            <w:tcBorders>
              <w:top w:val="single" w:sz="4" w:space="0" w:color="auto"/>
              <w:left w:val="nil"/>
              <w:bottom w:val="single" w:sz="4" w:space="0" w:color="auto"/>
              <w:right w:val="nil"/>
            </w:tcBorders>
            <w:shd w:val="clear" w:color="auto" w:fill="auto"/>
          </w:tcPr>
          <w:p w14:paraId="02DB649F" w14:textId="479B5C43" w:rsidR="00A03144" w:rsidRPr="009D6881" w:rsidRDefault="00A03144" w:rsidP="00355E56">
            <w:pPr>
              <w:rPr>
                <w:sz w:val="22"/>
              </w:rPr>
            </w:pPr>
          </w:p>
        </w:tc>
        <w:tc>
          <w:tcPr>
            <w:tcW w:w="2628" w:type="dxa"/>
            <w:gridSpan w:val="2"/>
            <w:tcBorders>
              <w:top w:val="single" w:sz="4" w:space="0" w:color="auto"/>
              <w:left w:val="nil"/>
              <w:bottom w:val="single" w:sz="4" w:space="0" w:color="auto"/>
              <w:right w:val="single" w:sz="4" w:space="0" w:color="auto"/>
            </w:tcBorders>
            <w:shd w:val="clear" w:color="auto" w:fill="auto"/>
          </w:tcPr>
          <w:p w14:paraId="35AFDD43" w14:textId="2E2F5F04" w:rsidR="00A03144" w:rsidRPr="009D6881" w:rsidRDefault="00A03144" w:rsidP="00355E56">
            <w:pPr>
              <w:rPr>
                <w:sz w:val="22"/>
              </w:rPr>
            </w:pPr>
          </w:p>
        </w:tc>
      </w:tr>
      <w:tr w:rsidR="00A03144" w:rsidRPr="009D6881" w14:paraId="4DEDF533" w14:textId="218CBB45" w:rsidTr="00BB05D8">
        <w:tc>
          <w:tcPr>
            <w:tcW w:w="3708" w:type="dxa"/>
            <w:tcBorders>
              <w:top w:val="single" w:sz="4" w:space="0" w:color="auto"/>
              <w:left w:val="single" w:sz="4" w:space="0" w:color="auto"/>
              <w:bottom w:val="single" w:sz="4" w:space="0" w:color="auto"/>
              <w:right w:val="nil"/>
            </w:tcBorders>
            <w:shd w:val="clear" w:color="auto" w:fill="auto"/>
            <w:hideMark/>
          </w:tcPr>
          <w:p w14:paraId="36B3FAD2" w14:textId="7EADC4A5" w:rsidR="00A03144" w:rsidRPr="009D6881" w:rsidRDefault="00A03144" w:rsidP="00355E56">
            <w:pPr>
              <w:rPr>
                <w:b/>
                <w:i/>
                <w:sz w:val="22"/>
              </w:rPr>
            </w:pPr>
            <w:r w:rsidRPr="009D6881">
              <w:rPr>
                <w:rFonts w:eastAsia="Times New Roman"/>
                <w:b/>
                <w:i/>
                <w:sz w:val="22"/>
              </w:rPr>
              <w:t>Overall Survival</w:t>
            </w:r>
          </w:p>
        </w:tc>
        <w:tc>
          <w:tcPr>
            <w:tcW w:w="2520" w:type="dxa"/>
            <w:tcBorders>
              <w:top w:val="single" w:sz="4" w:space="0" w:color="auto"/>
              <w:left w:val="nil"/>
              <w:bottom w:val="single" w:sz="4" w:space="0" w:color="auto"/>
              <w:right w:val="nil"/>
            </w:tcBorders>
            <w:shd w:val="clear" w:color="auto" w:fill="auto"/>
          </w:tcPr>
          <w:p w14:paraId="31AA1990" w14:textId="6B5DD950" w:rsidR="00A03144" w:rsidRPr="009D6881" w:rsidRDefault="00A03144" w:rsidP="00355E56">
            <w:pPr>
              <w:rPr>
                <w:sz w:val="22"/>
              </w:rPr>
            </w:pPr>
          </w:p>
        </w:tc>
        <w:tc>
          <w:tcPr>
            <w:tcW w:w="2628" w:type="dxa"/>
            <w:gridSpan w:val="2"/>
            <w:tcBorders>
              <w:top w:val="single" w:sz="4" w:space="0" w:color="auto"/>
              <w:left w:val="nil"/>
              <w:bottom w:val="single" w:sz="4" w:space="0" w:color="auto"/>
              <w:right w:val="single" w:sz="4" w:space="0" w:color="auto"/>
            </w:tcBorders>
            <w:shd w:val="clear" w:color="auto" w:fill="auto"/>
          </w:tcPr>
          <w:p w14:paraId="65A389E5" w14:textId="0A66B725" w:rsidR="00A03144" w:rsidRPr="009D6881" w:rsidRDefault="00A03144" w:rsidP="00355E56">
            <w:pPr>
              <w:rPr>
                <w:sz w:val="22"/>
              </w:rPr>
            </w:pPr>
          </w:p>
        </w:tc>
      </w:tr>
      <w:tr w:rsidR="00A03144" w:rsidRPr="009D6881" w14:paraId="098289B2" w14:textId="15F171C9" w:rsidTr="00BB05D8">
        <w:tc>
          <w:tcPr>
            <w:tcW w:w="3708" w:type="dxa"/>
            <w:tcBorders>
              <w:top w:val="nil"/>
              <w:left w:val="single" w:sz="4" w:space="0" w:color="auto"/>
              <w:bottom w:val="nil"/>
              <w:right w:val="nil"/>
            </w:tcBorders>
            <w:shd w:val="clear" w:color="auto" w:fill="auto"/>
            <w:hideMark/>
          </w:tcPr>
          <w:p w14:paraId="3CE48BA8" w14:textId="3F3A96F4" w:rsidR="00A03144" w:rsidRPr="009D6881" w:rsidRDefault="00A03144" w:rsidP="00355E56">
            <w:pPr>
              <w:rPr>
                <w:b/>
                <w:sz w:val="22"/>
              </w:rPr>
            </w:pPr>
            <w:r w:rsidRPr="009D6881">
              <w:rPr>
                <w:rFonts w:eastAsia="Times New Roman"/>
                <w:b/>
                <w:sz w:val="22"/>
              </w:rPr>
              <w:t>All Comers</w:t>
            </w:r>
          </w:p>
        </w:tc>
        <w:tc>
          <w:tcPr>
            <w:tcW w:w="2520" w:type="dxa"/>
            <w:tcBorders>
              <w:top w:val="nil"/>
              <w:left w:val="nil"/>
              <w:bottom w:val="nil"/>
              <w:right w:val="nil"/>
            </w:tcBorders>
            <w:shd w:val="clear" w:color="auto" w:fill="auto"/>
            <w:hideMark/>
          </w:tcPr>
          <w:p w14:paraId="26CE759D" w14:textId="65175BF4" w:rsidR="00A03144" w:rsidRPr="009D6881" w:rsidRDefault="00A03144" w:rsidP="00355E56">
            <w:pPr>
              <w:rPr>
                <w:sz w:val="22"/>
              </w:rPr>
            </w:pPr>
            <w:r w:rsidRPr="009D6881">
              <w:rPr>
                <w:rFonts w:eastAsia="Times New Roman"/>
                <w:sz w:val="22"/>
              </w:rPr>
              <w:t>n = 144</w:t>
            </w:r>
          </w:p>
        </w:tc>
        <w:tc>
          <w:tcPr>
            <w:tcW w:w="2628" w:type="dxa"/>
            <w:gridSpan w:val="2"/>
            <w:tcBorders>
              <w:top w:val="nil"/>
              <w:left w:val="nil"/>
              <w:bottom w:val="nil"/>
              <w:right w:val="single" w:sz="4" w:space="0" w:color="auto"/>
            </w:tcBorders>
            <w:shd w:val="clear" w:color="auto" w:fill="auto"/>
            <w:hideMark/>
          </w:tcPr>
          <w:p w14:paraId="5982C9BF" w14:textId="55BB8530" w:rsidR="00A03144" w:rsidRPr="009D6881" w:rsidRDefault="00A03144" w:rsidP="00355E56">
            <w:pPr>
              <w:rPr>
                <w:sz w:val="22"/>
              </w:rPr>
            </w:pPr>
            <w:r w:rsidRPr="009D6881">
              <w:rPr>
                <w:rFonts w:eastAsia="Times New Roman"/>
                <w:sz w:val="22"/>
              </w:rPr>
              <w:t>n = 143</w:t>
            </w:r>
          </w:p>
        </w:tc>
      </w:tr>
      <w:tr w:rsidR="00A03144" w:rsidRPr="009D6881" w14:paraId="2F076982" w14:textId="4B498529" w:rsidTr="00BB05D8">
        <w:tc>
          <w:tcPr>
            <w:tcW w:w="3708" w:type="dxa"/>
            <w:tcBorders>
              <w:top w:val="nil"/>
              <w:left w:val="single" w:sz="4" w:space="0" w:color="auto"/>
              <w:bottom w:val="nil"/>
              <w:right w:val="nil"/>
            </w:tcBorders>
            <w:shd w:val="clear" w:color="auto" w:fill="auto"/>
            <w:hideMark/>
          </w:tcPr>
          <w:p w14:paraId="6FE914F4" w14:textId="1E60223E" w:rsidR="00A03144" w:rsidRPr="009D6881" w:rsidRDefault="00A03144" w:rsidP="00355E56">
            <w:pPr>
              <w:rPr>
                <w:sz w:val="22"/>
              </w:rPr>
            </w:pPr>
            <w:r w:rsidRPr="009D6881">
              <w:rPr>
                <w:rFonts w:eastAsia="Times New Roman"/>
                <w:sz w:val="22"/>
              </w:rPr>
              <w:t xml:space="preserve">   No. of deaths (%)</w:t>
            </w:r>
          </w:p>
        </w:tc>
        <w:tc>
          <w:tcPr>
            <w:tcW w:w="2520" w:type="dxa"/>
            <w:tcBorders>
              <w:top w:val="nil"/>
              <w:left w:val="nil"/>
              <w:bottom w:val="nil"/>
              <w:right w:val="nil"/>
            </w:tcBorders>
            <w:shd w:val="clear" w:color="auto" w:fill="auto"/>
            <w:hideMark/>
          </w:tcPr>
          <w:p w14:paraId="5BD5C3AF" w14:textId="6932A890" w:rsidR="00A03144" w:rsidRPr="009D6881" w:rsidRDefault="00A03144" w:rsidP="00355E56">
            <w:pPr>
              <w:rPr>
                <w:sz w:val="22"/>
              </w:rPr>
            </w:pPr>
            <w:r w:rsidRPr="009D6881">
              <w:rPr>
                <w:rFonts w:eastAsia="Times New Roman"/>
                <w:sz w:val="22"/>
              </w:rPr>
              <w:t>78 (54.2%)</w:t>
            </w:r>
          </w:p>
        </w:tc>
        <w:tc>
          <w:tcPr>
            <w:tcW w:w="2628" w:type="dxa"/>
            <w:gridSpan w:val="2"/>
            <w:tcBorders>
              <w:top w:val="nil"/>
              <w:left w:val="nil"/>
              <w:bottom w:val="nil"/>
              <w:right w:val="single" w:sz="4" w:space="0" w:color="auto"/>
            </w:tcBorders>
            <w:shd w:val="clear" w:color="auto" w:fill="auto"/>
            <w:hideMark/>
          </w:tcPr>
          <w:p w14:paraId="32C0F1C2" w14:textId="6C852782" w:rsidR="00A03144" w:rsidRPr="009D6881" w:rsidRDefault="00A03144" w:rsidP="00355E56">
            <w:pPr>
              <w:rPr>
                <w:sz w:val="22"/>
              </w:rPr>
            </w:pPr>
            <w:r w:rsidRPr="009D6881">
              <w:rPr>
                <w:rFonts w:eastAsia="Times New Roman"/>
                <w:sz w:val="22"/>
              </w:rPr>
              <w:t>95 (66.4%)</w:t>
            </w:r>
          </w:p>
        </w:tc>
      </w:tr>
      <w:tr w:rsidR="00A03144" w:rsidRPr="009D6881" w14:paraId="7B4C6E0A" w14:textId="623B9CB9" w:rsidTr="00BB05D8">
        <w:tc>
          <w:tcPr>
            <w:tcW w:w="3708" w:type="dxa"/>
            <w:tcBorders>
              <w:top w:val="nil"/>
              <w:left w:val="single" w:sz="4" w:space="0" w:color="auto"/>
              <w:bottom w:val="nil"/>
              <w:right w:val="nil"/>
            </w:tcBorders>
            <w:shd w:val="clear" w:color="auto" w:fill="auto"/>
            <w:hideMark/>
          </w:tcPr>
          <w:p w14:paraId="4A676563" w14:textId="627CA7A8" w:rsidR="00A03144" w:rsidRPr="009D6881" w:rsidRDefault="00A03144" w:rsidP="00355E56">
            <w:pPr>
              <w:rPr>
                <w:sz w:val="22"/>
              </w:rPr>
            </w:pPr>
            <w:r w:rsidRPr="009D6881">
              <w:rPr>
                <w:rFonts w:eastAsia="Times New Roman"/>
                <w:sz w:val="22"/>
              </w:rPr>
              <w:t xml:space="preserve">   Median time to events (months) </w:t>
            </w:r>
          </w:p>
        </w:tc>
        <w:tc>
          <w:tcPr>
            <w:tcW w:w="2520" w:type="dxa"/>
            <w:tcBorders>
              <w:top w:val="nil"/>
              <w:left w:val="nil"/>
              <w:bottom w:val="nil"/>
              <w:right w:val="nil"/>
            </w:tcBorders>
            <w:shd w:val="clear" w:color="auto" w:fill="auto"/>
            <w:hideMark/>
          </w:tcPr>
          <w:p w14:paraId="7BA9538A" w14:textId="128238E0" w:rsidR="00A03144" w:rsidRPr="009D6881" w:rsidRDefault="00A03144" w:rsidP="00355E56">
            <w:pPr>
              <w:rPr>
                <w:sz w:val="22"/>
              </w:rPr>
            </w:pPr>
            <w:r w:rsidRPr="009D6881">
              <w:rPr>
                <w:rFonts w:eastAsia="Times New Roman"/>
                <w:sz w:val="22"/>
              </w:rPr>
              <w:t>12.6</w:t>
            </w:r>
          </w:p>
        </w:tc>
        <w:tc>
          <w:tcPr>
            <w:tcW w:w="2628" w:type="dxa"/>
            <w:gridSpan w:val="2"/>
            <w:tcBorders>
              <w:top w:val="nil"/>
              <w:left w:val="nil"/>
              <w:bottom w:val="nil"/>
              <w:right w:val="single" w:sz="4" w:space="0" w:color="auto"/>
            </w:tcBorders>
            <w:shd w:val="clear" w:color="auto" w:fill="auto"/>
            <w:hideMark/>
          </w:tcPr>
          <w:p w14:paraId="29F6C766" w14:textId="4CCCA751" w:rsidR="00A03144" w:rsidRPr="009D6881" w:rsidRDefault="00A03144" w:rsidP="00355E56">
            <w:pPr>
              <w:rPr>
                <w:sz w:val="22"/>
              </w:rPr>
            </w:pPr>
            <w:r w:rsidRPr="009D6881">
              <w:rPr>
                <w:rFonts w:eastAsia="Times New Roman"/>
                <w:sz w:val="22"/>
              </w:rPr>
              <w:t>9.7</w:t>
            </w:r>
          </w:p>
        </w:tc>
      </w:tr>
      <w:tr w:rsidR="00A03144" w:rsidRPr="009D6881" w14:paraId="3E52D865" w14:textId="3053F0D4" w:rsidTr="00BB05D8">
        <w:tc>
          <w:tcPr>
            <w:tcW w:w="3708" w:type="dxa"/>
            <w:tcBorders>
              <w:top w:val="nil"/>
              <w:left w:val="single" w:sz="4" w:space="0" w:color="auto"/>
              <w:bottom w:val="nil"/>
              <w:right w:val="nil"/>
            </w:tcBorders>
            <w:shd w:val="clear" w:color="auto" w:fill="auto"/>
            <w:hideMark/>
          </w:tcPr>
          <w:p w14:paraId="3E267B9B" w14:textId="0A462B1B" w:rsidR="00A03144" w:rsidRPr="009D6881" w:rsidRDefault="00A03144" w:rsidP="00355E56">
            <w:pPr>
              <w:rPr>
                <w:sz w:val="22"/>
              </w:rPr>
            </w:pPr>
            <w:r w:rsidRPr="009D6881">
              <w:rPr>
                <w:rFonts w:eastAsia="Times New Roman"/>
                <w:sz w:val="22"/>
              </w:rPr>
              <w:t xml:space="preserve">   95% CI</w:t>
            </w:r>
          </w:p>
        </w:tc>
        <w:tc>
          <w:tcPr>
            <w:tcW w:w="2520" w:type="dxa"/>
            <w:tcBorders>
              <w:top w:val="nil"/>
              <w:left w:val="nil"/>
              <w:bottom w:val="nil"/>
              <w:right w:val="nil"/>
            </w:tcBorders>
            <w:shd w:val="clear" w:color="auto" w:fill="auto"/>
            <w:hideMark/>
          </w:tcPr>
          <w:p w14:paraId="6560BA74" w14:textId="617A7B63" w:rsidR="00A03144" w:rsidRPr="009D6881" w:rsidRDefault="00A03144" w:rsidP="00355E56">
            <w:pPr>
              <w:rPr>
                <w:sz w:val="22"/>
              </w:rPr>
            </w:pPr>
            <w:r w:rsidRPr="009D6881">
              <w:rPr>
                <w:rFonts w:eastAsia="Times New Roman"/>
                <w:sz w:val="22"/>
              </w:rPr>
              <w:t>9.7, 16.4</w:t>
            </w:r>
          </w:p>
        </w:tc>
        <w:tc>
          <w:tcPr>
            <w:tcW w:w="2628" w:type="dxa"/>
            <w:gridSpan w:val="2"/>
            <w:tcBorders>
              <w:top w:val="nil"/>
              <w:left w:val="nil"/>
              <w:bottom w:val="nil"/>
              <w:right w:val="single" w:sz="4" w:space="0" w:color="auto"/>
            </w:tcBorders>
            <w:shd w:val="clear" w:color="auto" w:fill="auto"/>
            <w:hideMark/>
          </w:tcPr>
          <w:p w14:paraId="4ADDE97A" w14:textId="4D361F19" w:rsidR="00A03144" w:rsidRPr="009D6881" w:rsidRDefault="00A03144" w:rsidP="00355E56">
            <w:pPr>
              <w:rPr>
                <w:sz w:val="22"/>
              </w:rPr>
            </w:pPr>
            <w:r w:rsidRPr="009D6881">
              <w:rPr>
                <w:rFonts w:eastAsia="Times New Roman"/>
                <w:sz w:val="22"/>
              </w:rPr>
              <w:t>8.6, 12.0</w:t>
            </w:r>
          </w:p>
        </w:tc>
      </w:tr>
      <w:tr w:rsidR="00A03144" w:rsidRPr="009D6881" w14:paraId="42BE360A" w14:textId="41C48150" w:rsidTr="00BB05D8">
        <w:tc>
          <w:tcPr>
            <w:tcW w:w="3708" w:type="dxa"/>
            <w:tcBorders>
              <w:top w:val="nil"/>
              <w:left w:val="single" w:sz="4" w:space="0" w:color="auto"/>
              <w:bottom w:val="single" w:sz="4" w:space="0" w:color="auto"/>
              <w:right w:val="nil"/>
            </w:tcBorders>
            <w:shd w:val="clear" w:color="auto" w:fill="auto"/>
            <w:hideMark/>
          </w:tcPr>
          <w:p w14:paraId="0B4463D3" w14:textId="1F118652" w:rsidR="00A03144" w:rsidRPr="009D6881" w:rsidRDefault="00A03144" w:rsidP="00355E56">
            <w:pPr>
              <w:rPr>
                <w:sz w:val="22"/>
              </w:rPr>
            </w:pPr>
            <w:r w:rsidRPr="009D6881">
              <w:rPr>
                <w:rFonts w:eastAsia="Times New Roman"/>
                <w:sz w:val="22"/>
              </w:rPr>
              <w:t xml:space="preserve">   Stratified hazard ratio</w:t>
            </w:r>
            <w:r w:rsidRPr="009D6881">
              <w:rPr>
                <w:rFonts w:eastAsia="Times New Roman"/>
                <w:sz w:val="22"/>
                <w:vertAlign w:val="superscript"/>
              </w:rPr>
              <w:t>†</w:t>
            </w:r>
            <w:r w:rsidRPr="009D6881">
              <w:rPr>
                <w:rFonts w:eastAsia="Times New Roman"/>
                <w:sz w:val="22"/>
              </w:rPr>
              <w:t xml:space="preserve"> (95% CI)</w:t>
            </w:r>
          </w:p>
        </w:tc>
        <w:tc>
          <w:tcPr>
            <w:tcW w:w="5148" w:type="dxa"/>
            <w:gridSpan w:val="3"/>
            <w:tcBorders>
              <w:top w:val="nil"/>
              <w:left w:val="nil"/>
              <w:bottom w:val="single" w:sz="4" w:space="0" w:color="auto"/>
              <w:right w:val="single" w:sz="4" w:space="0" w:color="auto"/>
            </w:tcBorders>
            <w:shd w:val="clear" w:color="auto" w:fill="auto"/>
            <w:hideMark/>
          </w:tcPr>
          <w:p w14:paraId="59B653EB" w14:textId="7BECAD62" w:rsidR="00A03144" w:rsidRPr="009D6881" w:rsidRDefault="00A03144" w:rsidP="00355E56">
            <w:pPr>
              <w:rPr>
                <w:sz w:val="22"/>
              </w:rPr>
            </w:pPr>
            <w:r w:rsidRPr="009D6881">
              <w:rPr>
                <w:rFonts w:eastAsia="Times New Roman"/>
                <w:sz w:val="22"/>
              </w:rPr>
              <w:t>0.73 (0.53, 0.99)</w:t>
            </w:r>
          </w:p>
        </w:tc>
      </w:tr>
      <w:tr w:rsidR="00A03144" w:rsidRPr="009D6881" w14:paraId="2CFE8E72" w14:textId="3825ED3D" w:rsidTr="00BB05D8">
        <w:tc>
          <w:tcPr>
            <w:tcW w:w="8856" w:type="dxa"/>
            <w:gridSpan w:val="4"/>
            <w:tcBorders>
              <w:top w:val="single" w:sz="4" w:space="0" w:color="auto"/>
              <w:left w:val="single" w:sz="4" w:space="0" w:color="auto"/>
              <w:bottom w:val="single" w:sz="4" w:space="0" w:color="auto"/>
              <w:right w:val="single" w:sz="4" w:space="0" w:color="auto"/>
            </w:tcBorders>
            <w:shd w:val="clear" w:color="auto" w:fill="auto"/>
            <w:hideMark/>
          </w:tcPr>
          <w:p w14:paraId="162BE50B" w14:textId="16578F6C" w:rsidR="00A03144" w:rsidRPr="009D6881" w:rsidRDefault="00A03144" w:rsidP="00355E56">
            <w:pPr>
              <w:rPr>
                <w:b/>
                <w:i/>
                <w:sz w:val="22"/>
              </w:rPr>
            </w:pPr>
            <w:r w:rsidRPr="009D6881">
              <w:rPr>
                <w:rFonts w:eastAsia="Times New Roman"/>
                <w:b/>
                <w:i/>
                <w:sz w:val="22"/>
              </w:rPr>
              <w:t>Secondary Efficacy Endpoints</w:t>
            </w:r>
          </w:p>
        </w:tc>
      </w:tr>
      <w:tr w:rsidR="00A03144" w:rsidRPr="009D6881" w14:paraId="17C58716" w14:textId="733C2C25" w:rsidTr="00BB05D8">
        <w:tc>
          <w:tcPr>
            <w:tcW w:w="885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CAB6EC6" w14:textId="367CF7D3" w:rsidR="00A03144" w:rsidRPr="009D6881" w:rsidRDefault="00A03144" w:rsidP="00355E56">
            <w:pPr>
              <w:rPr>
                <w:sz w:val="22"/>
              </w:rPr>
            </w:pPr>
            <w:r w:rsidRPr="009D6881">
              <w:rPr>
                <w:rFonts w:eastAsia="Times New Roman"/>
                <w:b/>
                <w:i/>
                <w:sz w:val="22"/>
              </w:rPr>
              <w:t>Investigator-assessed PFS</w:t>
            </w:r>
          </w:p>
        </w:tc>
      </w:tr>
      <w:tr w:rsidR="00A03144" w:rsidRPr="009D6881" w14:paraId="3959A640" w14:textId="12C41648" w:rsidTr="00BB05D8">
        <w:tc>
          <w:tcPr>
            <w:tcW w:w="3708" w:type="dxa"/>
            <w:tcBorders>
              <w:top w:val="single" w:sz="4" w:space="0" w:color="auto"/>
              <w:left w:val="single" w:sz="4" w:space="0" w:color="auto"/>
              <w:bottom w:val="nil"/>
              <w:right w:val="nil"/>
            </w:tcBorders>
            <w:shd w:val="clear" w:color="auto" w:fill="auto"/>
            <w:hideMark/>
          </w:tcPr>
          <w:p w14:paraId="0FDC12B7" w14:textId="45BDDA9E" w:rsidR="00A03144" w:rsidRPr="009D6881" w:rsidRDefault="00A03144" w:rsidP="00355E56">
            <w:pPr>
              <w:rPr>
                <w:b/>
                <w:sz w:val="22"/>
              </w:rPr>
            </w:pPr>
            <w:r w:rsidRPr="009D6881">
              <w:rPr>
                <w:rFonts w:eastAsia="Times New Roman"/>
                <w:b/>
                <w:sz w:val="22"/>
              </w:rPr>
              <w:t>All Comers</w:t>
            </w:r>
          </w:p>
        </w:tc>
        <w:tc>
          <w:tcPr>
            <w:tcW w:w="2574" w:type="dxa"/>
            <w:gridSpan w:val="2"/>
            <w:tcBorders>
              <w:top w:val="single" w:sz="4" w:space="0" w:color="auto"/>
              <w:left w:val="nil"/>
              <w:bottom w:val="nil"/>
              <w:right w:val="nil"/>
            </w:tcBorders>
            <w:shd w:val="clear" w:color="auto" w:fill="auto"/>
            <w:hideMark/>
          </w:tcPr>
          <w:p w14:paraId="08C6A10B" w14:textId="625F9867" w:rsidR="00A03144" w:rsidRPr="009D6881" w:rsidRDefault="00A03144" w:rsidP="00355E56">
            <w:pPr>
              <w:rPr>
                <w:sz w:val="22"/>
              </w:rPr>
            </w:pPr>
            <w:r w:rsidRPr="009D6881">
              <w:rPr>
                <w:rFonts w:eastAsia="Times New Roman"/>
                <w:sz w:val="22"/>
              </w:rPr>
              <w:t>n = 144</w:t>
            </w:r>
          </w:p>
        </w:tc>
        <w:tc>
          <w:tcPr>
            <w:tcW w:w="2574" w:type="dxa"/>
            <w:tcBorders>
              <w:top w:val="single" w:sz="4" w:space="0" w:color="auto"/>
              <w:left w:val="nil"/>
              <w:bottom w:val="nil"/>
              <w:right w:val="single" w:sz="4" w:space="0" w:color="auto"/>
            </w:tcBorders>
            <w:shd w:val="clear" w:color="auto" w:fill="auto"/>
            <w:hideMark/>
          </w:tcPr>
          <w:p w14:paraId="471CDD11" w14:textId="610EE069" w:rsidR="00A03144" w:rsidRPr="009D6881" w:rsidRDefault="00A03144" w:rsidP="00355E56">
            <w:pPr>
              <w:rPr>
                <w:sz w:val="22"/>
              </w:rPr>
            </w:pPr>
            <w:r w:rsidRPr="009D6881">
              <w:rPr>
                <w:rFonts w:eastAsia="Times New Roman"/>
                <w:sz w:val="22"/>
              </w:rPr>
              <w:t>n = 143</w:t>
            </w:r>
          </w:p>
        </w:tc>
      </w:tr>
      <w:tr w:rsidR="00A03144" w:rsidRPr="009D6881" w14:paraId="42F45ECB" w14:textId="165040F0" w:rsidTr="00BB05D8">
        <w:tc>
          <w:tcPr>
            <w:tcW w:w="3708" w:type="dxa"/>
            <w:tcBorders>
              <w:top w:val="nil"/>
              <w:left w:val="single" w:sz="4" w:space="0" w:color="auto"/>
              <w:bottom w:val="nil"/>
              <w:right w:val="nil"/>
            </w:tcBorders>
            <w:shd w:val="clear" w:color="auto" w:fill="auto"/>
            <w:hideMark/>
          </w:tcPr>
          <w:p w14:paraId="3F4BAD42" w14:textId="59DC029C" w:rsidR="00A03144" w:rsidRPr="009D6881" w:rsidRDefault="00A03144" w:rsidP="00355E56">
            <w:pPr>
              <w:rPr>
                <w:sz w:val="22"/>
              </w:rPr>
            </w:pPr>
            <w:r w:rsidRPr="009D6881">
              <w:rPr>
                <w:rFonts w:eastAsia="Times New Roman"/>
                <w:sz w:val="22"/>
              </w:rPr>
              <w:t xml:space="preserve">   No. of events (%)</w:t>
            </w:r>
          </w:p>
        </w:tc>
        <w:tc>
          <w:tcPr>
            <w:tcW w:w="2574" w:type="dxa"/>
            <w:gridSpan w:val="2"/>
            <w:tcBorders>
              <w:top w:val="nil"/>
              <w:left w:val="nil"/>
              <w:bottom w:val="nil"/>
              <w:right w:val="nil"/>
            </w:tcBorders>
            <w:shd w:val="clear" w:color="auto" w:fill="auto"/>
            <w:vAlign w:val="center"/>
            <w:hideMark/>
          </w:tcPr>
          <w:p w14:paraId="554285CE" w14:textId="50931D78" w:rsidR="00A03144" w:rsidRPr="009D6881" w:rsidRDefault="00A03144" w:rsidP="00355E56">
            <w:pPr>
              <w:rPr>
                <w:sz w:val="22"/>
              </w:rPr>
            </w:pPr>
            <w:r w:rsidRPr="009D6881">
              <w:rPr>
                <w:rFonts w:eastAsia="Times New Roman"/>
                <w:sz w:val="22"/>
              </w:rPr>
              <w:t>124 (86.1%)</w:t>
            </w:r>
          </w:p>
        </w:tc>
        <w:tc>
          <w:tcPr>
            <w:tcW w:w="2574" w:type="dxa"/>
            <w:tcBorders>
              <w:top w:val="nil"/>
              <w:left w:val="nil"/>
              <w:bottom w:val="nil"/>
              <w:right w:val="single" w:sz="4" w:space="0" w:color="auto"/>
            </w:tcBorders>
            <w:shd w:val="clear" w:color="auto" w:fill="auto"/>
            <w:vAlign w:val="center"/>
            <w:hideMark/>
          </w:tcPr>
          <w:p w14:paraId="74141EF4" w14:textId="0CAE506E" w:rsidR="00A03144" w:rsidRPr="009D6881" w:rsidRDefault="00A03144" w:rsidP="00355E56">
            <w:pPr>
              <w:rPr>
                <w:sz w:val="22"/>
              </w:rPr>
            </w:pPr>
            <w:r w:rsidRPr="009D6881">
              <w:rPr>
                <w:rFonts w:eastAsia="Times New Roman"/>
                <w:sz w:val="22"/>
              </w:rPr>
              <w:t>121 (84.6%)</w:t>
            </w:r>
          </w:p>
        </w:tc>
      </w:tr>
      <w:tr w:rsidR="00A03144" w:rsidRPr="009D6881" w14:paraId="5D0C2F98" w14:textId="7752740D" w:rsidTr="00BB05D8">
        <w:tc>
          <w:tcPr>
            <w:tcW w:w="3708" w:type="dxa"/>
            <w:tcBorders>
              <w:top w:val="nil"/>
              <w:left w:val="single" w:sz="4" w:space="0" w:color="auto"/>
              <w:bottom w:val="nil"/>
              <w:right w:val="nil"/>
            </w:tcBorders>
            <w:shd w:val="clear" w:color="auto" w:fill="auto"/>
            <w:hideMark/>
          </w:tcPr>
          <w:p w14:paraId="33E557A8" w14:textId="3BBC51A0" w:rsidR="00A03144" w:rsidRPr="009D6881" w:rsidRDefault="00A03144" w:rsidP="00355E56">
            <w:pPr>
              <w:rPr>
                <w:sz w:val="22"/>
              </w:rPr>
            </w:pPr>
            <w:r w:rsidRPr="009D6881">
              <w:rPr>
                <w:rFonts w:eastAsia="Times New Roman"/>
                <w:sz w:val="22"/>
              </w:rPr>
              <w:t xml:space="preserve">   Median duration of PFS (months)</w:t>
            </w:r>
          </w:p>
        </w:tc>
        <w:tc>
          <w:tcPr>
            <w:tcW w:w="2574" w:type="dxa"/>
            <w:gridSpan w:val="2"/>
            <w:tcBorders>
              <w:top w:val="nil"/>
              <w:left w:val="nil"/>
              <w:bottom w:val="nil"/>
              <w:right w:val="nil"/>
            </w:tcBorders>
            <w:shd w:val="clear" w:color="auto" w:fill="auto"/>
            <w:vAlign w:val="center"/>
            <w:hideMark/>
          </w:tcPr>
          <w:p w14:paraId="00608D92" w14:textId="4BEEFC84" w:rsidR="00A03144" w:rsidRPr="009D6881" w:rsidRDefault="00A03144" w:rsidP="00355E56">
            <w:pPr>
              <w:rPr>
                <w:sz w:val="22"/>
              </w:rPr>
            </w:pPr>
            <w:r w:rsidRPr="009D6881">
              <w:rPr>
                <w:rFonts w:eastAsia="Times New Roman"/>
                <w:sz w:val="22"/>
              </w:rPr>
              <w:t>2.7</w:t>
            </w:r>
          </w:p>
        </w:tc>
        <w:tc>
          <w:tcPr>
            <w:tcW w:w="2574" w:type="dxa"/>
            <w:tcBorders>
              <w:top w:val="nil"/>
              <w:left w:val="nil"/>
              <w:bottom w:val="nil"/>
              <w:right w:val="single" w:sz="4" w:space="0" w:color="auto"/>
            </w:tcBorders>
            <w:shd w:val="clear" w:color="auto" w:fill="auto"/>
            <w:vAlign w:val="center"/>
            <w:hideMark/>
          </w:tcPr>
          <w:p w14:paraId="1323BCBC" w14:textId="60033D45" w:rsidR="00A03144" w:rsidRPr="009D6881" w:rsidRDefault="00A03144" w:rsidP="00355E56">
            <w:pPr>
              <w:rPr>
                <w:sz w:val="22"/>
              </w:rPr>
            </w:pPr>
            <w:r w:rsidRPr="009D6881">
              <w:rPr>
                <w:rFonts w:eastAsia="Times New Roman"/>
                <w:sz w:val="22"/>
              </w:rPr>
              <w:t>3.0</w:t>
            </w:r>
          </w:p>
        </w:tc>
      </w:tr>
      <w:tr w:rsidR="00A03144" w:rsidRPr="009D6881" w14:paraId="2EA64A85" w14:textId="347B9066" w:rsidTr="00BB05D8">
        <w:tc>
          <w:tcPr>
            <w:tcW w:w="3708" w:type="dxa"/>
            <w:tcBorders>
              <w:top w:val="nil"/>
              <w:left w:val="single" w:sz="4" w:space="0" w:color="auto"/>
              <w:bottom w:val="nil"/>
              <w:right w:val="nil"/>
            </w:tcBorders>
            <w:shd w:val="clear" w:color="auto" w:fill="auto"/>
            <w:hideMark/>
          </w:tcPr>
          <w:p w14:paraId="378AC460" w14:textId="43F3C7F2" w:rsidR="00A03144" w:rsidRPr="009D6881" w:rsidRDefault="00A03144" w:rsidP="00355E56">
            <w:pPr>
              <w:rPr>
                <w:sz w:val="22"/>
              </w:rPr>
            </w:pPr>
            <w:r w:rsidRPr="009D6881">
              <w:rPr>
                <w:rFonts w:eastAsia="Times New Roman"/>
                <w:sz w:val="22"/>
              </w:rPr>
              <w:t xml:space="preserve">   95% CI</w:t>
            </w:r>
          </w:p>
        </w:tc>
        <w:tc>
          <w:tcPr>
            <w:tcW w:w="2574" w:type="dxa"/>
            <w:gridSpan w:val="2"/>
            <w:tcBorders>
              <w:top w:val="nil"/>
              <w:left w:val="nil"/>
              <w:bottom w:val="nil"/>
              <w:right w:val="nil"/>
            </w:tcBorders>
            <w:shd w:val="clear" w:color="auto" w:fill="auto"/>
            <w:vAlign w:val="center"/>
            <w:hideMark/>
          </w:tcPr>
          <w:p w14:paraId="619C60FA" w14:textId="154812C7" w:rsidR="00A03144" w:rsidRPr="009D6881" w:rsidRDefault="00A03144" w:rsidP="00355E56">
            <w:pPr>
              <w:rPr>
                <w:sz w:val="22"/>
              </w:rPr>
            </w:pPr>
            <w:r w:rsidRPr="009D6881">
              <w:rPr>
                <w:rFonts w:eastAsia="Times New Roman"/>
                <w:sz w:val="22"/>
              </w:rPr>
              <w:t>(2.0, 4.1)</w:t>
            </w:r>
          </w:p>
        </w:tc>
        <w:tc>
          <w:tcPr>
            <w:tcW w:w="2574" w:type="dxa"/>
            <w:tcBorders>
              <w:top w:val="nil"/>
              <w:left w:val="nil"/>
              <w:bottom w:val="nil"/>
              <w:right w:val="single" w:sz="4" w:space="0" w:color="auto"/>
            </w:tcBorders>
            <w:shd w:val="clear" w:color="auto" w:fill="auto"/>
            <w:vAlign w:val="center"/>
            <w:hideMark/>
          </w:tcPr>
          <w:p w14:paraId="47414950" w14:textId="235FFD0D" w:rsidR="00A03144" w:rsidRPr="009D6881" w:rsidRDefault="00A03144" w:rsidP="00355E56">
            <w:pPr>
              <w:rPr>
                <w:sz w:val="22"/>
              </w:rPr>
            </w:pPr>
            <w:r w:rsidRPr="009D6881">
              <w:rPr>
                <w:rFonts w:eastAsia="Times New Roman"/>
                <w:sz w:val="22"/>
              </w:rPr>
              <w:t>(2.8, 4.1)</w:t>
            </w:r>
          </w:p>
        </w:tc>
      </w:tr>
      <w:tr w:rsidR="00A03144" w:rsidRPr="009D6881" w14:paraId="4D75D012" w14:textId="7EF729B8" w:rsidTr="00BB05D8">
        <w:tc>
          <w:tcPr>
            <w:tcW w:w="3708" w:type="dxa"/>
            <w:tcBorders>
              <w:top w:val="nil"/>
              <w:left w:val="single" w:sz="4" w:space="0" w:color="auto"/>
              <w:bottom w:val="single" w:sz="4" w:space="0" w:color="auto"/>
              <w:right w:val="nil"/>
            </w:tcBorders>
            <w:shd w:val="clear" w:color="auto" w:fill="auto"/>
            <w:hideMark/>
          </w:tcPr>
          <w:p w14:paraId="3C859C98" w14:textId="7E04412A" w:rsidR="00A03144" w:rsidRPr="009D6881" w:rsidRDefault="00A03144" w:rsidP="00355E56">
            <w:pPr>
              <w:rPr>
                <w:sz w:val="22"/>
              </w:rPr>
            </w:pPr>
            <w:r w:rsidRPr="009D6881">
              <w:rPr>
                <w:rFonts w:eastAsia="Times New Roman"/>
                <w:sz w:val="22"/>
              </w:rPr>
              <w:t xml:space="preserve">   Stratified hazard ratio (95% CI)</w:t>
            </w:r>
          </w:p>
        </w:tc>
        <w:tc>
          <w:tcPr>
            <w:tcW w:w="5148" w:type="dxa"/>
            <w:gridSpan w:val="3"/>
            <w:tcBorders>
              <w:top w:val="nil"/>
              <w:left w:val="nil"/>
              <w:bottom w:val="single" w:sz="4" w:space="0" w:color="auto"/>
              <w:right w:val="single" w:sz="4" w:space="0" w:color="auto"/>
            </w:tcBorders>
            <w:shd w:val="clear" w:color="auto" w:fill="auto"/>
            <w:vAlign w:val="center"/>
            <w:hideMark/>
          </w:tcPr>
          <w:p w14:paraId="6CD5499C" w14:textId="61BF323D" w:rsidR="00A03144" w:rsidRPr="009D6881" w:rsidRDefault="00A03144" w:rsidP="00355E56">
            <w:pPr>
              <w:rPr>
                <w:sz w:val="22"/>
              </w:rPr>
            </w:pPr>
            <w:r w:rsidRPr="009D6881">
              <w:rPr>
                <w:rFonts w:eastAsia="Times New Roman"/>
                <w:sz w:val="22"/>
              </w:rPr>
              <w:t>0.94 (0.72, 1.23)</w:t>
            </w:r>
          </w:p>
        </w:tc>
      </w:tr>
      <w:tr w:rsidR="00A03144" w:rsidRPr="009D6881" w14:paraId="3A320B91" w14:textId="2C1F1836" w:rsidTr="00BB05D8">
        <w:tc>
          <w:tcPr>
            <w:tcW w:w="8856" w:type="dxa"/>
            <w:gridSpan w:val="4"/>
            <w:tcBorders>
              <w:top w:val="single" w:sz="4" w:space="0" w:color="auto"/>
              <w:left w:val="single" w:sz="4" w:space="0" w:color="auto"/>
              <w:bottom w:val="single" w:sz="4" w:space="0" w:color="auto"/>
              <w:right w:val="single" w:sz="4" w:space="0" w:color="auto"/>
            </w:tcBorders>
            <w:shd w:val="clear" w:color="auto" w:fill="auto"/>
            <w:hideMark/>
          </w:tcPr>
          <w:p w14:paraId="3BBC19AE" w14:textId="3EBE786F" w:rsidR="00A03144" w:rsidRPr="009D6881" w:rsidRDefault="00A03144" w:rsidP="00355E56">
            <w:pPr>
              <w:rPr>
                <w:sz w:val="22"/>
              </w:rPr>
            </w:pPr>
            <w:r w:rsidRPr="009D6881">
              <w:rPr>
                <w:rFonts w:eastAsia="Times New Roman"/>
                <w:b/>
                <w:i/>
                <w:sz w:val="22"/>
              </w:rPr>
              <w:t>Investigator-assessed ORR (RECIST v1.1)</w:t>
            </w:r>
          </w:p>
        </w:tc>
      </w:tr>
      <w:tr w:rsidR="00A03144" w:rsidRPr="009D6881" w14:paraId="0BE60E41" w14:textId="22CC5BEC" w:rsidTr="00BB05D8">
        <w:tc>
          <w:tcPr>
            <w:tcW w:w="3708" w:type="dxa"/>
            <w:tcBorders>
              <w:top w:val="single" w:sz="4" w:space="0" w:color="auto"/>
              <w:left w:val="single" w:sz="4" w:space="0" w:color="auto"/>
              <w:bottom w:val="nil"/>
              <w:right w:val="nil"/>
            </w:tcBorders>
            <w:shd w:val="clear" w:color="auto" w:fill="auto"/>
            <w:hideMark/>
          </w:tcPr>
          <w:p w14:paraId="2CF28DF9" w14:textId="1F78C048" w:rsidR="00A03144" w:rsidRPr="009D6881" w:rsidRDefault="00A03144" w:rsidP="00355E56">
            <w:pPr>
              <w:rPr>
                <w:b/>
                <w:sz w:val="22"/>
              </w:rPr>
            </w:pPr>
            <w:r w:rsidRPr="009D6881">
              <w:rPr>
                <w:rFonts w:eastAsia="Times New Roman"/>
                <w:b/>
                <w:sz w:val="22"/>
              </w:rPr>
              <w:t>All Comers</w:t>
            </w:r>
          </w:p>
        </w:tc>
        <w:tc>
          <w:tcPr>
            <w:tcW w:w="2520" w:type="dxa"/>
            <w:tcBorders>
              <w:top w:val="single" w:sz="4" w:space="0" w:color="auto"/>
              <w:left w:val="nil"/>
              <w:bottom w:val="nil"/>
              <w:right w:val="nil"/>
            </w:tcBorders>
            <w:shd w:val="clear" w:color="auto" w:fill="auto"/>
            <w:hideMark/>
          </w:tcPr>
          <w:p w14:paraId="703D4A31" w14:textId="2D0E94D6" w:rsidR="00A03144" w:rsidRPr="009D6881" w:rsidRDefault="00A03144" w:rsidP="00355E56">
            <w:pPr>
              <w:rPr>
                <w:sz w:val="22"/>
              </w:rPr>
            </w:pPr>
            <w:r w:rsidRPr="009D6881">
              <w:rPr>
                <w:rFonts w:eastAsia="Times New Roman"/>
                <w:sz w:val="22"/>
              </w:rPr>
              <w:t>n = 144</w:t>
            </w:r>
          </w:p>
        </w:tc>
        <w:tc>
          <w:tcPr>
            <w:tcW w:w="2628" w:type="dxa"/>
            <w:gridSpan w:val="2"/>
            <w:tcBorders>
              <w:top w:val="single" w:sz="4" w:space="0" w:color="auto"/>
              <w:left w:val="nil"/>
              <w:bottom w:val="nil"/>
              <w:right w:val="single" w:sz="4" w:space="0" w:color="auto"/>
            </w:tcBorders>
            <w:shd w:val="clear" w:color="auto" w:fill="auto"/>
            <w:hideMark/>
          </w:tcPr>
          <w:p w14:paraId="7A54379A" w14:textId="340444B3" w:rsidR="00A03144" w:rsidRPr="009D6881" w:rsidRDefault="00A03144" w:rsidP="00355E56">
            <w:pPr>
              <w:rPr>
                <w:sz w:val="22"/>
              </w:rPr>
            </w:pPr>
            <w:r w:rsidRPr="009D6881">
              <w:rPr>
                <w:rFonts w:eastAsia="Times New Roman"/>
                <w:sz w:val="22"/>
              </w:rPr>
              <w:t>n = 143</w:t>
            </w:r>
          </w:p>
        </w:tc>
      </w:tr>
      <w:tr w:rsidR="00A03144" w:rsidRPr="009D6881" w14:paraId="22C12E80" w14:textId="698E0CB1" w:rsidTr="00BB05D8">
        <w:tc>
          <w:tcPr>
            <w:tcW w:w="3708" w:type="dxa"/>
            <w:tcBorders>
              <w:top w:val="nil"/>
              <w:left w:val="single" w:sz="4" w:space="0" w:color="auto"/>
              <w:bottom w:val="nil"/>
              <w:right w:val="nil"/>
            </w:tcBorders>
            <w:shd w:val="clear" w:color="auto" w:fill="auto"/>
            <w:hideMark/>
          </w:tcPr>
          <w:p w14:paraId="13BD781B" w14:textId="394B3465" w:rsidR="00A03144" w:rsidRPr="009D6881" w:rsidRDefault="00A03144" w:rsidP="00355E56">
            <w:pPr>
              <w:rPr>
                <w:sz w:val="22"/>
              </w:rPr>
            </w:pPr>
            <w:r w:rsidRPr="009D6881">
              <w:rPr>
                <w:rFonts w:eastAsia="Times New Roman"/>
                <w:sz w:val="22"/>
              </w:rPr>
              <w:t xml:space="preserve">   No. of responders (%)</w:t>
            </w:r>
          </w:p>
        </w:tc>
        <w:tc>
          <w:tcPr>
            <w:tcW w:w="2520" w:type="dxa"/>
            <w:tcBorders>
              <w:top w:val="nil"/>
              <w:left w:val="nil"/>
              <w:bottom w:val="nil"/>
              <w:right w:val="nil"/>
            </w:tcBorders>
            <w:shd w:val="clear" w:color="auto" w:fill="auto"/>
            <w:vAlign w:val="center"/>
            <w:hideMark/>
          </w:tcPr>
          <w:p w14:paraId="66B568E4" w14:textId="69712F96" w:rsidR="00A03144" w:rsidRPr="009D6881" w:rsidRDefault="00A03144" w:rsidP="00355E56">
            <w:pPr>
              <w:rPr>
                <w:sz w:val="22"/>
              </w:rPr>
            </w:pPr>
            <w:r w:rsidRPr="009D6881">
              <w:rPr>
                <w:rFonts w:eastAsia="Times New Roman"/>
                <w:sz w:val="22"/>
              </w:rPr>
              <w:t>21 (14.6%)</w:t>
            </w:r>
          </w:p>
        </w:tc>
        <w:tc>
          <w:tcPr>
            <w:tcW w:w="2628" w:type="dxa"/>
            <w:gridSpan w:val="2"/>
            <w:tcBorders>
              <w:top w:val="nil"/>
              <w:left w:val="nil"/>
              <w:bottom w:val="nil"/>
              <w:right w:val="single" w:sz="4" w:space="0" w:color="auto"/>
            </w:tcBorders>
            <w:shd w:val="clear" w:color="auto" w:fill="auto"/>
            <w:vAlign w:val="center"/>
            <w:hideMark/>
          </w:tcPr>
          <w:p w14:paraId="5885DECC" w14:textId="207953BC" w:rsidR="00A03144" w:rsidRPr="009D6881" w:rsidRDefault="00A03144" w:rsidP="00355E56">
            <w:pPr>
              <w:rPr>
                <w:sz w:val="22"/>
              </w:rPr>
            </w:pPr>
            <w:r w:rsidRPr="009D6881">
              <w:rPr>
                <w:rFonts w:eastAsia="Times New Roman"/>
                <w:sz w:val="22"/>
              </w:rPr>
              <w:t>21 (14.7%)</w:t>
            </w:r>
          </w:p>
        </w:tc>
      </w:tr>
      <w:tr w:rsidR="00A03144" w:rsidRPr="009D6881" w14:paraId="0B6D42C0" w14:textId="19843293" w:rsidTr="00BB05D8">
        <w:tc>
          <w:tcPr>
            <w:tcW w:w="3708" w:type="dxa"/>
            <w:tcBorders>
              <w:top w:val="nil"/>
              <w:left w:val="single" w:sz="4" w:space="0" w:color="auto"/>
              <w:bottom w:val="single" w:sz="4" w:space="0" w:color="auto"/>
              <w:right w:val="nil"/>
            </w:tcBorders>
            <w:shd w:val="clear" w:color="auto" w:fill="auto"/>
            <w:hideMark/>
          </w:tcPr>
          <w:p w14:paraId="682197AD" w14:textId="04CCB9B3" w:rsidR="00A03144" w:rsidRPr="009D6881" w:rsidRDefault="00A03144" w:rsidP="00355E56">
            <w:pPr>
              <w:rPr>
                <w:sz w:val="22"/>
              </w:rPr>
            </w:pPr>
            <w:r w:rsidRPr="009D6881">
              <w:rPr>
                <w:rFonts w:eastAsia="Times New Roman"/>
                <w:sz w:val="22"/>
              </w:rPr>
              <w:t xml:space="preserve">   95% CI</w:t>
            </w:r>
          </w:p>
        </w:tc>
        <w:tc>
          <w:tcPr>
            <w:tcW w:w="2520" w:type="dxa"/>
            <w:tcBorders>
              <w:top w:val="nil"/>
              <w:left w:val="nil"/>
              <w:bottom w:val="single" w:sz="4" w:space="0" w:color="auto"/>
              <w:right w:val="nil"/>
            </w:tcBorders>
            <w:shd w:val="clear" w:color="auto" w:fill="auto"/>
            <w:vAlign w:val="center"/>
            <w:hideMark/>
          </w:tcPr>
          <w:p w14:paraId="6BC4A402" w14:textId="4963F67F" w:rsidR="00A03144" w:rsidRPr="009D6881" w:rsidRDefault="00A03144" w:rsidP="00355E56">
            <w:pPr>
              <w:rPr>
                <w:sz w:val="22"/>
              </w:rPr>
            </w:pPr>
            <w:r w:rsidRPr="009D6881">
              <w:rPr>
                <w:rFonts w:eastAsia="Times New Roman"/>
                <w:sz w:val="22"/>
              </w:rPr>
              <w:t>(9.3, 21.4)</w:t>
            </w:r>
          </w:p>
        </w:tc>
        <w:tc>
          <w:tcPr>
            <w:tcW w:w="2628" w:type="dxa"/>
            <w:gridSpan w:val="2"/>
            <w:tcBorders>
              <w:top w:val="nil"/>
              <w:left w:val="nil"/>
              <w:bottom w:val="single" w:sz="4" w:space="0" w:color="auto"/>
              <w:right w:val="single" w:sz="4" w:space="0" w:color="auto"/>
            </w:tcBorders>
            <w:shd w:val="clear" w:color="auto" w:fill="auto"/>
            <w:vAlign w:val="center"/>
            <w:hideMark/>
          </w:tcPr>
          <w:p w14:paraId="71D4CA99" w14:textId="2877DDC9" w:rsidR="00A03144" w:rsidRPr="009D6881" w:rsidRDefault="00A03144" w:rsidP="00355E56">
            <w:pPr>
              <w:rPr>
                <w:sz w:val="22"/>
              </w:rPr>
            </w:pPr>
            <w:r w:rsidRPr="009D6881">
              <w:rPr>
                <w:rFonts w:eastAsia="Times New Roman"/>
                <w:sz w:val="22"/>
              </w:rPr>
              <w:t>(9.3, 21.6)</w:t>
            </w:r>
          </w:p>
        </w:tc>
      </w:tr>
      <w:tr w:rsidR="00A03144" w:rsidRPr="009D6881" w14:paraId="54B7B922" w14:textId="2D24D7E7" w:rsidTr="00BB05D8">
        <w:tc>
          <w:tcPr>
            <w:tcW w:w="6228" w:type="dxa"/>
            <w:gridSpan w:val="2"/>
            <w:tcBorders>
              <w:top w:val="single" w:sz="4" w:space="0" w:color="auto"/>
              <w:left w:val="single" w:sz="4" w:space="0" w:color="auto"/>
              <w:bottom w:val="single" w:sz="4" w:space="0" w:color="auto"/>
              <w:right w:val="nil"/>
            </w:tcBorders>
            <w:shd w:val="clear" w:color="auto" w:fill="auto"/>
            <w:hideMark/>
          </w:tcPr>
          <w:p w14:paraId="79A67A44" w14:textId="12534CEB" w:rsidR="00A03144" w:rsidRPr="009D6881" w:rsidRDefault="00A03144" w:rsidP="00355E56">
            <w:pPr>
              <w:rPr>
                <w:sz w:val="22"/>
              </w:rPr>
            </w:pPr>
            <w:r w:rsidRPr="009D6881">
              <w:rPr>
                <w:rFonts w:eastAsia="Times New Roman"/>
                <w:b/>
                <w:i/>
                <w:sz w:val="22"/>
              </w:rPr>
              <w:t>Investigator-assessed DOR (RECIST v1.1)</w:t>
            </w:r>
          </w:p>
        </w:tc>
        <w:tc>
          <w:tcPr>
            <w:tcW w:w="2628" w:type="dxa"/>
            <w:gridSpan w:val="2"/>
            <w:tcBorders>
              <w:top w:val="single" w:sz="4" w:space="0" w:color="auto"/>
              <w:left w:val="nil"/>
              <w:bottom w:val="single" w:sz="4" w:space="0" w:color="auto"/>
              <w:right w:val="single" w:sz="4" w:space="0" w:color="auto"/>
            </w:tcBorders>
            <w:shd w:val="clear" w:color="auto" w:fill="auto"/>
          </w:tcPr>
          <w:p w14:paraId="02AD7D97" w14:textId="20BA7B9C" w:rsidR="00A03144" w:rsidRPr="009D6881" w:rsidRDefault="00A03144" w:rsidP="00355E56">
            <w:pPr>
              <w:rPr>
                <w:sz w:val="22"/>
              </w:rPr>
            </w:pPr>
          </w:p>
        </w:tc>
      </w:tr>
      <w:tr w:rsidR="00A03144" w:rsidRPr="009D6881" w14:paraId="4FE4F3DD" w14:textId="4725E518" w:rsidTr="00BB05D8">
        <w:tc>
          <w:tcPr>
            <w:tcW w:w="3708" w:type="dxa"/>
            <w:tcBorders>
              <w:top w:val="single" w:sz="4" w:space="0" w:color="auto"/>
              <w:left w:val="single" w:sz="4" w:space="0" w:color="auto"/>
              <w:bottom w:val="single" w:sz="4" w:space="0" w:color="auto"/>
              <w:right w:val="nil"/>
            </w:tcBorders>
            <w:shd w:val="clear" w:color="auto" w:fill="auto"/>
            <w:hideMark/>
          </w:tcPr>
          <w:p w14:paraId="27463ECC" w14:textId="154F676D" w:rsidR="00A03144" w:rsidRPr="009D6881" w:rsidRDefault="00A03144" w:rsidP="00355E56">
            <w:pPr>
              <w:rPr>
                <w:b/>
                <w:sz w:val="22"/>
              </w:rPr>
            </w:pPr>
            <w:r w:rsidRPr="009D6881">
              <w:rPr>
                <w:rFonts w:eastAsia="Times New Roman"/>
                <w:b/>
                <w:sz w:val="22"/>
              </w:rPr>
              <w:t>All Comers</w:t>
            </w:r>
          </w:p>
        </w:tc>
        <w:tc>
          <w:tcPr>
            <w:tcW w:w="2520" w:type="dxa"/>
            <w:tcBorders>
              <w:top w:val="single" w:sz="4" w:space="0" w:color="auto"/>
              <w:left w:val="nil"/>
              <w:bottom w:val="single" w:sz="4" w:space="0" w:color="auto"/>
              <w:right w:val="nil"/>
            </w:tcBorders>
            <w:shd w:val="clear" w:color="auto" w:fill="auto"/>
            <w:hideMark/>
          </w:tcPr>
          <w:p w14:paraId="4CE3E2BD" w14:textId="79A4F3EE" w:rsidR="00A03144" w:rsidRPr="009D6881" w:rsidRDefault="00A03144" w:rsidP="00355E56">
            <w:pPr>
              <w:rPr>
                <w:sz w:val="22"/>
              </w:rPr>
            </w:pPr>
            <w:r w:rsidRPr="009D6881">
              <w:rPr>
                <w:rFonts w:eastAsia="Times New Roman"/>
                <w:sz w:val="22"/>
              </w:rPr>
              <w:t>n = 21</w:t>
            </w:r>
          </w:p>
        </w:tc>
        <w:tc>
          <w:tcPr>
            <w:tcW w:w="2628" w:type="dxa"/>
            <w:gridSpan w:val="2"/>
            <w:tcBorders>
              <w:top w:val="single" w:sz="4" w:space="0" w:color="auto"/>
              <w:left w:val="nil"/>
              <w:bottom w:val="single" w:sz="4" w:space="0" w:color="auto"/>
              <w:right w:val="single" w:sz="4" w:space="0" w:color="auto"/>
            </w:tcBorders>
            <w:shd w:val="clear" w:color="auto" w:fill="auto"/>
            <w:hideMark/>
          </w:tcPr>
          <w:p w14:paraId="5D7E4333" w14:textId="4B2AE1D1" w:rsidR="00A03144" w:rsidRPr="009D6881" w:rsidRDefault="00A03144" w:rsidP="00355E56">
            <w:pPr>
              <w:rPr>
                <w:sz w:val="22"/>
              </w:rPr>
            </w:pPr>
            <w:r w:rsidRPr="009D6881">
              <w:rPr>
                <w:rFonts w:eastAsia="Times New Roman"/>
                <w:sz w:val="22"/>
              </w:rPr>
              <w:t>n = 21</w:t>
            </w:r>
          </w:p>
        </w:tc>
      </w:tr>
      <w:tr w:rsidR="00A03144" w:rsidRPr="009D6881" w14:paraId="2075B9A0" w14:textId="4AE0A840" w:rsidTr="00BB05D8">
        <w:tc>
          <w:tcPr>
            <w:tcW w:w="3708" w:type="dxa"/>
            <w:tcBorders>
              <w:top w:val="single" w:sz="4" w:space="0" w:color="auto"/>
              <w:left w:val="single" w:sz="4" w:space="0" w:color="auto"/>
              <w:bottom w:val="nil"/>
              <w:right w:val="nil"/>
            </w:tcBorders>
            <w:shd w:val="clear" w:color="auto" w:fill="auto"/>
            <w:hideMark/>
          </w:tcPr>
          <w:p w14:paraId="1D6C3430" w14:textId="1232BE20" w:rsidR="00A03144" w:rsidRPr="009D6881" w:rsidRDefault="00A03144" w:rsidP="00355E56">
            <w:pPr>
              <w:rPr>
                <w:sz w:val="22"/>
              </w:rPr>
            </w:pPr>
            <w:r w:rsidRPr="009D6881">
              <w:rPr>
                <w:rFonts w:eastAsia="Times New Roman"/>
                <w:sz w:val="22"/>
              </w:rPr>
              <w:t xml:space="preserve">   Median in months</w:t>
            </w:r>
          </w:p>
        </w:tc>
        <w:tc>
          <w:tcPr>
            <w:tcW w:w="2520" w:type="dxa"/>
            <w:tcBorders>
              <w:top w:val="single" w:sz="4" w:space="0" w:color="auto"/>
              <w:left w:val="nil"/>
              <w:bottom w:val="nil"/>
              <w:right w:val="nil"/>
            </w:tcBorders>
            <w:shd w:val="clear" w:color="auto" w:fill="auto"/>
            <w:hideMark/>
          </w:tcPr>
          <w:p w14:paraId="5B1AD32D" w14:textId="0CA4F9A3" w:rsidR="00A03144" w:rsidRPr="009D6881" w:rsidRDefault="00A03144" w:rsidP="00355E56">
            <w:pPr>
              <w:rPr>
                <w:sz w:val="22"/>
              </w:rPr>
            </w:pPr>
            <w:r w:rsidRPr="009D6881">
              <w:rPr>
                <w:rFonts w:eastAsia="Times New Roman"/>
                <w:sz w:val="22"/>
              </w:rPr>
              <w:t>14.3</w:t>
            </w:r>
          </w:p>
        </w:tc>
        <w:tc>
          <w:tcPr>
            <w:tcW w:w="2628" w:type="dxa"/>
            <w:gridSpan w:val="2"/>
            <w:tcBorders>
              <w:top w:val="single" w:sz="4" w:space="0" w:color="auto"/>
              <w:left w:val="nil"/>
              <w:bottom w:val="nil"/>
              <w:right w:val="single" w:sz="4" w:space="0" w:color="auto"/>
            </w:tcBorders>
            <w:shd w:val="clear" w:color="auto" w:fill="auto"/>
            <w:hideMark/>
          </w:tcPr>
          <w:p w14:paraId="2F2458F7" w14:textId="7A813BD1" w:rsidR="00A03144" w:rsidRPr="009D6881" w:rsidRDefault="00A03144" w:rsidP="00355E56">
            <w:pPr>
              <w:rPr>
                <w:sz w:val="22"/>
              </w:rPr>
            </w:pPr>
            <w:r w:rsidRPr="009D6881">
              <w:rPr>
                <w:rFonts w:eastAsia="Times New Roman"/>
                <w:sz w:val="22"/>
              </w:rPr>
              <w:t>7.2</w:t>
            </w:r>
          </w:p>
        </w:tc>
      </w:tr>
      <w:tr w:rsidR="00A03144" w:rsidRPr="009D6881" w14:paraId="0C5B9C43" w14:textId="5639B1CC" w:rsidTr="00BB05D8">
        <w:tc>
          <w:tcPr>
            <w:tcW w:w="3708" w:type="dxa"/>
            <w:tcBorders>
              <w:top w:val="nil"/>
              <w:left w:val="single" w:sz="4" w:space="0" w:color="auto"/>
              <w:bottom w:val="single" w:sz="4" w:space="0" w:color="auto"/>
              <w:right w:val="nil"/>
            </w:tcBorders>
            <w:shd w:val="clear" w:color="auto" w:fill="auto"/>
            <w:hideMark/>
          </w:tcPr>
          <w:p w14:paraId="5F5EE3F3" w14:textId="483218F4" w:rsidR="00A03144" w:rsidRPr="009D6881" w:rsidRDefault="00A03144" w:rsidP="00355E56">
            <w:pPr>
              <w:rPr>
                <w:sz w:val="22"/>
              </w:rPr>
            </w:pPr>
            <w:r w:rsidRPr="009D6881">
              <w:rPr>
                <w:rFonts w:eastAsia="Times New Roman"/>
                <w:sz w:val="22"/>
              </w:rPr>
              <w:t xml:space="preserve">   95% CI</w:t>
            </w:r>
          </w:p>
        </w:tc>
        <w:tc>
          <w:tcPr>
            <w:tcW w:w="2520" w:type="dxa"/>
            <w:tcBorders>
              <w:top w:val="nil"/>
              <w:left w:val="nil"/>
              <w:bottom w:val="single" w:sz="4" w:space="0" w:color="auto"/>
              <w:right w:val="nil"/>
            </w:tcBorders>
            <w:shd w:val="clear" w:color="auto" w:fill="auto"/>
            <w:hideMark/>
          </w:tcPr>
          <w:p w14:paraId="565BBD4A" w14:textId="66DB4355" w:rsidR="00A03144" w:rsidRPr="009D6881" w:rsidRDefault="00A03144" w:rsidP="00355E56">
            <w:pPr>
              <w:rPr>
                <w:sz w:val="22"/>
              </w:rPr>
            </w:pPr>
            <w:r w:rsidRPr="009D6881">
              <w:rPr>
                <w:rFonts w:eastAsia="Times New Roman"/>
                <w:sz w:val="22"/>
              </w:rPr>
              <w:t>11.6, NE</w:t>
            </w:r>
          </w:p>
        </w:tc>
        <w:tc>
          <w:tcPr>
            <w:tcW w:w="2628" w:type="dxa"/>
            <w:gridSpan w:val="2"/>
            <w:tcBorders>
              <w:top w:val="nil"/>
              <w:left w:val="nil"/>
              <w:bottom w:val="single" w:sz="4" w:space="0" w:color="auto"/>
              <w:right w:val="single" w:sz="4" w:space="0" w:color="auto"/>
            </w:tcBorders>
            <w:shd w:val="clear" w:color="auto" w:fill="auto"/>
            <w:hideMark/>
          </w:tcPr>
          <w:p w14:paraId="18799BD3" w14:textId="6452C418" w:rsidR="00A03144" w:rsidRPr="009D6881" w:rsidRDefault="00A03144" w:rsidP="00355E56">
            <w:pPr>
              <w:rPr>
                <w:sz w:val="22"/>
              </w:rPr>
            </w:pPr>
            <w:r w:rsidRPr="009D6881">
              <w:rPr>
                <w:rFonts w:eastAsia="Times New Roman"/>
                <w:sz w:val="22"/>
              </w:rPr>
              <w:t>5.6, 12.5</w:t>
            </w:r>
          </w:p>
        </w:tc>
      </w:tr>
    </w:tbl>
    <w:p w14:paraId="31866911" w14:textId="7A0132E1" w:rsidR="00A03144" w:rsidRPr="009D6881" w:rsidRDefault="00A03144" w:rsidP="00030023">
      <w:pPr>
        <w:rPr>
          <w:rFonts w:eastAsia="Times New Roman"/>
          <w:sz w:val="22"/>
        </w:rPr>
      </w:pPr>
      <w:r w:rsidRPr="009D6881">
        <w:rPr>
          <w:rFonts w:eastAsia="Times New Roman"/>
          <w:sz w:val="22"/>
          <w:vertAlign w:val="superscript"/>
        </w:rPr>
        <w:t xml:space="preserve">† </w:t>
      </w:r>
      <w:r w:rsidRPr="009D6881">
        <w:rPr>
          <w:rFonts w:eastAsia="Times New Roman"/>
          <w:sz w:val="22"/>
        </w:rPr>
        <w:t>Stratified by IC levels, the number of prior chemotherapy regimens, and histology</w:t>
      </w:r>
    </w:p>
    <w:p w14:paraId="0C7989E5" w14:textId="656FC93F" w:rsidR="00A03144" w:rsidRPr="009D6881" w:rsidRDefault="00A03144" w:rsidP="00355E56">
      <w:pPr>
        <w:rPr>
          <w:sz w:val="22"/>
        </w:rPr>
      </w:pPr>
      <w:r w:rsidRPr="009D6881">
        <w:rPr>
          <w:sz w:val="22"/>
        </w:rPr>
        <w:t>CI = confidence interval; DOR = duration of objective response; NE = not estimable; ORR = objective response rate; OS = overall survival; PFS = progression-free survival; RECIST = Response Evaluation Criteria in Solid Tumours v1.1.</w:t>
      </w:r>
    </w:p>
    <w:p w14:paraId="2DABCC11" w14:textId="0C886396" w:rsidR="00A03144" w:rsidRPr="009D6881" w:rsidRDefault="00A03144" w:rsidP="00030023">
      <w:pPr>
        <w:rPr>
          <w:szCs w:val="24"/>
        </w:rPr>
      </w:pPr>
    </w:p>
    <w:p w14:paraId="32C072A8" w14:textId="54702C55" w:rsidR="00A03144" w:rsidRPr="009D6881" w:rsidRDefault="00A03144" w:rsidP="00030023">
      <w:pPr>
        <w:rPr>
          <w:rStyle w:val="Strong"/>
        </w:rPr>
      </w:pPr>
      <w:r w:rsidRPr="009D6881">
        <w:rPr>
          <w:rStyle w:val="Strong"/>
        </w:rPr>
        <w:t xml:space="preserve">Table </w:t>
      </w:r>
      <w:r w:rsidR="002C086E">
        <w:rPr>
          <w:rStyle w:val="Strong"/>
        </w:rPr>
        <w:t>3</w:t>
      </w:r>
      <w:r w:rsidRPr="009D6881">
        <w:rPr>
          <w:rStyle w:val="Strong"/>
        </w:rPr>
        <w:t xml:space="preserve">. Summary of efficacy from GO28753 based on PD-L1 expression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009"/>
        <w:gridCol w:w="2628"/>
      </w:tblGrid>
      <w:tr w:rsidR="00A03144" w:rsidRPr="009D6881" w14:paraId="764C9A7F" w14:textId="2CB8D2AF" w:rsidTr="00355E56">
        <w:trPr>
          <w:tblHeader/>
        </w:trPr>
        <w:tc>
          <w:tcPr>
            <w:tcW w:w="4219" w:type="dxa"/>
            <w:tcBorders>
              <w:top w:val="single" w:sz="4" w:space="0" w:color="auto"/>
              <w:left w:val="single" w:sz="4" w:space="0" w:color="auto"/>
              <w:bottom w:val="single" w:sz="4" w:space="0" w:color="auto"/>
              <w:right w:val="nil"/>
            </w:tcBorders>
            <w:shd w:val="clear" w:color="auto" w:fill="auto"/>
          </w:tcPr>
          <w:p w14:paraId="1590CA6E" w14:textId="4BF31E49" w:rsidR="00A03144" w:rsidRPr="009D6881" w:rsidRDefault="00A03144" w:rsidP="00355E56">
            <w:pPr>
              <w:rPr>
                <w:b/>
                <w:sz w:val="20"/>
                <w:szCs w:val="20"/>
              </w:rPr>
            </w:pPr>
            <w:r w:rsidRPr="009D6881">
              <w:rPr>
                <w:rFonts w:eastAsia="Times New Roman"/>
                <w:b/>
                <w:sz w:val="20"/>
                <w:szCs w:val="20"/>
              </w:rPr>
              <w:t>Efficacy endpoint</w:t>
            </w:r>
          </w:p>
        </w:tc>
        <w:tc>
          <w:tcPr>
            <w:tcW w:w="2009" w:type="dxa"/>
            <w:tcBorders>
              <w:top w:val="single" w:sz="4" w:space="0" w:color="auto"/>
              <w:left w:val="nil"/>
              <w:bottom w:val="single" w:sz="4" w:space="0" w:color="auto"/>
              <w:right w:val="nil"/>
            </w:tcBorders>
            <w:shd w:val="clear" w:color="auto" w:fill="auto"/>
          </w:tcPr>
          <w:p w14:paraId="57819951" w14:textId="15B752ED" w:rsidR="00A03144" w:rsidRPr="009D6881" w:rsidRDefault="009F0601" w:rsidP="00355E56">
            <w:pPr>
              <w:rPr>
                <w:b/>
                <w:sz w:val="20"/>
                <w:szCs w:val="20"/>
              </w:rPr>
            </w:pPr>
            <w:r w:rsidRPr="009D6881">
              <w:rPr>
                <w:rFonts w:eastAsia="Times New Roman"/>
                <w:b/>
                <w:sz w:val="20"/>
                <w:szCs w:val="20"/>
              </w:rPr>
              <w:t>Tecentriq</w:t>
            </w:r>
          </w:p>
        </w:tc>
        <w:tc>
          <w:tcPr>
            <w:tcW w:w="2628" w:type="dxa"/>
            <w:tcBorders>
              <w:top w:val="single" w:sz="4" w:space="0" w:color="auto"/>
              <w:left w:val="nil"/>
              <w:bottom w:val="single" w:sz="4" w:space="0" w:color="auto"/>
              <w:right w:val="single" w:sz="4" w:space="0" w:color="auto"/>
            </w:tcBorders>
            <w:shd w:val="clear" w:color="auto" w:fill="auto"/>
          </w:tcPr>
          <w:p w14:paraId="36B91AF9" w14:textId="4FC7529B" w:rsidR="00A03144" w:rsidRPr="009D6881" w:rsidRDefault="00A03144" w:rsidP="00355E56">
            <w:pPr>
              <w:rPr>
                <w:b/>
                <w:sz w:val="20"/>
                <w:szCs w:val="20"/>
              </w:rPr>
            </w:pPr>
            <w:r w:rsidRPr="009D6881">
              <w:rPr>
                <w:rFonts w:eastAsia="Times New Roman"/>
                <w:b/>
                <w:sz w:val="20"/>
                <w:szCs w:val="20"/>
              </w:rPr>
              <w:t>Docetaxel</w:t>
            </w:r>
          </w:p>
        </w:tc>
      </w:tr>
      <w:tr w:rsidR="00A03144" w:rsidRPr="009D6881" w14:paraId="38312BC3" w14:textId="665BA07E" w:rsidTr="00355E56">
        <w:tc>
          <w:tcPr>
            <w:tcW w:w="4219" w:type="dxa"/>
            <w:tcBorders>
              <w:top w:val="single" w:sz="4" w:space="0" w:color="auto"/>
              <w:left w:val="single" w:sz="4" w:space="0" w:color="auto"/>
              <w:bottom w:val="single" w:sz="4" w:space="0" w:color="auto"/>
              <w:right w:val="nil"/>
            </w:tcBorders>
            <w:shd w:val="clear" w:color="auto" w:fill="auto"/>
            <w:hideMark/>
          </w:tcPr>
          <w:p w14:paraId="73CFE462" w14:textId="0341BD71" w:rsidR="00A03144" w:rsidRPr="009D6881" w:rsidRDefault="00A03144" w:rsidP="00355E56">
            <w:pPr>
              <w:rPr>
                <w:b/>
                <w:i/>
                <w:sz w:val="20"/>
                <w:szCs w:val="20"/>
              </w:rPr>
            </w:pPr>
            <w:r w:rsidRPr="009D6881">
              <w:rPr>
                <w:rFonts w:eastAsia="Times New Roman"/>
                <w:b/>
                <w:i/>
                <w:sz w:val="20"/>
                <w:szCs w:val="20"/>
              </w:rPr>
              <w:t>Primary Efficacy Endpoint</w:t>
            </w:r>
          </w:p>
        </w:tc>
        <w:tc>
          <w:tcPr>
            <w:tcW w:w="2009" w:type="dxa"/>
            <w:tcBorders>
              <w:top w:val="single" w:sz="4" w:space="0" w:color="auto"/>
              <w:left w:val="nil"/>
              <w:bottom w:val="single" w:sz="4" w:space="0" w:color="auto"/>
              <w:right w:val="nil"/>
            </w:tcBorders>
            <w:shd w:val="clear" w:color="auto" w:fill="auto"/>
          </w:tcPr>
          <w:p w14:paraId="0979732C" w14:textId="0C0D5353" w:rsidR="00A03144" w:rsidRPr="009D6881" w:rsidRDefault="00A03144" w:rsidP="00355E56">
            <w:pPr>
              <w:rPr>
                <w:sz w:val="20"/>
                <w:szCs w:val="20"/>
              </w:rPr>
            </w:pPr>
          </w:p>
        </w:tc>
        <w:tc>
          <w:tcPr>
            <w:tcW w:w="2628" w:type="dxa"/>
            <w:tcBorders>
              <w:top w:val="single" w:sz="4" w:space="0" w:color="auto"/>
              <w:left w:val="nil"/>
              <w:bottom w:val="single" w:sz="4" w:space="0" w:color="auto"/>
              <w:right w:val="single" w:sz="4" w:space="0" w:color="auto"/>
            </w:tcBorders>
            <w:shd w:val="clear" w:color="auto" w:fill="auto"/>
          </w:tcPr>
          <w:p w14:paraId="1344244C" w14:textId="76423E44" w:rsidR="00A03144" w:rsidRPr="009D6881" w:rsidRDefault="00A03144" w:rsidP="00355E56">
            <w:pPr>
              <w:rPr>
                <w:sz w:val="20"/>
                <w:szCs w:val="20"/>
              </w:rPr>
            </w:pPr>
          </w:p>
        </w:tc>
      </w:tr>
      <w:tr w:rsidR="00A03144" w:rsidRPr="009D6881" w14:paraId="0235E7FC" w14:textId="594D6BA2" w:rsidTr="00355E56">
        <w:tc>
          <w:tcPr>
            <w:tcW w:w="4219" w:type="dxa"/>
            <w:tcBorders>
              <w:top w:val="single" w:sz="4" w:space="0" w:color="auto"/>
              <w:left w:val="single" w:sz="4" w:space="0" w:color="auto"/>
              <w:bottom w:val="single" w:sz="4" w:space="0" w:color="auto"/>
              <w:right w:val="nil"/>
            </w:tcBorders>
            <w:shd w:val="clear" w:color="auto" w:fill="auto"/>
            <w:hideMark/>
          </w:tcPr>
          <w:p w14:paraId="51689B80" w14:textId="0EF0E28A" w:rsidR="00A03144" w:rsidRPr="009D6881" w:rsidRDefault="00A03144" w:rsidP="00355E56">
            <w:pPr>
              <w:rPr>
                <w:b/>
                <w:i/>
                <w:sz w:val="20"/>
                <w:szCs w:val="20"/>
              </w:rPr>
            </w:pPr>
            <w:r w:rsidRPr="009D6881">
              <w:rPr>
                <w:rFonts w:eastAsia="Times New Roman"/>
                <w:b/>
                <w:i/>
                <w:sz w:val="20"/>
                <w:szCs w:val="20"/>
              </w:rPr>
              <w:t>Overall Survival</w:t>
            </w:r>
          </w:p>
        </w:tc>
        <w:tc>
          <w:tcPr>
            <w:tcW w:w="2009" w:type="dxa"/>
            <w:tcBorders>
              <w:top w:val="single" w:sz="4" w:space="0" w:color="auto"/>
              <w:left w:val="nil"/>
              <w:bottom w:val="single" w:sz="4" w:space="0" w:color="auto"/>
              <w:right w:val="nil"/>
            </w:tcBorders>
            <w:shd w:val="clear" w:color="auto" w:fill="auto"/>
          </w:tcPr>
          <w:p w14:paraId="3522582A" w14:textId="4A2F6FC5" w:rsidR="00A03144" w:rsidRPr="009D6881" w:rsidRDefault="00A03144" w:rsidP="00355E56">
            <w:pPr>
              <w:rPr>
                <w:sz w:val="20"/>
                <w:szCs w:val="20"/>
              </w:rPr>
            </w:pPr>
          </w:p>
        </w:tc>
        <w:tc>
          <w:tcPr>
            <w:tcW w:w="2628" w:type="dxa"/>
            <w:tcBorders>
              <w:top w:val="single" w:sz="4" w:space="0" w:color="auto"/>
              <w:left w:val="nil"/>
              <w:bottom w:val="single" w:sz="4" w:space="0" w:color="auto"/>
              <w:right w:val="single" w:sz="4" w:space="0" w:color="auto"/>
            </w:tcBorders>
            <w:shd w:val="clear" w:color="auto" w:fill="auto"/>
          </w:tcPr>
          <w:p w14:paraId="019D14DC" w14:textId="18DFB5C8" w:rsidR="00A03144" w:rsidRPr="009D6881" w:rsidRDefault="00A03144" w:rsidP="00355E56">
            <w:pPr>
              <w:rPr>
                <w:sz w:val="20"/>
                <w:szCs w:val="20"/>
              </w:rPr>
            </w:pPr>
          </w:p>
        </w:tc>
      </w:tr>
      <w:tr w:rsidR="00A03144" w:rsidRPr="009D6881" w14:paraId="5D02F74B" w14:textId="37BE1CBC" w:rsidTr="00355E56">
        <w:tc>
          <w:tcPr>
            <w:tcW w:w="4219" w:type="dxa"/>
            <w:tcBorders>
              <w:top w:val="single" w:sz="4" w:space="0" w:color="auto"/>
              <w:left w:val="single" w:sz="4" w:space="0" w:color="auto"/>
              <w:bottom w:val="nil"/>
              <w:right w:val="nil"/>
            </w:tcBorders>
            <w:shd w:val="clear" w:color="auto" w:fill="auto"/>
            <w:hideMark/>
          </w:tcPr>
          <w:p w14:paraId="69115A87" w14:textId="160F10C2" w:rsidR="00A03144" w:rsidRPr="009D6881" w:rsidRDefault="00A03144" w:rsidP="00355E56">
            <w:pPr>
              <w:rPr>
                <w:b/>
                <w:sz w:val="20"/>
                <w:szCs w:val="20"/>
              </w:rPr>
            </w:pPr>
            <w:r w:rsidRPr="009D6881">
              <w:rPr>
                <w:rFonts w:eastAsia="Times New Roman"/>
                <w:b/>
                <w:sz w:val="20"/>
                <w:szCs w:val="20"/>
              </w:rPr>
              <w:t>TC3 or IC3</w:t>
            </w:r>
          </w:p>
        </w:tc>
        <w:tc>
          <w:tcPr>
            <w:tcW w:w="2009" w:type="dxa"/>
            <w:tcBorders>
              <w:top w:val="single" w:sz="4" w:space="0" w:color="auto"/>
              <w:left w:val="nil"/>
              <w:bottom w:val="nil"/>
              <w:right w:val="nil"/>
            </w:tcBorders>
            <w:shd w:val="clear" w:color="auto" w:fill="auto"/>
            <w:hideMark/>
          </w:tcPr>
          <w:p w14:paraId="59CAEA48" w14:textId="10224214" w:rsidR="00A03144" w:rsidRPr="009D6881" w:rsidRDefault="00A03144" w:rsidP="00355E56">
            <w:pPr>
              <w:rPr>
                <w:sz w:val="20"/>
                <w:szCs w:val="20"/>
              </w:rPr>
            </w:pPr>
            <w:r w:rsidRPr="009D6881">
              <w:rPr>
                <w:rFonts w:eastAsia="Times New Roman"/>
                <w:sz w:val="20"/>
                <w:szCs w:val="20"/>
              </w:rPr>
              <w:t>n = 24</w:t>
            </w:r>
          </w:p>
        </w:tc>
        <w:tc>
          <w:tcPr>
            <w:tcW w:w="2628" w:type="dxa"/>
            <w:tcBorders>
              <w:top w:val="single" w:sz="4" w:space="0" w:color="auto"/>
              <w:left w:val="nil"/>
              <w:bottom w:val="nil"/>
              <w:right w:val="single" w:sz="4" w:space="0" w:color="auto"/>
            </w:tcBorders>
            <w:shd w:val="clear" w:color="auto" w:fill="auto"/>
            <w:hideMark/>
          </w:tcPr>
          <w:p w14:paraId="588AB9B3" w14:textId="7A194D79" w:rsidR="00A03144" w:rsidRPr="009D6881" w:rsidRDefault="00A03144" w:rsidP="00355E56">
            <w:pPr>
              <w:rPr>
                <w:sz w:val="20"/>
                <w:szCs w:val="20"/>
              </w:rPr>
            </w:pPr>
            <w:r w:rsidRPr="009D6881">
              <w:rPr>
                <w:rFonts w:eastAsia="Times New Roman"/>
                <w:sz w:val="20"/>
                <w:szCs w:val="20"/>
              </w:rPr>
              <w:t>n = 23</w:t>
            </w:r>
          </w:p>
        </w:tc>
      </w:tr>
      <w:tr w:rsidR="00A03144" w:rsidRPr="009D6881" w14:paraId="1AFFA27A" w14:textId="64B61E06" w:rsidTr="00355E56">
        <w:tc>
          <w:tcPr>
            <w:tcW w:w="4219" w:type="dxa"/>
            <w:tcBorders>
              <w:top w:val="nil"/>
              <w:left w:val="single" w:sz="4" w:space="0" w:color="auto"/>
              <w:bottom w:val="nil"/>
              <w:right w:val="nil"/>
            </w:tcBorders>
            <w:shd w:val="clear" w:color="auto" w:fill="auto"/>
            <w:hideMark/>
          </w:tcPr>
          <w:p w14:paraId="55D5EE55" w14:textId="1082D4C6" w:rsidR="00A03144" w:rsidRPr="009D6881" w:rsidRDefault="00A03144" w:rsidP="00355E56">
            <w:pPr>
              <w:rPr>
                <w:sz w:val="20"/>
                <w:szCs w:val="20"/>
              </w:rPr>
            </w:pPr>
            <w:r w:rsidRPr="009D6881">
              <w:rPr>
                <w:rFonts w:eastAsia="Times New Roman"/>
                <w:sz w:val="20"/>
                <w:szCs w:val="20"/>
              </w:rPr>
              <w:t xml:space="preserve">   No. of deaths (%)</w:t>
            </w:r>
          </w:p>
        </w:tc>
        <w:tc>
          <w:tcPr>
            <w:tcW w:w="2009" w:type="dxa"/>
            <w:tcBorders>
              <w:top w:val="nil"/>
              <w:left w:val="nil"/>
              <w:bottom w:val="nil"/>
              <w:right w:val="nil"/>
            </w:tcBorders>
            <w:shd w:val="clear" w:color="auto" w:fill="auto"/>
            <w:hideMark/>
          </w:tcPr>
          <w:p w14:paraId="0B2516E9" w14:textId="7C47A4EB" w:rsidR="00A03144" w:rsidRPr="009D6881" w:rsidRDefault="00A03144" w:rsidP="00355E56">
            <w:pPr>
              <w:rPr>
                <w:sz w:val="20"/>
                <w:szCs w:val="20"/>
              </w:rPr>
            </w:pPr>
            <w:r w:rsidRPr="009D6881">
              <w:rPr>
                <w:rFonts w:eastAsia="Times New Roman"/>
                <w:sz w:val="20"/>
                <w:szCs w:val="20"/>
              </w:rPr>
              <w:t>10 (41.7%)</w:t>
            </w:r>
          </w:p>
        </w:tc>
        <w:tc>
          <w:tcPr>
            <w:tcW w:w="2628" w:type="dxa"/>
            <w:tcBorders>
              <w:top w:val="nil"/>
              <w:left w:val="nil"/>
              <w:bottom w:val="nil"/>
              <w:right w:val="single" w:sz="4" w:space="0" w:color="auto"/>
            </w:tcBorders>
            <w:shd w:val="clear" w:color="auto" w:fill="auto"/>
            <w:hideMark/>
          </w:tcPr>
          <w:p w14:paraId="28ECAEEE" w14:textId="7475C291" w:rsidR="00A03144" w:rsidRPr="009D6881" w:rsidRDefault="00A03144" w:rsidP="00355E56">
            <w:pPr>
              <w:rPr>
                <w:sz w:val="20"/>
                <w:szCs w:val="20"/>
              </w:rPr>
            </w:pPr>
            <w:r w:rsidRPr="009D6881">
              <w:rPr>
                <w:rFonts w:eastAsia="Times New Roman"/>
                <w:sz w:val="20"/>
                <w:szCs w:val="20"/>
              </w:rPr>
              <w:t>16 (69.6%)</w:t>
            </w:r>
          </w:p>
        </w:tc>
      </w:tr>
      <w:tr w:rsidR="00A03144" w:rsidRPr="009D6881" w14:paraId="7B64DB38" w14:textId="6306ED51" w:rsidTr="00355E56">
        <w:tc>
          <w:tcPr>
            <w:tcW w:w="4219" w:type="dxa"/>
            <w:tcBorders>
              <w:top w:val="nil"/>
              <w:left w:val="single" w:sz="4" w:space="0" w:color="auto"/>
              <w:bottom w:val="nil"/>
              <w:right w:val="nil"/>
            </w:tcBorders>
            <w:shd w:val="clear" w:color="auto" w:fill="auto"/>
            <w:hideMark/>
          </w:tcPr>
          <w:p w14:paraId="5C08D6C5" w14:textId="64E905E1" w:rsidR="00A03144" w:rsidRPr="009D6881" w:rsidRDefault="00A03144" w:rsidP="00355E56">
            <w:pPr>
              <w:rPr>
                <w:sz w:val="20"/>
                <w:szCs w:val="20"/>
              </w:rPr>
            </w:pPr>
            <w:r w:rsidRPr="009D6881">
              <w:rPr>
                <w:rFonts w:eastAsia="Times New Roman"/>
                <w:sz w:val="20"/>
                <w:szCs w:val="20"/>
              </w:rPr>
              <w:t xml:space="preserve">   Median time to events (months)</w:t>
            </w:r>
          </w:p>
        </w:tc>
        <w:tc>
          <w:tcPr>
            <w:tcW w:w="2009" w:type="dxa"/>
            <w:tcBorders>
              <w:top w:val="nil"/>
              <w:left w:val="nil"/>
              <w:bottom w:val="nil"/>
              <w:right w:val="nil"/>
            </w:tcBorders>
            <w:shd w:val="clear" w:color="auto" w:fill="auto"/>
            <w:hideMark/>
          </w:tcPr>
          <w:p w14:paraId="5A242319" w14:textId="675B69D8" w:rsidR="00A03144" w:rsidRPr="009D6881" w:rsidRDefault="00A03144" w:rsidP="00355E56">
            <w:pPr>
              <w:rPr>
                <w:sz w:val="20"/>
                <w:szCs w:val="20"/>
              </w:rPr>
            </w:pPr>
            <w:r w:rsidRPr="009D6881">
              <w:rPr>
                <w:rFonts w:eastAsia="Times New Roman"/>
                <w:sz w:val="20"/>
                <w:szCs w:val="20"/>
              </w:rPr>
              <w:t>15.5</w:t>
            </w:r>
          </w:p>
        </w:tc>
        <w:tc>
          <w:tcPr>
            <w:tcW w:w="2628" w:type="dxa"/>
            <w:tcBorders>
              <w:top w:val="nil"/>
              <w:left w:val="nil"/>
              <w:bottom w:val="nil"/>
              <w:right w:val="single" w:sz="4" w:space="0" w:color="auto"/>
            </w:tcBorders>
            <w:shd w:val="clear" w:color="auto" w:fill="auto"/>
            <w:hideMark/>
          </w:tcPr>
          <w:p w14:paraId="376366A0" w14:textId="2DC1131C" w:rsidR="00A03144" w:rsidRPr="009D6881" w:rsidRDefault="00A03144" w:rsidP="00355E56">
            <w:pPr>
              <w:rPr>
                <w:sz w:val="20"/>
                <w:szCs w:val="20"/>
              </w:rPr>
            </w:pPr>
            <w:r w:rsidRPr="009D6881">
              <w:rPr>
                <w:rFonts w:eastAsia="Times New Roman"/>
                <w:sz w:val="20"/>
                <w:szCs w:val="20"/>
              </w:rPr>
              <w:t>11.1</w:t>
            </w:r>
          </w:p>
        </w:tc>
      </w:tr>
      <w:tr w:rsidR="00A03144" w:rsidRPr="009D6881" w14:paraId="026F7325" w14:textId="5258B37F" w:rsidTr="00355E56">
        <w:tc>
          <w:tcPr>
            <w:tcW w:w="4219" w:type="dxa"/>
            <w:tcBorders>
              <w:top w:val="nil"/>
              <w:left w:val="single" w:sz="4" w:space="0" w:color="auto"/>
              <w:bottom w:val="nil"/>
              <w:right w:val="nil"/>
            </w:tcBorders>
            <w:shd w:val="clear" w:color="auto" w:fill="auto"/>
            <w:hideMark/>
          </w:tcPr>
          <w:p w14:paraId="673ADE0A" w14:textId="5908218A" w:rsidR="00A03144" w:rsidRPr="009D6881" w:rsidRDefault="00A03144" w:rsidP="00355E56">
            <w:pPr>
              <w:rPr>
                <w:sz w:val="20"/>
                <w:szCs w:val="20"/>
              </w:rPr>
            </w:pPr>
            <w:r w:rsidRPr="009D6881">
              <w:rPr>
                <w:rFonts w:eastAsia="Times New Roman"/>
                <w:sz w:val="20"/>
                <w:szCs w:val="20"/>
              </w:rPr>
              <w:t xml:space="preserve">   95% CI</w:t>
            </w:r>
          </w:p>
        </w:tc>
        <w:tc>
          <w:tcPr>
            <w:tcW w:w="2009" w:type="dxa"/>
            <w:tcBorders>
              <w:top w:val="nil"/>
              <w:left w:val="nil"/>
              <w:bottom w:val="nil"/>
              <w:right w:val="nil"/>
            </w:tcBorders>
            <w:shd w:val="clear" w:color="auto" w:fill="auto"/>
            <w:hideMark/>
          </w:tcPr>
          <w:p w14:paraId="586518A6" w14:textId="76E6F91A" w:rsidR="00A03144" w:rsidRPr="009D6881" w:rsidRDefault="00A03144" w:rsidP="00355E56">
            <w:pPr>
              <w:rPr>
                <w:sz w:val="20"/>
                <w:szCs w:val="20"/>
              </w:rPr>
            </w:pPr>
            <w:r w:rsidRPr="009D6881">
              <w:rPr>
                <w:rFonts w:eastAsia="Times New Roman"/>
                <w:sz w:val="20"/>
                <w:szCs w:val="20"/>
              </w:rPr>
              <w:t>9.8, NE</w:t>
            </w:r>
          </w:p>
        </w:tc>
        <w:tc>
          <w:tcPr>
            <w:tcW w:w="2628" w:type="dxa"/>
            <w:tcBorders>
              <w:top w:val="nil"/>
              <w:left w:val="nil"/>
              <w:bottom w:val="nil"/>
              <w:right w:val="single" w:sz="4" w:space="0" w:color="auto"/>
            </w:tcBorders>
            <w:shd w:val="clear" w:color="auto" w:fill="auto"/>
            <w:hideMark/>
          </w:tcPr>
          <w:p w14:paraId="396F6B2D" w14:textId="175927CD" w:rsidR="00A03144" w:rsidRPr="009D6881" w:rsidRDefault="00A03144" w:rsidP="00355E56">
            <w:pPr>
              <w:rPr>
                <w:sz w:val="20"/>
                <w:szCs w:val="20"/>
              </w:rPr>
            </w:pPr>
            <w:r w:rsidRPr="009D6881">
              <w:rPr>
                <w:rFonts w:eastAsia="Times New Roman"/>
                <w:sz w:val="20"/>
                <w:szCs w:val="20"/>
              </w:rPr>
              <w:t>6.7, 14.4</w:t>
            </w:r>
          </w:p>
        </w:tc>
      </w:tr>
      <w:tr w:rsidR="00A03144" w:rsidRPr="009D6881" w14:paraId="41EF3B95" w14:textId="3495BB53" w:rsidTr="00355E56">
        <w:tc>
          <w:tcPr>
            <w:tcW w:w="4219" w:type="dxa"/>
            <w:tcBorders>
              <w:top w:val="nil"/>
              <w:left w:val="single" w:sz="4" w:space="0" w:color="auto"/>
              <w:bottom w:val="single" w:sz="4" w:space="0" w:color="auto"/>
              <w:right w:val="nil"/>
            </w:tcBorders>
            <w:shd w:val="clear" w:color="auto" w:fill="auto"/>
            <w:hideMark/>
          </w:tcPr>
          <w:p w14:paraId="08A10519" w14:textId="61ED1102" w:rsidR="00A03144" w:rsidRPr="009D6881" w:rsidRDefault="00A03144" w:rsidP="00355E56">
            <w:pPr>
              <w:rPr>
                <w:sz w:val="20"/>
                <w:szCs w:val="20"/>
              </w:rPr>
            </w:pPr>
            <w:r w:rsidRPr="009D6881">
              <w:rPr>
                <w:rFonts w:eastAsia="Times New Roman"/>
                <w:sz w:val="20"/>
                <w:szCs w:val="20"/>
              </w:rPr>
              <w:t xml:space="preserve">   Unstratified hazard ratio (95% CI)</w:t>
            </w:r>
          </w:p>
        </w:tc>
        <w:tc>
          <w:tcPr>
            <w:tcW w:w="4637" w:type="dxa"/>
            <w:gridSpan w:val="2"/>
            <w:tcBorders>
              <w:top w:val="nil"/>
              <w:left w:val="nil"/>
              <w:bottom w:val="single" w:sz="4" w:space="0" w:color="auto"/>
              <w:right w:val="single" w:sz="4" w:space="0" w:color="auto"/>
            </w:tcBorders>
            <w:shd w:val="clear" w:color="auto" w:fill="auto"/>
            <w:hideMark/>
          </w:tcPr>
          <w:p w14:paraId="244D3B78" w14:textId="7CA3D7AB" w:rsidR="00A03144" w:rsidRPr="009D6881" w:rsidRDefault="00A03144" w:rsidP="00355E56">
            <w:pPr>
              <w:rPr>
                <w:sz w:val="20"/>
                <w:szCs w:val="20"/>
              </w:rPr>
            </w:pPr>
            <w:r w:rsidRPr="009D6881">
              <w:rPr>
                <w:rFonts w:eastAsia="Times New Roman"/>
                <w:sz w:val="20"/>
                <w:szCs w:val="20"/>
              </w:rPr>
              <w:t>0.49 (0.22, 1.07)</w:t>
            </w:r>
          </w:p>
        </w:tc>
      </w:tr>
      <w:tr w:rsidR="00A03144" w:rsidRPr="009D6881" w14:paraId="7F2934D3" w14:textId="4E9BE85E" w:rsidTr="00355E56">
        <w:tc>
          <w:tcPr>
            <w:tcW w:w="4219" w:type="dxa"/>
            <w:tcBorders>
              <w:top w:val="single" w:sz="4" w:space="0" w:color="auto"/>
              <w:left w:val="single" w:sz="4" w:space="0" w:color="auto"/>
              <w:bottom w:val="nil"/>
              <w:right w:val="nil"/>
            </w:tcBorders>
            <w:shd w:val="clear" w:color="auto" w:fill="auto"/>
            <w:hideMark/>
          </w:tcPr>
          <w:p w14:paraId="11CD9B49" w14:textId="7C77F9C0" w:rsidR="00A03144" w:rsidRPr="009D6881" w:rsidRDefault="00A03144" w:rsidP="00355E56">
            <w:pPr>
              <w:rPr>
                <w:b/>
                <w:sz w:val="20"/>
                <w:szCs w:val="20"/>
              </w:rPr>
            </w:pPr>
            <w:r w:rsidRPr="009D6881">
              <w:rPr>
                <w:rFonts w:eastAsia="Times New Roman"/>
                <w:b/>
                <w:sz w:val="20"/>
                <w:szCs w:val="20"/>
              </w:rPr>
              <w:t>TC2/3 or IC2/3</w:t>
            </w:r>
            <w:r w:rsidR="0006081E">
              <w:rPr>
                <w:rFonts w:eastAsia="Times New Roman"/>
                <w:b/>
                <w:sz w:val="20"/>
                <w:szCs w:val="20"/>
              </w:rPr>
              <w:t xml:space="preserve">, </w:t>
            </w:r>
            <w:r w:rsidR="0006081E" w:rsidRPr="0006081E">
              <w:rPr>
                <w:rFonts w:eastAsia="Times New Roman"/>
                <w:b/>
                <w:sz w:val="20"/>
                <w:szCs w:val="20"/>
              </w:rPr>
              <w:t>excluding TC3 or IC3</w:t>
            </w:r>
          </w:p>
        </w:tc>
        <w:tc>
          <w:tcPr>
            <w:tcW w:w="2009" w:type="dxa"/>
            <w:tcBorders>
              <w:top w:val="single" w:sz="4" w:space="0" w:color="auto"/>
              <w:left w:val="nil"/>
              <w:bottom w:val="nil"/>
              <w:right w:val="nil"/>
            </w:tcBorders>
            <w:shd w:val="clear" w:color="auto" w:fill="auto"/>
            <w:hideMark/>
          </w:tcPr>
          <w:p w14:paraId="17CAFAB7" w14:textId="7F371A05" w:rsidR="00A03144" w:rsidRPr="009D6881" w:rsidRDefault="0006081E" w:rsidP="00355E56">
            <w:pPr>
              <w:rPr>
                <w:sz w:val="20"/>
                <w:szCs w:val="20"/>
              </w:rPr>
            </w:pPr>
            <w:r w:rsidRPr="0006081E">
              <w:rPr>
                <w:rFonts w:eastAsia="Times New Roman"/>
                <w:sz w:val="20"/>
                <w:szCs w:val="20"/>
              </w:rPr>
              <w:t>n</w:t>
            </w:r>
            <w:r>
              <w:rPr>
                <w:rFonts w:eastAsia="Times New Roman"/>
                <w:sz w:val="20"/>
                <w:szCs w:val="20"/>
              </w:rPr>
              <w:t xml:space="preserve"> </w:t>
            </w:r>
            <w:r w:rsidRPr="0006081E">
              <w:rPr>
                <w:rFonts w:eastAsia="Times New Roman"/>
                <w:sz w:val="20"/>
                <w:szCs w:val="20"/>
              </w:rPr>
              <w:t>=</w:t>
            </w:r>
            <w:r>
              <w:rPr>
                <w:rFonts w:eastAsia="Times New Roman"/>
                <w:sz w:val="20"/>
                <w:szCs w:val="20"/>
              </w:rPr>
              <w:t xml:space="preserve"> </w:t>
            </w:r>
            <w:r w:rsidRPr="0006081E">
              <w:rPr>
                <w:rFonts w:eastAsia="Times New Roman"/>
                <w:sz w:val="20"/>
                <w:szCs w:val="20"/>
              </w:rPr>
              <w:t>26</w:t>
            </w:r>
          </w:p>
        </w:tc>
        <w:tc>
          <w:tcPr>
            <w:tcW w:w="2628" w:type="dxa"/>
            <w:tcBorders>
              <w:top w:val="single" w:sz="4" w:space="0" w:color="auto"/>
              <w:left w:val="nil"/>
              <w:bottom w:val="nil"/>
              <w:right w:val="single" w:sz="4" w:space="0" w:color="auto"/>
            </w:tcBorders>
            <w:shd w:val="clear" w:color="auto" w:fill="auto"/>
            <w:hideMark/>
          </w:tcPr>
          <w:p w14:paraId="610104FC" w14:textId="7FEE3563" w:rsidR="00A03144" w:rsidRPr="009D6881" w:rsidRDefault="00A03144" w:rsidP="00355E56">
            <w:pPr>
              <w:rPr>
                <w:sz w:val="20"/>
                <w:szCs w:val="20"/>
              </w:rPr>
            </w:pPr>
            <w:r w:rsidRPr="009D6881">
              <w:rPr>
                <w:rFonts w:eastAsia="Times New Roman"/>
                <w:sz w:val="20"/>
                <w:szCs w:val="20"/>
              </w:rPr>
              <w:t xml:space="preserve">n = </w:t>
            </w:r>
            <w:r w:rsidR="0006081E">
              <w:rPr>
                <w:rFonts w:eastAsia="Times New Roman"/>
                <w:sz w:val="20"/>
                <w:szCs w:val="20"/>
              </w:rPr>
              <w:t>32</w:t>
            </w:r>
          </w:p>
        </w:tc>
      </w:tr>
      <w:tr w:rsidR="00A03144" w:rsidRPr="009D6881" w14:paraId="4A318CD1" w14:textId="4F2EF229" w:rsidTr="00355E56">
        <w:tc>
          <w:tcPr>
            <w:tcW w:w="4219" w:type="dxa"/>
            <w:tcBorders>
              <w:top w:val="nil"/>
              <w:left w:val="single" w:sz="4" w:space="0" w:color="auto"/>
              <w:bottom w:val="nil"/>
              <w:right w:val="nil"/>
            </w:tcBorders>
            <w:shd w:val="clear" w:color="auto" w:fill="auto"/>
            <w:hideMark/>
          </w:tcPr>
          <w:p w14:paraId="6ADC7777" w14:textId="60A1FA00" w:rsidR="00A03144" w:rsidRPr="009D6881" w:rsidRDefault="00A03144" w:rsidP="00355E56">
            <w:pPr>
              <w:rPr>
                <w:sz w:val="20"/>
                <w:szCs w:val="20"/>
              </w:rPr>
            </w:pPr>
            <w:r w:rsidRPr="009D6881">
              <w:rPr>
                <w:rFonts w:eastAsia="Times New Roman"/>
                <w:sz w:val="20"/>
                <w:szCs w:val="20"/>
              </w:rPr>
              <w:t xml:space="preserve">   No. of deaths (%)</w:t>
            </w:r>
          </w:p>
        </w:tc>
        <w:tc>
          <w:tcPr>
            <w:tcW w:w="2009" w:type="dxa"/>
            <w:tcBorders>
              <w:top w:val="nil"/>
              <w:left w:val="nil"/>
              <w:bottom w:val="nil"/>
              <w:right w:val="nil"/>
            </w:tcBorders>
            <w:shd w:val="clear" w:color="auto" w:fill="auto"/>
            <w:hideMark/>
          </w:tcPr>
          <w:p w14:paraId="26DFF0F7" w14:textId="708315AA" w:rsidR="00A03144" w:rsidRPr="009D6881" w:rsidRDefault="0006081E" w:rsidP="00355E56">
            <w:pPr>
              <w:rPr>
                <w:sz w:val="20"/>
                <w:szCs w:val="20"/>
              </w:rPr>
            </w:pPr>
            <w:r w:rsidRPr="0006081E">
              <w:rPr>
                <w:rFonts w:eastAsia="Times New Roman"/>
                <w:sz w:val="20"/>
                <w:szCs w:val="20"/>
              </w:rPr>
              <w:t>15 (57.7%)</w:t>
            </w:r>
          </w:p>
        </w:tc>
        <w:tc>
          <w:tcPr>
            <w:tcW w:w="2628" w:type="dxa"/>
            <w:tcBorders>
              <w:top w:val="nil"/>
              <w:left w:val="nil"/>
              <w:bottom w:val="nil"/>
              <w:right w:val="single" w:sz="4" w:space="0" w:color="auto"/>
            </w:tcBorders>
            <w:shd w:val="clear" w:color="auto" w:fill="auto"/>
            <w:hideMark/>
          </w:tcPr>
          <w:p w14:paraId="782BFA62" w14:textId="6FE320F4" w:rsidR="00A03144" w:rsidRPr="009D6881" w:rsidRDefault="0006081E" w:rsidP="00355E56">
            <w:pPr>
              <w:rPr>
                <w:sz w:val="20"/>
                <w:szCs w:val="20"/>
              </w:rPr>
            </w:pPr>
            <w:r w:rsidRPr="0006081E">
              <w:rPr>
                <w:rFonts w:eastAsia="Times New Roman"/>
                <w:sz w:val="20"/>
                <w:szCs w:val="20"/>
              </w:rPr>
              <w:t>25 (78.1%)</w:t>
            </w:r>
          </w:p>
        </w:tc>
      </w:tr>
      <w:tr w:rsidR="00A03144" w:rsidRPr="009D6881" w14:paraId="5D14D51E" w14:textId="6424B2CB" w:rsidTr="00355E56">
        <w:tc>
          <w:tcPr>
            <w:tcW w:w="4219" w:type="dxa"/>
            <w:tcBorders>
              <w:top w:val="nil"/>
              <w:left w:val="single" w:sz="4" w:space="0" w:color="auto"/>
              <w:bottom w:val="nil"/>
              <w:right w:val="nil"/>
            </w:tcBorders>
            <w:shd w:val="clear" w:color="auto" w:fill="auto"/>
            <w:hideMark/>
          </w:tcPr>
          <w:p w14:paraId="69F41A7F" w14:textId="28CA1D9F" w:rsidR="00A03144" w:rsidRPr="009D6881" w:rsidRDefault="00A03144" w:rsidP="00355E56">
            <w:pPr>
              <w:rPr>
                <w:sz w:val="20"/>
                <w:szCs w:val="20"/>
              </w:rPr>
            </w:pPr>
            <w:r w:rsidRPr="009D6881">
              <w:rPr>
                <w:rFonts w:eastAsia="Times New Roman"/>
                <w:sz w:val="20"/>
                <w:szCs w:val="20"/>
              </w:rPr>
              <w:t xml:space="preserve">   Median time to events (months)</w:t>
            </w:r>
          </w:p>
        </w:tc>
        <w:tc>
          <w:tcPr>
            <w:tcW w:w="2009" w:type="dxa"/>
            <w:tcBorders>
              <w:top w:val="nil"/>
              <w:left w:val="nil"/>
              <w:bottom w:val="nil"/>
              <w:right w:val="nil"/>
            </w:tcBorders>
            <w:shd w:val="clear" w:color="auto" w:fill="auto"/>
            <w:hideMark/>
          </w:tcPr>
          <w:p w14:paraId="54A95B8B" w14:textId="777416C4" w:rsidR="00A03144" w:rsidRPr="0044613F" w:rsidRDefault="0006081E" w:rsidP="00355E56">
            <w:pPr>
              <w:rPr>
                <w:sz w:val="20"/>
                <w:szCs w:val="20"/>
              </w:rPr>
            </w:pPr>
            <w:r w:rsidRPr="0044613F">
              <w:rPr>
                <w:rFonts w:eastAsia="Times New Roman"/>
                <w:sz w:val="20"/>
                <w:szCs w:val="20"/>
              </w:rPr>
              <w:t>9.0</w:t>
            </w:r>
          </w:p>
        </w:tc>
        <w:tc>
          <w:tcPr>
            <w:tcW w:w="2628" w:type="dxa"/>
            <w:tcBorders>
              <w:top w:val="nil"/>
              <w:left w:val="nil"/>
              <w:bottom w:val="nil"/>
              <w:right w:val="single" w:sz="4" w:space="0" w:color="auto"/>
            </w:tcBorders>
            <w:shd w:val="clear" w:color="auto" w:fill="auto"/>
            <w:hideMark/>
          </w:tcPr>
          <w:p w14:paraId="0029C26F" w14:textId="3B9A4D39" w:rsidR="00A03144" w:rsidRPr="0044613F" w:rsidRDefault="0006081E" w:rsidP="00355E56">
            <w:pPr>
              <w:rPr>
                <w:sz w:val="20"/>
                <w:szCs w:val="20"/>
              </w:rPr>
            </w:pPr>
            <w:r w:rsidRPr="0044613F">
              <w:rPr>
                <w:rFonts w:eastAsia="Times New Roman"/>
                <w:sz w:val="20"/>
                <w:szCs w:val="20"/>
              </w:rPr>
              <w:t>6.2</w:t>
            </w:r>
          </w:p>
        </w:tc>
      </w:tr>
      <w:tr w:rsidR="00A03144" w:rsidRPr="009D6881" w14:paraId="2178AD46" w14:textId="32F9D369" w:rsidTr="00355E56">
        <w:tc>
          <w:tcPr>
            <w:tcW w:w="4219" w:type="dxa"/>
            <w:tcBorders>
              <w:top w:val="nil"/>
              <w:left w:val="single" w:sz="4" w:space="0" w:color="auto"/>
              <w:bottom w:val="nil"/>
              <w:right w:val="nil"/>
            </w:tcBorders>
            <w:shd w:val="clear" w:color="auto" w:fill="auto"/>
            <w:hideMark/>
          </w:tcPr>
          <w:p w14:paraId="0340D3F8" w14:textId="701BD394" w:rsidR="00A03144" w:rsidRPr="009D6881" w:rsidRDefault="00A03144" w:rsidP="00355E56">
            <w:pPr>
              <w:rPr>
                <w:sz w:val="20"/>
                <w:szCs w:val="20"/>
              </w:rPr>
            </w:pPr>
            <w:r w:rsidRPr="009D6881">
              <w:rPr>
                <w:rFonts w:eastAsia="Times New Roman"/>
                <w:sz w:val="20"/>
                <w:szCs w:val="20"/>
              </w:rPr>
              <w:t xml:space="preserve">   95% CI</w:t>
            </w:r>
          </w:p>
        </w:tc>
        <w:tc>
          <w:tcPr>
            <w:tcW w:w="2009" w:type="dxa"/>
            <w:tcBorders>
              <w:top w:val="nil"/>
              <w:left w:val="nil"/>
              <w:bottom w:val="nil"/>
              <w:right w:val="nil"/>
            </w:tcBorders>
            <w:shd w:val="clear" w:color="auto" w:fill="auto"/>
            <w:hideMark/>
          </w:tcPr>
          <w:p w14:paraId="69107A74" w14:textId="462F3304" w:rsidR="00A03144" w:rsidRPr="0044613F" w:rsidRDefault="003B439B" w:rsidP="00355E56">
            <w:pPr>
              <w:rPr>
                <w:sz w:val="20"/>
                <w:szCs w:val="20"/>
              </w:rPr>
            </w:pPr>
            <w:r w:rsidRPr="0044613F">
              <w:rPr>
                <w:rFonts w:eastAsia="Times New Roman"/>
                <w:sz w:val="20"/>
                <w:szCs w:val="20"/>
              </w:rPr>
              <w:t>6.9, NE</w:t>
            </w:r>
          </w:p>
        </w:tc>
        <w:tc>
          <w:tcPr>
            <w:tcW w:w="2628" w:type="dxa"/>
            <w:tcBorders>
              <w:top w:val="nil"/>
              <w:left w:val="nil"/>
              <w:bottom w:val="nil"/>
              <w:right w:val="single" w:sz="4" w:space="0" w:color="auto"/>
            </w:tcBorders>
            <w:shd w:val="clear" w:color="auto" w:fill="auto"/>
            <w:hideMark/>
          </w:tcPr>
          <w:p w14:paraId="3836982C" w14:textId="7186011A" w:rsidR="00A03144" w:rsidRPr="0044613F" w:rsidRDefault="003B439B" w:rsidP="00355E56">
            <w:pPr>
              <w:rPr>
                <w:sz w:val="20"/>
                <w:szCs w:val="20"/>
              </w:rPr>
            </w:pPr>
            <w:r w:rsidRPr="0044613F">
              <w:rPr>
                <w:rFonts w:eastAsia="Times New Roman"/>
                <w:sz w:val="20"/>
                <w:szCs w:val="20"/>
              </w:rPr>
              <w:t>4.6, 9.0</w:t>
            </w:r>
          </w:p>
        </w:tc>
      </w:tr>
      <w:tr w:rsidR="00A03144" w:rsidRPr="009D6881" w14:paraId="36D4CE0D" w14:textId="7344B883" w:rsidTr="00355E56">
        <w:tc>
          <w:tcPr>
            <w:tcW w:w="4219" w:type="dxa"/>
            <w:tcBorders>
              <w:top w:val="nil"/>
              <w:left w:val="single" w:sz="4" w:space="0" w:color="auto"/>
              <w:bottom w:val="single" w:sz="4" w:space="0" w:color="auto"/>
              <w:right w:val="nil"/>
            </w:tcBorders>
            <w:shd w:val="clear" w:color="auto" w:fill="auto"/>
            <w:hideMark/>
          </w:tcPr>
          <w:p w14:paraId="2D9C0F60" w14:textId="14223DEF" w:rsidR="00A03144" w:rsidRPr="009D6881" w:rsidRDefault="00A03144" w:rsidP="00355E56">
            <w:pPr>
              <w:rPr>
                <w:sz w:val="20"/>
                <w:szCs w:val="20"/>
              </w:rPr>
            </w:pPr>
            <w:r w:rsidRPr="009D6881">
              <w:rPr>
                <w:rFonts w:eastAsia="Times New Roman"/>
                <w:sz w:val="20"/>
                <w:szCs w:val="20"/>
              </w:rPr>
              <w:t xml:space="preserve">   Unstratified hazard ratio (95% CI)</w:t>
            </w:r>
          </w:p>
        </w:tc>
        <w:tc>
          <w:tcPr>
            <w:tcW w:w="4637" w:type="dxa"/>
            <w:gridSpan w:val="2"/>
            <w:tcBorders>
              <w:top w:val="nil"/>
              <w:left w:val="nil"/>
              <w:bottom w:val="single" w:sz="4" w:space="0" w:color="auto"/>
              <w:right w:val="single" w:sz="4" w:space="0" w:color="auto"/>
            </w:tcBorders>
            <w:shd w:val="clear" w:color="auto" w:fill="auto"/>
            <w:hideMark/>
          </w:tcPr>
          <w:p w14:paraId="5706B183" w14:textId="3CE531DD" w:rsidR="00A03144" w:rsidRPr="0044613F" w:rsidRDefault="0006081E" w:rsidP="00355E56">
            <w:pPr>
              <w:rPr>
                <w:sz w:val="20"/>
                <w:szCs w:val="20"/>
              </w:rPr>
            </w:pPr>
            <w:r w:rsidRPr="0044613F">
              <w:rPr>
                <w:rFonts w:eastAsia="Times New Roman"/>
                <w:sz w:val="20"/>
                <w:szCs w:val="20"/>
              </w:rPr>
              <w:t>0.59 (0.31, 1.12)</w:t>
            </w:r>
          </w:p>
        </w:tc>
      </w:tr>
      <w:tr w:rsidR="00A03144" w:rsidRPr="009D6881" w14:paraId="068F4B42" w14:textId="5F0BADE0" w:rsidTr="00355E56">
        <w:tc>
          <w:tcPr>
            <w:tcW w:w="4219" w:type="dxa"/>
            <w:tcBorders>
              <w:top w:val="single" w:sz="4" w:space="0" w:color="auto"/>
              <w:left w:val="single" w:sz="4" w:space="0" w:color="auto"/>
              <w:bottom w:val="nil"/>
              <w:right w:val="nil"/>
            </w:tcBorders>
            <w:shd w:val="clear" w:color="auto" w:fill="auto"/>
            <w:hideMark/>
          </w:tcPr>
          <w:p w14:paraId="1CF18BF0" w14:textId="686D6E1C" w:rsidR="00A03144" w:rsidRPr="009D6881" w:rsidRDefault="00A03144" w:rsidP="00355E56">
            <w:pPr>
              <w:rPr>
                <w:b/>
                <w:sz w:val="20"/>
                <w:szCs w:val="20"/>
              </w:rPr>
            </w:pPr>
            <w:r w:rsidRPr="009D6881">
              <w:rPr>
                <w:rFonts w:eastAsia="Times New Roman"/>
                <w:b/>
                <w:sz w:val="20"/>
                <w:szCs w:val="20"/>
              </w:rPr>
              <w:t>TC1/2/3 or IC1/2/3</w:t>
            </w:r>
            <w:r w:rsidR="0006081E">
              <w:rPr>
                <w:rFonts w:eastAsia="Times New Roman"/>
                <w:b/>
                <w:sz w:val="20"/>
                <w:szCs w:val="20"/>
              </w:rPr>
              <w:t xml:space="preserve">, </w:t>
            </w:r>
            <w:r w:rsidR="0006081E" w:rsidRPr="0006081E">
              <w:rPr>
                <w:rFonts w:eastAsia="Times New Roman"/>
                <w:b/>
                <w:sz w:val="20"/>
                <w:szCs w:val="20"/>
              </w:rPr>
              <w:t>excluding TC2/3 or IC2/3</w:t>
            </w:r>
          </w:p>
        </w:tc>
        <w:tc>
          <w:tcPr>
            <w:tcW w:w="2009" w:type="dxa"/>
            <w:tcBorders>
              <w:top w:val="single" w:sz="4" w:space="0" w:color="auto"/>
              <w:left w:val="nil"/>
              <w:bottom w:val="nil"/>
              <w:right w:val="nil"/>
            </w:tcBorders>
            <w:shd w:val="clear" w:color="auto" w:fill="auto"/>
            <w:hideMark/>
          </w:tcPr>
          <w:p w14:paraId="7992270A" w14:textId="3FB6C905" w:rsidR="00A03144" w:rsidRPr="0044613F" w:rsidRDefault="0076068B" w:rsidP="00355E56">
            <w:pPr>
              <w:rPr>
                <w:sz w:val="20"/>
                <w:szCs w:val="20"/>
              </w:rPr>
            </w:pPr>
            <w:r w:rsidRPr="0044613F">
              <w:rPr>
                <w:rFonts w:eastAsia="Times New Roman"/>
                <w:sz w:val="20"/>
                <w:szCs w:val="20"/>
              </w:rPr>
              <w:t>n = 43</w:t>
            </w:r>
          </w:p>
        </w:tc>
        <w:tc>
          <w:tcPr>
            <w:tcW w:w="2628" w:type="dxa"/>
            <w:tcBorders>
              <w:top w:val="single" w:sz="4" w:space="0" w:color="auto"/>
              <w:left w:val="nil"/>
              <w:bottom w:val="nil"/>
              <w:right w:val="single" w:sz="4" w:space="0" w:color="auto"/>
            </w:tcBorders>
            <w:shd w:val="clear" w:color="auto" w:fill="auto"/>
            <w:hideMark/>
          </w:tcPr>
          <w:p w14:paraId="76F094F4" w14:textId="624AA792" w:rsidR="00A03144" w:rsidRPr="0044613F" w:rsidRDefault="0006081E" w:rsidP="00355E56">
            <w:pPr>
              <w:rPr>
                <w:sz w:val="20"/>
                <w:szCs w:val="20"/>
              </w:rPr>
            </w:pPr>
            <w:r w:rsidRPr="0044613F">
              <w:rPr>
                <w:rFonts w:eastAsia="Times New Roman"/>
                <w:sz w:val="20"/>
                <w:szCs w:val="20"/>
              </w:rPr>
              <w:t>n = 47</w:t>
            </w:r>
          </w:p>
        </w:tc>
      </w:tr>
      <w:tr w:rsidR="00A03144" w:rsidRPr="009D6881" w14:paraId="205C1C04" w14:textId="0D5D7110" w:rsidTr="00355E56">
        <w:tc>
          <w:tcPr>
            <w:tcW w:w="4219" w:type="dxa"/>
            <w:tcBorders>
              <w:top w:val="nil"/>
              <w:left w:val="single" w:sz="4" w:space="0" w:color="auto"/>
              <w:bottom w:val="nil"/>
              <w:right w:val="nil"/>
            </w:tcBorders>
            <w:shd w:val="clear" w:color="auto" w:fill="auto"/>
            <w:hideMark/>
          </w:tcPr>
          <w:p w14:paraId="4246C4C5" w14:textId="342D1BD2" w:rsidR="00A03144" w:rsidRPr="009D6881" w:rsidRDefault="00A03144" w:rsidP="00355E56">
            <w:pPr>
              <w:rPr>
                <w:sz w:val="20"/>
                <w:szCs w:val="20"/>
              </w:rPr>
            </w:pPr>
            <w:r w:rsidRPr="009D6881">
              <w:rPr>
                <w:rFonts w:eastAsia="Times New Roman"/>
                <w:sz w:val="20"/>
                <w:szCs w:val="20"/>
              </w:rPr>
              <w:t xml:space="preserve">   No. of deaths (%)</w:t>
            </w:r>
          </w:p>
        </w:tc>
        <w:tc>
          <w:tcPr>
            <w:tcW w:w="2009" w:type="dxa"/>
            <w:tcBorders>
              <w:top w:val="nil"/>
              <w:left w:val="nil"/>
              <w:bottom w:val="nil"/>
              <w:right w:val="nil"/>
            </w:tcBorders>
            <w:shd w:val="clear" w:color="auto" w:fill="auto"/>
            <w:hideMark/>
          </w:tcPr>
          <w:p w14:paraId="2FF79056" w14:textId="650B7550" w:rsidR="00A03144" w:rsidRPr="0044613F" w:rsidRDefault="0076068B" w:rsidP="00355E56">
            <w:pPr>
              <w:rPr>
                <w:sz w:val="20"/>
                <w:szCs w:val="20"/>
              </w:rPr>
            </w:pPr>
            <w:r w:rsidRPr="0044613F">
              <w:rPr>
                <w:rFonts w:eastAsia="Times New Roman"/>
                <w:sz w:val="20"/>
                <w:szCs w:val="20"/>
              </w:rPr>
              <w:t>20 (46.5%)</w:t>
            </w:r>
          </w:p>
        </w:tc>
        <w:tc>
          <w:tcPr>
            <w:tcW w:w="2628" w:type="dxa"/>
            <w:tcBorders>
              <w:top w:val="nil"/>
              <w:left w:val="nil"/>
              <w:bottom w:val="nil"/>
              <w:right w:val="single" w:sz="4" w:space="0" w:color="auto"/>
            </w:tcBorders>
            <w:shd w:val="clear" w:color="auto" w:fill="auto"/>
            <w:hideMark/>
          </w:tcPr>
          <w:p w14:paraId="4768F3C1" w14:textId="03A05FC6" w:rsidR="00A03144" w:rsidRPr="0044613F" w:rsidRDefault="0006081E" w:rsidP="00355E56">
            <w:pPr>
              <w:rPr>
                <w:sz w:val="20"/>
                <w:szCs w:val="20"/>
              </w:rPr>
            </w:pPr>
            <w:r w:rsidRPr="0044613F">
              <w:rPr>
                <w:rFonts w:eastAsia="Times New Roman"/>
                <w:sz w:val="20"/>
                <w:szCs w:val="20"/>
              </w:rPr>
              <w:t>28 (59.6%)</w:t>
            </w:r>
          </w:p>
        </w:tc>
      </w:tr>
      <w:tr w:rsidR="00A03144" w:rsidRPr="009D6881" w14:paraId="417A2712" w14:textId="542CD455" w:rsidTr="00355E56">
        <w:tc>
          <w:tcPr>
            <w:tcW w:w="4219" w:type="dxa"/>
            <w:tcBorders>
              <w:top w:val="nil"/>
              <w:left w:val="single" w:sz="4" w:space="0" w:color="auto"/>
              <w:bottom w:val="nil"/>
              <w:right w:val="nil"/>
            </w:tcBorders>
            <w:shd w:val="clear" w:color="auto" w:fill="auto"/>
            <w:hideMark/>
          </w:tcPr>
          <w:p w14:paraId="08AB8452" w14:textId="794DDCF2" w:rsidR="00A03144" w:rsidRPr="009D6881" w:rsidRDefault="00A03144" w:rsidP="00355E56">
            <w:pPr>
              <w:rPr>
                <w:sz w:val="20"/>
                <w:szCs w:val="20"/>
              </w:rPr>
            </w:pPr>
            <w:r w:rsidRPr="009D6881">
              <w:rPr>
                <w:rFonts w:eastAsia="Times New Roman"/>
                <w:sz w:val="20"/>
                <w:szCs w:val="20"/>
              </w:rPr>
              <w:t xml:space="preserve">   Median time to events (months) </w:t>
            </w:r>
          </w:p>
        </w:tc>
        <w:tc>
          <w:tcPr>
            <w:tcW w:w="2009" w:type="dxa"/>
            <w:tcBorders>
              <w:top w:val="nil"/>
              <w:left w:val="nil"/>
              <w:bottom w:val="nil"/>
              <w:right w:val="nil"/>
            </w:tcBorders>
            <w:shd w:val="clear" w:color="auto" w:fill="auto"/>
            <w:hideMark/>
          </w:tcPr>
          <w:p w14:paraId="3700007A" w14:textId="3A86DD03" w:rsidR="00A03144" w:rsidRPr="0044613F" w:rsidRDefault="0076068B" w:rsidP="00355E56">
            <w:pPr>
              <w:rPr>
                <w:sz w:val="20"/>
                <w:szCs w:val="20"/>
              </w:rPr>
            </w:pPr>
            <w:r w:rsidRPr="0044613F">
              <w:rPr>
                <w:rFonts w:eastAsia="Times New Roman"/>
                <w:sz w:val="20"/>
                <w:szCs w:val="20"/>
              </w:rPr>
              <w:t>15.6</w:t>
            </w:r>
          </w:p>
        </w:tc>
        <w:tc>
          <w:tcPr>
            <w:tcW w:w="2628" w:type="dxa"/>
            <w:tcBorders>
              <w:top w:val="nil"/>
              <w:left w:val="nil"/>
              <w:bottom w:val="nil"/>
              <w:right w:val="single" w:sz="4" w:space="0" w:color="auto"/>
            </w:tcBorders>
            <w:shd w:val="clear" w:color="auto" w:fill="auto"/>
            <w:hideMark/>
          </w:tcPr>
          <w:p w14:paraId="161F1520" w14:textId="62D98AC3" w:rsidR="00A03144" w:rsidRPr="0044613F" w:rsidRDefault="0006081E" w:rsidP="00355E56">
            <w:pPr>
              <w:rPr>
                <w:sz w:val="20"/>
                <w:szCs w:val="20"/>
              </w:rPr>
            </w:pPr>
            <w:r w:rsidRPr="0044613F">
              <w:rPr>
                <w:rFonts w:eastAsia="Times New Roman"/>
                <w:sz w:val="20"/>
                <w:szCs w:val="20"/>
              </w:rPr>
              <w:t>12.4</w:t>
            </w:r>
          </w:p>
        </w:tc>
      </w:tr>
      <w:tr w:rsidR="00A03144" w:rsidRPr="009D6881" w14:paraId="20A13751" w14:textId="107969EF" w:rsidTr="00355E56">
        <w:tc>
          <w:tcPr>
            <w:tcW w:w="4219" w:type="dxa"/>
            <w:tcBorders>
              <w:top w:val="nil"/>
              <w:left w:val="single" w:sz="4" w:space="0" w:color="auto"/>
              <w:bottom w:val="nil"/>
              <w:right w:val="nil"/>
            </w:tcBorders>
            <w:shd w:val="clear" w:color="auto" w:fill="auto"/>
            <w:hideMark/>
          </w:tcPr>
          <w:p w14:paraId="0639AB18" w14:textId="1BD8B1BC" w:rsidR="00A03144" w:rsidRPr="009D6881" w:rsidRDefault="00A03144" w:rsidP="00355E56">
            <w:pPr>
              <w:rPr>
                <w:sz w:val="20"/>
                <w:szCs w:val="20"/>
              </w:rPr>
            </w:pPr>
            <w:r w:rsidRPr="009D6881">
              <w:rPr>
                <w:rFonts w:eastAsia="Times New Roman"/>
                <w:sz w:val="20"/>
                <w:szCs w:val="20"/>
              </w:rPr>
              <w:t xml:space="preserve">   95% CI</w:t>
            </w:r>
          </w:p>
        </w:tc>
        <w:tc>
          <w:tcPr>
            <w:tcW w:w="2009" w:type="dxa"/>
            <w:tcBorders>
              <w:top w:val="nil"/>
              <w:left w:val="nil"/>
              <w:bottom w:val="nil"/>
              <w:right w:val="nil"/>
            </w:tcBorders>
            <w:shd w:val="clear" w:color="auto" w:fill="auto"/>
            <w:hideMark/>
          </w:tcPr>
          <w:p w14:paraId="6D656B1E" w14:textId="69F25908" w:rsidR="00A03144" w:rsidRPr="0044613F" w:rsidRDefault="003B439B" w:rsidP="003B439B">
            <w:pPr>
              <w:rPr>
                <w:sz w:val="20"/>
                <w:szCs w:val="20"/>
              </w:rPr>
            </w:pPr>
            <w:r w:rsidRPr="0044613F">
              <w:rPr>
                <w:rFonts w:eastAsia="Times New Roman"/>
                <w:sz w:val="20"/>
                <w:szCs w:val="20"/>
              </w:rPr>
              <w:t>11.1, NE</w:t>
            </w:r>
          </w:p>
        </w:tc>
        <w:tc>
          <w:tcPr>
            <w:tcW w:w="2628" w:type="dxa"/>
            <w:tcBorders>
              <w:top w:val="nil"/>
              <w:left w:val="nil"/>
              <w:bottom w:val="nil"/>
              <w:right w:val="single" w:sz="4" w:space="0" w:color="auto"/>
            </w:tcBorders>
            <w:shd w:val="clear" w:color="auto" w:fill="auto"/>
            <w:hideMark/>
          </w:tcPr>
          <w:p w14:paraId="66CB4EF7" w14:textId="086D1E07" w:rsidR="00A03144" w:rsidRPr="0044613F" w:rsidRDefault="003B439B" w:rsidP="00355E56">
            <w:pPr>
              <w:rPr>
                <w:sz w:val="20"/>
                <w:szCs w:val="20"/>
              </w:rPr>
            </w:pPr>
            <w:r w:rsidRPr="0044613F">
              <w:rPr>
                <w:rFonts w:eastAsia="Times New Roman"/>
                <w:sz w:val="20"/>
                <w:szCs w:val="20"/>
              </w:rPr>
              <w:t>8.8, 16.0</w:t>
            </w:r>
          </w:p>
        </w:tc>
      </w:tr>
      <w:tr w:rsidR="00A03144" w:rsidRPr="009D6881" w14:paraId="67DAF797" w14:textId="692C0917" w:rsidTr="00355E56">
        <w:tc>
          <w:tcPr>
            <w:tcW w:w="4219" w:type="dxa"/>
            <w:tcBorders>
              <w:top w:val="nil"/>
              <w:left w:val="single" w:sz="4" w:space="0" w:color="auto"/>
              <w:bottom w:val="nil"/>
              <w:right w:val="nil"/>
            </w:tcBorders>
            <w:shd w:val="clear" w:color="auto" w:fill="auto"/>
            <w:hideMark/>
          </w:tcPr>
          <w:p w14:paraId="63D3F33E" w14:textId="3965AE1C" w:rsidR="00A03144" w:rsidRPr="009D6881" w:rsidRDefault="00A03144" w:rsidP="00355E56">
            <w:pPr>
              <w:rPr>
                <w:sz w:val="20"/>
                <w:szCs w:val="20"/>
              </w:rPr>
            </w:pPr>
            <w:r w:rsidRPr="009D6881">
              <w:rPr>
                <w:rFonts w:eastAsia="Times New Roman"/>
                <w:sz w:val="20"/>
                <w:szCs w:val="20"/>
              </w:rPr>
              <w:t xml:space="preserve">   Unstratified hazard ratio (95% CI)</w:t>
            </w:r>
          </w:p>
        </w:tc>
        <w:tc>
          <w:tcPr>
            <w:tcW w:w="4637" w:type="dxa"/>
            <w:gridSpan w:val="2"/>
            <w:tcBorders>
              <w:top w:val="nil"/>
              <w:left w:val="nil"/>
              <w:bottom w:val="nil"/>
              <w:right w:val="single" w:sz="4" w:space="0" w:color="auto"/>
            </w:tcBorders>
            <w:shd w:val="clear" w:color="auto" w:fill="auto"/>
            <w:hideMark/>
          </w:tcPr>
          <w:p w14:paraId="5527830A" w14:textId="5D259948" w:rsidR="00A03144" w:rsidRPr="0044613F" w:rsidRDefault="0076068B" w:rsidP="00355E56">
            <w:pPr>
              <w:rPr>
                <w:sz w:val="20"/>
                <w:szCs w:val="20"/>
              </w:rPr>
            </w:pPr>
            <w:r w:rsidRPr="0044613F">
              <w:rPr>
                <w:rFonts w:eastAsia="Times New Roman"/>
                <w:sz w:val="20"/>
                <w:szCs w:val="20"/>
              </w:rPr>
              <w:t xml:space="preserve">0.65 (0.37, 1.16) </w:t>
            </w:r>
          </w:p>
        </w:tc>
      </w:tr>
      <w:tr w:rsidR="0076068B" w:rsidRPr="009D6881" w14:paraId="0C9CA543" w14:textId="77777777" w:rsidTr="00355E56">
        <w:tc>
          <w:tcPr>
            <w:tcW w:w="4219" w:type="dxa"/>
            <w:tcBorders>
              <w:top w:val="nil"/>
              <w:left w:val="single" w:sz="4" w:space="0" w:color="auto"/>
              <w:bottom w:val="nil"/>
              <w:right w:val="nil"/>
            </w:tcBorders>
            <w:shd w:val="clear" w:color="auto" w:fill="auto"/>
          </w:tcPr>
          <w:p w14:paraId="670F24A7" w14:textId="644D1C3B" w:rsidR="0076068B" w:rsidRPr="009D6881" w:rsidRDefault="0076068B">
            <w:pPr>
              <w:rPr>
                <w:rFonts w:eastAsia="Times New Roman"/>
                <w:sz w:val="20"/>
                <w:szCs w:val="20"/>
              </w:rPr>
            </w:pPr>
            <w:r w:rsidRPr="009D6881">
              <w:rPr>
                <w:rFonts w:eastAsia="Times New Roman"/>
                <w:b/>
                <w:sz w:val="20"/>
                <w:szCs w:val="20"/>
              </w:rPr>
              <w:t>TC</w:t>
            </w:r>
            <w:r>
              <w:rPr>
                <w:rFonts w:eastAsia="Times New Roman"/>
                <w:b/>
                <w:sz w:val="20"/>
                <w:szCs w:val="20"/>
              </w:rPr>
              <w:t>0</w:t>
            </w:r>
            <w:r w:rsidRPr="009D6881">
              <w:rPr>
                <w:rFonts w:eastAsia="Times New Roman"/>
                <w:b/>
                <w:sz w:val="20"/>
                <w:szCs w:val="20"/>
              </w:rPr>
              <w:t xml:space="preserve"> or IC</w:t>
            </w:r>
            <w:r>
              <w:rPr>
                <w:rFonts w:eastAsia="Times New Roman"/>
                <w:b/>
                <w:sz w:val="20"/>
                <w:szCs w:val="20"/>
              </w:rPr>
              <w:t>0</w:t>
            </w:r>
          </w:p>
        </w:tc>
        <w:tc>
          <w:tcPr>
            <w:tcW w:w="2009" w:type="dxa"/>
            <w:tcBorders>
              <w:top w:val="nil"/>
              <w:left w:val="nil"/>
              <w:bottom w:val="nil"/>
              <w:right w:val="nil"/>
            </w:tcBorders>
            <w:shd w:val="clear" w:color="auto" w:fill="auto"/>
          </w:tcPr>
          <w:p w14:paraId="309C2F6D" w14:textId="3B8EED4D" w:rsidR="0076068B" w:rsidRPr="009D6881" w:rsidRDefault="0076068B">
            <w:pPr>
              <w:rPr>
                <w:rFonts w:eastAsia="Times New Roman"/>
                <w:sz w:val="20"/>
                <w:szCs w:val="20"/>
              </w:rPr>
            </w:pPr>
            <w:r>
              <w:rPr>
                <w:rFonts w:eastAsia="Times New Roman"/>
                <w:sz w:val="20"/>
                <w:szCs w:val="20"/>
              </w:rPr>
              <w:t>n = 51</w:t>
            </w:r>
          </w:p>
        </w:tc>
        <w:tc>
          <w:tcPr>
            <w:tcW w:w="2628" w:type="dxa"/>
            <w:tcBorders>
              <w:top w:val="nil"/>
              <w:left w:val="nil"/>
              <w:bottom w:val="nil"/>
              <w:right w:val="single" w:sz="4" w:space="0" w:color="auto"/>
            </w:tcBorders>
            <w:shd w:val="clear" w:color="auto" w:fill="auto"/>
          </w:tcPr>
          <w:p w14:paraId="4AFDFB40" w14:textId="56D12827" w:rsidR="0076068B" w:rsidRPr="009D6881" w:rsidRDefault="0076068B">
            <w:pPr>
              <w:rPr>
                <w:rFonts w:eastAsia="Times New Roman"/>
                <w:sz w:val="20"/>
                <w:szCs w:val="20"/>
              </w:rPr>
            </w:pPr>
            <w:r>
              <w:rPr>
                <w:rFonts w:eastAsia="Times New Roman"/>
                <w:sz w:val="20"/>
                <w:szCs w:val="20"/>
              </w:rPr>
              <w:t>n = 41</w:t>
            </w:r>
          </w:p>
        </w:tc>
      </w:tr>
      <w:tr w:rsidR="0076068B" w:rsidRPr="009D6881" w14:paraId="3A21F6B7" w14:textId="77777777" w:rsidTr="00355E56">
        <w:tc>
          <w:tcPr>
            <w:tcW w:w="4219" w:type="dxa"/>
            <w:tcBorders>
              <w:top w:val="nil"/>
              <w:left w:val="single" w:sz="4" w:space="0" w:color="auto"/>
              <w:bottom w:val="nil"/>
              <w:right w:val="nil"/>
            </w:tcBorders>
            <w:shd w:val="clear" w:color="auto" w:fill="auto"/>
          </w:tcPr>
          <w:p w14:paraId="5CD4F20A" w14:textId="60BF8A95" w:rsidR="0076068B" w:rsidRPr="009D6881" w:rsidRDefault="0076068B">
            <w:pPr>
              <w:rPr>
                <w:rFonts w:eastAsia="Times New Roman"/>
                <w:sz w:val="20"/>
                <w:szCs w:val="20"/>
              </w:rPr>
            </w:pPr>
            <w:r w:rsidRPr="009D6881">
              <w:rPr>
                <w:rFonts w:eastAsia="Times New Roman"/>
                <w:sz w:val="20"/>
                <w:szCs w:val="20"/>
              </w:rPr>
              <w:lastRenderedPageBreak/>
              <w:t xml:space="preserve">   No. of deaths (%)</w:t>
            </w:r>
          </w:p>
        </w:tc>
        <w:tc>
          <w:tcPr>
            <w:tcW w:w="2009" w:type="dxa"/>
            <w:tcBorders>
              <w:top w:val="nil"/>
              <w:left w:val="nil"/>
              <w:bottom w:val="nil"/>
              <w:right w:val="nil"/>
            </w:tcBorders>
            <w:shd w:val="clear" w:color="auto" w:fill="auto"/>
          </w:tcPr>
          <w:p w14:paraId="74C22B06" w14:textId="29573B86" w:rsidR="0076068B" w:rsidRPr="009D6881" w:rsidRDefault="0076068B">
            <w:pPr>
              <w:rPr>
                <w:rFonts w:eastAsia="Times New Roman"/>
                <w:sz w:val="20"/>
                <w:szCs w:val="20"/>
              </w:rPr>
            </w:pPr>
            <w:r w:rsidRPr="0076068B">
              <w:rPr>
                <w:rFonts w:eastAsia="Times New Roman"/>
                <w:sz w:val="20"/>
                <w:szCs w:val="20"/>
              </w:rPr>
              <w:t>33 (64.7%)</w:t>
            </w:r>
          </w:p>
        </w:tc>
        <w:tc>
          <w:tcPr>
            <w:tcW w:w="2628" w:type="dxa"/>
            <w:tcBorders>
              <w:top w:val="nil"/>
              <w:left w:val="nil"/>
              <w:bottom w:val="nil"/>
              <w:right w:val="single" w:sz="4" w:space="0" w:color="auto"/>
            </w:tcBorders>
            <w:shd w:val="clear" w:color="auto" w:fill="auto"/>
          </w:tcPr>
          <w:p w14:paraId="70564F02" w14:textId="18B4128A" w:rsidR="0076068B" w:rsidRPr="009D6881" w:rsidRDefault="0076068B">
            <w:pPr>
              <w:rPr>
                <w:rFonts w:eastAsia="Times New Roman"/>
                <w:sz w:val="20"/>
                <w:szCs w:val="20"/>
              </w:rPr>
            </w:pPr>
            <w:r w:rsidRPr="0076068B">
              <w:rPr>
                <w:rFonts w:eastAsia="Times New Roman"/>
                <w:sz w:val="20"/>
                <w:szCs w:val="20"/>
              </w:rPr>
              <w:t>26 (63.4%)</w:t>
            </w:r>
          </w:p>
        </w:tc>
      </w:tr>
      <w:tr w:rsidR="0076068B" w:rsidRPr="009D6881" w14:paraId="3F6A86D9" w14:textId="77777777" w:rsidTr="00355E56">
        <w:tc>
          <w:tcPr>
            <w:tcW w:w="4219" w:type="dxa"/>
            <w:tcBorders>
              <w:top w:val="nil"/>
              <w:left w:val="single" w:sz="4" w:space="0" w:color="auto"/>
              <w:bottom w:val="nil"/>
              <w:right w:val="nil"/>
            </w:tcBorders>
            <w:shd w:val="clear" w:color="auto" w:fill="auto"/>
          </w:tcPr>
          <w:p w14:paraId="0C48A250" w14:textId="094ADC76" w:rsidR="0076068B" w:rsidRPr="009D6881" w:rsidRDefault="0076068B">
            <w:pPr>
              <w:rPr>
                <w:rFonts w:eastAsia="Times New Roman"/>
                <w:sz w:val="20"/>
                <w:szCs w:val="20"/>
              </w:rPr>
            </w:pPr>
            <w:r w:rsidRPr="009D6881">
              <w:rPr>
                <w:rFonts w:eastAsia="Times New Roman"/>
                <w:sz w:val="20"/>
                <w:szCs w:val="20"/>
              </w:rPr>
              <w:t xml:space="preserve">   Median time to events (months)</w:t>
            </w:r>
          </w:p>
        </w:tc>
        <w:tc>
          <w:tcPr>
            <w:tcW w:w="2009" w:type="dxa"/>
            <w:tcBorders>
              <w:top w:val="nil"/>
              <w:left w:val="nil"/>
              <w:bottom w:val="nil"/>
              <w:right w:val="nil"/>
            </w:tcBorders>
            <w:shd w:val="clear" w:color="auto" w:fill="auto"/>
          </w:tcPr>
          <w:p w14:paraId="64833262" w14:textId="47E7CF6F" w:rsidR="0076068B" w:rsidRPr="009D6881" w:rsidRDefault="0076068B">
            <w:pPr>
              <w:rPr>
                <w:rFonts w:eastAsia="Times New Roman"/>
                <w:sz w:val="20"/>
                <w:szCs w:val="20"/>
              </w:rPr>
            </w:pPr>
            <w:r w:rsidRPr="0076068B">
              <w:rPr>
                <w:rFonts w:eastAsia="Times New Roman"/>
                <w:sz w:val="20"/>
                <w:szCs w:val="20"/>
              </w:rPr>
              <w:t>9.7</w:t>
            </w:r>
          </w:p>
        </w:tc>
        <w:tc>
          <w:tcPr>
            <w:tcW w:w="2628" w:type="dxa"/>
            <w:tcBorders>
              <w:top w:val="nil"/>
              <w:left w:val="nil"/>
              <w:bottom w:val="nil"/>
              <w:right w:val="single" w:sz="4" w:space="0" w:color="auto"/>
            </w:tcBorders>
            <w:shd w:val="clear" w:color="auto" w:fill="auto"/>
          </w:tcPr>
          <w:p w14:paraId="5987879D" w14:textId="0D5BAFAD" w:rsidR="0076068B" w:rsidRPr="009D6881" w:rsidRDefault="0076068B">
            <w:pPr>
              <w:rPr>
                <w:rFonts w:eastAsia="Times New Roman"/>
                <w:sz w:val="20"/>
                <w:szCs w:val="20"/>
              </w:rPr>
            </w:pPr>
            <w:r w:rsidRPr="0076068B">
              <w:rPr>
                <w:rFonts w:eastAsia="Times New Roman"/>
                <w:sz w:val="20"/>
                <w:szCs w:val="20"/>
              </w:rPr>
              <w:t>9.7</w:t>
            </w:r>
          </w:p>
        </w:tc>
      </w:tr>
      <w:tr w:rsidR="0076068B" w:rsidRPr="009D6881" w14:paraId="2A6ED397" w14:textId="77777777" w:rsidTr="00355E56">
        <w:tc>
          <w:tcPr>
            <w:tcW w:w="4219" w:type="dxa"/>
            <w:tcBorders>
              <w:top w:val="nil"/>
              <w:left w:val="single" w:sz="4" w:space="0" w:color="auto"/>
              <w:bottom w:val="nil"/>
              <w:right w:val="nil"/>
            </w:tcBorders>
            <w:shd w:val="clear" w:color="auto" w:fill="auto"/>
          </w:tcPr>
          <w:p w14:paraId="4479200C" w14:textId="2D0A6A52" w:rsidR="0076068B" w:rsidRPr="009D6881" w:rsidRDefault="0076068B">
            <w:pPr>
              <w:rPr>
                <w:rFonts w:eastAsia="Times New Roman"/>
                <w:sz w:val="20"/>
                <w:szCs w:val="20"/>
              </w:rPr>
            </w:pPr>
            <w:r w:rsidRPr="009D6881">
              <w:rPr>
                <w:rFonts w:eastAsia="Times New Roman"/>
                <w:sz w:val="20"/>
                <w:szCs w:val="20"/>
              </w:rPr>
              <w:t xml:space="preserve">   95% CI</w:t>
            </w:r>
          </w:p>
        </w:tc>
        <w:tc>
          <w:tcPr>
            <w:tcW w:w="2009" w:type="dxa"/>
            <w:tcBorders>
              <w:top w:val="nil"/>
              <w:left w:val="nil"/>
              <w:bottom w:val="nil"/>
              <w:right w:val="nil"/>
            </w:tcBorders>
            <w:shd w:val="clear" w:color="auto" w:fill="auto"/>
          </w:tcPr>
          <w:p w14:paraId="533024CA" w14:textId="2F5C9362" w:rsidR="0076068B" w:rsidRPr="009D6881" w:rsidRDefault="0076068B">
            <w:pPr>
              <w:rPr>
                <w:rFonts w:eastAsia="Times New Roman"/>
                <w:sz w:val="20"/>
                <w:szCs w:val="20"/>
              </w:rPr>
            </w:pPr>
            <w:r w:rsidRPr="0076068B">
              <w:rPr>
                <w:rFonts w:eastAsia="Times New Roman"/>
                <w:sz w:val="20"/>
                <w:szCs w:val="20"/>
              </w:rPr>
              <w:t>(6.7, 12.0)</w:t>
            </w:r>
          </w:p>
        </w:tc>
        <w:tc>
          <w:tcPr>
            <w:tcW w:w="2628" w:type="dxa"/>
            <w:tcBorders>
              <w:top w:val="nil"/>
              <w:left w:val="nil"/>
              <w:bottom w:val="nil"/>
              <w:right w:val="single" w:sz="4" w:space="0" w:color="auto"/>
            </w:tcBorders>
            <w:shd w:val="clear" w:color="auto" w:fill="auto"/>
          </w:tcPr>
          <w:p w14:paraId="75CF3D47" w14:textId="75EAC29C" w:rsidR="0076068B" w:rsidRPr="009D6881" w:rsidRDefault="0076068B">
            <w:pPr>
              <w:rPr>
                <w:rFonts w:eastAsia="Times New Roman"/>
                <w:sz w:val="20"/>
                <w:szCs w:val="20"/>
              </w:rPr>
            </w:pPr>
            <w:r w:rsidRPr="0076068B">
              <w:rPr>
                <w:rFonts w:eastAsia="Times New Roman"/>
                <w:sz w:val="20"/>
                <w:szCs w:val="20"/>
              </w:rPr>
              <w:t>(8.6, 12.0)</w:t>
            </w:r>
          </w:p>
        </w:tc>
      </w:tr>
      <w:tr w:rsidR="0076068B" w:rsidRPr="009D6881" w14:paraId="0294D838" w14:textId="77777777" w:rsidTr="00355E56">
        <w:tc>
          <w:tcPr>
            <w:tcW w:w="4219" w:type="dxa"/>
            <w:tcBorders>
              <w:top w:val="nil"/>
              <w:left w:val="single" w:sz="4" w:space="0" w:color="auto"/>
              <w:bottom w:val="single" w:sz="4" w:space="0" w:color="auto"/>
              <w:right w:val="nil"/>
            </w:tcBorders>
            <w:shd w:val="clear" w:color="auto" w:fill="auto"/>
          </w:tcPr>
          <w:p w14:paraId="352D7051" w14:textId="5177C834" w:rsidR="0076068B" w:rsidRPr="009D6881" w:rsidRDefault="0076068B">
            <w:pPr>
              <w:rPr>
                <w:rFonts w:eastAsia="Times New Roman"/>
                <w:sz w:val="20"/>
                <w:szCs w:val="20"/>
              </w:rPr>
            </w:pPr>
            <w:r w:rsidRPr="009D6881">
              <w:rPr>
                <w:rFonts w:eastAsia="Times New Roman"/>
                <w:sz w:val="20"/>
                <w:szCs w:val="20"/>
              </w:rPr>
              <w:t xml:space="preserve">   Unstratified hazard ratio (95% CI)</w:t>
            </w:r>
          </w:p>
        </w:tc>
        <w:tc>
          <w:tcPr>
            <w:tcW w:w="2009" w:type="dxa"/>
            <w:tcBorders>
              <w:top w:val="nil"/>
              <w:left w:val="nil"/>
              <w:bottom w:val="single" w:sz="4" w:space="0" w:color="auto"/>
              <w:right w:val="nil"/>
            </w:tcBorders>
            <w:shd w:val="clear" w:color="auto" w:fill="auto"/>
          </w:tcPr>
          <w:p w14:paraId="59ABD60B" w14:textId="7953B128" w:rsidR="0076068B" w:rsidRPr="009D6881" w:rsidRDefault="0076068B">
            <w:pPr>
              <w:rPr>
                <w:rFonts w:eastAsia="Times New Roman"/>
                <w:sz w:val="20"/>
                <w:szCs w:val="20"/>
              </w:rPr>
            </w:pPr>
            <w:r w:rsidRPr="0076068B">
              <w:rPr>
                <w:rFonts w:eastAsia="Times New Roman"/>
                <w:sz w:val="20"/>
                <w:szCs w:val="20"/>
              </w:rPr>
              <w:t>1.04 (0.62, 1.75)</w:t>
            </w:r>
          </w:p>
        </w:tc>
        <w:tc>
          <w:tcPr>
            <w:tcW w:w="2628" w:type="dxa"/>
            <w:tcBorders>
              <w:top w:val="nil"/>
              <w:left w:val="nil"/>
              <w:bottom w:val="single" w:sz="4" w:space="0" w:color="auto"/>
              <w:right w:val="single" w:sz="4" w:space="0" w:color="auto"/>
            </w:tcBorders>
            <w:shd w:val="clear" w:color="auto" w:fill="auto"/>
          </w:tcPr>
          <w:p w14:paraId="2B3A9C8F" w14:textId="70F3F285" w:rsidR="0076068B" w:rsidRPr="009D6881" w:rsidRDefault="0076068B">
            <w:pPr>
              <w:rPr>
                <w:rFonts w:eastAsia="Times New Roman"/>
                <w:sz w:val="20"/>
                <w:szCs w:val="20"/>
              </w:rPr>
            </w:pPr>
          </w:p>
        </w:tc>
      </w:tr>
    </w:tbl>
    <w:p w14:paraId="6C89246A" w14:textId="262DD70D" w:rsidR="00A03144" w:rsidRPr="009D6881" w:rsidRDefault="00A03144" w:rsidP="00030023">
      <w:pPr>
        <w:rPr>
          <w:sz w:val="22"/>
        </w:rPr>
      </w:pPr>
      <w:r w:rsidRPr="009D6881">
        <w:rPr>
          <w:sz w:val="22"/>
        </w:rPr>
        <w:t>CI = confidence interval; IC = tumour-infiltrating immune cells; OS = overall survival.</w:t>
      </w:r>
    </w:p>
    <w:p w14:paraId="6446F788" w14:textId="7C6D2695" w:rsidR="00A03144" w:rsidRPr="009D6881" w:rsidRDefault="00A03144" w:rsidP="00030023"/>
    <w:p w14:paraId="1193145F" w14:textId="55374464" w:rsidR="00A03144" w:rsidRPr="00030023" w:rsidRDefault="00A03144" w:rsidP="00030023">
      <w:pPr>
        <w:rPr>
          <w:b/>
        </w:rPr>
      </w:pPr>
      <w:r w:rsidRPr="00030023">
        <w:rPr>
          <w:b/>
        </w:rPr>
        <w:t xml:space="preserve">Figure </w:t>
      </w:r>
      <w:r w:rsidR="002C086E" w:rsidRPr="00030023">
        <w:rPr>
          <w:b/>
        </w:rPr>
        <w:t>3</w:t>
      </w:r>
      <w:r w:rsidRPr="00030023">
        <w:rPr>
          <w:b/>
        </w:rPr>
        <w:t>. Kaplan-Meier Plot for Overall Survival (Primary Analysis – ITT Population)</w:t>
      </w:r>
    </w:p>
    <w:p w14:paraId="52812C92" w14:textId="026E1BE4" w:rsidR="00A03144" w:rsidRPr="00030023" w:rsidRDefault="00A03144" w:rsidP="00355E56">
      <w:r w:rsidRPr="00030023">
        <w:rPr>
          <w:noProof/>
          <w:lang w:eastAsia="en-AU"/>
        </w:rPr>
        <w:drawing>
          <wp:inline distT="0" distB="0" distL="0" distR="0" wp14:anchorId="4097AF63" wp14:editId="09BA0C35">
            <wp:extent cx="5408930" cy="2933065"/>
            <wp:effectExtent l="0" t="0" r="1270" b="635"/>
            <wp:docPr id="4" name="Picture 4" descr="POPLAR KM curve - artwork ready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LAR KM curve - artwork ready (black and white)"/>
                    <pic:cNvPicPr>
                      <a:picLocks noChangeAspect="1" noChangeArrowheads="1"/>
                    </pic:cNvPicPr>
                  </pic:nvPicPr>
                  <pic:blipFill>
                    <a:blip r:embed="rId15" cstate="print">
                      <a:extLst>
                        <a:ext uri="{28A0092B-C50C-407E-A947-70E740481C1C}">
                          <a14:useLocalDpi xmlns:a14="http://schemas.microsoft.com/office/drawing/2010/main" val="0"/>
                        </a:ext>
                      </a:extLst>
                    </a:blip>
                    <a:srcRect l="696" t="12944" r="696" b="6680"/>
                    <a:stretch>
                      <a:fillRect/>
                    </a:stretch>
                  </pic:blipFill>
                  <pic:spPr bwMode="auto">
                    <a:xfrm>
                      <a:off x="0" y="0"/>
                      <a:ext cx="5408930" cy="2933065"/>
                    </a:xfrm>
                    <a:prstGeom prst="rect">
                      <a:avLst/>
                    </a:prstGeom>
                    <a:noFill/>
                    <a:ln>
                      <a:noFill/>
                    </a:ln>
                  </pic:spPr>
                </pic:pic>
              </a:graphicData>
            </a:graphic>
          </wp:inline>
        </w:drawing>
      </w:r>
    </w:p>
    <w:p w14:paraId="30BB94FC" w14:textId="77777777" w:rsidR="00E61D05" w:rsidRDefault="00DB5BCD" w:rsidP="00355E56">
      <w:pPr>
        <w:rPr>
          <w:lang w:val="en-US"/>
        </w:rPr>
      </w:pPr>
      <w:r w:rsidRPr="00030023">
        <w:rPr>
          <w:lang w:val="en-US"/>
        </w:rPr>
        <w:t>An updated analysi</w:t>
      </w:r>
      <w:r w:rsidRPr="00355E56">
        <w:t xml:space="preserve">s with a total of 200 deaths observed and a median survival follow-up of 22 months showed a median OS of 12.6 months in patients treated with </w:t>
      </w:r>
      <w:r w:rsidR="008C70BA" w:rsidRPr="008C70BA">
        <w:t>Tecentriq</w:t>
      </w:r>
      <w:r w:rsidRPr="00355E56">
        <w:t>, vs. 9.7 months in patients treated with docetaxel (HR of 0.69, 95% CI: 0.52, 0.92). ORR was 15.3% vs. 14.7% and media</w:t>
      </w:r>
      <w:r w:rsidRPr="00030023">
        <w:rPr>
          <w:lang w:val="en-US"/>
        </w:rPr>
        <w:t xml:space="preserve">n DOR was 18.6 months vs. 7.2 months for </w:t>
      </w:r>
      <w:r w:rsidR="008C70BA" w:rsidRPr="00030023">
        <w:rPr>
          <w:lang w:val="en-US"/>
        </w:rPr>
        <w:t xml:space="preserve">Tecentriq </w:t>
      </w:r>
      <w:r w:rsidRPr="00030023">
        <w:rPr>
          <w:lang w:val="en-US"/>
        </w:rPr>
        <w:t>vs. docetaxel, respectively.</w:t>
      </w:r>
    </w:p>
    <w:p w14:paraId="26F6D713" w14:textId="77777777" w:rsidR="00E61D05" w:rsidRDefault="00E61D05" w:rsidP="00355E56">
      <w:pPr>
        <w:rPr>
          <w:lang w:val="en-US"/>
        </w:rPr>
      </w:pPr>
    </w:p>
    <w:p w14:paraId="1EB8BBBF" w14:textId="274F442A" w:rsidR="00A03144" w:rsidRPr="003427AF" w:rsidRDefault="00A03144" w:rsidP="008D3F49">
      <w:r w:rsidRPr="00B92A59">
        <w:rPr>
          <w:u w:val="single"/>
        </w:rPr>
        <w:t>GO28754</w:t>
      </w:r>
    </w:p>
    <w:p w14:paraId="300751F9" w14:textId="2D4EDF11" w:rsidR="00A03144" w:rsidRPr="009D6881" w:rsidRDefault="00A03144" w:rsidP="00030023">
      <w:r w:rsidRPr="009D6881">
        <w:t xml:space="preserve">A phase II, multi-centre, international, single-arm clinical trial, GO28754 (BIRCH), was conducted in patients with PD-L1-selected locally advanced or metastatic NSCLC. Patients with TC2/3 or IC2/3 tumours were enrolled. Patients were excluded if they had a history of autoimmune disease, active brain metastasis, administration of a live, attenuated vaccine within 28 days prior to enrolment, administration of systemic immunostimulatory agents within 6 weeks or systemic immunosuppressive medications within 2 weeks. A total of 667 patients were enrolled into three cohorts: Cohort 1 included patients who had not received prior chemotherapy for advanced NSCLC (1L); Cohort 2 included patients who had received one platinum based chemotherapy regimen for advanced NSCLC (2L); Cohort 3 included patients who had received at least one platinum based chemotherapy and one additional regimen for advanced NSCLC (3L+). </w:t>
      </w:r>
    </w:p>
    <w:p w14:paraId="23E09127" w14:textId="45D0602C" w:rsidR="00A03144" w:rsidRPr="009D6881" w:rsidRDefault="00A03144" w:rsidP="00030023"/>
    <w:p w14:paraId="792D5AE2" w14:textId="3E6970C1" w:rsidR="00A03144" w:rsidRPr="009D6881" w:rsidRDefault="00A03144" w:rsidP="00030023">
      <w:r w:rsidRPr="009D6881">
        <w:t>There were 520 patients treated in Cohorts 2 and 3 (n = 267, 253 respectively). Patient demographics and baseline characteristics were representative of patients with previously treated locally advanced or metastatic NSCLC. In 2L+ treated patients, more than half were male (61%). The majority of patients were White (82%). Most patients were smokers (83%; current or previous). Almost two-thirds of patients had ECOG score of 1 (66%). Most patients had non-squamous disease (71%).</w:t>
      </w:r>
    </w:p>
    <w:p w14:paraId="5C048883" w14:textId="6E17616B" w:rsidR="00A03144" w:rsidRPr="009D6881" w:rsidRDefault="00A03144" w:rsidP="00030023"/>
    <w:p w14:paraId="34F5DF89" w14:textId="594C9CD5" w:rsidR="00A03144" w:rsidRPr="009D6881" w:rsidRDefault="00266F4D" w:rsidP="00030023">
      <w:r w:rsidRPr="009D6881">
        <w:t xml:space="preserve">Tecentriq </w:t>
      </w:r>
      <w:r w:rsidR="00A03144" w:rsidRPr="009D6881">
        <w:t xml:space="preserve">was administered as a fixed dose of 1200 mg by IV infusion every 3 weeks. No dose reduction was allowed. Patients in Cohorts 2 and 3 were treated until loss of clinical benefit as assessed by the investigator. The median duration of treatment was 4.1 months and median survival follow-up was 8.4 months for 2L+ TC2/3 or IC2/3. </w:t>
      </w:r>
    </w:p>
    <w:p w14:paraId="578D4B5B" w14:textId="713751CE" w:rsidR="00A03144" w:rsidRPr="009D6881" w:rsidRDefault="00A03144" w:rsidP="00030023"/>
    <w:p w14:paraId="6290D1ED" w14:textId="44C55B41" w:rsidR="00A03144" w:rsidRPr="009D6881" w:rsidRDefault="00A03144" w:rsidP="00030023">
      <w:r w:rsidRPr="009D6881">
        <w:t xml:space="preserve">The primary analysis was performed approximately 6 months after the last patient was enrolled. The primary efficacy endpoint was confirmed ORR as assessed by an IRF according to RECIST v1.1. Key efficacy results in all 2L+ treated patients are summarised in Table </w:t>
      </w:r>
      <w:r w:rsidR="00D561D7">
        <w:t>4</w:t>
      </w:r>
      <w:r w:rsidRPr="009D6881">
        <w:t xml:space="preserve">. </w:t>
      </w:r>
    </w:p>
    <w:p w14:paraId="68D25234" w14:textId="624A985D" w:rsidR="00A03144" w:rsidRPr="009D6881" w:rsidRDefault="00A03144" w:rsidP="00030023"/>
    <w:p w14:paraId="67A87E50" w14:textId="681C15F0" w:rsidR="00A03144" w:rsidRPr="009D6881" w:rsidRDefault="00A03144" w:rsidP="00030023">
      <w:pPr>
        <w:rPr>
          <w:b/>
        </w:rPr>
      </w:pPr>
      <w:r w:rsidRPr="009D6881">
        <w:rPr>
          <w:b/>
        </w:rPr>
        <w:t xml:space="preserve">Table </w:t>
      </w:r>
      <w:r w:rsidR="002C086E">
        <w:rPr>
          <w:b/>
        </w:rPr>
        <w:t>4</w:t>
      </w:r>
      <w:r w:rsidRPr="009D6881">
        <w:rPr>
          <w:b/>
        </w:rPr>
        <w:t xml:space="preserve">. Summary of efficacy from GO28754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836"/>
        <w:gridCol w:w="662"/>
      </w:tblGrid>
      <w:tr w:rsidR="00A03144" w:rsidRPr="009D6881" w14:paraId="24F2EF1E" w14:textId="7BF851F0" w:rsidTr="00BB05D8">
        <w:trPr>
          <w:tblHeader/>
        </w:trPr>
        <w:tc>
          <w:tcPr>
            <w:tcW w:w="5070" w:type="dxa"/>
            <w:tcBorders>
              <w:bottom w:val="single" w:sz="4" w:space="0" w:color="auto"/>
              <w:right w:val="nil"/>
            </w:tcBorders>
            <w:shd w:val="clear" w:color="auto" w:fill="auto"/>
            <w:vAlign w:val="bottom"/>
          </w:tcPr>
          <w:p w14:paraId="4602B2B5" w14:textId="73626C88" w:rsidR="00A03144" w:rsidRPr="009D6881" w:rsidRDefault="00A03144" w:rsidP="008D3F49">
            <w:pPr>
              <w:rPr>
                <w:rFonts w:eastAsia="Times New Roman"/>
                <w:b/>
                <w:bCs/>
                <w:sz w:val="22"/>
                <w:u w:val="single"/>
              </w:rPr>
            </w:pPr>
            <w:r w:rsidRPr="009D6881">
              <w:rPr>
                <w:rFonts w:eastAsia="Times New Roman"/>
                <w:b/>
                <w:sz w:val="22"/>
              </w:rPr>
              <w:t>Efficacy endpoint</w:t>
            </w:r>
          </w:p>
        </w:tc>
        <w:tc>
          <w:tcPr>
            <w:tcW w:w="3498" w:type="dxa"/>
            <w:gridSpan w:val="2"/>
            <w:tcBorders>
              <w:left w:val="nil"/>
              <w:bottom w:val="single" w:sz="4" w:space="0" w:color="auto"/>
            </w:tcBorders>
            <w:shd w:val="clear" w:color="auto" w:fill="auto"/>
            <w:vAlign w:val="bottom"/>
          </w:tcPr>
          <w:p w14:paraId="708E95F4" w14:textId="21EAA361" w:rsidR="00A03144" w:rsidRPr="009D6881" w:rsidRDefault="00A03144" w:rsidP="00355E56">
            <w:pPr>
              <w:rPr>
                <w:rFonts w:eastAsia="Times New Roman"/>
                <w:b/>
                <w:sz w:val="22"/>
              </w:rPr>
            </w:pPr>
            <w:r w:rsidRPr="009D6881">
              <w:rPr>
                <w:rFonts w:eastAsia="Times New Roman"/>
                <w:b/>
                <w:sz w:val="22"/>
              </w:rPr>
              <w:t>Cohorts 2 and 3</w:t>
            </w:r>
          </w:p>
          <w:p w14:paraId="291BA76E" w14:textId="418A9163" w:rsidR="00A03144" w:rsidRPr="009D6881" w:rsidRDefault="00A03144" w:rsidP="00355E56">
            <w:pPr>
              <w:rPr>
                <w:rFonts w:eastAsia="Times New Roman"/>
                <w:b/>
                <w:sz w:val="22"/>
              </w:rPr>
            </w:pPr>
            <w:r w:rsidRPr="009D6881">
              <w:rPr>
                <w:rFonts w:eastAsia="Times New Roman"/>
                <w:b/>
                <w:sz w:val="22"/>
              </w:rPr>
              <w:t>(2L+ in TC2/3 or IC2/3)</w:t>
            </w:r>
          </w:p>
        </w:tc>
      </w:tr>
      <w:tr w:rsidR="00A03144" w:rsidRPr="009D6881" w14:paraId="2BE3E5FB" w14:textId="415B6DBA" w:rsidTr="00BB05D8">
        <w:tc>
          <w:tcPr>
            <w:tcW w:w="5070" w:type="dxa"/>
            <w:tcBorders>
              <w:bottom w:val="single" w:sz="4" w:space="0" w:color="auto"/>
              <w:right w:val="nil"/>
            </w:tcBorders>
            <w:shd w:val="clear" w:color="auto" w:fill="auto"/>
          </w:tcPr>
          <w:p w14:paraId="16CC28AB" w14:textId="006C4F44" w:rsidR="00A03144" w:rsidRPr="009D6881" w:rsidRDefault="00A03144" w:rsidP="008D3F49">
            <w:pPr>
              <w:rPr>
                <w:rFonts w:eastAsia="Times New Roman"/>
                <w:b/>
                <w:bCs/>
                <w:i/>
                <w:sz w:val="22"/>
                <w:u w:val="single"/>
              </w:rPr>
            </w:pPr>
            <w:r w:rsidRPr="009D6881">
              <w:rPr>
                <w:rFonts w:eastAsia="Times New Roman"/>
                <w:b/>
                <w:i/>
                <w:sz w:val="22"/>
              </w:rPr>
              <w:t>Primary Efficacy Endpoint</w:t>
            </w:r>
          </w:p>
        </w:tc>
        <w:tc>
          <w:tcPr>
            <w:tcW w:w="2836" w:type="dxa"/>
            <w:tcBorders>
              <w:left w:val="nil"/>
              <w:bottom w:val="single" w:sz="4" w:space="0" w:color="auto"/>
              <w:right w:val="nil"/>
            </w:tcBorders>
            <w:shd w:val="clear" w:color="auto" w:fill="auto"/>
          </w:tcPr>
          <w:p w14:paraId="3140E8A3" w14:textId="5629868B" w:rsidR="00A03144" w:rsidRPr="009D6881" w:rsidRDefault="00A03144" w:rsidP="008D3F49">
            <w:pPr>
              <w:rPr>
                <w:rFonts w:eastAsia="Times New Roman"/>
                <w:sz w:val="22"/>
              </w:rPr>
            </w:pPr>
          </w:p>
        </w:tc>
        <w:tc>
          <w:tcPr>
            <w:tcW w:w="662" w:type="dxa"/>
            <w:tcBorders>
              <w:left w:val="nil"/>
              <w:bottom w:val="single" w:sz="4" w:space="0" w:color="auto"/>
            </w:tcBorders>
            <w:shd w:val="clear" w:color="auto" w:fill="auto"/>
          </w:tcPr>
          <w:p w14:paraId="222977C1" w14:textId="121B6E19" w:rsidR="00A03144" w:rsidRPr="009D6881" w:rsidRDefault="00A03144" w:rsidP="008D3F49">
            <w:pPr>
              <w:rPr>
                <w:rFonts w:eastAsia="Times New Roman"/>
                <w:sz w:val="22"/>
              </w:rPr>
            </w:pPr>
          </w:p>
        </w:tc>
      </w:tr>
      <w:tr w:rsidR="00A03144" w:rsidRPr="009D6881" w14:paraId="682B175E" w14:textId="4C149C62" w:rsidTr="00BB05D8">
        <w:tc>
          <w:tcPr>
            <w:tcW w:w="5070" w:type="dxa"/>
            <w:tcBorders>
              <w:bottom w:val="nil"/>
              <w:right w:val="nil"/>
            </w:tcBorders>
            <w:shd w:val="clear" w:color="auto" w:fill="auto"/>
          </w:tcPr>
          <w:p w14:paraId="60FA90DE" w14:textId="6B8D5EB2" w:rsidR="00A03144" w:rsidRPr="009D6881" w:rsidRDefault="00A03144" w:rsidP="008D3F49">
            <w:pPr>
              <w:rPr>
                <w:rFonts w:eastAsia="Times New Roman"/>
                <w:b/>
                <w:bCs/>
                <w:i/>
                <w:sz w:val="22"/>
                <w:u w:val="single"/>
              </w:rPr>
            </w:pPr>
            <w:r w:rsidRPr="009D6881">
              <w:rPr>
                <w:rFonts w:eastAsia="Times New Roman"/>
                <w:b/>
                <w:i/>
                <w:sz w:val="22"/>
              </w:rPr>
              <w:t>IRF-assessed ORR (RECIST v1.1)</w:t>
            </w:r>
          </w:p>
        </w:tc>
        <w:tc>
          <w:tcPr>
            <w:tcW w:w="3498" w:type="dxa"/>
            <w:gridSpan w:val="2"/>
            <w:tcBorders>
              <w:left w:val="nil"/>
              <w:bottom w:val="nil"/>
            </w:tcBorders>
            <w:shd w:val="clear" w:color="auto" w:fill="auto"/>
          </w:tcPr>
          <w:p w14:paraId="079487D1" w14:textId="2976C29C" w:rsidR="00A03144" w:rsidRPr="009D6881" w:rsidRDefault="00A03144" w:rsidP="008D3F49">
            <w:pPr>
              <w:rPr>
                <w:rFonts w:eastAsia="Times New Roman"/>
                <w:bCs/>
                <w:sz w:val="22"/>
                <w:u w:val="single"/>
              </w:rPr>
            </w:pPr>
            <w:r w:rsidRPr="009D6881">
              <w:rPr>
                <w:rFonts w:eastAsia="Times New Roman"/>
                <w:sz w:val="22"/>
              </w:rPr>
              <w:t>n = 520</w:t>
            </w:r>
          </w:p>
        </w:tc>
      </w:tr>
      <w:tr w:rsidR="00A03144" w:rsidRPr="009D6881" w14:paraId="0F732879" w14:textId="459738DE" w:rsidTr="00BB05D8">
        <w:tc>
          <w:tcPr>
            <w:tcW w:w="5070" w:type="dxa"/>
            <w:tcBorders>
              <w:top w:val="nil"/>
              <w:bottom w:val="nil"/>
              <w:right w:val="nil"/>
            </w:tcBorders>
            <w:shd w:val="clear" w:color="auto" w:fill="auto"/>
          </w:tcPr>
          <w:p w14:paraId="582C6510" w14:textId="4DC040E7" w:rsidR="00A03144" w:rsidRPr="009D6881" w:rsidRDefault="00A03144" w:rsidP="008D3F49">
            <w:pPr>
              <w:rPr>
                <w:rFonts w:eastAsia="Times New Roman"/>
                <w:bCs/>
                <w:sz w:val="22"/>
                <w:u w:val="single"/>
              </w:rPr>
            </w:pPr>
            <w:r w:rsidRPr="009D6881">
              <w:rPr>
                <w:rFonts w:eastAsia="Times New Roman"/>
                <w:sz w:val="22"/>
              </w:rPr>
              <w:t xml:space="preserve">   No. of Responders (%)</w:t>
            </w:r>
          </w:p>
        </w:tc>
        <w:tc>
          <w:tcPr>
            <w:tcW w:w="3498" w:type="dxa"/>
            <w:gridSpan w:val="2"/>
            <w:tcBorders>
              <w:top w:val="nil"/>
              <w:left w:val="nil"/>
              <w:bottom w:val="nil"/>
            </w:tcBorders>
            <w:shd w:val="clear" w:color="auto" w:fill="auto"/>
          </w:tcPr>
          <w:p w14:paraId="3A2DF094" w14:textId="6386CDEF" w:rsidR="00A03144" w:rsidRPr="009D6881" w:rsidRDefault="00A03144" w:rsidP="008D3F49">
            <w:pPr>
              <w:rPr>
                <w:rFonts w:eastAsia="Times New Roman"/>
                <w:bCs/>
                <w:sz w:val="22"/>
                <w:u w:val="single"/>
              </w:rPr>
            </w:pPr>
            <w:r w:rsidRPr="009D6881">
              <w:rPr>
                <w:rFonts w:eastAsia="Times New Roman"/>
                <w:sz w:val="22"/>
              </w:rPr>
              <w:t>90 (17.3%)</w:t>
            </w:r>
          </w:p>
        </w:tc>
      </w:tr>
      <w:tr w:rsidR="00A03144" w:rsidRPr="009D6881" w14:paraId="256820AC" w14:textId="4878674E" w:rsidTr="00BB05D8">
        <w:tc>
          <w:tcPr>
            <w:tcW w:w="5070" w:type="dxa"/>
            <w:tcBorders>
              <w:top w:val="nil"/>
              <w:bottom w:val="single" w:sz="4" w:space="0" w:color="auto"/>
              <w:right w:val="nil"/>
            </w:tcBorders>
            <w:shd w:val="clear" w:color="auto" w:fill="auto"/>
          </w:tcPr>
          <w:p w14:paraId="4FE4611B" w14:textId="556D7DD4"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single" w:sz="4" w:space="0" w:color="auto"/>
            </w:tcBorders>
            <w:shd w:val="clear" w:color="auto" w:fill="auto"/>
          </w:tcPr>
          <w:p w14:paraId="076E16AA" w14:textId="64811E68" w:rsidR="00A03144" w:rsidRPr="009D6881" w:rsidRDefault="00A03144" w:rsidP="008D3F49">
            <w:pPr>
              <w:rPr>
                <w:rFonts w:eastAsia="Times New Roman"/>
                <w:bCs/>
                <w:sz w:val="22"/>
                <w:u w:val="single"/>
              </w:rPr>
            </w:pPr>
            <w:r w:rsidRPr="009D6881">
              <w:rPr>
                <w:rFonts w:eastAsia="Times New Roman"/>
                <w:sz w:val="22"/>
              </w:rPr>
              <w:t>14.2, 20.8</w:t>
            </w:r>
          </w:p>
        </w:tc>
      </w:tr>
      <w:tr w:rsidR="00A03144" w:rsidRPr="009D6881" w14:paraId="12AE1FA8" w14:textId="3CABB997" w:rsidTr="00BB05D8">
        <w:tc>
          <w:tcPr>
            <w:tcW w:w="5070" w:type="dxa"/>
            <w:tcBorders>
              <w:top w:val="single" w:sz="4" w:space="0" w:color="auto"/>
              <w:bottom w:val="single" w:sz="4" w:space="0" w:color="auto"/>
              <w:right w:val="nil"/>
            </w:tcBorders>
            <w:shd w:val="clear" w:color="auto" w:fill="auto"/>
          </w:tcPr>
          <w:p w14:paraId="26BA20B5" w14:textId="4E1FE7EA" w:rsidR="00A03144" w:rsidRPr="009D6881" w:rsidRDefault="00A03144" w:rsidP="008D3F49">
            <w:pPr>
              <w:rPr>
                <w:rFonts w:eastAsia="Times New Roman"/>
                <w:b/>
                <w:bCs/>
                <w:i/>
                <w:sz w:val="22"/>
                <w:u w:val="single"/>
              </w:rPr>
            </w:pPr>
            <w:r w:rsidRPr="009D6881">
              <w:rPr>
                <w:rFonts w:eastAsia="Times New Roman"/>
                <w:b/>
                <w:i/>
                <w:sz w:val="22"/>
              </w:rPr>
              <w:t>Additional Efficacy Endpoints</w:t>
            </w:r>
          </w:p>
        </w:tc>
        <w:tc>
          <w:tcPr>
            <w:tcW w:w="2836" w:type="dxa"/>
            <w:tcBorders>
              <w:top w:val="single" w:sz="4" w:space="0" w:color="auto"/>
              <w:left w:val="nil"/>
              <w:bottom w:val="single" w:sz="4" w:space="0" w:color="auto"/>
              <w:right w:val="nil"/>
            </w:tcBorders>
            <w:shd w:val="clear" w:color="auto" w:fill="auto"/>
          </w:tcPr>
          <w:p w14:paraId="4D857866" w14:textId="3910C7E9" w:rsidR="00A03144" w:rsidRPr="009D6881" w:rsidRDefault="00A03144" w:rsidP="008D3F49">
            <w:pPr>
              <w:rPr>
                <w:rFonts w:eastAsia="Times New Roman"/>
                <w:sz w:val="22"/>
              </w:rPr>
            </w:pPr>
          </w:p>
        </w:tc>
        <w:tc>
          <w:tcPr>
            <w:tcW w:w="662" w:type="dxa"/>
            <w:tcBorders>
              <w:top w:val="single" w:sz="4" w:space="0" w:color="auto"/>
              <w:left w:val="nil"/>
              <w:bottom w:val="single" w:sz="4" w:space="0" w:color="auto"/>
            </w:tcBorders>
            <w:shd w:val="clear" w:color="auto" w:fill="auto"/>
          </w:tcPr>
          <w:p w14:paraId="1468C72F" w14:textId="53D20F8F" w:rsidR="00A03144" w:rsidRPr="009D6881" w:rsidRDefault="00A03144" w:rsidP="008D3F49">
            <w:pPr>
              <w:rPr>
                <w:rFonts w:eastAsia="Times New Roman"/>
                <w:sz w:val="22"/>
              </w:rPr>
            </w:pPr>
          </w:p>
        </w:tc>
      </w:tr>
      <w:tr w:rsidR="00A03144" w:rsidRPr="009D6881" w14:paraId="7330FF2B" w14:textId="04E19DB6" w:rsidTr="00BB05D8">
        <w:tc>
          <w:tcPr>
            <w:tcW w:w="5070" w:type="dxa"/>
            <w:tcBorders>
              <w:top w:val="nil"/>
              <w:bottom w:val="nil"/>
              <w:right w:val="nil"/>
            </w:tcBorders>
            <w:shd w:val="clear" w:color="auto" w:fill="auto"/>
          </w:tcPr>
          <w:p w14:paraId="3D0131BE" w14:textId="2BE0B93A" w:rsidR="00A03144" w:rsidRPr="009D6881" w:rsidRDefault="00A03144" w:rsidP="008D3F49">
            <w:pPr>
              <w:rPr>
                <w:rFonts w:eastAsia="Times New Roman"/>
                <w:b/>
                <w:bCs/>
                <w:i/>
                <w:sz w:val="22"/>
                <w:u w:val="single"/>
              </w:rPr>
            </w:pPr>
            <w:r w:rsidRPr="009D6881">
              <w:rPr>
                <w:rFonts w:eastAsia="Times New Roman"/>
                <w:b/>
                <w:i/>
                <w:sz w:val="22"/>
              </w:rPr>
              <w:t>IRF-assessed DOR (RECIST v1.1)</w:t>
            </w:r>
          </w:p>
        </w:tc>
        <w:tc>
          <w:tcPr>
            <w:tcW w:w="3498" w:type="dxa"/>
            <w:gridSpan w:val="2"/>
            <w:tcBorders>
              <w:top w:val="nil"/>
              <w:left w:val="nil"/>
              <w:bottom w:val="nil"/>
            </w:tcBorders>
            <w:shd w:val="clear" w:color="auto" w:fill="auto"/>
          </w:tcPr>
          <w:p w14:paraId="71DE2B53" w14:textId="672EAE4D" w:rsidR="00A03144" w:rsidRPr="009D6881" w:rsidRDefault="00A03144" w:rsidP="008D3F49">
            <w:pPr>
              <w:rPr>
                <w:rFonts w:eastAsia="Times New Roman"/>
                <w:bCs/>
                <w:sz w:val="22"/>
                <w:u w:val="single"/>
              </w:rPr>
            </w:pPr>
            <w:r w:rsidRPr="009D6881">
              <w:rPr>
                <w:rFonts w:eastAsia="Times New Roman"/>
                <w:sz w:val="22"/>
              </w:rPr>
              <w:t>n = 90</w:t>
            </w:r>
          </w:p>
        </w:tc>
      </w:tr>
      <w:tr w:rsidR="00A03144" w:rsidRPr="009D6881" w14:paraId="7C083E57" w14:textId="60B00734" w:rsidTr="00BB05D8">
        <w:tc>
          <w:tcPr>
            <w:tcW w:w="5070" w:type="dxa"/>
            <w:tcBorders>
              <w:top w:val="nil"/>
              <w:bottom w:val="nil"/>
              <w:right w:val="nil"/>
            </w:tcBorders>
            <w:shd w:val="clear" w:color="auto" w:fill="auto"/>
          </w:tcPr>
          <w:p w14:paraId="39BA03BE" w14:textId="5E6C0B82" w:rsidR="00A03144" w:rsidRPr="009D6881" w:rsidRDefault="00A03144" w:rsidP="008D3F49">
            <w:pPr>
              <w:rPr>
                <w:rFonts w:eastAsia="Times New Roman"/>
                <w:bCs/>
                <w:sz w:val="22"/>
                <w:u w:val="single"/>
              </w:rPr>
            </w:pPr>
            <w:r w:rsidRPr="009D6881">
              <w:rPr>
                <w:rFonts w:eastAsia="Times New Roman"/>
                <w:sz w:val="22"/>
              </w:rPr>
              <w:t xml:space="preserve">   Median (months)</w:t>
            </w:r>
          </w:p>
        </w:tc>
        <w:tc>
          <w:tcPr>
            <w:tcW w:w="3498" w:type="dxa"/>
            <w:gridSpan w:val="2"/>
            <w:tcBorders>
              <w:top w:val="nil"/>
              <w:left w:val="nil"/>
              <w:bottom w:val="nil"/>
            </w:tcBorders>
            <w:shd w:val="clear" w:color="auto" w:fill="auto"/>
          </w:tcPr>
          <w:p w14:paraId="302E51E3" w14:textId="72026380" w:rsidR="00A03144" w:rsidRPr="009D6881" w:rsidRDefault="00A03144" w:rsidP="008D3F49">
            <w:pPr>
              <w:rPr>
                <w:rFonts w:eastAsia="Times New Roman"/>
                <w:bCs/>
                <w:sz w:val="22"/>
                <w:u w:val="single"/>
              </w:rPr>
            </w:pPr>
            <w:r w:rsidRPr="009D6881">
              <w:rPr>
                <w:rFonts w:eastAsia="Times New Roman"/>
                <w:sz w:val="22"/>
              </w:rPr>
              <w:t>8.3</w:t>
            </w:r>
          </w:p>
        </w:tc>
      </w:tr>
      <w:tr w:rsidR="00A03144" w:rsidRPr="009D6881" w14:paraId="3BE650EB" w14:textId="1C1B1598" w:rsidTr="00BB05D8">
        <w:tc>
          <w:tcPr>
            <w:tcW w:w="5070" w:type="dxa"/>
            <w:tcBorders>
              <w:top w:val="nil"/>
              <w:bottom w:val="nil"/>
              <w:right w:val="nil"/>
            </w:tcBorders>
            <w:shd w:val="clear" w:color="auto" w:fill="auto"/>
          </w:tcPr>
          <w:p w14:paraId="634C7761" w14:textId="5C1150B2"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nil"/>
            </w:tcBorders>
            <w:shd w:val="clear" w:color="auto" w:fill="auto"/>
          </w:tcPr>
          <w:p w14:paraId="078CB41C" w14:textId="1F51B1B4" w:rsidR="00A03144" w:rsidRPr="009D6881" w:rsidRDefault="00A03144" w:rsidP="008D3F49">
            <w:pPr>
              <w:rPr>
                <w:rFonts w:eastAsia="Times New Roman"/>
                <w:bCs/>
                <w:sz w:val="22"/>
                <w:u w:val="single"/>
              </w:rPr>
            </w:pPr>
            <w:r w:rsidRPr="009D6881">
              <w:rPr>
                <w:rFonts w:eastAsia="Times New Roman"/>
                <w:sz w:val="22"/>
              </w:rPr>
              <w:t>6.9, NE</w:t>
            </w:r>
          </w:p>
        </w:tc>
      </w:tr>
      <w:tr w:rsidR="00A03144" w:rsidRPr="009D6881" w14:paraId="26F2BF83" w14:textId="142F77F6" w:rsidTr="00BB05D8">
        <w:tc>
          <w:tcPr>
            <w:tcW w:w="5070" w:type="dxa"/>
            <w:tcBorders>
              <w:top w:val="nil"/>
              <w:bottom w:val="single" w:sz="4" w:space="0" w:color="auto"/>
              <w:right w:val="nil"/>
            </w:tcBorders>
            <w:shd w:val="clear" w:color="auto" w:fill="auto"/>
          </w:tcPr>
          <w:p w14:paraId="0DBB0A6F" w14:textId="56181B78" w:rsidR="00A03144" w:rsidRPr="009D6881" w:rsidRDefault="00A03144" w:rsidP="008D3F49">
            <w:pPr>
              <w:rPr>
                <w:rFonts w:eastAsia="Times New Roman"/>
                <w:bCs/>
                <w:sz w:val="22"/>
                <w:u w:val="single"/>
              </w:rPr>
            </w:pPr>
            <w:r w:rsidRPr="009D6881">
              <w:rPr>
                <w:rFonts w:eastAsia="Times New Roman"/>
                <w:sz w:val="22"/>
              </w:rPr>
              <w:t xml:space="preserve">   Range (months)</w:t>
            </w:r>
          </w:p>
        </w:tc>
        <w:tc>
          <w:tcPr>
            <w:tcW w:w="3498" w:type="dxa"/>
            <w:gridSpan w:val="2"/>
            <w:tcBorders>
              <w:top w:val="nil"/>
              <w:left w:val="nil"/>
              <w:bottom w:val="single" w:sz="4" w:space="0" w:color="auto"/>
            </w:tcBorders>
            <w:shd w:val="clear" w:color="auto" w:fill="auto"/>
          </w:tcPr>
          <w:p w14:paraId="5B8C0D9A" w14:textId="75E2ADB9" w:rsidR="00A03144" w:rsidRPr="009D6881" w:rsidRDefault="00A03144" w:rsidP="008D3F49">
            <w:pPr>
              <w:rPr>
                <w:rFonts w:eastAsia="Times New Roman"/>
                <w:bCs/>
                <w:sz w:val="22"/>
                <w:u w:val="single"/>
              </w:rPr>
            </w:pPr>
            <w:r w:rsidRPr="009D6881">
              <w:rPr>
                <w:rFonts w:eastAsia="Times New Roman"/>
                <w:sz w:val="22"/>
              </w:rPr>
              <w:t>1.4* to 12.0*</w:t>
            </w:r>
          </w:p>
        </w:tc>
      </w:tr>
      <w:tr w:rsidR="00A03144" w:rsidRPr="009D6881" w14:paraId="4F41E870" w14:textId="71CD8812" w:rsidTr="00BB05D8">
        <w:tc>
          <w:tcPr>
            <w:tcW w:w="5070" w:type="dxa"/>
            <w:tcBorders>
              <w:top w:val="single" w:sz="4" w:space="0" w:color="auto"/>
              <w:bottom w:val="nil"/>
              <w:right w:val="nil"/>
            </w:tcBorders>
            <w:shd w:val="clear" w:color="auto" w:fill="auto"/>
          </w:tcPr>
          <w:p w14:paraId="49A9D403" w14:textId="7C19E577" w:rsidR="00A03144" w:rsidRPr="009D6881" w:rsidRDefault="00A03144" w:rsidP="008D3F49">
            <w:pPr>
              <w:rPr>
                <w:rFonts w:eastAsia="Times New Roman"/>
                <w:b/>
                <w:bCs/>
                <w:i/>
                <w:sz w:val="22"/>
                <w:u w:val="single"/>
              </w:rPr>
            </w:pPr>
            <w:r w:rsidRPr="009D6881">
              <w:rPr>
                <w:rFonts w:eastAsia="Times New Roman"/>
                <w:b/>
                <w:i/>
                <w:sz w:val="22"/>
              </w:rPr>
              <w:t>IRF-assessed PFS (RECIST v1.1)</w:t>
            </w:r>
          </w:p>
        </w:tc>
        <w:tc>
          <w:tcPr>
            <w:tcW w:w="3498" w:type="dxa"/>
            <w:gridSpan w:val="2"/>
            <w:tcBorders>
              <w:top w:val="single" w:sz="4" w:space="0" w:color="auto"/>
              <w:left w:val="nil"/>
              <w:bottom w:val="nil"/>
            </w:tcBorders>
            <w:shd w:val="clear" w:color="auto" w:fill="auto"/>
          </w:tcPr>
          <w:p w14:paraId="1337659D" w14:textId="088502EA" w:rsidR="00A03144" w:rsidRPr="009D6881" w:rsidRDefault="00A03144" w:rsidP="008D3F49">
            <w:pPr>
              <w:rPr>
                <w:rFonts w:eastAsia="Times New Roman"/>
                <w:bCs/>
                <w:sz w:val="22"/>
                <w:u w:val="single"/>
              </w:rPr>
            </w:pPr>
            <w:r w:rsidRPr="009D6881">
              <w:rPr>
                <w:rFonts w:eastAsia="Times New Roman"/>
                <w:sz w:val="22"/>
              </w:rPr>
              <w:t>n = 520</w:t>
            </w:r>
          </w:p>
        </w:tc>
      </w:tr>
      <w:tr w:rsidR="00A03144" w:rsidRPr="009D6881" w14:paraId="1C3554D9" w14:textId="505DAE0D" w:rsidTr="00BB05D8">
        <w:tc>
          <w:tcPr>
            <w:tcW w:w="5070" w:type="dxa"/>
            <w:tcBorders>
              <w:top w:val="nil"/>
              <w:bottom w:val="nil"/>
              <w:right w:val="nil"/>
            </w:tcBorders>
            <w:shd w:val="clear" w:color="auto" w:fill="auto"/>
          </w:tcPr>
          <w:p w14:paraId="2E7EF791" w14:textId="74EA1C29" w:rsidR="00A03144" w:rsidRPr="009D6881" w:rsidRDefault="00A03144" w:rsidP="008D3F49">
            <w:pPr>
              <w:rPr>
                <w:rFonts w:eastAsia="Times New Roman"/>
                <w:bCs/>
                <w:sz w:val="22"/>
                <w:u w:val="single"/>
              </w:rPr>
            </w:pPr>
            <w:r w:rsidRPr="009D6881">
              <w:rPr>
                <w:rFonts w:eastAsia="Times New Roman"/>
                <w:sz w:val="22"/>
              </w:rPr>
              <w:t xml:space="preserve">   Patients with events (%)</w:t>
            </w:r>
          </w:p>
        </w:tc>
        <w:tc>
          <w:tcPr>
            <w:tcW w:w="3498" w:type="dxa"/>
            <w:gridSpan w:val="2"/>
            <w:tcBorders>
              <w:top w:val="nil"/>
              <w:left w:val="nil"/>
              <w:bottom w:val="nil"/>
            </w:tcBorders>
            <w:shd w:val="clear" w:color="auto" w:fill="auto"/>
          </w:tcPr>
          <w:p w14:paraId="57EC3836" w14:textId="54475A3D" w:rsidR="00A03144" w:rsidRPr="009D6881" w:rsidRDefault="00A03144" w:rsidP="008D3F49">
            <w:pPr>
              <w:rPr>
                <w:rFonts w:eastAsia="Times New Roman"/>
                <w:bCs/>
                <w:sz w:val="22"/>
                <w:u w:val="single"/>
              </w:rPr>
            </w:pPr>
            <w:r w:rsidRPr="009D6881">
              <w:rPr>
                <w:rFonts w:eastAsia="Times New Roman"/>
                <w:sz w:val="22"/>
              </w:rPr>
              <w:t>401 (77.1%)</w:t>
            </w:r>
          </w:p>
        </w:tc>
      </w:tr>
      <w:tr w:rsidR="00A03144" w:rsidRPr="009D6881" w14:paraId="0159B1B6" w14:textId="53C18654" w:rsidTr="00BB05D8">
        <w:tc>
          <w:tcPr>
            <w:tcW w:w="5070" w:type="dxa"/>
            <w:tcBorders>
              <w:top w:val="nil"/>
              <w:bottom w:val="nil"/>
              <w:right w:val="nil"/>
            </w:tcBorders>
            <w:shd w:val="clear" w:color="auto" w:fill="auto"/>
          </w:tcPr>
          <w:p w14:paraId="4504CB85" w14:textId="34EB0509" w:rsidR="00A03144" w:rsidRPr="009D6881" w:rsidRDefault="00A03144" w:rsidP="008D3F49">
            <w:pPr>
              <w:rPr>
                <w:rFonts w:eastAsia="Times New Roman"/>
                <w:bCs/>
                <w:sz w:val="22"/>
                <w:u w:val="single"/>
              </w:rPr>
            </w:pPr>
            <w:r w:rsidRPr="009D6881">
              <w:rPr>
                <w:rFonts w:eastAsia="Times New Roman"/>
                <w:sz w:val="22"/>
              </w:rPr>
              <w:t xml:space="preserve">   Median duration of PFS (months)</w:t>
            </w:r>
          </w:p>
        </w:tc>
        <w:tc>
          <w:tcPr>
            <w:tcW w:w="3498" w:type="dxa"/>
            <w:gridSpan w:val="2"/>
            <w:tcBorders>
              <w:top w:val="nil"/>
              <w:left w:val="nil"/>
              <w:bottom w:val="nil"/>
            </w:tcBorders>
            <w:shd w:val="clear" w:color="auto" w:fill="auto"/>
          </w:tcPr>
          <w:p w14:paraId="64007A1E" w14:textId="372CFBB8" w:rsidR="00A03144" w:rsidRPr="009D6881" w:rsidRDefault="00A03144" w:rsidP="008D3F49">
            <w:pPr>
              <w:rPr>
                <w:rFonts w:eastAsia="Times New Roman"/>
                <w:bCs/>
                <w:sz w:val="22"/>
                <w:u w:val="single"/>
              </w:rPr>
            </w:pPr>
            <w:r w:rsidRPr="009D6881">
              <w:rPr>
                <w:rFonts w:eastAsia="Times New Roman"/>
                <w:sz w:val="22"/>
              </w:rPr>
              <w:t>2.8</w:t>
            </w:r>
          </w:p>
        </w:tc>
      </w:tr>
      <w:tr w:rsidR="00A03144" w:rsidRPr="009D6881" w14:paraId="32D1679D" w14:textId="13DDB43C" w:rsidTr="00BB05D8">
        <w:tc>
          <w:tcPr>
            <w:tcW w:w="5070" w:type="dxa"/>
            <w:tcBorders>
              <w:top w:val="nil"/>
              <w:bottom w:val="nil"/>
              <w:right w:val="nil"/>
            </w:tcBorders>
            <w:shd w:val="clear" w:color="auto" w:fill="auto"/>
          </w:tcPr>
          <w:p w14:paraId="69033A4D" w14:textId="424B1F1B"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nil"/>
            </w:tcBorders>
            <w:shd w:val="clear" w:color="auto" w:fill="auto"/>
          </w:tcPr>
          <w:p w14:paraId="3BE09C1A" w14:textId="56F51970" w:rsidR="00A03144" w:rsidRPr="009D6881" w:rsidRDefault="00A03144" w:rsidP="008D3F49">
            <w:pPr>
              <w:rPr>
                <w:rFonts w:eastAsia="Times New Roman"/>
                <w:bCs/>
                <w:sz w:val="22"/>
                <w:u w:val="single"/>
              </w:rPr>
            </w:pPr>
            <w:r w:rsidRPr="009D6881">
              <w:rPr>
                <w:rFonts w:eastAsia="Times New Roman"/>
                <w:sz w:val="22"/>
              </w:rPr>
              <w:t>2.7, 2.9</w:t>
            </w:r>
          </w:p>
        </w:tc>
      </w:tr>
      <w:tr w:rsidR="00A03144" w:rsidRPr="009D6881" w14:paraId="27A50218" w14:textId="45E970AD" w:rsidTr="00BB05D8">
        <w:tc>
          <w:tcPr>
            <w:tcW w:w="5070" w:type="dxa"/>
            <w:tcBorders>
              <w:top w:val="nil"/>
              <w:bottom w:val="nil"/>
              <w:right w:val="nil"/>
            </w:tcBorders>
            <w:shd w:val="clear" w:color="auto" w:fill="auto"/>
          </w:tcPr>
          <w:p w14:paraId="2680C788" w14:textId="3B580D68" w:rsidR="00A03144" w:rsidRPr="009D6881" w:rsidRDefault="00A03144" w:rsidP="008D3F49">
            <w:pPr>
              <w:rPr>
                <w:rFonts w:eastAsia="Times New Roman"/>
                <w:bCs/>
                <w:sz w:val="22"/>
                <w:u w:val="single"/>
              </w:rPr>
            </w:pPr>
            <w:r w:rsidRPr="009D6881">
              <w:rPr>
                <w:rFonts w:eastAsia="Times New Roman"/>
                <w:sz w:val="22"/>
              </w:rPr>
              <w:t xml:space="preserve">   6-month PFS rate</w:t>
            </w:r>
          </w:p>
        </w:tc>
        <w:tc>
          <w:tcPr>
            <w:tcW w:w="3498" w:type="dxa"/>
            <w:gridSpan w:val="2"/>
            <w:tcBorders>
              <w:top w:val="nil"/>
              <w:left w:val="nil"/>
              <w:bottom w:val="nil"/>
            </w:tcBorders>
            <w:shd w:val="clear" w:color="auto" w:fill="auto"/>
          </w:tcPr>
          <w:p w14:paraId="3573698C" w14:textId="780A8050" w:rsidR="00A03144" w:rsidRPr="009D6881" w:rsidRDefault="00A03144" w:rsidP="008D3F49">
            <w:pPr>
              <w:rPr>
                <w:rFonts w:eastAsia="Times New Roman"/>
                <w:bCs/>
                <w:sz w:val="22"/>
                <w:u w:val="single"/>
              </w:rPr>
            </w:pPr>
            <w:r w:rsidRPr="009D6881">
              <w:rPr>
                <w:rFonts w:eastAsia="Times New Roman"/>
                <w:sz w:val="22"/>
              </w:rPr>
              <w:t>30.0%</w:t>
            </w:r>
          </w:p>
        </w:tc>
      </w:tr>
      <w:tr w:rsidR="00A03144" w:rsidRPr="009D6881" w14:paraId="23660ACF" w14:textId="50D795C1" w:rsidTr="00BB05D8">
        <w:tc>
          <w:tcPr>
            <w:tcW w:w="5070" w:type="dxa"/>
            <w:tcBorders>
              <w:top w:val="nil"/>
              <w:bottom w:val="nil"/>
              <w:right w:val="nil"/>
            </w:tcBorders>
            <w:shd w:val="clear" w:color="auto" w:fill="auto"/>
          </w:tcPr>
          <w:p w14:paraId="004E0B38" w14:textId="2794812E"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nil"/>
            </w:tcBorders>
            <w:shd w:val="clear" w:color="auto" w:fill="auto"/>
          </w:tcPr>
          <w:p w14:paraId="4D11152C" w14:textId="072C7D82" w:rsidR="00A03144" w:rsidRPr="009D6881" w:rsidRDefault="00A03144" w:rsidP="008D3F49">
            <w:pPr>
              <w:rPr>
                <w:rFonts w:eastAsia="Times New Roman"/>
                <w:bCs/>
                <w:sz w:val="22"/>
                <w:u w:val="single"/>
              </w:rPr>
            </w:pPr>
            <w:r w:rsidRPr="009D6881">
              <w:rPr>
                <w:rFonts w:eastAsia="Times New Roman"/>
                <w:sz w:val="22"/>
              </w:rPr>
              <w:t>26.0, 34.1</w:t>
            </w:r>
          </w:p>
        </w:tc>
      </w:tr>
      <w:tr w:rsidR="00A03144" w:rsidRPr="009D6881" w14:paraId="01B35709" w14:textId="7C83ACEA" w:rsidTr="00BB05D8">
        <w:tc>
          <w:tcPr>
            <w:tcW w:w="5070" w:type="dxa"/>
            <w:tcBorders>
              <w:top w:val="nil"/>
              <w:bottom w:val="nil"/>
              <w:right w:val="nil"/>
            </w:tcBorders>
            <w:shd w:val="clear" w:color="auto" w:fill="auto"/>
          </w:tcPr>
          <w:p w14:paraId="1CB9768D" w14:textId="7998E96C" w:rsidR="00A03144" w:rsidRPr="009D6881" w:rsidRDefault="00A03144" w:rsidP="008D3F49">
            <w:pPr>
              <w:rPr>
                <w:rFonts w:eastAsia="Times New Roman"/>
                <w:bCs/>
                <w:sz w:val="22"/>
                <w:u w:val="single"/>
              </w:rPr>
            </w:pPr>
            <w:r w:rsidRPr="009D6881">
              <w:rPr>
                <w:rFonts w:eastAsia="Times New Roman"/>
                <w:sz w:val="22"/>
              </w:rPr>
              <w:t xml:space="preserve">   1-year PFS rate</w:t>
            </w:r>
          </w:p>
        </w:tc>
        <w:tc>
          <w:tcPr>
            <w:tcW w:w="3498" w:type="dxa"/>
            <w:gridSpan w:val="2"/>
            <w:tcBorders>
              <w:top w:val="nil"/>
              <w:left w:val="nil"/>
              <w:bottom w:val="nil"/>
            </w:tcBorders>
            <w:shd w:val="clear" w:color="auto" w:fill="auto"/>
          </w:tcPr>
          <w:p w14:paraId="1205C06A" w14:textId="7A3FCC0B" w:rsidR="00A03144" w:rsidRPr="009D6881" w:rsidRDefault="00A03144" w:rsidP="008D3F49">
            <w:pPr>
              <w:rPr>
                <w:rFonts w:eastAsia="Times New Roman"/>
                <w:bCs/>
                <w:sz w:val="22"/>
                <w:u w:val="single"/>
              </w:rPr>
            </w:pPr>
            <w:r w:rsidRPr="009D6881">
              <w:rPr>
                <w:rFonts w:eastAsia="Times New Roman"/>
                <w:sz w:val="22"/>
              </w:rPr>
              <w:t>11.9%</w:t>
            </w:r>
          </w:p>
        </w:tc>
      </w:tr>
      <w:tr w:rsidR="00A03144" w:rsidRPr="009D6881" w14:paraId="56BB435D" w14:textId="6E212EC5" w:rsidTr="00BB05D8">
        <w:tc>
          <w:tcPr>
            <w:tcW w:w="5070" w:type="dxa"/>
            <w:tcBorders>
              <w:top w:val="nil"/>
              <w:bottom w:val="single" w:sz="4" w:space="0" w:color="auto"/>
              <w:right w:val="nil"/>
            </w:tcBorders>
            <w:shd w:val="clear" w:color="auto" w:fill="auto"/>
          </w:tcPr>
          <w:p w14:paraId="581EB468" w14:textId="628D9500"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single" w:sz="4" w:space="0" w:color="auto"/>
            </w:tcBorders>
            <w:shd w:val="clear" w:color="auto" w:fill="auto"/>
          </w:tcPr>
          <w:p w14:paraId="2CFBE635" w14:textId="6C9A14E9" w:rsidR="00A03144" w:rsidRPr="009D6881" w:rsidRDefault="00A03144" w:rsidP="008D3F49">
            <w:pPr>
              <w:rPr>
                <w:rFonts w:eastAsia="Times New Roman"/>
                <w:bCs/>
                <w:sz w:val="22"/>
                <w:u w:val="single"/>
              </w:rPr>
            </w:pPr>
            <w:r w:rsidRPr="009D6881">
              <w:rPr>
                <w:rFonts w:eastAsia="Times New Roman"/>
                <w:sz w:val="22"/>
              </w:rPr>
              <w:t>7.4, 16.4</w:t>
            </w:r>
          </w:p>
        </w:tc>
      </w:tr>
      <w:tr w:rsidR="00A03144" w:rsidRPr="009D6881" w14:paraId="37C5DE44" w14:textId="5BDFBD32" w:rsidTr="00BB05D8">
        <w:tc>
          <w:tcPr>
            <w:tcW w:w="5070" w:type="dxa"/>
            <w:tcBorders>
              <w:top w:val="single" w:sz="4" w:space="0" w:color="auto"/>
              <w:bottom w:val="nil"/>
              <w:right w:val="nil"/>
            </w:tcBorders>
            <w:shd w:val="clear" w:color="auto" w:fill="auto"/>
          </w:tcPr>
          <w:p w14:paraId="691424E5" w14:textId="2EFE3D82" w:rsidR="00A03144" w:rsidRPr="009D6881" w:rsidRDefault="00A03144" w:rsidP="008D3F49">
            <w:pPr>
              <w:rPr>
                <w:rFonts w:eastAsia="Times New Roman"/>
                <w:b/>
                <w:bCs/>
                <w:i/>
                <w:sz w:val="22"/>
                <w:u w:val="single"/>
              </w:rPr>
            </w:pPr>
            <w:r w:rsidRPr="009D6881">
              <w:rPr>
                <w:rFonts w:eastAsia="Times New Roman"/>
                <w:b/>
                <w:i/>
                <w:sz w:val="22"/>
              </w:rPr>
              <w:t>OS</w:t>
            </w:r>
            <w:r w:rsidRPr="009D6881">
              <w:rPr>
                <w:rFonts w:eastAsia="Times New Roman"/>
                <w:b/>
                <w:i/>
                <w:sz w:val="22"/>
                <w:vertAlign w:val="superscript"/>
              </w:rPr>
              <w:t>†</w:t>
            </w:r>
          </w:p>
        </w:tc>
        <w:tc>
          <w:tcPr>
            <w:tcW w:w="3498" w:type="dxa"/>
            <w:gridSpan w:val="2"/>
            <w:tcBorders>
              <w:top w:val="single" w:sz="4" w:space="0" w:color="auto"/>
              <w:left w:val="nil"/>
              <w:bottom w:val="nil"/>
            </w:tcBorders>
            <w:shd w:val="clear" w:color="auto" w:fill="auto"/>
          </w:tcPr>
          <w:p w14:paraId="44D8446D" w14:textId="6A8A6F61" w:rsidR="00A03144" w:rsidRPr="009D6881" w:rsidRDefault="00A03144" w:rsidP="008D3F49">
            <w:pPr>
              <w:rPr>
                <w:rFonts w:eastAsia="Times New Roman"/>
                <w:bCs/>
                <w:sz w:val="22"/>
                <w:u w:val="single"/>
              </w:rPr>
            </w:pPr>
            <w:r w:rsidRPr="009D6881">
              <w:rPr>
                <w:rFonts w:eastAsia="Times New Roman"/>
                <w:sz w:val="22"/>
              </w:rPr>
              <w:t>n = 520</w:t>
            </w:r>
          </w:p>
        </w:tc>
      </w:tr>
      <w:tr w:rsidR="00A03144" w:rsidRPr="009D6881" w14:paraId="58788ECC" w14:textId="23992D41" w:rsidTr="00BB05D8">
        <w:tc>
          <w:tcPr>
            <w:tcW w:w="5070" w:type="dxa"/>
            <w:tcBorders>
              <w:top w:val="nil"/>
              <w:bottom w:val="nil"/>
              <w:right w:val="nil"/>
            </w:tcBorders>
            <w:shd w:val="clear" w:color="auto" w:fill="auto"/>
          </w:tcPr>
          <w:p w14:paraId="3CECBA49" w14:textId="316A02A7" w:rsidR="00A03144" w:rsidRPr="009D6881" w:rsidRDefault="00A03144" w:rsidP="008D3F49">
            <w:pPr>
              <w:rPr>
                <w:rFonts w:eastAsia="Times New Roman"/>
                <w:bCs/>
                <w:sz w:val="22"/>
                <w:u w:val="single"/>
              </w:rPr>
            </w:pPr>
            <w:r w:rsidRPr="009D6881">
              <w:rPr>
                <w:rFonts w:eastAsia="Times New Roman"/>
                <w:sz w:val="22"/>
              </w:rPr>
              <w:t xml:space="preserve">   Patients with events (%)</w:t>
            </w:r>
          </w:p>
        </w:tc>
        <w:tc>
          <w:tcPr>
            <w:tcW w:w="3498" w:type="dxa"/>
            <w:gridSpan w:val="2"/>
            <w:tcBorders>
              <w:top w:val="nil"/>
              <w:left w:val="nil"/>
              <w:bottom w:val="nil"/>
            </w:tcBorders>
            <w:shd w:val="clear" w:color="auto" w:fill="auto"/>
          </w:tcPr>
          <w:p w14:paraId="60B3455B" w14:textId="4AF49231" w:rsidR="00A03144" w:rsidRPr="009D6881" w:rsidRDefault="00A03144" w:rsidP="008D3F49">
            <w:pPr>
              <w:rPr>
                <w:rFonts w:eastAsia="Times New Roman"/>
                <w:bCs/>
                <w:sz w:val="22"/>
                <w:u w:val="single"/>
              </w:rPr>
            </w:pPr>
            <w:r w:rsidRPr="009D6881">
              <w:rPr>
                <w:rFonts w:eastAsia="Times New Roman"/>
                <w:sz w:val="22"/>
              </w:rPr>
              <w:t>187 (36%)</w:t>
            </w:r>
          </w:p>
        </w:tc>
      </w:tr>
      <w:tr w:rsidR="00A03144" w:rsidRPr="009D6881" w14:paraId="23897387" w14:textId="1DB35EE0" w:rsidTr="00BB05D8">
        <w:tc>
          <w:tcPr>
            <w:tcW w:w="5070" w:type="dxa"/>
            <w:tcBorders>
              <w:top w:val="nil"/>
              <w:bottom w:val="nil"/>
              <w:right w:val="nil"/>
            </w:tcBorders>
            <w:shd w:val="clear" w:color="auto" w:fill="auto"/>
          </w:tcPr>
          <w:p w14:paraId="240B00AD" w14:textId="4669ED15" w:rsidR="00A03144" w:rsidRPr="009D6881" w:rsidRDefault="00A03144" w:rsidP="008D3F49">
            <w:pPr>
              <w:rPr>
                <w:rFonts w:eastAsia="Times New Roman"/>
                <w:bCs/>
                <w:sz w:val="22"/>
                <w:u w:val="single"/>
              </w:rPr>
            </w:pPr>
            <w:r w:rsidRPr="009D6881">
              <w:rPr>
                <w:rFonts w:eastAsia="Times New Roman"/>
                <w:sz w:val="22"/>
              </w:rPr>
              <w:t xml:space="preserve">   6-month OS rate</w:t>
            </w:r>
          </w:p>
        </w:tc>
        <w:tc>
          <w:tcPr>
            <w:tcW w:w="3498" w:type="dxa"/>
            <w:gridSpan w:val="2"/>
            <w:tcBorders>
              <w:top w:val="nil"/>
              <w:left w:val="nil"/>
              <w:bottom w:val="nil"/>
            </w:tcBorders>
            <w:shd w:val="clear" w:color="auto" w:fill="auto"/>
          </w:tcPr>
          <w:p w14:paraId="5525BB26" w14:textId="68B909A1" w:rsidR="00A03144" w:rsidRPr="009D6881" w:rsidRDefault="00A03144" w:rsidP="008D3F49">
            <w:pPr>
              <w:rPr>
                <w:rFonts w:eastAsia="Times New Roman"/>
                <w:bCs/>
                <w:sz w:val="22"/>
                <w:u w:val="single"/>
              </w:rPr>
            </w:pPr>
            <w:r w:rsidRPr="009D6881">
              <w:rPr>
                <w:rFonts w:eastAsia="Times New Roman"/>
                <w:sz w:val="22"/>
              </w:rPr>
              <w:t>73.4%</w:t>
            </w:r>
          </w:p>
        </w:tc>
      </w:tr>
      <w:tr w:rsidR="00A03144" w:rsidRPr="009D6881" w14:paraId="085AC590" w14:textId="02E2FD9C" w:rsidTr="00BB05D8">
        <w:tc>
          <w:tcPr>
            <w:tcW w:w="5070" w:type="dxa"/>
            <w:tcBorders>
              <w:top w:val="nil"/>
              <w:bottom w:val="nil"/>
              <w:right w:val="nil"/>
            </w:tcBorders>
            <w:shd w:val="clear" w:color="auto" w:fill="auto"/>
          </w:tcPr>
          <w:p w14:paraId="6B21C9E6" w14:textId="054B74BF"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nil"/>
            </w:tcBorders>
            <w:shd w:val="clear" w:color="auto" w:fill="auto"/>
          </w:tcPr>
          <w:p w14:paraId="0A4B5DD1" w14:textId="3ACA6DCC" w:rsidR="00A03144" w:rsidRPr="009D6881" w:rsidRDefault="00A03144" w:rsidP="008D3F49">
            <w:pPr>
              <w:rPr>
                <w:rFonts w:eastAsia="Times New Roman"/>
                <w:bCs/>
                <w:sz w:val="22"/>
                <w:u w:val="single"/>
              </w:rPr>
            </w:pPr>
            <w:r w:rsidRPr="009D6881">
              <w:rPr>
                <w:rFonts w:eastAsia="Times New Roman"/>
                <w:sz w:val="22"/>
              </w:rPr>
              <w:t>69.5, 77.3</w:t>
            </w:r>
          </w:p>
        </w:tc>
      </w:tr>
      <w:tr w:rsidR="00A03144" w:rsidRPr="009D6881" w14:paraId="5EEBC3AF" w14:textId="758C8F7A" w:rsidTr="00BB05D8">
        <w:tc>
          <w:tcPr>
            <w:tcW w:w="5070" w:type="dxa"/>
            <w:tcBorders>
              <w:top w:val="nil"/>
              <w:bottom w:val="nil"/>
              <w:right w:val="nil"/>
            </w:tcBorders>
            <w:shd w:val="clear" w:color="auto" w:fill="auto"/>
          </w:tcPr>
          <w:p w14:paraId="1D59E65A" w14:textId="5927FC9F" w:rsidR="00A03144" w:rsidRPr="009D6881" w:rsidRDefault="00A03144" w:rsidP="008D3F49">
            <w:pPr>
              <w:rPr>
                <w:rFonts w:eastAsia="Times New Roman"/>
                <w:bCs/>
                <w:sz w:val="22"/>
                <w:u w:val="single"/>
              </w:rPr>
            </w:pPr>
            <w:r w:rsidRPr="009D6881">
              <w:rPr>
                <w:rFonts w:eastAsia="Times New Roman"/>
                <w:sz w:val="22"/>
              </w:rPr>
              <w:t xml:space="preserve">   1-year OS rate</w:t>
            </w:r>
          </w:p>
        </w:tc>
        <w:tc>
          <w:tcPr>
            <w:tcW w:w="3498" w:type="dxa"/>
            <w:gridSpan w:val="2"/>
            <w:tcBorders>
              <w:top w:val="nil"/>
              <w:left w:val="nil"/>
              <w:bottom w:val="nil"/>
            </w:tcBorders>
            <w:shd w:val="clear" w:color="auto" w:fill="auto"/>
          </w:tcPr>
          <w:p w14:paraId="1CE6D7A6" w14:textId="6E134D62" w:rsidR="00A03144" w:rsidRPr="009D6881" w:rsidRDefault="00A03144" w:rsidP="008D3F49">
            <w:pPr>
              <w:rPr>
                <w:rFonts w:eastAsia="Times New Roman"/>
                <w:bCs/>
                <w:sz w:val="22"/>
                <w:u w:val="single"/>
              </w:rPr>
            </w:pPr>
            <w:r w:rsidRPr="009D6881">
              <w:rPr>
                <w:rFonts w:eastAsia="Times New Roman"/>
                <w:sz w:val="22"/>
              </w:rPr>
              <w:t>55.3%</w:t>
            </w:r>
          </w:p>
        </w:tc>
      </w:tr>
      <w:tr w:rsidR="00A03144" w:rsidRPr="009D6881" w14:paraId="58574E14" w14:textId="631EDCD9" w:rsidTr="00BB05D8">
        <w:tc>
          <w:tcPr>
            <w:tcW w:w="5070" w:type="dxa"/>
            <w:tcBorders>
              <w:top w:val="nil"/>
              <w:bottom w:val="single" w:sz="4" w:space="0" w:color="auto"/>
              <w:right w:val="nil"/>
            </w:tcBorders>
            <w:shd w:val="clear" w:color="auto" w:fill="auto"/>
          </w:tcPr>
          <w:p w14:paraId="15BEFC40" w14:textId="2C69244C"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single" w:sz="4" w:space="0" w:color="auto"/>
            </w:tcBorders>
            <w:shd w:val="clear" w:color="auto" w:fill="auto"/>
          </w:tcPr>
          <w:p w14:paraId="5ADFD766" w14:textId="58A23D84" w:rsidR="00A03144" w:rsidRPr="009D6881" w:rsidRDefault="00A03144" w:rsidP="008D3F49">
            <w:pPr>
              <w:rPr>
                <w:rFonts w:eastAsia="Times New Roman"/>
                <w:bCs/>
                <w:sz w:val="22"/>
                <w:u w:val="single"/>
              </w:rPr>
            </w:pPr>
            <w:r w:rsidRPr="009D6881">
              <w:rPr>
                <w:rFonts w:eastAsia="Times New Roman"/>
                <w:sz w:val="22"/>
              </w:rPr>
              <w:t>49.5, 61.1</w:t>
            </w:r>
          </w:p>
        </w:tc>
      </w:tr>
      <w:tr w:rsidR="00A03144" w:rsidRPr="009D6881" w14:paraId="405F04DF" w14:textId="745A4B6E" w:rsidTr="00BB05D8">
        <w:tc>
          <w:tcPr>
            <w:tcW w:w="5070" w:type="dxa"/>
            <w:tcBorders>
              <w:top w:val="single" w:sz="4" w:space="0" w:color="auto"/>
              <w:bottom w:val="nil"/>
              <w:right w:val="nil"/>
            </w:tcBorders>
            <w:shd w:val="clear" w:color="auto" w:fill="auto"/>
          </w:tcPr>
          <w:p w14:paraId="285B2FEE" w14:textId="797854E8" w:rsidR="00A03144" w:rsidRPr="009D6881" w:rsidRDefault="00A03144" w:rsidP="008D3F49">
            <w:pPr>
              <w:rPr>
                <w:rFonts w:eastAsia="Times New Roman"/>
                <w:b/>
                <w:bCs/>
                <w:i/>
                <w:sz w:val="22"/>
                <w:u w:val="single"/>
              </w:rPr>
            </w:pPr>
            <w:r w:rsidRPr="009D6881">
              <w:rPr>
                <w:rFonts w:eastAsia="Times New Roman"/>
                <w:b/>
                <w:i/>
                <w:sz w:val="22"/>
              </w:rPr>
              <w:t>IRF-assessed time to onset of response (RECIST v1.1)</w:t>
            </w:r>
          </w:p>
        </w:tc>
        <w:tc>
          <w:tcPr>
            <w:tcW w:w="3498" w:type="dxa"/>
            <w:gridSpan w:val="2"/>
            <w:tcBorders>
              <w:top w:val="single" w:sz="4" w:space="0" w:color="auto"/>
              <w:left w:val="nil"/>
              <w:bottom w:val="nil"/>
            </w:tcBorders>
            <w:shd w:val="clear" w:color="auto" w:fill="auto"/>
          </w:tcPr>
          <w:p w14:paraId="4D4A8F0F" w14:textId="185E4A6F" w:rsidR="00A03144" w:rsidRPr="009D6881" w:rsidRDefault="00A03144" w:rsidP="008D3F49">
            <w:pPr>
              <w:rPr>
                <w:rFonts w:eastAsia="Times New Roman"/>
                <w:bCs/>
                <w:sz w:val="22"/>
                <w:u w:val="single"/>
              </w:rPr>
            </w:pPr>
            <w:r w:rsidRPr="009D6881">
              <w:rPr>
                <w:rFonts w:eastAsia="Times New Roman"/>
                <w:sz w:val="22"/>
              </w:rPr>
              <w:t>n = 90</w:t>
            </w:r>
          </w:p>
        </w:tc>
      </w:tr>
      <w:tr w:rsidR="00A03144" w:rsidRPr="009D6881" w14:paraId="2C1D44F9" w14:textId="11998FBB" w:rsidTr="00BB05D8">
        <w:tc>
          <w:tcPr>
            <w:tcW w:w="5070" w:type="dxa"/>
            <w:tcBorders>
              <w:top w:val="nil"/>
              <w:bottom w:val="nil"/>
              <w:right w:val="nil"/>
            </w:tcBorders>
            <w:shd w:val="clear" w:color="auto" w:fill="auto"/>
          </w:tcPr>
          <w:p w14:paraId="184AB15C" w14:textId="470CA343" w:rsidR="00A03144" w:rsidRPr="009D6881" w:rsidRDefault="00A03144" w:rsidP="008D3F49">
            <w:pPr>
              <w:rPr>
                <w:rFonts w:eastAsia="Times New Roman"/>
                <w:bCs/>
                <w:sz w:val="22"/>
                <w:u w:val="single"/>
              </w:rPr>
            </w:pPr>
            <w:r w:rsidRPr="009D6881">
              <w:rPr>
                <w:rFonts w:eastAsia="Times New Roman"/>
                <w:sz w:val="22"/>
              </w:rPr>
              <w:t xml:space="preserve">   Median (months)</w:t>
            </w:r>
          </w:p>
        </w:tc>
        <w:tc>
          <w:tcPr>
            <w:tcW w:w="3498" w:type="dxa"/>
            <w:gridSpan w:val="2"/>
            <w:tcBorders>
              <w:top w:val="nil"/>
              <w:left w:val="nil"/>
              <w:bottom w:val="nil"/>
            </w:tcBorders>
            <w:shd w:val="clear" w:color="auto" w:fill="auto"/>
          </w:tcPr>
          <w:p w14:paraId="0482E1CE" w14:textId="4AE0152F" w:rsidR="00A03144" w:rsidRPr="009D6881" w:rsidRDefault="00A03144" w:rsidP="008D3F49">
            <w:pPr>
              <w:rPr>
                <w:rFonts w:eastAsia="Times New Roman"/>
                <w:bCs/>
                <w:sz w:val="22"/>
                <w:u w:val="single"/>
              </w:rPr>
            </w:pPr>
            <w:r w:rsidRPr="009D6881">
              <w:rPr>
                <w:rFonts w:eastAsia="Times New Roman"/>
                <w:sz w:val="22"/>
              </w:rPr>
              <w:t>2.6</w:t>
            </w:r>
          </w:p>
        </w:tc>
      </w:tr>
      <w:tr w:rsidR="00A03144" w:rsidRPr="009D6881" w14:paraId="70830C41" w14:textId="26B6B3BC" w:rsidTr="00BB05D8">
        <w:tc>
          <w:tcPr>
            <w:tcW w:w="5070" w:type="dxa"/>
            <w:tcBorders>
              <w:top w:val="nil"/>
              <w:bottom w:val="nil"/>
              <w:right w:val="nil"/>
            </w:tcBorders>
            <w:shd w:val="clear" w:color="auto" w:fill="auto"/>
          </w:tcPr>
          <w:p w14:paraId="79EBD394" w14:textId="4B2BC2BD" w:rsidR="00A03144" w:rsidRPr="009D6881" w:rsidRDefault="00A03144" w:rsidP="008D3F49">
            <w:pPr>
              <w:rPr>
                <w:rFonts w:eastAsia="Times New Roman"/>
                <w:bCs/>
                <w:sz w:val="22"/>
                <w:u w:val="single"/>
              </w:rPr>
            </w:pPr>
            <w:r w:rsidRPr="009D6881">
              <w:rPr>
                <w:rFonts w:eastAsia="Times New Roman"/>
                <w:sz w:val="22"/>
              </w:rPr>
              <w:t xml:space="preserve">   95% CI</w:t>
            </w:r>
          </w:p>
        </w:tc>
        <w:tc>
          <w:tcPr>
            <w:tcW w:w="3498" w:type="dxa"/>
            <w:gridSpan w:val="2"/>
            <w:tcBorders>
              <w:top w:val="nil"/>
              <w:left w:val="nil"/>
              <w:bottom w:val="nil"/>
            </w:tcBorders>
            <w:shd w:val="clear" w:color="auto" w:fill="auto"/>
          </w:tcPr>
          <w:p w14:paraId="6720CDC6" w14:textId="68DAA346" w:rsidR="00A03144" w:rsidRPr="009D6881" w:rsidRDefault="00A03144" w:rsidP="008D3F49">
            <w:pPr>
              <w:rPr>
                <w:rFonts w:eastAsia="Times New Roman"/>
                <w:bCs/>
                <w:sz w:val="22"/>
                <w:u w:val="single"/>
              </w:rPr>
            </w:pPr>
            <w:r w:rsidRPr="009D6881">
              <w:rPr>
                <w:rFonts w:eastAsia="Times New Roman"/>
                <w:sz w:val="22"/>
              </w:rPr>
              <w:t>1.5, 2.7</w:t>
            </w:r>
          </w:p>
        </w:tc>
      </w:tr>
      <w:tr w:rsidR="00A03144" w:rsidRPr="009D6881" w14:paraId="69CD8205" w14:textId="26CF9055" w:rsidTr="00BB05D8">
        <w:tc>
          <w:tcPr>
            <w:tcW w:w="5070" w:type="dxa"/>
            <w:tcBorders>
              <w:top w:val="nil"/>
              <w:right w:val="nil"/>
            </w:tcBorders>
            <w:shd w:val="clear" w:color="auto" w:fill="auto"/>
          </w:tcPr>
          <w:p w14:paraId="6E7A05F5" w14:textId="4A19FE13" w:rsidR="00A03144" w:rsidRPr="009D6881" w:rsidRDefault="00A03144" w:rsidP="008D3F49">
            <w:pPr>
              <w:rPr>
                <w:rFonts w:eastAsia="Times New Roman"/>
                <w:bCs/>
                <w:sz w:val="22"/>
                <w:u w:val="single"/>
              </w:rPr>
            </w:pPr>
            <w:r w:rsidRPr="009D6881">
              <w:rPr>
                <w:rFonts w:eastAsia="Times New Roman"/>
                <w:sz w:val="22"/>
              </w:rPr>
              <w:t xml:space="preserve">   Range (months)</w:t>
            </w:r>
          </w:p>
        </w:tc>
        <w:tc>
          <w:tcPr>
            <w:tcW w:w="3498" w:type="dxa"/>
            <w:gridSpan w:val="2"/>
            <w:tcBorders>
              <w:top w:val="nil"/>
              <w:left w:val="nil"/>
            </w:tcBorders>
            <w:shd w:val="clear" w:color="auto" w:fill="auto"/>
          </w:tcPr>
          <w:p w14:paraId="5A437ADE" w14:textId="62350361" w:rsidR="00A03144" w:rsidRPr="009D6881" w:rsidRDefault="00A03144" w:rsidP="008D3F49">
            <w:pPr>
              <w:rPr>
                <w:rFonts w:eastAsia="Times New Roman"/>
                <w:bCs/>
                <w:sz w:val="22"/>
                <w:u w:val="single"/>
              </w:rPr>
            </w:pPr>
            <w:r w:rsidRPr="009D6881">
              <w:rPr>
                <w:rFonts w:eastAsia="Times New Roman"/>
                <w:sz w:val="22"/>
              </w:rPr>
              <w:t>1.1 to 9.6</w:t>
            </w:r>
          </w:p>
        </w:tc>
      </w:tr>
    </w:tbl>
    <w:p w14:paraId="0C01DED3" w14:textId="26EEE19F" w:rsidR="00A03144" w:rsidRPr="009D6881" w:rsidRDefault="00A03144" w:rsidP="008D3F49">
      <w:pPr>
        <w:rPr>
          <w:b/>
          <w:i/>
        </w:rPr>
      </w:pPr>
      <w:r w:rsidRPr="009D6881">
        <w:rPr>
          <w:b/>
          <w:i/>
          <w:vertAlign w:val="superscript"/>
        </w:rPr>
        <w:t>†</w:t>
      </w:r>
      <w:r w:rsidRPr="009D6881">
        <w:rPr>
          <w:vertAlign w:val="superscript"/>
        </w:rPr>
        <w:t xml:space="preserve"> </w:t>
      </w:r>
      <w:r w:rsidRPr="009D6881">
        <w:t>Median overall survival was not reached.</w:t>
      </w:r>
    </w:p>
    <w:p w14:paraId="3ECDF26F" w14:textId="355248BC" w:rsidR="00A03144" w:rsidRPr="009D6881" w:rsidRDefault="00A03144" w:rsidP="008D3F49">
      <w:pPr>
        <w:rPr>
          <w:rFonts w:eastAsia="Times New Roman"/>
        </w:rPr>
      </w:pPr>
      <w:r w:rsidRPr="009D6881">
        <w:rPr>
          <w:rFonts w:eastAsia="Times New Roman"/>
        </w:rPr>
        <w:t>* denotes a censored value</w:t>
      </w:r>
    </w:p>
    <w:p w14:paraId="7DDA657C" w14:textId="62D0FB35" w:rsidR="00A03144" w:rsidRPr="009D6881" w:rsidRDefault="00A03144" w:rsidP="008D3F49">
      <w:pPr>
        <w:rPr>
          <w:sz w:val="22"/>
        </w:rPr>
      </w:pPr>
      <w:r w:rsidRPr="009D6881">
        <w:rPr>
          <w:sz w:val="22"/>
        </w:rPr>
        <w:t>CI = confidence interval; DOR = duration of objective response; IC =  tumour-infiltrating immune cells; IRF = independent review facility; NE = not estimable; ORR = objective response rate; OS = overall survival; PFS = progression-free survival; RECIST = Response Evaluation Criteria in Solid Tumours v1.1.</w:t>
      </w:r>
    </w:p>
    <w:p w14:paraId="3E744C18" w14:textId="064204F6" w:rsidR="00A03144" w:rsidRPr="009D6881" w:rsidRDefault="00A03144" w:rsidP="008D3F49">
      <w:pPr>
        <w:rPr>
          <w:sz w:val="18"/>
          <w:szCs w:val="18"/>
        </w:rPr>
      </w:pPr>
    </w:p>
    <w:p w14:paraId="0E980CEA" w14:textId="7B0F9BDC" w:rsidR="00A03144" w:rsidRPr="009D6881" w:rsidRDefault="00A03144" w:rsidP="00030023">
      <w:pPr>
        <w:rPr>
          <w:lang w:val="en-US"/>
        </w:rPr>
      </w:pPr>
      <w:r w:rsidRPr="009D6881">
        <w:rPr>
          <w:lang w:val="en-US"/>
        </w:rPr>
        <w:t>At the time of clinical data cut-off, 90 patients had responses, of which 57 (63.3%) had an ongoing response. In addition, 66.6% of responders had an ongoing response of 6 months or longer, using the Kaplan-Meier estimate.</w:t>
      </w:r>
    </w:p>
    <w:p w14:paraId="7A341877" w14:textId="20DB4B79" w:rsidR="00A03144" w:rsidRPr="009D6881" w:rsidRDefault="00A03144" w:rsidP="00030023">
      <w:pPr>
        <w:rPr>
          <w:lang w:val="en-US"/>
        </w:rPr>
      </w:pPr>
    </w:p>
    <w:p w14:paraId="3B9B748F" w14:textId="2247C252" w:rsidR="00A03144" w:rsidRPr="009D6881" w:rsidRDefault="00A03144" w:rsidP="00030023">
      <w:pPr>
        <w:rPr>
          <w:lang w:val="en-US"/>
        </w:rPr>
      </w:pPr>
      <w:r w:rsidRPr="009D6881">
        <w:rPr>
          <w:lang w:val="en-US"/>
        </w:rPr>
        <w:lastRenderedPageBreak/>
        <w:t>With an additional 4 months of follow-up after the primary analysis cut-off date, the ORR as assessed by IRF per RECIST v1.1, was 18.7% (95% CI: 15.4, 22.3) and the median DOR was 11.3 months (95% CI: 8.3, 16.4) in 2L+ TC2/3 or IC2/3 NSCLC patients.</w:t>
      </w:r>
    </w:p>
    <w:p w14:paraId="27914747" w14:textId="4B53876D" w:rsidR="00A03144" w:rsidRPr="009D6881" w:rsidRDefault="00A03144" w:rsidP="00A03144">
      <w:pPr>
        <w:pStyle w:val="Heading2"/>
        <w:rPr>
          <w:rFonts w:hint="eastAsia"/>
        </w:rPr>
      </w:pPr>
      <w:r w:rsidRPr="009D6881">
        <w:t xml:space="preserve">PD-L1 expression by </w:t>
      </w:r>
      <w:r w:rsidR="00030023">
        <w:t xml:space="preserve">immunohistochemistry </w:t>
      </w:r>
    </w:p>
    <w:p w14:paraId="2FA8D806" w14:textId="0CA53D66" w:rsidR="00243283" w:rsidRDefault="00D52D3C" w:rsidP="006D40FF">
      <w:r>
        <w:t xml:space="preserve">The </w:t>
      </w:r>
      <w:r w:rsidR="00243283" w:rsidRPr="00243283">
        <w:t>VENTANA PD-L1 (SP142) Assay has been validated to detect PD-L1 expression in tumo</w:t>
      </w:r>
      <w:r w:rsidR="006902FD">
        <w:t>u</w:t>
      </w:r>
      <w:r w:rsidR="00243283" w:rsidRPr="00243283">
        <w:t xml:space="preserve">r-infiltrating immune cells </w:t>
      </w:r>
      <w:r w:rsidR="006902FD">
        <w:t xml:space="preserve">(IC) </w:t>
      </w:r>
      <w:r w:rsidR="00243283" w:rsidRPr="00243283">
        <w:t>and tumo</w:t>
      </w:r>
      <w:r w:rsidR="00196327">
        <w:t>u</w:t>
      </w:r>
      <w:r w:rsidR="00243283" w:rsidRPr="00243283">
        <w:t>r cells</w:t>
      </w:r>
      <w:r w:rsidR="006902FD">
        <w:t xml:space="preserve"> (TC)</w:t>
      </w:r>
      <w:r w:rsidR="00243283" w:rsidRPr="00243283">
        <w:t xml:space="preserve">. </w:t>
      </w:r>
    </w:p>
    <w:p w14:paraId="2CF48840" w14:textId="77777777" w:rsidR="00243283" w:rsidRDefault="00243283" w:rsidP="006D40FF"/>
    <w:p w14:paraId="60089DBB" w14:textId="33D7FDC1" w:rsidR="006D40FF" w:rsidRPr="009D6881" w:rsidRDefault="00A03144" w:rsidP="006D40FF">
      <w:r w:rsidRPr="009D6881">
        <w:t xml:space="preserve">The test detects the presence of any discernible PD-L1 staining of any intensity. </w:t>
      </w:r>
    </w:p>
    <w:p w14:paraId="39167347" w14:textId="06650A33" w:rsidR="00A03144" w:rsidRPr="009D6881" w:rsidRDefault="00A03144" w:rsidP="00A03144"/>
    <w:p w14:paraId="2D5133ED" w14:textId="5E7F44C6" w:rsidR="00A03144" w:rsidRPr="009D6881" w:rsidRDefault="00A03144" w:rsidP="00A03144">
      <w:r w:rsidRPr="009D6881">
        <w:t>Scoring for tumour cells was defined as TC0 (&lt; 1%), TC</w:t>
      </w:r>
      <w:r w:rsidRPr="009D6881">
        <w:rPr>
          <w:rFonts w:hint="eastAsia"/>
        </w:rPr>
        <w:t>1 (</w:t>
      </w:r>
      <w:r w:rsidRPr="009D6881">
        <w:t>≥</w:t>
      </w:r>
      <w:r w:rsidRPr="009D6881">
        <w:rPr>
          <w:rFonts w:hint="eastAsia"/>
        </w:rPr>
        <w:t xml:space="preserve"> 1% and </w:t>
      </w:r>
      <w:r w:rsidRPr="009D6881">
        <w:t>&lt;</w:t>
      </w:r>
      <w:r w:rsidRPr="009D6881">
        <w:rPr>
          <w:rFonts w:hint="eastAsia"/>
        </w:rPr>
        <w:t xml:space="preserve"> 5%), TC2 (</w:t>
      </w:r>
      <w:r w:rsidRPr="009D6881">
        <w:t xml:space="preserve">≥ </w:t>
      </w:r>
      <w:r w:rsidRPr="009D6881">
        <w:rPr>
          <w:rFonts w:hint="eastAsia"/>
        </w:rPr>
        <w:t xml:space="preserve">5% and </w:t>
      </w:r>
      <w:r w:rsidRPr="009D6881">
        <w:t>&lt;</w:t>
      </w:r>
      <w:r w:rsidRPr="009D6881">
        <w:rPr>
          <w:rFonts w:hint="eastAsia"/>
        </w:rPr>
        <w:t xml:space="preserve"> 50%), and TC3 (</w:t>
      </w:r>
      <w:r w:rsidRPr="009D6881">
        <w:t>≥</w:t>
      </w:r>
      <w:r w:rsidRPr="009D6881">
        <w:rPr>
          <w:rFonts w:hint="eastAsia"/>
        </w:rPr>
        <w:t xml:space="preserve"> 50%). Scoring for tumo</w:t>
      </w:r>
      <w:r w:rsidRPr="009D6881">
        <w:t>u</w:t>
      </w:r>
      <w:r w:rsidRPr="009D6881">
        <w:rPr>
          <w:rFonts w:hint="eastAsia"/>
        </w:rPr>
        <w:t>r-infiltrating immune cells was defined as IC0 (</w:t>
      </w:r>
      <w:r w:rsidRPr="009D6881">
        <w:t>&lt;</w:t>
      </w:r>
      <w:r w:rsidRPr="009D6881">
        <w:rPr>
          <w:rFonts w:hint="eastAsia"/>
        </w:rPr>
        <w:t xml:space="preserve"> 1%), IC1 (</w:t>
      </w:r>
      <w:r w:rsidRPr="009D6881">
        <w:t>≥</w:t>
      </w:r>
      <w:r w:rsidRPr="009D6881">
        <w:rPr>
          <w:rFonts w:hint="eastAsia"/>
        </w:rPr>
        <w:t xml:space="preserve"> 1% and </w:t>
      </w:r>
      <w:r w:rsidRPr="009D6881">
        <w:t>&lt;</w:t>
      </w:r>
      <w:r w:rsidRPr="009D6881">
        <w:rPr>
          <w:rFonts w:hint="eastAsia"/>
        </w:rPr>
        <w:t xml:space="preserve"> 5%), IC2 (</w:t>
      </w:r>
      <w:r w:rsidRPr="009D6881">
        <w:t>≥</w:t>
      </w:r>
      <w:r w:rsidRPr="009D6881">
        <w:rPr>
          <w:rFonts w:hint="eastAsia"/>
        </w:rPr>
        <w:t xml:space="preserve"> 5% and </w:t>
      </w:r>
      <w:r w:rsidRPr="009D6881">
        <w:t>&lt;</w:t>
      </w:r>
      <w:r w:rsidRPr="009D6881">
        <w:rPr>
          <w:rFonts w:hint="eastAsia"/>
        </w:rPr>
        <w:t xml:space="preserve"> 10%) and IC3 (</w:t>
      </w:r>
      <w:r w:rsidRPr="009D6881">
        <w:t>≥</w:t>
      </w:r>
      <w:r w:rsidRPr="009D6881">
        <w:rPr>
          <w:rFonts w:hint="eastAsia"/>
        </w:rPr>
        <w:t xml:space="preserve"> 10%).</w:t>
      </w:r>
    </w:p>
    <w:p w14:paraId="2A56800B" w14:textId="5CD00708" w:rsidR="003F645B" w:rsidRPr="009D6881" w:rsidRDefault="003F645B" w:rsidP="003F645B">
      <w:pPr>
        <w:pStyle w:val="Heading2"/>
        <w:rPr>
          <w:rFonts w:hint="eastAsia"/>
          <w:lang w:val="en-US"/>
        </w:rPr>
      </w:pPr>
      <w:r w:rsidRPr="009D6881">
        <w:rPr>
          <w:lang w:val="en-US"/>
        </w:rPr>
        <w:t xml:space="preserve">Immunogenicity </w:t>
      </w:r>
    </w:p>
    <w:p w14:paraId="537AF2B9" w14:textId="0F6A2D0F" w:rsidR="003F645B" w:rsidRPr="009D6881" w:rsidRDefault="003F645B" w:rsidP="003F645B">
      <w:pPr>
        <w:rPr>
          <w:lang w:val="en-US"/>
        </w:rPr>
      </w:pPr>
      <w:r w:rsidRPr="009D6881">
        <w:rPr>
          <w:lang w:val="en-US"/>
        </w:rPr>
        <w:t xml:space="preserve">As with all therapeutic proteins, there is the potential for immune response to atezolizumab. </w:t>
      </w:r>
      <w:r w:rsidR="00091632" w:rsidRPr="00091632">
        <w:rPr>
          <w:lang w:val="en-US"/>
        </w:rPr>
        <w:t>In study GO28915, the post-baseline ATA rate was 30.4%.</w:t>
      </w:r>
      <w:r w:rsidR="00091632">
        <w:rPr>
          <w:lang w:val="en-US"/>
        </w:rPr>
        <w:t xml:space="preserve"> </w:t>
      </w:r>
      <w:r w:rsidRPr="009D6881">
        <w:rPr>
          <w:lang w:val="en-US"/>
        </w:rPr>
        <w:t>In study GO28753, the incidence of post-baseline ATAs was 54.</w:t>
      </w:r>
      <w:r w:rsidR="00A66928">
        <w:rPr>
          <w:lang w:val="en-US"/>
        </w:rPr>
        <w:t>5</w:t>
      </w:r>
      <w:r w:rsidRPr="009D6881">
        <w:rPr>
          <w:lang w:val="en-US"/>
        </w:rPr>
        <w:t xml:space="preserve">%. In study GO28754, the post-baseline ATA rate was 38.5%.  Overall, ATA positivity appeared to have no clinically relevant impact on pharmacokinetics, efficacy or safety. </w:t>
      </w:r>
    </w:p>
    <w:p w14:paraId="11B2891E" w14:textId="77777777" w:rsidR="003F645B" w:rsidRPr="009D6881" w:rsidRDefault="003F645B" w:rsidP="003F645B">
      <w:pPr>
        <w:rPr>
          <w:lang w:val="en-US"/>
        </w:rPr>
      </w:pPr>
    </w:p>
    <w:p w14:paraId="4F242284" w14:textId="7F79501B" w:rsidR="0086266B" w:rsidRPr="009D6881" w:rsidRDefault="003F645B" w:rsidP="003F645B">
      <w:pPr>
        <w:rPr>
          <w:lang w:val="en-US"/>
        </w:rPr>
      </w:pPr>
      <w:r w:rsidRPr="009D6881">
        <w:rPr>
          <w:lang w:val="en-US"/>
        </w:rPr>
        <w:t xml:space="preserve">Immunogenicity assay results are highly dependent on several factors including assay sensitivity and specificity, assay methodology, sample handling, timing of sample collection, concomitant medications and underlying disease. For these reasons, comparison of incidence of antibodies to </w:t>
      </w:r>
      <w:r w:rsidR="008C70BA" w:rsidRPr="009D6881">
        <w:rPr>
          <w:lang w:val="en-US"/>
        </w:rPr>
        <w:t xml:space="preserve">Tecentriq </w:t>
      </w:r>
      <w:r w:rsidRPr="009D6881">
        <w:rPr>
          <w:lang w:val="en-US"/>
        </w:rPr>
        <w:t>with the incidence of antibodies to other products may be misleading.</w:t>
      </w:r>
    </w:p>
    <w:p w14:paraId="3375B336" w14:textId="77777777" w:rsidR="00D844B2" w:rsidRPr="009D6881" w:rsidRDefault="00D844B2" w:rsidP="00AE74F3">
      <w:pPr>
        <w:pStyle w:val="Heading1"/>
        <w:rPr>
          <w:rFonts w:hint="eastAsia"/>
        </w:rPr>
      </w:pPr>
      <w:r w:rsidRPr="009D6881">
        <w:t>Indications</w:t>
      </w:r>
    </w:p>
    <w:p w14:paraId="45CCB1F0" w14:textId="7D7EC2B0" w:rsidR="0031230D" w:rsidRDefault="008C70BA">
      <w:r w:rsidRPr="009D6881">
        <w:t xml:space="preserve">Tecentriq </w:t>
      </w:r>
      <w:r w:rsidR="00495928" w:rsidRPr="009D6881">
        <w:t xml:space="preserve">is indicated for the treatment of patients with locally advanced or metastatic non-small cell lung cancer (NSCLC) </w:t>
      </w:r>
      <w:r w:rsidR="008A77BA" w:rsidRPr="001A2A2E">
        <w:t>with progression on or</w:t>
      </w:r>
      <w:r w:rsidR="008A77BA" w:rsidRPr="009D6881">
        <w:t xml:space="preserve"> </w:t>
      </w:r>
      <w:r w:rsidR="00495928" w:rsidRPr="009D6881">
        <w:t>after prior chemotherapy.</w:t>
      </w:r>
      <w:r w:rsidR="001A2A2E">
        <w:t xml:space="preserve"> </w:t>
      </w:r>
      <w:r w:rsidR="008A77BA" w:rsidRPr="008A77BA">
        <w:t>In patients with tumour EGFR or ALK genomic aberrations, T</w:t>
      </w:r>
      <w:r w:rsidR="00355E56">
        <w:t>ecentriq</w:t>
      </w:r>
      <w:r w:rsidR="008A77BA" w:rsidRPr="008A77BA">
        <w:t xml:space="preserve"> should be used after progression on or after targeted therapy.</w:t>
      </w:r>
      <w:r w:rsidR="0031230D" w:rsidRPr="009D6881">
        <w:t xml:space="preserve"> </w:t>
      </w:r>
    </w:p>
    <w:p w14:paraId="3375B33B" w14:textId="77777777" w:rsidR="00D844B2" w:rsidRPr="009D6881" w:rsidRDefault="00D844B2" w:rsidP="00AE74F3">
      <w:pPr>
        <w:pStyle w:val="Heading1"/>
        <w:rPr>
          <w:rFonts w:hint="eastAsia"/>
        </w:rPr>
      </w:pPr>
      <w:r w:rsidRPr="009D6881">
        <w:t>Contraindications</w:t>
      </w:r>
    </w:p>
    <w:p w14:paraId="3375B341" w14:textId="14DF8945" w:rsidR="000E4C61" w:rsidRPr="009D6881" w:rsidRDefault="008C70BA" w:rsidP="000E4C61">
      <w:r w:rsidRPr="009D6881">
        <w:t xml:space="preserve">Tecentriq </w:t>
      </w:r>
      <w:r w:rsidR="00793677" w:rsidRPr="009D6881">
        <w:t xml:space="preserve">is contraindicated in patients with a known hypersensitivity to atezolizumab or any of the excipients. </w:t>
      </w:r>
    </w:p>
    <w:p w14:paraId="3375B342" w14:textId="77777777" w:rsidR="00D844B2" w:rsidRPr="009D6881" w:rsidRDefault="00D844B2" w:rsidP="00AE74F3">
      <w:pPr>
        <w:pStyle w:val="Heading1"/>
        <w:rPr>
          <w:rFonts w:hint="eastAsia"/>
        </w:rPr>
      </w:pPr>
      <w:r w:rsidRPr="009D6881">
        <w:t>Precautions</w:t>
      </w:r>
    </w:p>
    <w:p w14:paraId="0DA3CAB4" w14:textId="7639AECF" w:rsidR="00793677" w:rsidRPr="009D6881" w:rsidRDefault="00793677" w:rsidP="003823F2">
      <w:pPr>
        <w:pStyle w:val="Heading2"/>
        <w:rPr>
          <w:rFonts w:hint="eastAsia"/>
          <w:lang w:val="en-GB"/>
        </w:rPr>
      </w:pPr>
      <w:r w:rsidRPr="009D6881">
        <w:rPr>
          <w:lang w:val="en-GB"/>
        </w:rPr>
        <w:t xml:space="preserve">Immune-related pneumonitis </w:t>
      </w:r>
    </w:p>
    <w:p w14:paraId="5FA41755" w14:textId="090C15F4" w:rsidR="00793677" w:rsidRPr="009D6881" w:rsidRDefault="00793677" w:rsidP="00793677">
      <w:pPr>
        <w:rPr>
          <w:lang w:val="en-GB"/>
        </w:rPr>
      </w:pPr>
      <w:r w:rsidRPr="009D6881">
        <w:rPr>
          <w:lang w:val="en-GB"/>
        </w:rPr>
        <w:t xml:space="preserve">Cases of pneumonitis, including fatal cases, have been observed in clinical trials with </w:t>
      </w:r>
      <w:r w:rsidR="008C70BA" w:rsidRPr="009D6881">
        <w:rPr>
          <w:lang w:val="en-GB"/>
        </w:rPr>
        <w:t xml:space="preserve">Tecentriq </w:t>
      </w:r>
      <w:r w:rsidRPr="009D6881">
        <w:rPr>
          <w:lang w:val="en-GB"/>
        </w:rPr>
        <w:t xml:space="preserve">(see </w:t>
      </w:r>
      <w:r w:rsidR="003823F2" w:rsidRPr="009D6881">
        <w:rPr>
          <w:i/>
          <w:lang w:val="en-GB"/>
        </w:rPr>
        <w:t>ADVERSE EFFECTS</w:t>
      </w:r>
      <w:r w:rsidRPr="009D6881">
        <w:rPr>
          <w:lang w:val="en-GB"/>
        </w:rPr>
        <w:t xml:space="preserve">). Patients should be monitored for signs and symptoms of pneumonitis. </w:t>
      </w:r>
    </w:p>
    <w:p w14:paraId="1D1AD28A" w14:textId="77777777" w:rsidR="003823F2" w:rsidRPr="009D6881" w:rsidRDefault="003823F2" w:rsidP="00793677">
      <w:pPr>
        <w:rPr>
          <w:lang w:val="en-GB"/>
        </w:rPr>
      </w:pPr>
    </w:p>
    <w:p w14:paraId="351FFDB5" w14:textId="6FE68411" w:rsidR="00793677" w:rsidRPr="009D6881" w:rsidRDefault="00793677" w:rsidP="00793677">
      <w:pPr>
        <w:rPr>
          <w:lang w:val="en-GB"/>
        </w:rPr>
      </w:pPr>
      <w:r w:rsidRPr="009D6881">
        <w:rPr>
          <w:lang w:val="en-GB"/>
        </w:rPr>
        <w:t xml:space="preserve">Treatment with </w:t>
      </w:r>
      <w:r w:rsidR="008C70BA" w:rsidRPr="009D6881">
        <w:rPr>
          <w:lang w:val="en-GB"/>
        </w:rPr>
        <w:t xml:space="preserve">Tecentriq </w:t>
      </w:r>
      <w:r w:rsidRPr="009D6881">
        <w:rPr>
          <w:lang w:val="en-GB"/>
        </w:rPr>
        <w:t>should be withheld for Grade 2 pneumonitis, and 1</w:t>
      </w:r>
      <w:r w:rsidR="003823F2" w:rsidRPr="009D6881">
        <w:rPr>
          <w:lang w:val="en-GB"/>
        </w:rPr>
        <w:t xml:space="preserve"> </w:t>
      </w:r>
      <w:r w:rsidRPr="009D6881">
        <w:rPr>
          <w:lang w:val="en-GB"/>
        </w:rPr>
        <w:t>-</w:t>
      </w:r>
      <w:r w:rsidR="003823F2" w:rsidRPr="009D6881">
        <w:rPr>
          <w:lang w:val="en-GB"/>
        </w:rPr>
        <w:t xml:space="preserve"> </w:t>
      </w:r>
      <w:r w:rsidRPr="009D6881">
        <w:rPr>
          <w:lang w:val="en-GB"/>
        </w:rPr>
        <w:t xml:space="preserve">2 mg/kg prednisone or equivalent per day should be started. If symptoms improve to ≤ Grade 1, taper </w:t>
      </w:r>
      <w:r w:rsidRPr="009D6881">
        <w:rPr>
          <w:lang w:val="en-GB"/>
        </w:rPr>
        <w:lastRenderedPageBreak/>
        <w:t xml:space="preserve">corticosteroids over ≥ 1 month. Treatment with </w:t>
      </w:r>
      <w:r w:rsidR="008C70BA" w:rsidRPr="009D6881">
        <w:rPr>
          <w:lang w:val="en-GB"/>
        </w:rPr>
        <w:t xml:space="preserve">Tecentriq </w:t>
      </w:r>
      <w:r w:rsidRPr="009D6881">
        <w:rPr>
          <w:lang w:val="en-GB"/>
        </w:rPr>
        <w:t xml:space="preserve">may be resumed if the event improves to ≤ Grade 1 within 12 weeks, and corticosteroids have been reduced to ≤ 10 mg oral prednisone or equivalent per day. Treatment with </w:t>
      </w:r>
      <w:r w:rsidR="008C70BA" w:rsidRPr="009D6881">
        <w:rPr>
          <w:lang w:val="en-GB"/>
        </w:rPr>
        <w:t xml:space="preserve">Tecentriq </w:t>
      </w:r>
      <w:r w:rsidRPr="009D6881">
        <w:rPr>
          <w:lang w:val="en-GB"/>
        </w:rPr>
        <w:t>should be permanently discontinued for Grade 3 or 4 pneumonitis.</w:t>
      </w:r>
    </w:p>
    <w:p w14:paraId="2754DCD3" w14:textId="73C2D9B9" w:rsidR="00793677" w:rsidRPr="009D6881" w:rsidRDefault="00840DC0" w:rsidP="00840DC0">
      <w:pPr>
        <w:pStyle w:val="Heading2"/>
        <w:rPr>
          <w:rFonts w:hint="eastAsia"/>
          <w:lang w:val="en-GB"/>
        </w:rPr>
      </w:pPr>
      <w:r w:rsidRPr="009D6881">
        <w:rPr>
          <w:lang w:val="en-GB"/>
        </w:rPr>
        <w:t>Immune-related hepatitis</w:t>
      </w:r>
    </w:p>
    <w:p w14:paraId="7DA85CD8" w14:textId="6CCBE752" w:rsidR="00793677" w:rsidRPr="009D6881" w:rsidRDefault="00793677" w:rsidP="00793677">
      <w:pPr>
        <w:rPr>
          <w:lang w:val="en-GB"/>
        </w:rPr>
      </w:pPr>
      <w:r w:rsidRPr="009D6881">
        <w:rPr>
          <w:lang w:val="en-GB"/>
        </w:rPr>
        <w:t xml:space="preserve">Cases of hepatitis, some leading to fatal outcomes, have been observed in clinical trials with </w:t>
      </w:r>
      <w:r w:rsidR="008C70BA" w:rsidRPr="009D6881">
        <w:rPr>
          <w:lang w:val="en-GB"/>
        </w:rPr>
        <w:t xml:space="preserve">Tecentriq </w:t>
      </w:r>
      <w:r w:rsidRPr="009D6881">
        <w:rPr>
          <w:lang w:val="en-GB"/>
        </w:rPr>
        <w:t xml:space="preserve">(see </w:t>
      </w:r>
      <w:r w:rsidR="00370474" w:rsidRPr="009D6881">
        <w:rPr>
          <w:i/>
          <w:lang w:val="en-GB"/>
        </w:rPr>
        <w:t>ADVERSE EFFECTS</w:t>
      </w:r>
      <w:r w:rsidRPr="009D6881">
        <w:rPr>
          <w:lang w:val="en-GB"/>
        </w:rPr>
        <w:t xml:space="preserve">). Patients should be monitored for signs and symptoms of hepatitis. Monitor aspartate aminotransferase (AST), alanine aminotransferase (ALT) and bilirubin prior to and periodically during treatment with </w:t>
      </w:r>
      <w:r w:rsidR="008C70BA" w:rsidRPr="009D6881">
        <w:rPr>
          <w:lang w:val="en-GB"/>
        </w:rPr>
        <w:t>Tecentriq</w:t>
      </w:r>
      <w:r w:rsidRPr="009D6881">
        <w:rPr>
          <w:lang w:val="en-GB"/>
        </w:rPr>
        <w:t xml:space="preserve">. </w:t>
      </w:r>
      <w:r w:rsidR="009D7888" w:rsidRPr="009D6881">
        <w:rPr>
          <w:lang w:val="en-GB"/>
        </w:rPr>
        <w:t>A</w:t>
      </w:r>
      <w:r w:rsidRPr="009D6881">
        <w:rPr>
          <w:lang w:val="en-GB"/>
        </w:rPr>
        <w:t>ppropriate management of patients with abnormal liver function tests (LFTs) at baseline</w:t>
      </w:r>
      <w:r w:rsidR="009D7888" w:rsidRPr="009D6881">
        <w:rPr>
          <w:lang w:val="en-GB"/>
        </w:rPr>
        <w:t xml:space="preserve"> should be considered</w:t>
      </w:r>
      <w:r w:rsidRPr="009D6881">
        <w:rPr>
          <w:lang w:val="en-GB"/>
        </w:rPr>
        <w:t>.</w:t>
      </w:r>
    </w:p>
    <w:p w14:paraId="5331074B" w14:textId="77777777" w:rsidR="00370474" w:rsidRPr="009D6881" w:rsidRDefault="00370474" w:rsidP="00793677">
      <w:pPr>
        <w:rPr>
          <w:lang w:val="en-GB"/>
        </w:rPr>
      </w:pPr>
    </w:p>
    <w:p w14:paraId="3EFED4A3" w14:textId="10667DC7" w:rsidR="00793677" w:rsidRPr="009D6881" w:rsidRDefault="00793677" w:rsidP="00793677">
      <w:pPr>
        <w:rPr>
          <w:lang w:val="en-GB"/>
        </w:rPr>
      </w:pPr>
      <w:r w:rsidRPr="009D6881">
        <w:rPr>
          <w:lang w:val="en-GB"/>
        </w:rPr>
        <w:t xml:space="preserve">Treatment with </w:t>
      </w:r>
      <w:r w:rsidR="008C70BA" w:rsidRPr="009D6881">
        <w:rPr>
          <w:lang w:val="en-GB"/>
        </w:rPr>
        <w:t xml:space="preserve">Tecentriq </w:t>
      </w:r>
      <w:r w:rsidRPr="009D6881">
        <w:rPr>
          <w:lang w:val="en-GB"/>
        </w:rPr>
        <w:t>should be withheld if Grade 2 (ALT or AST &gt;</w:t>
      </w:r>
      <w:r w:rsidR="00370474" w:rsidRPr="009D6881">
        <w:rPr>
          <w:lang w:val="en-GB"/>
        </w:rPr>
        <w:t xml:space="preserve"> </w:t>
      </w:r>
      <w:r w:rsidRPr="009D6881">
        <w:rPr>
          <w:lang w:val="en-GB"/>
        </w:rPr>
        <w:t>3</w:t>
      </w:r>
      <w:r w:rsidR="00370474" w:rsidRPr="009D6881">
        <w:rPr>
          <w:lang w:val="en-GB"/>
        </w:rPr>
        <w:t xml:space="preserve"> </w:t>
      </w:r>
      <w:r w:rsidRPr="009D6881">
        <w:rPr>
          <w:lang w:val="en-GB"/>
        </w:rPr>
        <w:t>x ULN or blood bilirubin &gt;</w:t>
      </w:r>
      <w:r w:rsidR="00370474" w:rsidRPr="009D6881">
        <w:rPr>
          <w:lang w:val="en-GB"/>
        </w:rPr>
        <w:t xml:space="preserve"> </w:t>
      </w:r>
      <w:r w:rsidRPr="009D6881">
        <w:rPr>
          <w:lang w:val="en-GB"/>
        </w:rPr>
        <w:t>1.5</w:t>
      </w:r>
      <w:r w:rsidR="00370474" w:rsidRPr="009D6881">
        <w:rPr>
          <w:lang w:val="en-GB"/>
        </w:rPr>
        <w:t xml:space="preserve"> </w:t>
      </w:r>
      <w:r w:rsidRPr="009D6881">
        <w:rPr>
          <w:lang w:val="en-GB"/>
        </w:rPr>
        <w:t>x ULN) persists for more than 5</w:t>
      </w:r>
      <w:r w:rsidR="00370474" w:rsidRPr="009D6881">
        <w:rPr>
          <w:lang w:val="en-GB"/>
        </w:rPr>
        <w:t xml:space="preserve"> </w:t>
      </w:r>
      <w:r w:rsidRPr="009D6881">
        <w:rPr>
          <w:lang w:val="en-GB"/>
        </w:rPr>
        <w:t>-</w:t>
      </w:r>
      <w:r w:rsidR="00370474" w:rsidRPr="009D6881">
        <w:rPr>
          <w:lang w:val="en-GB"/>
        </w:rPr>
        <w:t xml:space="preserve"> </w:t>
      </w:r>
      <w:r w:rsidRPr="009D6881">
        <w:rPr>
          <w:lang w:val="en-GB"/>
        </w:rPr>
        <w:t>7 days, and 1</w:t>
      </w:r>
      <w:r w:rsidR="00370474" w:rsidRPr="009D6881">
        <w:rPr>
          <w:lang w:val="en-GB"/>
        </w:rPr>
        <w:t xml:space="preserve"> </w:t>
      </w:r>
      <w:r w:rsidRPr="009D6881">
        <w:rPr>
          <w:lang w:val="en-GB"/>
        </w:rPr>
        <w:t>-</w:t>
      </w:r>
      <w:r w:rsidR="00370474" w:rsidRPr="009D6881">
        <w:rPr>
          <w:lang w:val="en-GB"/>
        </w:rPr>
        <w:t xml:space="preserve"> </w:t>
      </w:r>
      <w:r w:rsidRPr="009D6881">
        <w:rPr>
          <w:lang w:val="en-GB"/>
        </w:rPr>
        <w:t xml:space="preserve">2 mg/kg prednisone or equivalent per day should be started. If LFTs improve to ≤ Grade 1, taper corticosteroids over ≥ 1 month. Treatment with </w:t>
      </w:r>
      <w:r w:rsidR="008C70BA" w:rsidRPr="009D6881">
        <w:rPr>
          <w:lang w:val="en-GB"/>
        </w:rPr>
        <w:t xml:space="preserve">Tecentriq </w:t>
      </w:r>
      <w:r w:rsidRPr="009D6881">
        <w:rPr>
          <w:lang w:val="en-GB"/>
        </w:rPr>
        <w:t xml:space="preserve">may be resumed if the event improves to ≤ Grade 1 within 12 weeks, and corticosteroids have been reduced to ≤ 10 mg oral prednisone or equivalent per day. Treatment with </w:t>
      </w:r>
      <w:r w:rsidR="00266F4D" w:rsidRPr="009D6881">
        <w:rPr>
          <w:lang w:val="en-GB"/>
        </w:rPr>
        <w:t xml:space="preserve">Tecentriq </w:t>
      </w:r>
      <w:r w:rsidRPr="009D6881">
        <w:rPr>
          <w:lang w:val="en-GB"/>
        </w:rPr>
        <w:t>should be permanently discontinued for Grade 3 or Grade 4 events (ALT or AST &gt;</w:t>
      </w:r>
      <w:r w:rsidR="00370474" w:rsidRPr="009D6881">
        <w:rPr>
          <w:lang w:val="en-GB"/>
        </w:rPr>
        <w:t xml:space="preserve"> </w:t>
      </w:r>
      <w:r w:rsidRPr="009D6881">
        <w:rPr>
          <w:lang w:val="en-GB"/>
        </w:rPr>
        <w:t>5.0</w:t>
      </w:r>
      <w:r w:rsidR="00370474" w:rsidRPr="009D6881">
        <w:rPr>
          <w:lang w:val="en-GB"/>
        </w:rPr>
        <w:t xml:space="preserve"> </w:t>
      </w:r>
      <w:r w:rsidRPr="009D6881">
        <w:rPr>
          <w:lang w:val="en-GB"/>
        </w:rPr>
        <w:t>x ULN or blood bilirubin &gt;</w:t>
      </w:r>
      <w:r w:rsidR="00370474" w:rsidRPr="009D6881">
        <w:rPr>
          <w:lang w:val="en-GB"/>
        </w:rPr>
        <w:t xml:space="preserve"> </w:t>
      </w:r>
      <w:r w:rsidRPr="009D6881">
        <w:rPr>
          <w:lang w:val="en-GB"/>
        </w:rPr>
        <w:t>3</w:t>
      </w:r>
      <w:r w:rsidR="00370474" w:rsidRPr="009D6881">
        <w:rPr>
          <w:lang w:val="en-GB"/>
        </w:rPr>
        <w:t xml:space="preserve"> </w:t>
      </w:r>
      <w:r w:rsidRPr="009D6881">
        <w:rPr>
          <w:lang w:val="en-GB"/>
        </w:rPr>
        <w:t>x ULN).</w:t>
      </w:r>
    </w:p>
    <w:p w14:paraId="513048F5" w14:textId="44960423" w:rsidR="00793677" w:rsidRPr="009D6881" w:rsidRDefault="00793677" w:rsidP="00370474">
      <w:pPr>
        <w:pStyle w:val="Heading2"/>
        <w:rPr>
          <w:rFonts w:hint="eastAsia"/>
          <w:lang w:val="en-GB"/>
        </w:rPr>
      </w:pPr>
      <w:r w:rsidRPr="009D6881">
        <w:rPr>
          <w:lang w:val="en-GB"/>
        </w:rPr>
        <w:t>Immune-related colitis</w:t>
      </w:r>
    </w:p>
    <w:p w14:paraId="446BAD61" w14:textId="22F6F398" w:rsidR="00793677" w:rsidRPr="009D6881" w:rsidRDefault="00793677" w:rsidP="00793677">
      <w:pPr>
        <w:rPr>
          <w:lang w:val="en-GB"/>
        </w:rPr>
      </w:pPr>
      <w:r w:rsidRPr="009D6881">
        <w:rPr>
          <w:lang w:val="en-GB"/>
        </w:rPr>
        <w:t>Cases of diarrh</w:t>
      </w:r>
      <w:r w:rsidR="00370474" w:rsidRPr="009D6881">
        <w:rPr>
          <w:lang w:val="en-GB"/>
        </w:rPr>
        <w:t>o</w:t>
      </w:r>
      <w:r w:rsidRPr="009D6881">
        <w:rPr>
          <w:lang w:val="en-GB"/>
        </w:rPr>
        <w:t xml:space="preserve">ea or colitis have been observed in clinical trials with </w:t>
      </w:r>
      <w:r w:rsidR="008C70BA" w:rsidRPr="009D6881">
        <w:rPr>
          <w:lang w:val="en-GB"/>
        </w:rPr>
        <w:t xml:space="preserve">Tecentriq </w:t>
      </w:r>
      <w:r w:rsidRPr="009D6881">
        <w:rPr>
          <w:lang w:val="en-GB"/>
        </w:rPr>
        <w:t xml:space="preserve">(see </w:t>
      </w:r>
      <w:r w:rsidR="00370474" w:rsidRPr="009D6881">
        <w:rPr>
          <w:i/>
          <w:lang w:val="en-GB"/>
        </w:rPr>
        <w:t>ADVERSE EFFECTS</w:t>
      </w:r>
      <w:r w:rsidRPr="009D6881">
        <w:rPr>
          <w:lang w:val="en-GB"/>
        </w:rPr>
        <w:t>). Patients should be monitored for signs and symptoms of colitis.</w:t>
      </w:r>
    </w:p>
    <w:p w14:paraId="56AB543F" w14:textId="77777777" w:rsidR="00370474" w:rsidRPr="009D6881" w:rsidRDefault="00370474" w:rsidP="00793677">
      <w:pPr>
        <w:rPr>
          <w:lang w:val="en-GB"/>
        </w:rPr>
      </w:pPr>
    </w:p>
    <w:p w14:paraId="71E73BED" w14:textId="339C8D7C" w:rsidR="00793677" w:rsidRPr="009D6881" w:rsidRDefault="00793677" w:rsidP="00793677">
      <w:pPr>
        <w:rPr>
          <w:lang w:val="en-GB"/>
        </w:rPr>
      </w:pPr>
      <w:r w:rsidRPr="009D6881">
        <w:rPr>
          <w:lang w:val="en-GB"/>
        </w:rPr>
        <w:t xml:space="preserve">Treatment with </w:t>
      </w:r>
      <w:r w:rsidR="008C70BA" w:rsidRPr="009D6881">
        <w:rPr>
          <w:lang w:val="en-GB"/>
        </w:rPr>
        <w:t xml:space="preserve">Tecentriq </w:t>
      </w:r>
      <w:r w:rsidRPr="009D6881">
        <w:rPr>
          <w:lang w:val="en-GB"/>
        </w:rPr>
        <w:t>should be withheld for Grade 2 or 3 diarrh</w:t>
      </w:r>
      <w:r w:rsidR="00370474" w:rsidRPr="009D6881">
        <w:rPr>
          <w:lang w:val="en-GB"/>
        </w:rPr>
        <w:t>o</w:t>
      </w:r>
      <w:r w:rsidRPr="009D6881">
        <w:rPr>
          <w:lang w:val="en-GB"/>
        </w:rPr>
        <w:t>ea (increase of ≥ 4 stools/day over baseline) or colitis (symptomatic). For Grade 2 diarrh</w:t>
      </w:r>
      <w:r w:rsidR="00370474" w:rsidRPr="009D6881">
        <w:rPr>
          <w:lang w:val="en-GB"/>
        </w:rPr>
        <w:t>o</w:t>
      </w:r>
      <w:r w:rsidRPr="009D6881">
        <w:rPr>
          <w:lang w:val="en-GB"/>
        </w:rPr>
        <w:t>ea or colitis, if symptoms persist &gt; 5 days or recur, start 1</w:t>
      </w:r>
      <w:r w:rsidR="00370474" w:rsidRPr="009D6881">
        <w:rPr>
          <w:lang w:val="en-GB"/>
        </w:rPr>
        <w:t xml:space="preserve"> </w:t>
      </w:r>
      <w:r w:rsidRPr="009D6881">
        <w:rPr>
          <w:lang w:val="en-GB"/>
        </w:rPr>
        <w:t>-</w:t>
      </w:r>
      <w:r w:rsidR="00370474" w:rsidRPr="009D6881">
        <w:rPr>
          <w:lang w:val="en-GB"/>
        </w:rPr>
        <w:t xml:space="preserve"> </w:t>
      </w:r>
      <w:r w:rsidRPr="009D6881">
        <w:rPr>
          <w:lang w:val="en-GB"/>
        </w:rPr>
        <w:t>2 mg/kg prednisone or equivalent per day. Treat Grade 3 diarrh</w:t>
      </w:r>
      <w:r w:rsidR="009D7888" w:rsidRPr="009D6881">
        <w:rPr>
          <w:lang w:val="en-GB"/>
        </w:rPr>
        <w:t>o</w:t>
      </w:r>
      <w:r w:rsidRPr="009D6881">
        <w:rPr>
          <w:lang w:val="en-GB"/>
        </w:rPr>
        <w:t>ea or colitis with IV corticosteroids (1</w:t>
      </w:r>
      <w:r w:rsidR="00370474" w:rsidRPr="009D6881">
        <w:rPr>
          <w:lang w:val="en-GB"/>
        </w:rPr>
        <w:t xml:space="preserve"> </w:t>
      </w:r>
      <w:r w:rsidRPr="009D6881">
        <w:rPr>
          <w:lang w:val="en-GB"/>
        </w:rPr>
        <w:t>-</w:t>
      </w:r>
      <w:r w:rsidR="00370474" w:rsidRPr="009D6881">
        <w:rPr>
          <w:lang w:val="en-GB"/>
        </w:rPr>
        <w:t xml:space="preserve"> </w:t>
      </w:r>
      <w:r w:rsidRPr="009D6881">
        <w:rPr>
          <w:lang w:val="en-GB"/>
        </w:rPr>
        <w:t xml:space="preserve">2 mg/kg/day methylprednisolone or equivalent) and convert to oral corticosteroids (prednisone 1-2 mg/kg or equivalent per day) after improvement.  If symptoms improve to ≤ Grade 1, taper corticosteroids over ≥ 1 month. Treatment with </w:t>
      </w:r>
      <w:r w:rsidR="008C70BA" w:rsidRPr="009D6881">
        <w:rPr>
          <w:lang w:val="en-GB"/>
        </w:rPr>
        <w:t xml:space="preserve">Tecentriq </w:t>
      </w:r>
      <w:r w:rsidRPr="009D6881">
        <w:rPr>
          <w:lang w:val="en-GB"/>
        </w:rPr>
        <w:t xml:space="preserve">may be resumed if the event improves to ≤ Grade 1 within 12 weeks and corticosteroids have been reduced to ≤ 10 mg oral prednisone or equivalent per day. Treatment with </w:t>
      </w:r>
      <w:r w:rsidR="008C70BA" w:rsidRPr="009D6881">
        <w:rPr>
          <w:lang w:val="en-GB"/>
        </w:rPr>
        <w:t xml:space="preserve">Tecentriq </w:t>
      </w:r>
      <w:r w:rsidRPr="009D6881">
        <w:rPr>
          <w:lang w:val="en-GB"/>
        </w:rPr>
        <w:t>should be permanently discontinued for Grade 4 (life threatening; urgent intervention indicated) diarrh</w:t>
      </w:r>
      <w:r w:rsidR="00370474" w:rsidRPr="009D6881">
        <w:rPr>
          <w:lang w:val="en-GB"/>
        </w:rPr>
        <w:t>o</w:t>
      </w:r>
      <w:r w:rsidRPr="009D6881">
        <w:rPr>
          <w:lang w:val="en-GB"/>
        </w:rPr>
        <w:t>ea or colitis.</w:t>
      </w:r>
    </w:p>
    <w:p w14:paraId="4EF2DD32" w14:textId="17C63F74" w:rsidR="00793677" w:rsidRPr="009D6881" w:rsidRDefault="00793677" w:rsidP="00370474">
      <w:pPr>
        <w:pStyle w:val="Heading2"/>
        <w:rPr>
          <w:rFonts w:hint="eastAsia"/>
          <w:lang w:val="en-GB"/>
        </w:rPr>
      </w:pPr>
      <w:r w:rsidRPr="009D6881">
        <w:rPr>
          <w:lang w:val="en-GB"/>
        </w:rPr>
        <w:t>Immune-related endocrinopathies</w:t>
      </w:r>
    </w:p>
    <w:p w14:paraId="561CA8CB" w14:textId="079A5A18" w:rsidR="00793677" w:rsidRPr="009D6881" w:rsidRDefault="00793677" w:rsidP="00793677">
      <w:pPr>
        <w:rPr>
          <w:lang w:val="en-GB"/>
        </w:rPr>
      </w:pPr>
      <w:r w:rsidRPr="009D6881">
        <w:rPr>
          <w:lang w:val="en-GB"/>
        </w:rPr>
        <w:t>Hypothyroidism, hyperthyroidism, adrenal insufficienc</w:t>
      </w:r>
      <w:r w:rsidRPr="00F14714">
        <w:rPr>
          <w:lang w:val="en-GB"/>
        </w:rPr>
        <w:t>y</w:t>
      </w:r>
      <w:r w:rsidR="00CA304A" w:rsidRPr="008D3F49">
        <w:rPr>
          <w:lang w:val="en-GB"/>
        </w:rPr>
        <w:t>, hypophysitis</w:t>
      </w:r>
      <w:r w:rsidRPr="00F14714">
        <w:rPr>
          <w:lang w:val="en-GB"/>
        </w:rPr>
        <w:t xml:space="preserve"> an</w:t>
      </w:r>
      <w:r w:rsidRPr="009D6881">
        <w:rPr>
          <w:lang w:val="en-GB"/>
        </w:rPr>
        <w:t xml:space="preserve">d type 1 diabetes mellitus, including diabetic ketoacidosis, have been observed in clinical trials with </w:t>
      </w:r>
      <w:r w:rsidR="008C70BA" w:rsidRPr="009D6881">
        <w:rPr>
          <w:lang w:val="en-GB"/>
        </w:rPr>
        <w:t xml:space="preserve">Tecentriq </w:t>
      </w:r>
      <w:r w:rsidRPr="009D6881">
        <w:rPr>
          <w:lang w:val="en-GB"/>
        </w:rPr>
        <w:t xml:space="preserve">(see </w:t>
      </w:r>
      <w:r w:rsidR="00370474" w:rsidRPr="009D6881">
        <w:rPr>
          <w:i/>
          <w:lang w:val="en-GB"/>
        </w:rPr>
        <w:t>ADVERSE EFFECTS</w:t>
      </w:r>
      <w:r w:rsidRPr="009D6881">
        <w:rPr>
          <w:lang w:val="en-GB"/>
        </w:rPr>
        <w:t>). Patients should be monitored for clinical signs and symptoms of endocrinopathies</w:t>
      </w:r>
      <w:r w:rsidR="00810F00">
        <w:rPr>
          <w:lang w:val="en-GB"/>
        </w:rPr>
        <w:t xml:space="preserve"> </w:t>
      </w:r>
      <w:r w:rsidR="00810F00" w:rsidRPr="00810F00">
        <w:rPr>
          <w:lang w:val="en-GB"/>
        </w:rPr>
        <w:t>and for changes in thyroid function (at the start of treatment, periodically during treatment and as indicated based on clinical evaluation)</w:t>
      </w:r>
      <w:r w:rsidR="00493F64">
        <w:rPr>
          <w:lang w:val="en-GB"/>
        </w:rPr>
        <w:t>.</w:t>
      </w:r>
      <w:r w:rsidR="00810F00" w:rsidRPr="00810F00">
        <w:rPr>
          <w:lang w:val="en-GB"/>
        </w:rPr>
        <w:t xml:space="preserve"> Patients may present with </w:t>
      </w:r>
      <w:r w:rsidR="00493F64">
        <w:rPr>
          <w:lang w:val="en-GB"/>
        </w:rPr>
        <w:t xml:space="preserve">the following: </w:t>
      </w:r>
      <w:r w:rsidR="00810F00" w:rsidRPr="00810F00">
        <w:rPr>
          <w:lang w:val="en-GB"/>
        </w:rPr>
        <w:t>fatigue, headache, mental status changes, heat or cold intolerance, tachycardia or bradycardia, unusual bowel habits, weight change, poly</w:t>
      </w:r>
      <w:r w:rsidR="00493F64">
        <w:rPr>
          <w:lang w:val="en-GB"/>
        </w:rPr>
        <w:t>uria/polydipsia, blurred vision</w:t>
      </w:r>
      <w:r w:rsidR="00810F00" w:rsidRPr="00810F00">
        <w:rPr>
          <w:lang w:val="en-GB"/>
        </w:rPr>
        <w:t xml:space="preserve">. Unless an alternate </w:t>
      </w:r>
      <w:r w:rsidR="00510D75">
        <w:rPr>
          <w:lang w:val="en-GB"/>
        </w:rPr>
        <w:t>a</w:t>
      </w:r>
      <w:r w:rsidR="00810F00" w:rsidRPr="00810F00">
        <w:rPr>
          <w:lang w:val="en-GB"/>
        </w:rPr>
        <w:t>etiology has been identified, signs and symptoms of endocrinopathies should be conservatively considered immune-related</w:t>
      </w:r>
      <w:r w:rsidRPr="009D6881">
        <w:rPr>
          <w:lang w:val="en-GB"/>
        </w:rPr>
        <w:t xml:space="preserve">. </w:t>
      </w:r>
      <w:r w:rsidR="009D7888" w:rsidRPr="009D6881">
        <w:rPr>
          <w:lang w:val="en-GB"/>
        </w:rPr>
        <w:t>A</w:t>
      </w:r>
      <w:r w:rsidRPr="009D6881">
        <w:rPr>
          <w:lang w:val="en-GB"/>
        </w:rPr>
        <w:t>ppropriate management of patients with abnormal thyroid function tests at baseline</w:t>
      </w:r>
      <w:r w:rsidR="009D7888" w:rsidRPr="009D6881">
        <w:rPr>
          <w:lang w:val="en-GB"/>
        </w:rPr>
        <w:t xml:space="preserve"> should be considered</w:t>
      </w:r>
      <w:r w:rsidRPr="009D6881">
        <w:rPr>
          <w:lang w:val="en-GB"/>
        </w:rPr>
        <w:t xml:space="preserve">. </w:t>
      </w:r>
    </w:p>
    <w:p w14:paraId="6535D993" w14:textId="77777777" w:rsidR="00370474" w:rsidRPr="009D6881" w:rsidRDefault="00370474" w:rsidP="00793677">
      <w:pPr>
        <w:rPr>
          <w:lang w:val="en-GB"/>
        </w:rPr>
      </w:pPr>
    </w:p>
    <w:p w14:paraId="24846796" w14:textId="54A1DED3" w:rsidR="00793677" w:rsidRPr="009D6881" w:rsidRDefault="00793677" w:rsidP="00793677">
      <w:pPr>
        <w:rPr>
          <w:lang w:val="en-GB"/>
        </w:rPr>
      </w:pPr>
      <w:r w:rsidRPr="009D6881">
        <w:rPr>
          <w:lang w:val="en-GB"/>
        </w:rPr>
        <w:lastRenderedPageBreak/>
        <w:t xml:space="preserve">Asymptomatic patients with abnormal thyroid function tests can receive </w:t>
      </w:r>
      <w:r w:rsidR="008C70BA" w:rsidRPr="009D6881">
        <w:rPr>
          <w:lang w:val="en-GB"/>
        </w:rPr>
        <w:t>Tecentriq</w:t>
      </w:r>
      <w:r w:rsidRPr="009D6881">
        <w:rPr>
          <w:lang w:val="en-GB"/>
        </w:rPr>
        <w:t xml:space="preserve">. For symptomatic hypothyroidism, </w:t>
      </w:r>
      <w:r w:rsidR="008C70BA" w:rsidRPr="009D6881">
        <w:rPr>
          <w:lang w:val="en-GB"/>
        </w:rPr>
        <w:t xml:space="preserve">Tecentriq </w:t>
      </w:r>
      <w:r w:rsidRPr="009D6881">
        <w:rPr>
          <w:lang w:val="en-GB"/>
        </w:rPr>
        <w:t xml:space="preserve">should be withheld and thyroid hormone replacement should be initiated as needed. Isolated hypothyroidism may be managed with replacement therapy and without corticosteroids. For symptomatic hyperthyroidism, </w:t>
      </w:r>
      <w:r w:rsidR="008C70BA" w:rsidRPr="009D6881">
        <w:rPr>
          <w:lang w:val="en-GB"/>
        </w:rPr>
        <w:t xml:space="preserve">Tecentriq </w:t>
      </w:r>
      <w:r w:rsidRPr="009D6881">
        <w:rPr>
          <w:lang w:val="en-GB"/>
        </w:rPr>
        <w:t xml:space="preserve">should be withheld and an anti-thyroid drug such as carbimazole should be initiated as needed. </w:t>
      </w:r>
      <w:r w:rsidR="00810F00" w:rsidRPr="00810F00">
        <w:rPr>
          <w:lang w:val="en-GB"/>
        </w:rPr>
        <w:t>Treatment with a beta blocker may also be considered.</w:t>
      </w:r>
      <w:r w:rsidR="00810F00">
        <w:rPr>
          <w:lang w:val="en-GB"/>
        </w:rPr>
        <w:t xml:space="preserve"> </w:t>
      </w:r>
      <w:r w:rsidRPr="009D6881">
        <w:rPr>
          <w:lang w:val="en-GB"/>
        </w:rPr>
        <w:t xml:space="preserve">Treatment with </w:t>
      </w:r>
      <w:r w:rsidR="008C70BA" w:rsidRPr="009D6881">
        <w:rPr>
          <w:lang w:val="en-GB"/>
        </w:rPr>
        <w:t xml:space="preserve">Tecentriq </w:t>
      </w:r>
      <w:r w:rsidRPr="009D6881">
        <w:rPr>
          <w:lang w:val="en-GB"/>
        </w:rPr>
        <w:t>may be resumed when symptoms are controlled and thyroid function is improving.</w:t>
      </w:r>
    </w:p>
    <w:p w14:paraId="5DE8CCB8" w14:textId="77777777" w:rsidR="00370474" w:rsidRPr="009D6881" w:rsidRDefault="00370474" w:rsidP="00793677">
      <w:pPr>
        <w:rPr>
          <w:lang w:val="en-GB"/>
        </w:rPr>
      </w:pPr>
    </w:p>
    <w:p w14:paraId="0686B84B" w14:textId="69590318" w:rsidR="00793677" w:rsidRDefault="00793677" w:rsidP="00457C32">
      <w:pPr>
        <w:rPr>
          <w:lang w:val="en-GB"/>
        </w:rPr>
      </w:pPr>
      <w:r w:rsidRPr="009D6881">
        <w:rPr>
          <w:lang w:val="en-GB"/>
        </w:rPr>
        <w:t xml:space="preserve">For symptomatic adrenal insufficiency, </w:t>
      </w:r>
      <w:r w:rsidR="008C70BA" w:rsidRPr="009D6881">
        <w:rPr>
          <w:lang w:val="en-GB"/>
        </w:rPr>
        <w:t xml:space="preserve">Tecentriq </w:t>
      </w:r>
      <w:r w:rsidRPr="009D6881">
        <w:rPr>
          <w:lang w:val="en-GB"/>
        </w:rPr>
        <w:t>should be withheld and treatment of 1</w:t>
      </w:r>
      <w:r w:rsidR="00370474" w:rsidRPr="009D6881">
        <w:rPr>
          <w:lang w:val="en-GB"/>
        </w:rPr>
        <w:t xml:space="preserve"> </w:t>
      </w:r>
      <w:r w:rsidRPr="009D6881">
        <w:rPr>
          <w:lang w:val="en-GB"/>
        </w:rPr>
        <w:t>-</w:t>
      </w:r>
      <w:r w:rsidR="00370474" w:rsidRPr="009D6881">
        <w:rPr>
          <w:lang w:val="en-GB"/>
        </w:rPr>
        <w:t xml:space="preserve"> </w:t>
      </w:r>
      <w:r w:rsidRPr="009D6881">
        <w:rPr>
          <w:lang w:val="en-GB"/>
        </w:rPr>
        <w:t>2 mg/kg per day of IV methylprednisolone or equivalent should be started. Once symptoms improve, follow with 1</w:t>
      </w:r>
      <w:r w:rsidR="00370474" w:rsidRPr="009D6881">
        <w:rPr>
          <w:lang w:val="en-GB"/>
        </w:rPr>
        <w:t xml:space="preserve"> </w:t>
      </w:r>
      <w:r w:rsidRPr="009D6881">
        <w:rPr>
          <w:lang w:val="en-GB"/>
        </w:rPr>
        <w:t>-</w:t>
      </w:r>
      <w:r w:rsidR="00370474" w:rsidRPr="009D6881">
        <w:rPr>
          <w:lang w:val="en-GB"/>
        </w:rPr>
        <w:t xml:space="preserve"> </w:t>
      </w:r>
      <w:r w:rsidRPr="009D6881">
        <w:rPr>
          <w:lang w:val="en-GB"/>
        </w:rPr>
        <w:t>2 mg/kg per day of oral prednisone or equivalent. If symptoms improve to ≤ Grade 1, taper corticosteroids over ≥ 1 month. Treatment may be resumed if the event improves to ≤ Grade 1 within 12 weeks and corticosteroids have been reduced to the equivalent of ≤ 10 mg oral prednisone or equivalent per day and patient is stable on replacement therapy (if required).</w:t>
      </w:r>
    </w:p>
    <w:p w14:paraId="486FC074" w14:textId="77777777" w:rsidR="00CA304A" w:rsidRDefault="00CA304A" w:rsidP="00793677">
      <w:pPr>
        <w:rPr>
          <w:lang w:val="en-GB"/>
        </w:rPr>
      </w:pPr>
    </w:p>
    <w:p w14:paraId="3AD9C91A" w14:textId="247F4BB1" w:rsidR="00CA304A" w:rsidRPr="009D6881" w:rsidRDefault="00CA304A" w:rsidP="00793677">
      <w:pPr>
        <w:rPr>
          <w:lang w:val="en-GB"/>
        </w:rPr>
      </w:pPr>
      <w:r w:rsidRPr="008D3F49">
        <w:rPr>
          <w:lang w:val="en-GB"/>
        </w:rPr>
        <w:t xml:space="preserve">Treatment with </w:t>
      </w:r>
      <w:r w:rsidR="008C70BA" w:rsidRPr="008D3F49">
        <w:rPr>
          <w:lang w:val="en-GB"/>
        </w:rPr>
        <w:t xml:space="preserve">Tecentriq </w:t>
      </w:r>
      <w:r w:rsidRPr="008D3F49">
        <w:rPr>
          <w:lang w:val="en-GB"/>
        </w:rPr>
        <w:t xml:space="preserve">should be withheld for Grade 2 or Grade 3 hypophysitis. Treatment with 1 - 2 mg/kg per day IV methylprednisolone or equivalent should be started, and hormone replacement should be initiated as needed. Once symptoms improve, convert to 1 - 2 mg/kg per day of oral prednisone or equivalent. If symptoms improve to ≤ Grade 1, corticosteroids should be tapered over ≥ 1 month. Treatment may be resumed if the event improves to ≤ Grade 1 within 12 weeks and corticosteroids have been reduced to ≤ 10 mg per day of oral prednisone or equivalent and patient is stable on replacement therapy (if required). Treatment with </w:t>
      </w:r>
      <w:r w:rsidR="008C70BA" w:rsidRPr="008D3F49">
        <w:rPr>
          <w:lang w:val="en-GB"/>
        </w:rPr>
        <w:t xml:space="preserve">Tecentriq </w:t>
      </w:r>
      <w:r w:rsidRPr="008D3F49">
        <w:rPr>
          <w:lang w:val="en-GB"/>
        </w:rPr>
        <w:t>should be permanently discontinued for Grade 4 hypophysitis.</w:t>
      </w:r>
    </w:p>
    <w:p w14:paraId="279C9C69" w14:textId="77777777" w:rsidR="00370474" w:rsidRPr="009D6881" w:rsidRDefault="00370474" w:rsidP="00793677">
      <w:pPr>
        <w:rPr>
          <w:lang w:val="en-GB"/>
        </w:rPr>
      </w:pPr>
    </w:p>
    <w:p w14:paraId="7958BDB4" w14:textId="5283DA7E" w:rsidR="00793677" w:rsidRPr="009D6881" w:rsidRDefault="00793677" w:rsidP="00793677">
      <w:pPr>
        <w:rPr>
          <w:lang w:val="en-GB"/>
        </w:rPr>
      </w:pPr>
      <w:r w:rsidRPr="009D6881">
        <w:rPr>
          <w:lang w:val="en-GB"/>
        </w:rPr>
        <w:t>Treatment with insulin should be initiated for type 1 diabetes mellitus. For ≥ Grade 3 hyperglyc</w:t>
      </w:r>
      <w:r w:rsidR="009D7888" w:rsidRPr="009D6881">
        <w:rPr>
          <w:lang w:val="en-GB"/>
        </w:rPr>
        <w:t>a</w:t>
      </w:r>
      <w:r w:rsidRPr="009D6881">
        <w:rPr>
          <w:lang w:val="en-GB"/>
        </w:rPr>
        <w:t xml:space="preserve">emia (fasting glucose </w:t>
      </w:r>
      <w:r w:rsidR="00CA3B0A" w:rsidRPr="00CA3B0A">
        <w:rPr>
          <w:lang w:val="en-GB"/>
        </w:rPr>
        <w:t>greater than 13.9 mmol/L</w:t>
      </w:r>
      <w:r w:rsidRPr="009D6881">
        <w:rPr>
          <w:lang w:val="en-GB"/>
        </w:rPr>
        <w:t xml:space="preserve">), </w:t>
      </w:r>
      <w:r w:rsidR="008C70BA" w:rsidRPr="009D6881">
        <w:rPr>
          <w:lang w:val="en-GB"/>
        </w:rPr>
        <w:t xml:space="preserve">Tecentriq </w:t>
      </w:r>
      <w:r w:rsidRPr="009D6881">
        <w:rPr>
          <w:lang w:val="en-GB"/>
        </w:rPr>
        <w:t xml:space="preserve">should be withheld. Treatment with </w:t>
      </w:r>
      <w:r w:rsidR="008C70BA" w:rsidRPr="009D6881">
        <w:rPr>
          <w:lang w:val="en-GB"/>
        </w:rPr>
        <w:t xml:space="preserve">Tecentriq </w:t>
      </w:r>
      <w:r w:rsidRPr="009D6881">
        <w:rPr>
          <w:lang w:val="en-GB"/>
        </w:rPr>
        <w:t>may be resumed if metabolic control is achieved on insulin replacement therapy.</w:t>
      </w:r>
    </w:p>
    <w:p w14:paraId="5C72A5E3" w14:textId="44E14CF8" w:rsidR="00793677" w:rsidRPr="009D6881" w:rsidRDefault="00793677" w:rsidP="00370474">
      <w:pPr>
        <w:pStyle w:val="Heading2"/>
        <w:rPr>
          <w:rFonts w:hint="eastAsia"/>
          <w:lang w:val="en-GB"/>
        </w:rPr>
      </w:pPr>
      <w:r w:rsidRPr="009D6881">
        <w:rPr>
          <w:lang w:val="en-GB"/>
        </w:rPr>
        <w:t>Immune-related meningoencephalitis</w:t>
      </w:r>
    </w:p>
    <w:p w14:paraId="3552ED47" w14:textId="77619D16" w:rsidR="00793677" w:rsidRPr="009D6881" w:rsidRDefault="00793677" w:rsidP="00793677">
      <w:pPr>
        <w:rPr>
          <w:lang w:val="en-GB"/>
        </w:rPr>
      </w:pPr>
      <w:r w:rsidRPr="009D6881">
        <w:rPr>
          <w:lang w:val="en-GB"/>
        </w:rPr>
        <w:t xml:space="preserve">Meningoencephalitis has been observed in clinical trials with </w:t>
      </w:r>
      <w:r w:rsidR="008C70BA" w:rsidRPr="009D6881">
        <w:rPr>
          <w:lang w:val="en-GB"/>
        </w:rPr>
        <w:t xml:space="preserve">Tecentriq </w:t>
      </w:r>
      <w:r w:rsidRPr="009D6881">
        <w:rPr>
          <w:lang w:val="en-GB"/>
        </w:rPr>
        <w:t xml:space="preserve">(see </w:t>
      </w:r>
      <w:r w:rsidR="00370474" w:rsidRPr="009D6881">
        <w:rPr>
          <w:i/>
          <w:lang w:val="en-GB"/>
        </w:rPr>
        <w:t>ADVERSE EFFECTS</w:t>
      </w:r>
      <w:r w:rsidRPr="009D6881">
        <w:rPr>
          <w:lang w:val="en-GB"/>
        </w:rPr>
        <w:t>). Patients should be monitored for clinical signs and symptoms of meningitis or encephalitis.</w:t>
      </w:r>
    </w:p>
    <w:p w14:paraId="0D8AC766" w14:textId="77777777" w:rsidR="00370474" w:rsidRPr="009D6881" w:rsidRDefault="00370474" w:rsidP="00793677">
      <w:pPr>
        <w:rPr>
          <w:lang w:val="en-GB"/>
        </w:rPr>
      </w:pPr>
    </w:p>
    <w:p w14:paraId="49658147" w14:textId="2626629E" w:rsidR="00793677" w:rsidRPr="009D6881" w:rsidRDefault="00793677" w:rsidP="00793677">
      <w:pPr>
        <w:rPr>
          <w:lang w:val="en-GB"/>
        </w:rPr>
      </w:pPr>
      <w:r w:rsidRPr="009D6881">
        <w:rPr>
          <w:rFonts w:hint="eastAsia"/>
          <w:lang w:val="en-GB"/>
        </w:rPr>
        <w:t xml:space="preserve">Treatment with </w:t>
      </w:r>
      <w:r w:rsidR="008C70BA" w:rsidRPr="009D6881">
        <w:rPr>
          <w:lang w:val="en-GB"/>
        </w:rPr>
        <w:t xml:space="preserve">Tecentriq </w:t>
      </w:r>
      <w:r w:rsidRPr="009D6881">
        <w:rPr>
          <w:rFonts w:hint="eastAsia"/>
          <w:lang w:val="en-GB"/>
        </w:rPr>
        <w:t>should be permanently discontinued for any grade of meningitis or encephalitis. Treat with 1</w:t>
      </w:r>
      <w:r w:rsidR="00370474" w:rsidRPr="009D6881">
        <w:rPr>
          <w:lang w:val="en-GB"/>
        </w:rPr>
        <w:t xml:space="preserve"> </w:t>
      </w:r>
      <w:r w:rsidR="00370474" w:rsidRPr="009D6881">
        <w:t xml:space="preserve">- </w:t>
      </w:r>
      <w:r w:rsidRPr="009D6881">
        <w:rPr>
          <w:rFonts w:hint="eastAsia"/>
          <w:lang w:val="en-GB"/>
        </w:rPr>
        <w:t>2 mg/kg IV methylprednisolone or equivalent per day. Convert to 1</w:t>
      </w:r>
      <w:r w:rsidR="00016B64" w:rsidRPr="009D6881">
        <w:rPr>
          <w:lang w:val="en-GB"/>
        </w:rPr>
        <w:t xml:space="preserve"> </w:t>
      </w:r>
      <w:r w:rsidRPr="009D6881">
        <w:rPr>
          <w:rFonts w:hint="eastAsia"/>
          <w:lang w:val="en-GB"/>
        </w:rPr>
        <w:t>-</w:t>
      </w:r>
      <w:r w:rsidR="00016B64" w:rsidRPr="009D6881">
        <w:rPr>
          <w:lang w:val="en-GB"/>
        </w:rPr>
        <w:t xml:space="preserve"> </w:t>
      </w:r>
      <w:r w:rsidRPr="009D6881">
        <w:rPr>
          <w:rFonts w:hint="eastAsia"/>
          <w:lang w:val="en-GB"/>
        </w:rPr>
        <w:t>2 mg/kg oral prednisone or equivalent per day once the patient has impro</w:t>
      </w:r>
      <w:r w:rsidRPr="009D6881">
        <w:rPr>
          <w:lang w:val="en-GB"/>
        </w:rPr>
        <w:t xml:space="preserve">ved. If symptoms improve to ≤ Grade 1, taper corticosteroids over </w:t>
      </w:r>
      <w:r w:rsidR="00016B64" w:rsidRPr="009D6881">
        <w:rPr>
          <w:rFonts w:ascii="Symbol" w:hAnsi="Symbol"/>
        </w:rPr>
        <w:t></w:t>
      </w:r>
      <w:r w:rsidRPr="009D6881">
        <w:rPr>
          <w:lang w:val="en-GB"/>
        </w:rPr>
        <w:t xml:space="preserve"> 1 month.</w:t>
      </w:r>
    </w:p>
    <w:p w14:paraId="561D5B61" w14:textId="045AE934" w:rsidR="00793677" w:rsidRPr="009D6881" w:rsidRDefault="00793677" w:rsidP="00016B64">
      <w:pPr>
        <w:pStyle w:val="Heading2"/>
        <w:rPr>
          <w:rFonts w:hint="eastAsia"/>
          <w:lang w:val="en-GB"/>
        </w:rPr>
      </w:pPr>
      <w:r w:rsidRPr="009D6881">
        <w:rPr>
          <w:lang w:val="en-GB"/>
        </w:rPr>
        <w:t>Immune-related neuropathies</w:t>
      </w:r>
    </w:p>
    <w:p w14:paraId="3F47893B" w14:textId="2FAF8AD2" w:rsidR="00793677" w:rsidRPr="009D6881" w:rsidRDefault="00793677" w:rsidP="00793677">
      <w:pPr>
        <w:rPr>
          <w:lang w:val="en-GB"/>
        </w:rPr>
      </w:pPr>
      <w:r w:rsidRPr="009D6881">
        <w:rPr>
          <w:lang w:val="en-GB"/>
        </w:rPr>
        <w:t>Myasthenic syndrome/myasthenia gravis or Guillain-Barré syndrome, which may be life</w:t>
      </w:r>
      <w:r w:rsidR="00016B64" w:rsidRPr="009D6881">
        <w:rPr>
          <w:lang w:val="en-GB"/>
        </w:rPr>
        <w:t>-</w:t>
      </w:r>
      <w:r w:rsidRPr="009D6881">
        <w:rPr>
          <w:lang w:val="en-GB"/>
        </w:rPr>
        <w:t xml:space="preserve">threatening, were observed in patients receiving </w:t>
      </w:r>
      <w:r w:rsidR="008C70BA" w:rsidRPr="009D6881">
        <w:rPr>
          <w:lang w:val="en-GB"/>
        </w:rPr>
        <w:t xml:space="preserve">Tecentriq </w:t>
      </w:r>
      <w:r w:rsidRPr="009D6881">
        <w:rPr>
          <w:lang w:val="en-GB"/>
        </w:rPr>
        <w:t xml:space="preserve">(see </w:t>
      </w:r>
      <w:r w:rsidR="00016B64" w:rsidRPr="009D6881">
        <w:rPr>
          <w:i/>
          <w:lang w:val="en-GB"/>
        </w:rPr>
        <w:t>ADVERSE EFFECTS</w:t>
      </w:r>
      <w:r w:rsidRPr="009D6881">
        <w:rPr>
          <w:lang w:val="en-GB"/>
        </w:rPr>
        <w:t>). Patients should be monitored for symptoms of motor and sensory neuropathy.</w:t>
      </w:r>
    </w:p>
    <w:p w14:paraId="653740F4" w14:textId="77777777" w:rsidR="00016B64" w:rsidRPr="009D6881" w:rsidRDefault="00016B64" w:rsidP="00793677">
      <w:pPr>
        <w:rPr>
          <w:lang w:val="en-GB"/>
        </w:rPr>
      </w:pPr>
    </w:p>
    <w:p w14:paraId="366872FA" w14:textId="51DF1C4A" w:rsidR="00793677" w:rsidRPr="009D6881" w:rsidRDefault="00793677" w:rsidP="00793677">
      <w:pPr>
        <w:rPr>
          <w:lang w:val="en-GB"/>
        </w:rPr>
      </w:pPr>
      <w:r w:rsidRPr="009D6881">
        <w:rPr>
          <w:lang w:val="en-GB"/>
        </w:rPr>
        <w:t xml:space="preserve">Treatment with </w:t>
      </w:r>
      <w:r w:rsidR="008C70BA" w:rsidRPr="009D6881">
        <w:rPr>
          <w:lang w:val="en-GB"/>
        </w:rPr>
        <w:t xml:space="preserve">Tecentriq </w:t>
      </w:r>
      <w:r w:rsidRPr="009D6881">
        <w:rPr>
          <w:lang w:val="en-GB"/>
        </w:rPr>
        <w:t>should be permanently discontinued for any grade of myasthenic syndrome / myasthenia gravis or Guillain-Barré syndrome. Consider initiation of systemic corticosteroids at a dose of 1</w:t>
      </w:r>
      <w:r w:rsidR="00016B64" w:rsidRPr="009D6881">
        <w:rPr>
          <w:lang w:val="en-GB"/>
        </w:rPr>
        <w:t xml:space="preserve"> </w:t>
      </w:r>
      <w:r w:rsidRPr="009D6881">
        <w:rPr>
          <w:lang w:val="en-GB"/>
        </w:rPr>
        <w:t>-</w:t>
      </w:r>
      <w:r w:rsidR="00016B64" w:rsidRPr="009D6881">
        <w:rPr>
          <w:lang w:val="en-GB"/>
        </w:rPr>
        <w:t xml:space="preserve"> </w:t>
      </w:r>
      <w:r w:rsidRPr="009D6881">
        <w:rPr>
          <w:lang w:val="en-GB"/>
        </w:rPr>
        <w:t xml:space="preserve">2 mg/kg oral prednisone or equivalent per day. </w:t>
      </w:r>
    </w:p>
    <w:p w14:paraId="600FB2CA" w14:textId="343ACBC4" w:rsidR="00793677" w:rsidRPr="009D6881" w:rsidRDefault="00793677" w:rsidP="00016B64">
      <w:pPr>
        <w:pStyle w:val="Heading2"/>
        <w:rPr>
          <w:rFonts w:hint="eastAsia"/>
          <w:lang w:val="en-GB"/>
        </w:rPr>
      </w:pPr>
      <w:r w:rsidRPr="009D6881">
        <w:rPr>
          <w:lang w:val="en-GB"/>
        </w:rPr>
        <w:lastRenderedPageBreak/>
        <w:t>Immune-related pancreatitis</w:t>
      </w:r>
    </w:p>
    <w:p w14:paraId="554AE4A5" w14:textId="746E8837" w:rsidR="00793677" w:rsidRPr="009D6881" w:rsidRDefault="00793677" w:rsidP="00793677">
      <w:pPr>
        <w:rPr>
          <w:lang w:val="en-GB"/>
        </w:rPr>
      </w:pPr>
      <w:r w:rsidRPr="009D6881">
        <w:rPr>
          <w:lang w:val="en-GB"/>
        </w:rPr>
        <w:t>Pancreatitis, including increases in serum amylase and lipase levels, has been observed in clini</w:t>
      </w:r>
      <w:r w:rsidR="00016B64" w:rsidRPr="009D6881">
        <w:rPr>
          <w:lang w:val="en-GB"/>
        </w:rPr>
        <w:t xml:space="preserve">cal trials with </w:t>
      </w:r>
      <w:r w:rsidR="008C70BA" w:rsidRPr="009D6881">
        <w:rPr>
          <w:lang w:val="en-GB"/>
        </w:rPr>
        <w:t xml:space="preserve">Tecentriq </w:t>
      </w:r>
      <w:r w:rsidR="00016B64" w:rsidRPr="009D6881">
        <w:rPr>
          <w:lang w:val="en-GB"/>
        </w:rPr>
        <w:t xml:space="preserve">(see </w:t>
      </w:r>
      <w:r w:rsidR="00016B64" w:rsidRPr="009D6881">
        <w:rPr>
          <w:i/>
          <w:lang w:val="en-GB"/>
        </w:rPr>
        <w:t>ADVERSE EFFECTS</w:t>
      </w:r>
      <w:r w:rsidRPr="009D6881">
        <w:rPr>
          <w:lang w:val="en-GB"/>
        </w:rPr>
        <w:t>). Patients should be closely monitored for signs and symptoms that are suggestive of acute pancreatitis.</w:t>
      </w:r>
    </w:p>
    <w:p w14:paraId="4D18C234" w14:textId="77777777" w:rsidR="00016B64" w:rsidRPr="009D6881" w:rsidRDefault="00016B64" w:rsidP="00793677">
      <w:pPr>
        <w:rPr>
          <w:lang w:val="en-GB"/>
        </w:rPr>
      </w:pPr>
    </w:p>
    <w:p w14:paraId="01B4F242" w14:textId="47CE4529" w:rsidR="008524BA" w:rsidRPr="008524BA" w:rsidRDefault="00793677" w:rsidP="00793677">
      <w:pPr>
        <w:rPr>
          <w:lang w:val="en-GB"/>
        </w:rPr>
      </w:pPr>
      <w:r w:rsidRPr="009D6881">
        <w:rPr>
          <w:lang w:val="en-GB"/>
        </w:rPr>
        <w:t xml:space="preserve">Treatment with </w:t>
      </w:r>
      <w:r w:rsidR="008C70BA" w:rsidRPr="009D6881">
        <w:rPr>
          <w:lang w:val="en-GB"/>
        </w:rPr>
        <w:t xml:space="preserve">Tecentriq </w:t>
      </w:r>
      <w:r w:rsidRPr="009D6881">
        <w:rPr>
          <w:lang w:val="en-GB"/>
        </w:rPr>
        <w:t>should be withheld for ≥ Grade 3 serum amylase or lipase levels increased (&gt; 2.0 ULN), or Grade 2 or 3 pancreatitis, and treatment with 1</w:t>
      </w:r>
      <w:r w:rsidR="00016B64" w:rsidRPr="009D6881">
        <w:rPr>
          <w:lang w:val="en-GB"/>
        </w:rPr>
        <w:t xml:space="preserve"> </w:t>
      </w:r>
      <w:r w:rsidR="00016B64" w:rsidRPr="009D6881">
        <w:t xml:space="preserve">- </w:t>
      </w:r>
      <w:r w:rsidRPr="009D6881">
        <w:rPr>
          <w:lang w:val="en-GB"/>
        </w:rPr>
        <w:t>2 mg/kg  IV methylprednisolone or equivalent per day, should be started. Once symptoms improve, follow with 1</w:t>
      </w:r>
      <w:r w:rsidR="00016B64" w:rsidRPr="009D6881">
        <w:rPr>
          <w:lang w:val="en-GB"/>
        </w:rPr>
        <w:t xml:space="preserve"> </w:t>
      </w:r>
      <w:r w:rsidRPr="009D6881">
        <w:rPr>
          <w:lang w:val="en-GB"/>
        </w:rPr>
        <w:t>-</w:t>
      </w:r>
      <w:r w:rsidR="00016B64" w:rsidRPr="009D6881">
        <w:rPr>
          <w:lang w:val="en-GB"/>
        </w:rPr>
        <w:t xml:space="preserve"> </w:t>
      </w:r>
      <w:r w:rsidRPr="009D6881">
        <w:rPr>
          <w:lang w:val="en-GB"/>
        </w:rPr>
        <w:t xml:space="preserve">2 mg/kg oral prednisone or equivalent per day. Treatment with </w:t>
      </w:r>
      <w:r w:rsidR="008C70BA" w:rsidRPr="009D6881">
        <w:rPr>
          <w:lang w:val="en-GB"/>
        </w:rPr>
        <w:t xml:space="preserve">Tecentriq </w:t>
      </w:r>
      <w:r w:rsidRPr="009D6881">
        <w:rPr>
          <w:lang w:val="en-GB"/>
        </w:rPr>
        <w:t xml:space="preserve">may be resumed when serum amylase and lipase levels improve to ≤ Grade 1 within 12 weeks, or symptoms of pancreatitis have resolved, and corticosteroids have been reduced to ≤ 10 mg oral prednisone or equivalent per day. Treatment with </w:t>
      </w:r>
      <w:r w:rsidR="008C70BA" w:rsidRPr="009D6881">
        <w:rPr>
          <w:lang w:val="en-GB"/>
        </w:rPr>
        <w:t xml:space="preserve">Tecentriq </w:t>
      </w:r>
      <w:r w:rsidRPr="009D6881">
        <w:rPr>
          <w:lang w:val="en-GB"/>
        </w:rPr>
        <w:t>should be permanently discontinued for Grade 4, or any grade of recurrent pancreatitis.</w:t>
      </w:r>
    </w:p>
    <w:p w14:paraId="4DABEF98" w14:textId="02FFCE61" w:rsidR="00FA18F5" w:rsidRPr="000823AB" w:rsidRDefault="0085198F" w:rsidP="000823AB">
      <w:pPr>
        <w:pStyle w:val="Heading2"/>
        <w:rPr>
          <w:rFonts w:hint="eastAsia"/>
          <w:b w:val="0"/>
          <w:i w:val="0"/>
        </w:rPr>
      </w:pPr>
      <w:r w:rsidRPr="000823AB">
        <w:rPr>
          <w:b w:val="0"/>
        </w:rPr>
        <w:t>Immune related myocarditis</w:t>
      </w:r>
    </w:p>
    <w:p w14:paraId="2E48E593" w14:textId="557E0F61" w:rsidR="00FA18F5" w:rsidRDefault="0085198F" w:rsidP="00793677">
      <w:pPr>
        <w:rPr>
          <w:lang w:val="en-GB"/>
        </w:rPr>
      </w:pPr>
      <w:r w:rsidRPr="000823AB">
        <w:rPr>
          <w:iCs/>
          <w:szCs w:val="24"/>
          <w:lang w:val="en-GB"/>
        </w:rPr>
        <w:t>Myocarditis</w:t>
      </w:r>
      <w:r w:rsidRPr="008524BA">
        <w:rPr>
          <w:rFonts w:ascii="Times" w:eastAsia="Times New Roman" w:hAnsi="Times"/>
          <w:szCs w:val="24"/>
          <w:lang w:val="en-US" w:eastAsia="en-US"/>
        </w:rPr>
        <w:t xml:space="preserve"> has been observed in clinical trials with </w:t>
      </w:r>
      <w:r w:rsidR="003073BE" w:rsidRPr="008524BA">
        <w:rPr>
          <w:rFonts w:ascii="Times" w:eastAsia="Times New Roman" w:hAnsi="Times"/>
          <w:szCs w:val="24"/>
          <w:lang w:val="en-US" w:eastAsia="en-US"/>
        </w:rPr>
        <w:t>Tecentriq</w:t>
      </w:r>
      <w:r w:rsidRPr="008524BA">
        <w:rPr>
          <w:rFonts w:ascii="Times" w:eastAsia="Times New Roman" w:hAnsi="Times"/>
          <w:szCs w:val="24"/>
          <w:lang w:val="en-US" w:eastAsia="en-US"/>
        </w:rPr>
        <w:t xml:space="preserve">. Patients should be monitored for signs and symptoms of myocarditis. </w:t>
      </w:r>
      <w:r w:rsidR="003073BE" w:rsidRPr="000823AB">
        <w:rPr>
          <w:rFonts w:eastAsia="Times New Roman"/>
          <w:szCs w:val="24"/>
          <w:shd w:val="clear" w:color="auto" w:fill="FFFFFF"/>
          <w:lang w:val="en-US" w:eastAsia="en-US"/>
        </w:rPr>
        <w:t>Treatment with Tecentriq</w:t>
      </w:r>
      <w:r w:rsidR="00FA18F5" w:rsidRPr="000823AB">
        <w:rPr>
          <w:rFonts w:eastAsia="Times New Roman"/>
          <w:szCs w:val="24"/>
          <w:shd w:val="clear" w:color="auto" w:fill="FFFFFF"/>
          <w:lang w:val="en-US" w:eastAsia="en-US"/>
        </w:rPr>
        <w:t xml:space="preserve"> should be withheld for Grade 2 myocarditis. C</w:t>
      </w:r>
      <w:r w:rsidR="00FA18F5" w:rsidRPr="0085198F">
        <w:rPr>
          <w:rFonts w:eastAsia="Times New Roman"/>
          <w:color w:val="222222"/>
          <w:szCs w:val="24"/>
          <w:shd w:val="clear" w:color="auto" w:fill="FFFFFF"/>
          <w:lang w:val="en-US" w:eastAsia="en-US"/>
        </w:rPr>
        <w:t>onsider initiation of treatment with systemic corticosteroids. Treatment with Tecentriq should be permanently discontinued for Grade 3 or 4 myocarditis.</w:t>
      </w:r>
    </w:p>
    <w:p w14:paraId="79B84665" w14:textId="543CDFCC" w:rsidR="00504053" w:rsidRPr="00504053" w:rsidRDefault="00504053" w:rsidP="00651C35">
      <w:pPr>
        <w:pStyle w:val="Heading2"/>
        <w:rPr>
          <w:rFonts w:hint="eastAsia"/>
          <w:lang w:val="en-GB"/>
        </w:rPr>
      </w:pPr>
      <w:r w:rsidRPr="00504053">
        <w:rPr>
          <w:lang w:val="en-GB"/>
        </w:rPr>
        <w:t>Infusion related reactions</w:t>
      </w:r>
    </w:p>
    <w:p w14:paraId="2D719218" w14:textId="17FC0327" w:rsidR="00504053" w:rsidRDefault="00504053">
      <w:pPr>
        <w:rPr>
          <w:lang w:val="en-GB"/>
        </w:rPr>
      </w:pPr>
      <w:r w:rsidRPr="00504053">
        <w:rPr>
          <w:lang w:val="en-GB"/>
        </w:rPr>
        <w:t xml:space="preserve">Infusion related reactions (IRRs) have been observed in clinical trials with </w:t>
      </w:r>
      <w:r w:rsidR="00266F4D" w:rsidRPr="00504053">
        <w:rPr>
          <w:lang w:val="en-GB"/>
        </w:rPr>
        <w:t xml:space="preserve">Tecentriq </w:t>
      </w:r>
      <w:r w:rsidRPr="00504053">
        <w:rPr>
          <w:lang w:val="en-GB"/>
        </w:rPr>
        <w:t xml:space="preserve">(see </w:t>
      </w:r>
      <w:r w:rsidRPr="00651C35">
        <w:rPr>
          <w:i/>
          <w:lang w:val="en-GB"/>
        </w:rPr>
        <w:t>ADVERSE EFFECTS</w:t>
      </w:r>
      <w:r w:rsidRPr="00504053">
        <w:rPr>
          <w:lang w:val="en-GB"/>
        </w:rPr>
        <w:t xml:space="preserve">). </w:t>
      </w:r>
    </w:p>
    <w:p w14:paraId="3E626535" w14:textId="77777777" w:rsidR="00504053" w:rsidRPr="00504053" w:rsidRDefault="00504053">
      <w:pPr>
        <w:rPr>
          <w:lang w:val="en-GB"/>
        </w:rPr>
      </w:pPr>
    </w:p>
    <w:p w14:paraId="7A28807E" w14:textId="7A155DB2" w:rsidR="00504053" w:rsidRPr="009D6881" w:rsidRDefault="00504053">
      <w:pPr>
        <w:rPr>
          <w:lang w:val="en-GB"/>
        </w:rPr>
      </w:pPr>
      <w:r w:rsidRPr="00504053">
        <w:rPr>
          <w:lang w:val="en-GB"/>
        </w:rPr>
        <w:t xml:space="preserve">The rate of infusion should be reduced or treatment should be interrupted in patients with Grade 1 or 2 infusion related reactions. </w:t>
      </w:r>
      <w:r w:rsidR="008C70BA" w:rsidRPr="00504053">
        <w:rPr>
          <w:lang w:val="en-GB"/>
        </w:rPr>
        <w:t xml:space="preserve">Tecentriq </w:t>
      </w:r>
      <w:r w:rsidRPr="00504053">
        <w:rPr>
          <w:lang w:val="en-GB"/>
        </w:rPr>
        <w:t xml:space="preserve">should be permanently discontinued in patients with Grade 3 or 4 infusion related reactions. Patients with Grade 1 or 2 infusion related reactions may continue to receive </w:t>
      </w:r>
      <w:r w:rsidR="008C70BA" w:rsidRPr="00504053">
        <w:rPr>
          <w:lang w:val="en-GB"/>
        </w:rPr>
        <w:t xml:space="preserve">Tecentriq </w:t>
      </w:r>
      <w:r w:rsidRPr="00504053">
        <w:rPr>
          <w:lang w:val="en-GB"/>
        </w:rPr>
        <w:t xml:space="preserve">with close monitoring; premedication with </w:t>
      </w:r>
      <w:r w:rsidR="00D41C56">
        <w:rPr>
          <w:lang w:val="en-GB"/>
        </w:rPr>
        <w:t xml:space="preserve">an </w:t>
      </w:r>
      <w:r w:rsidRPr="00504053">
        <w:rPr>
          <w:lang w:val="en-GB"/>
        </w:rPr>
        <w:t>antipyretic and antihistamines may be considered.</w:t>
      </w:r>
    </w:p>
    <w:p w14:paraId="6B4E039C" w14:textId="3D2AB8BA" w:rsidR="00793677" w:rsidRPr="009D6881" w:rsidRDefault="00016B64" w:rsidP="00016B64">
      <w:pPr>
        <w:pStyle w:val="Heading2"/>
        <w:rPr>
          <w:rFonts w:hint="eastAsia"/>
          <w:lang w:val="en-GB"/>
        </w:rPr>
      </w:pPr>
      <w:r w:rsidRPr="009D6881">
        <w:rPr>
          <w:lang w:val="en-GB"/>
        </w:rPr>
        <w:t xml:space="preserve">Patients with autoimmune disease </w:t>
      </w:r>
    </w:p>
    <w:p w14:paraId="2AED5BED" w14:textId="2DF3D040" w:rsidR="00793677" w:rsidRPr="009D6881" w:rsidRDefault="00793677" w:rsidP="00793677">
      <w:pPr>
        <w:rPr>
          <w:lang w:val="en-GB"/>
        </w:rPr>
      </w:pPr>
      <w:r w:rsidRPr="009D6881">
        <w:rPr>
          <w:lang w:val="en-GB"/>
        </w:rPr>
        <w:t xml:space="preserve">Patients with autoimmune disease were excluded from clinical trials with </w:t>
      </w:r>
      <w:r w:rsidR="008C70BA" w:rsidRPr="009D6881">
        <w:rPr>
          <w:lang w:val="en-GB"/>
        </w:rPr>
        <w:t>Tecentriq</w:t>
      </w:r>
      <w:r w:rsidRPr="009D6881">
        <w:rPr>
          <w:lang w:val="en-GB"/>
        </w:rPr>
        <w:t xml:space="preserve">.  In the absence of data, </w:t>
      </w:r>
      <w:r w:rsidR="008C70BA" w:rsidRPr="009D6881">
        <w:rPr>
          <w:lang w:val="en-GB"/>
        </w:rPr>
        <w:t xml:space="preserve">Tecentriq </w:t>
      </w:r>
      <w:r w:rsidRPr="009D6881">
        <w:rPr>
          <w:lang w:val="en-GB"/>
        </w:rPr>
        <w:t xml:space="preserve">should be used with caution in patients with autoimmune disease, after assessment of the potential risk-benefit. </w:t>
      </w:r>
    </w:p>
    <w:p w14:paraId="3375B344" w14:textId="77777777" w:rsidR="00385F31" w:rsidRPr="009D6881" w:rsidRDefault="00385F31" w:rsidP="00312E44">
      <w:pPr>
        <w:pStyle w:val="Heading2"/>
        <w:rPr>
          <w:rFonts w:hint="eastAsia"/>
        </w:rPr>
      </w:pPr>
      <w:r w:rsidRPr="009D6881">
        <w:t>Use in renal impairment</w:t>
      </w:r>
    </w:p>
    <w:p w14:paraId="3375B345" w14:textId="0A6C9230" w:rsidR="00385F31" w:rsidRPr="009D6881" w:rsidRDefault="00452D58" w:rsidP="00385F31">
      <w:pPr>
        <w:spacing w:after="120"/>
      </w:pPr>
      <w:r w:rsidRPr="009D6881">
        <w:t xml:space="preserve">Based on a population pharmacokinetic analysis, no dose adjustment is required in patients with renal impairment (see </w:t>
      </w:r>
      <w:r w:rsidRPr="009D6881">
        <w:rPr>
          <w:i/>
        </w:rPr>
        <w:t>DOSAGE AND ADMINISTRATION</w:t>
      </w:r>
      <w:r w:rsidRPr="009D6881">
        <w:t xml:space="preserve"> and </w:t>
      </w:r>
      <w:r w:rsidRPr="009D6881">
        <w:rPr>
          <w:i/>
        </w:rPr>
        <w:t>PHARMACOLOGY</w:t>
      </w:r>
      <w:r w:rsidRPr="009D6881">
        <w:t>).</w:t>
      </w:r>
    </w:p>
    <w:p w14:paraId="3375B347" w14:textId="77777777" w:rsidR="00385F31" w:rsidRPr="009D6881" w:rsidRDefault="00385F31" w:rsidP="00312E44">
      <w:pPr>
        <w:pStyle w:val="Heading2"/>
        <w:rPr>
          <w:rFonts w:hint="eastAsia"/>
        </w:rPr>
      </w:pPr>
      <w:r w:rsidRPr="009D6881">
        <w:t>Use in hepatic impairment</w:t>
      </w:r>
    </w:p>
    <w:p w14:paraId="3375B348" w14:textId="441A9C08" w:rsidR="00385F31" w:rsidRPr="009D6881" w:rsidRDefault="00452D58" w:rsidP="00385F31">
      <w:pPr>
        <w:spacing w:after="120"/>
      </w:pPr>
      <w:r w:rsidRPr="009D6881">
        <w:t xml:space="preserve">Based on a population pharmacokinetic analysis, no dose adjustment is required for patients with mild hepatic impairment (see </w:t>
      </w:r>
      <w:r w:rsidRPr="009D6881">
        <w:rPr>
          <w:i/>
        </w:rPr>
        <w:t>DOSAGE AND ADMINISTRATION</w:t>
      </w:r>
      <w:r w:rsidRPr="009D6881">
        <w:t xml:space="preserve"> and </w:t>
      </w:r>
      <w:r w:rsidRPr="009D6881">
        <w:rPr>
          <w:i/>
        </w:rPr>
        <w:t>PHARMACOLOGY</w:t>
      </w:r>
      <w:r w:rsidRPr="009D6881">
        <w:t>). There are no data in patients with moderate or severe hepatic impairment.</w:t>
      </w:r>
    </w:p>
    <w:p w14:paraId="3375B34A" w14:textId="56F67B8A" w:rsidR="00D844B2" w:rsidRPr="009D6881" w:rsidRDefault="00D844B2" w:rsidP="00312E44">
      <w:pPr>
        <w:pStyle w:val="Heading2"/>
        <w:rPr>
          <w:rFonts w:hint="eastAsia"/>
        </w:rPr>
      </w:pPr>
      <w:r w:rsidRPr="009D6881">
        <w:t>Effects on fertility</w:t>
      </w:r>
    </w:p>
    <w:p w14:paraId="19A44F62" w14:textId="758D6D06" w:rsidR="00016B64" w:rsidRPr="009D6881" w:rsidRDefault="007A3D55" w:rsidP="00016B64">
      <w:pPr>
        <w:spacing w:after="120"/>
      </w:pPr>
      <w:r w:rsidRPr="009D6881">
        <w:lastRenderedPageBreak/>
        <w:t xml:space="preserve">No fertility studies have been conducted with </w:t>
      </w:r>
      <w:r w:rsidR="008C70BA">
        <w:t>atezolizumab</w:t>
      </w:r>
      <w:r w:rsidRPr="009D6881">
        <w:t xml:space="preserve">; however assessment of the cynomolgus monkey male and female reproductive organs was included in the chronic toxicity study. </w:t>
      </w:r>
      <w:r w:rsidR="00461F7F">
        <w:t>A</w:t>
      </w:r>
      <w:r w:rsidR="00461F7F" w:rsidRPr="00461F7F">
        <w:t>tezolizumab</w:t>
      </w:r>
      <w:r w:rsidR="00461F7F" w:rsidRPr="00461F7F" w:rsidDel="00461F7F">
        <w:t xml:space="preserve"> </w:t>
      </w:r>
      <w:r w:rsidRPr="009D6881">
        <w:t>had an effect on menstrual cycles in all female monkeys in the 50 mg/kg dose group character</w:t>
      </w:r>
      <w:r w:rsidR="00C26231" w:rsidRPr="009D6881">
        <w:t>ise</w:t>
      </w:r>
      <w:r w:rsidRPr="009D6881">
        <w:t>d by an irregular cycle pattern during the dosing phase and correlated with the lack of fresh corpora lutea in the ovaries at the terminal necropsy; this effect was reversible during the dose-free recovery period.</w:t>
      </w:r>
      <w:r w:rsidR="00AF3699">
        <w:t xml:space="preserve"> </w:t>
      </w:r>
      <w:r w:rsidR="00AF3699" w:rsidRPr="00AF3699">
        <w:t xml:space="preserve">The AUC at the no effect level was approximately 5 times that anticipated in patients. </w:t>
      </w:r>
      <w:r w:rsidR="00025CD9">
        <w:t xml:space="preserve">. </w:t>
      </w:r>
      <w:r w:rsidRPr="009D6881">
        <w:t>There was no effect on the male reproductive organs.</w:t>
      </w:r>
    </w:p>
    <w:p w14:paraId="3375B34C" w14:textId="62A3725A" w:rsidR="00D844B2" w:rsidRPr="009D6881" w:rsidRDefault="00385F31" w:rsidP="00312E44">
      <w:pPr>
        <w:pStyle w:val="Heading2"/>
        <w:rPr>
          <w:rFonts w:hint="eastAsia"/>
        </w:rPr>
      </w:pPr>
      <w:r w:rsidRPr="009D6881">
        <w:t>Use in p</w:t>
      </w:r>
      <w:r w:rsidR="00D844B2" w:rsidRPr="009D6881">
        <w:t>regnancy</w:t>
      </w:r>
      <w:r w:rsidR="0084792F" w:rsidRPr="009D6881">
        <w:t xml:space="preserve"> – Category D</w:t>
      </w:r>
    </w:p>
    <w:p w14:paraId="2C90AB6F" w14:textId="725D15C0" w:rsidR="003B2F5D" w:rsidRPr="009D6881" w:rsidRDefault="0061350B" w:rsidP="0061350B">
      <w:pPr>
        <w:rPr>
          <w:lang w:val="en-GB"/>
        </w:rPr>
      </w:pPr>
      <w:r w:rsidRPr="009D6881">
        <w:rPr>
          <w:lang w:val="en-GB"/>
        </w:rPr>
        <w:t xml:space="preserve">Based on the mechanism of action, the use of </w:t>
      </w:r>
      <w:r w:rsidR="008C70BA" w:rsidRPr="009D6881">
        <w:rPr>
          <w:lang w:val="en-GB"/>
        </w:rPr>
        <w:t xml:space="preserve">Tecentriq </w:t>
      </w:r>
      <w:r w:rsidRPr="009D6881">
        <w:rPr>
          <w:lang w:val="en-GB"/>
        </w:rPr>
        <w:t xml:space="preserve">may cause foetal harm. </w:t>
      </w:r>
      <w:r w:rsidR="003B2F5D" w:rsidRPr="009D6881">
        <w:rPr>
          <w:lang w:val="en-GB"/>
        </w:rPr>
        <w:t xml:space="preserve">Administration of </w:t>
      </w:r>
      <w:r w:rsidR="008C70BA" w:rsidRPr="009D6881">
        <w:rPr>
          <w:lang w:val="en-GB"/>
        </w:rPr>
        <w:t xml:space="preserve">Tecentriq </w:t>
      </w:r>
      <w:r w:rsidR="003B2F5D" w:rsidRPr="009D6881">
        <w:rPr>
          <w:lang w:val="en-GB"/>
        </w:rPr>
        <w:t>is expected to have an adverse effect on pregnancy and poses a risk to the human f</w:t>
      </w:r>
      <w:r w:rsidR="00081A9E">
        <w:rPr>
          <w:lang w:val="en-GB"/>
        </w:rPr>
        <w:t>o</w:t>
      </w:r>
      <w:r w:rsidR="003B2F5D" w:rsidRPr="009D6881">
        <w:rPr>
          <w:lang w:val="en-GB"/>
        </w:rPr>
        <w:t>etus, including embryo</w:t>
      </w:r>
      <w:r w:rsidR="00461F7F">
        <w:rPr>
          <w:lang w:val="en-GB"/>
        </w:rPr>
        <w:t>f</w:t>
      </w:r>
      <w:r w:rsidR="008419B4">
        <w:rPr>
          <w:lang w:val="en-GB"/>
        </w:rPr>
        <w:t>o</w:t>
      </w:r>
      <w:r w:rsidR="00461F7F">
        <w:rPr>
          <w:lang w:val="en-GB"/>
        </w:rPr>
        <w:t>etal</w:t>
      </w:r>
      <w:r w:rsidR="003B2F5D" w:rsidRPr="009D6881">
        <w:rPr>
          <w:lang w:val="en-GB"/>
        </w:rPr>
        <w:t xml:space="preserve"> lethality. </w:t>
      </w:r>
      <w:r w:rsidRPr="009D6881">
        <w:rPr>
          <w:lang w:val="en-GB"/>
        </w:rPr>
        <w:t xml:space="preserve">Animal studies have demonstrated that inhibition of the PD-L1/PD-1 pathway can lead to </w:t>
      </w:r>
      <w:r w:rsidR="00461F7F">
        <w:rPr>
          <w:lang w:val="en-GB"/>
        </w:rPr>
        <w:t xml:space="preserve">an </w:t>
      </w:r>
      <w:r w:rsidRPr="009D6881">
        <w:rPr>
          <w:lang w:val="en-GB"/>
        </w:rPr>
        <w:t>increased risk of immune-related rejection of the developing f</w:t>
      </w:r>
      <w:r w:rsidR="007A3D55" w:rsidRPr="009D6881">
        <w:rPr>
          <w:lang w:val="en-GB"/>
        </w:rPr>
        <w:t>o</w:t>
      </w:r>
      <w:r w:rsidRPr="009D6881">
        <w:rPr>
          <w:lang w:val="en-GB"/>
        </w:rPr>
        <w:t xml:space="preserve">etus resulting in foetal death. </w:t>
      </w:r>
    </w:p>
    <w:p w14:paraId="34D89983" w14:textId="77777777" w:rsidR="003B2F5D" w:rsidRPr="009D6881" w:rsidRDefault="003B2F5D" w:rsidP="0061350B">
      <w:pPr>
        <w:rPr>
          <w:lang w:val="en-GB"/>
        </w:rPr>
      </w:pPr>
    </w:p>
    <w:p w14:paraId="55FAC05B" w14:textId="1A0DA53B" w:rsidR="0061350B" w:rsidRPr="009D6881" w:rsidRDefault="007A3D55" w:rsidP="0061350B">
      <w:pPr>
        <w:rPr>
          <w:lang w:val="en-GB"/>
        </w:rPr>
      </w:pPr>
      <w:r w:rsidRPr="009D6881">
        <w:rPr>
          <w:lang w:val="en-GB"/>
        </w:rPr>
        <w:t xml:space="preserve">No dedicated reproductive or teratogenicity studies in animals have been conducted with </w:t>
      </w:r>
      <w:r w:rsidR="00461F7F">
        <w:rPr>
          <w:lang w:val="en-GB"/>
        </w:rPr>
        <w:t>atezolizumab</w:t>
      </w:r>
      <w:r w:rsidRPr="009D6881">
        <w:rPr>
          <w:lang w:val="en-GB"/>
        </w:rPr>
        <w:t>.</w:t>
      </w:r>
    </w:p>
    <w:p w14:paraId="2B542421" w14:textId="77777777" w:rsidR="0061350B" w:rsidRPr="009D6881" w:rsidRDefault="0061350B" w:rsidP="0061350B">
      <w:pPr>
        <w:rPr>
          <w:lang w:val="en-GB"/>
        </w:rPr>
      </w:pPr>
    </w:p>
    <w:p w14:paraId="795E00DB" w14:textId="643F3875" w:rsidR="0061350B" w:rsidRPr="009D6881" w:rsidRDefault="00C92402" w:rsidP="0061350B">
      <w:pPr>
        <w:rPr>
          <w:lang w:val="en-GB"/>
        </w:rPr>
      </w:pPr>
      <w:r w:rsidRPr="009D6881">
        <w:rPr>
          <w:lang w:val="en-GB"/>
        </w:rPr>
        <w:t xml:space="preserve">There are no clinical studies of </w:t>
      </w:r>
      <w:r w:rsidR="008C70BA" w:rsidRPr="009D6881">
        <w:rPr>
          <w:lang w:val="en-GB"/>
        </w:rPr>
        <w:t xml:space="preserve">Tecentriq </w:t>
      </w:r>
      <w:r w:rsidRPr="009D6881">
        <w:rPr>
          <w:lang w:val="en-GB"/>
        </w:rPr>
        <w:t xml:space="preserve">in pregnant women. </w:t>
      </w:r>
      <w:r w:rsidR="008C70BA" w:rsidRPr="009D6881">
        <w:rPr>
          <w:lang w:val="en-GB"/>
        </w:rPr>
        <w:t xml:space="preserve">Tecentriq </w:t>
      </w:r>
      <w:r w:rsidRPr="009D6881">
        <w:rPr>
          <w:lang w:val="en-GB"/>
        </w:rPr>
        <w:t>is not recommended during pregnancy unless the potential benefit for the mother outweighs the potential risk to the f</w:t>
      </w:r>
      <w:r w:rsidR="0061350B" w:rsidRPr="009D6881">
        <w:rPr>
          <w:lang w:val="en-GB"/>
        </w:rPr>
        <w:t>o</w:t>
      </w:r>
      <w:r w:rsidRPr="009D6881">
        <w:rPr>
          <w:lang w:val="en-GB"/>
        </w:rPr>
        <w:t xml:space="preserve">etus. </w:t>
      </w:r>
      <w:r w:rsidR="0061350B" w:rsidRPr="009D6881">
        <w:rPr>
          <w:lang w:val="en-GB"/>
        </w:rPr>
        <w:t xml:space="preserve">Pregnant women should be advised of the potential risk to the foetus. </w:t>
      </w:r>
    </w:p>
    <w:p w14:paraId="761F148D" w14:textId="77777777" w:rsidR="0061350B" w:rsidRPr="009D6881" w:rsidRDefault="0061350B" w:rsidP="0061350B">
      <w:pPr>
        <w:rPr>
          <w:lang w:val="en-GB"/>
        </w:rPr>
      </w:pPr>
    </w:p>
    <w:p w14:paraId="70E76D6E" w14:textId="74931AAE" w:rsidR="0061350B" w:rsidRPr="009D6881" w:rsidRDefault="0061350B" w:rsidP="0061350B">
      <w:pPr>
        <w:rPr>
          <w:lang w:val="en-GB"/>
        </w:rPr>
      </w:pPr>
      <w:r w:rsidRPr="009D6881">
        <w:rPr>
          <w:lang w:val="en-GB"/>
        </w:rPr>
        <w:t xml:space="preserve">Women of childbearing potential should use highly effective contraception during treatment with </w:t>
      </w:r>
      <w:r w:rsidR="008C70BA" w:rsidRPr="009D6881">
        <w:rPr>
          <w:lang w:val="en-GB"/>
        </w:rPr>
        <w:t xml:space="preserve">Tecentriq </w:t>
      </w:r>
      <w:r w:rsidRPr="009D6881">
        <w:rPr>
          <w:lang w:val="en-GB"/>
        </w:rPr>
        <w:t>and for 5 months after the last dose.</w:t>
      </w:r>
    </w:p>
    <w:p w14:paraId="5796F25E" w14:textId="77777777" w:rsidR="0061350B" w:rsidRPr="009D6881" w:rsidRDefault="0061350B" w:rsidP="0061350B">
      <w:pPr>
        <w:rPr>
          <w:lang w:val="en-GB"/>
        </w:rPr>
      </w:pPr>
    </w:p>
    <w:p w14:paraId="54DCD7E3" w14:textId="57E46595" w:rsidR="0061350B" w:rsidRPr="009D6881" w:rsidRDefault="0061350B" w:rsidP="0061350B">
      <w:pPr>
        <w:rPr>
          <w:lang w:val="en-GB"/>
        </w:rPr>
      </w:pPr>
      <w:r w:rsidRPr="009D6881">
        <w:rPr>
          <w:lang w:val="en-GB"/>
        </w:rPr>
        <w:t xml:space="preserve">The safety of </w:t>
      </w:r>
      <w:r w:rsidR="008C70BA" w:rsidRPr="009D6881">
        <w:rPr>
          <w:lang w:val="en-GB"/>
        </w:rPr>
        <w:t xml:space="preserve">Tecentriq </w:t>
      </w:r>
      <w:r w:rsidRPr="009D6881">
        <w:rPr>
          <w:lang w:val="en-GB"/>
        </w:rPr>
        <w:t>during labor and delivery has not been established.</w:t>
      </w:r>
    </w:p>
    <w:p w14:paraId="3375B34F" w14:textId="77777777" w:rsidR="00D844B2" w:rsidRPr="009D6881" w:rsidRDefault="00D844B2" w:rsidP="00312E44">
      <w:pPr>
        <w:pStyle w:val="Heading2"/>
        <w:rPr>
          <w:rFonts w:hint="eastAsia"/>
        </w:rPr>
      </w:pPr>
      <w:r w:rsidRPr="009D6881">
        <w:t>Use in lactation</w:t>
      </w:r>
    </w:p>
    <w:p w14:paraId="3375B350" w14:textId="1A8CE5D2" w:rsidR="00385F31" w:rsidRPr="009D6881" w:rsidRDefault="0061350B" w:rsidP="00385F31">
      <w:pPr>
        <w:spacing w:after="120"/>
      </w:pPr>
      <w:r w:rsidRPr="009D6881">
        <w:t xml:space="preserve">It is not known whether </w:t>
      </w:r>
      <w:r w:rsidR="00461F7F">
        <w:t>atezolizumab</w:t>
      </w:r>
      <w:r w:rsidR="00461F7F" w:rsidRPr="009D6881">
        <w:t xml:space="preserve"> </w:t>
      </w:r>
      <w:r w:rsidRPr="009D6881">
        <w:t xml:space="preserve">is excreted in human breast milk. No studies have been conducted to assess the impact of </w:t>
      </w:r>
      <w:r w:rsidR="00461F7F">
        <w:t>atezolizumab</w:t>
      </w:r>
      <w:r w:rsidR="00461F7F" w:rsidRPr="009D6881">
        <w:t xml:space="preserve"> </w:t>
      </w:r>
      <w:r w:rsidRPr="009D6881">
        <w:t xml:space="preserve">on milk production or its presence in breast milk. As the potential for harm to the nursing infant is unknown, a decision must be made to either discontinue breast-feeding or discontinue </w:t>
      </w:r>
      <w:r w:rsidR="008C70BA" w:rsidRPr="009D6881">
        <w:t xml:space="preserve">Tecentriq </w:t>
      </w:r>
      <w:r w:rsidRPr="009D6881">
        <w:t>therapy.</w:t>
      </w:r>
    </w:p>
    <w:p w14:paraId="3375B351" w14:textId="77777777" w:rsidR="00D844B2" w:rsidRPr="009D6881" w:rsidRDefault="00D844B2" w:rsidP="00312E44">
      <w:pPr>
        <w:pStyle w:val="Heading2"/>
        <w:rPr>
          <w:rFonts w:hint="eastAsia"/>
        </w:rPr>
      </w:pPr>
      <w:r w:rsidRPr="009D6881">
        <w:t>Paediatric use</w:t>
      </w:r>
    </w:p>
    <w:p w14:paraId="3375B352" w14:textId="6C28CB5C" w:rsidR="00385F31" w:rsidRPr="009D6881" w:rsidRDefault="0061350B" w:rsidP="00385F31">
      <w:pPr>
        <w:spacing w:after="120"/>
      </w:pPr>
      <w:r w:rsidRPr="009D6881">
        <w:t xml:space="preserve">The safety and efficacy of </w:t>
      </w:r>
      <w:r w:rsidR="008C70BA" w:rsidRPr="009D6881">
        <w:t xml:space="preserve">Tecentriq </w:t>
      </w:r>
      <w:r w:rsidRPr="009D6881">
        <w:t>in children and adolescents below 18 years of age has not been established.</w:t>
      </w:r>
    </w:p>
    <w:p w14:paraId="3375B353" w14:textId="77777777" w:rsidR="00D844B2" w:rsidRPr="009D6881" w:rsidRDefault="00D844B2" w:rsidP="00312E44">
      <w:pPr>
        <w:pStyle w:val="Heading2"/>
        <w:rPr>
          <w:rFonts w:hint="eastAsia"/>
        </w:rPr>
      </w:pPr>
      <w:r w:rsidRPr="009D6881">
        <w:t>Use in the elderly</w:t>
      </w:r>
    </w:p>
    <w:p w14:paraId="5F7278DA" w14:textId="2A52D81F" w:rsidR="0061350B" w:rsidRPr="009D6881" w:rsidRDefault="0061350B" w:rsidP="00312E44">
      <w:pPr>
        <w:pStyle w:val="Heading2"/>
        <w:rPr>
          <w:rFonts w:ascii="Times New Roman" w:hAnsi="Times New Roman"/>
          <w:b w:val="0"/>
          <w:bCs w:val="0"/>
          <w:i w:val="0"/>
        </w:rPr>
      </w:pPr>
      <w:r w:rsidRPr="009D6881">
        <w:rPr>
          <w:rFonts w:ascii="Times New Roman" w:hAnsi="Times New Roman"/>
          <w:b w:val="0"/>
          <w:bCs w:val="0"/>
          <w:i w:val="0"/>
        </w:rPr>
        <w:t xml:space="preserve">No overall differences in safety or efficacy were observed between patients ≥ 65 years of age and younger patients (see </w:t>
      </w:r>
      <w:r w:rsidR="00944DF1" w:rsidRPr="009D6881">
        <w:rPr>
          <w:rFonts w:ascii="Times New Roman" w:hAnsi="Times New Roman"/>
          <w:b w:val="0"/>
          <w:bCs w:val="0"/>
        </w:rPr>
        <w:t>DOSAGE AND ADMINISTRATION</w:t>
      </w:r>
      <w:r w:rsidRPr="009D6881">
        <w:rPr>
          <w:rFonts w:ascii="Times New Roman" w:hAnsi="Times New Roman"/>
          <w:b w:val="0"/>
          <w:bCs w:val="0"/>
          <w:i w:val="0"/>
        </w:rPr>
        <w:t xml:space="preserve"> and </w:t>
      </w:r>
      <w:r w:rsidR="00944DF1" w:rsidRPr="009D6881">
        <w:rPr>
          <w:rFonts w:ascii="Times New Roman" w:hAnsi="Times New Roman"/>
          <w:b w:val="0"/>
          <w:bCs w:val="0"/>
        </w:rPr>
        <w:t>PHARMACOLOGY</w:t>
      </w:r>
      <w:r w:rsidRPr="009D6881">
        <w:rPr>
          <w:rFonts w:ascii="Times New Roman" w:hAnsi="Times New Roman"/>
          <w:b w:val="0"/>
          <w:bCs w:val="0"/>
          <w:i w:val="0"/>
        </w:rPr>
        <w:t xml:space="preserve">). </w:t>
      </w:r>
    </w:p>
    <w:p w14:paraId="3375B355" w14:textId="45933B3B" w:rsidR="00D844B2" w:rsidRPr="009D6881" w:rsidRDefault="00D844B2" w:rsidP="00312E44">
      <w:pPr>
        <w:pStyle w:val="Heading2"/>
        <w:rPr>
          <w:rFonts w:hint="eastAsia"/>
        </w:rPr>
      </w:pPr>
      <w:r w:rsidRPr="009D6881">
        <w:t>Genotoxicity</w:t>
      </w:r>
    </w:p>
    <w:p w14:paraId="3375B356" w14:textId="678126DD" w:rsidR="00385F31" w:rsidRPr="009D6881" w:rsidRDefault="007A3D55" w:rsidP="00385F31">
      <w:pPr>
        <w:spacing w:after="120"/>
      </w:pPr>
      <w:r w:rsidRPr="009D6881">
        <w:t xml:space="preserve">No </w:t>
      </w:r>
      <w:r w:rsidR="00461F7F">
        <w:t>genotoxicity</w:t>
      </w:r>
      <w:r w:rsidR="00461F7F" w:rsidRPr="009D6881">
        <w:t xml:space="preserve"> </w:t>
      </w:r>
      <w:r w:rsidRPr="009D6881">
        <w:t xml:space="preserve">studies have been conducted with </w:t>
      </w:r>
      <w:r w:rsidR="00461F7F">
        <w:t>atezolizumab</w:t>
      </w:r>
      <w:r w:rsidRPr="009D6881">
        <w:t>.</w:t>
      </w:r>
    </w:p>
    <w:p w14:paraId="3375B357" w14:textId="77777777" w:rsidR="00D844B2" w:rsidRPr="009D6881" w:rsidRDefault="00D844B2" w:rsidP="00312E44">
      <w:pPr>
        <w:pStyle w:val="Heading2"/>
        <w:rPr>
          <w:rFonts w:hint="eastAsia"/>
        </w:rPr>
      </w:pPr>
      <w:r w:rsidRPr="009D6881">
        <w:t>Carcinogenicity</w:t>
      </w:r>
    </w:p>
    <w:p w14:paraId="3375B358" w14:textId="60BCE345" w:rsidR="00385F31" w:rsidRPr="009D6881" w:rsidRDefault="007A3D55" w:rsidP="00385F31">
      <w:pPr>
        <w:spacing w:after="120"/>
      </w:pPr>
      <w:r w:rsidRPr="009D6881">
        <w:t xml:space="preserve">No carcinogenicity studies have been conducted with </w:t>
      </w:r>
      <w:r w:rsidR="00461F7F">
        <w:t>atezolizumab</w:t>
      </w:r>
      <w:r w:rsidR="00385F31" w:rsidRPr="009D6881">
        <w:t>.</w:t>
      </w:r>
    </w:p>
    <w:p w14:paraId="3375B359" w14:textId="77777777" w:rsidR="00D844B2" w:rsidRPr="009D6881" w:rsidRDefault="00D844B2" w:rsidP="00312E44">
      <w:pPr>
        <w:pStyle w:val="Heading2"/>
        <w:rPr>
          <w:rFonts w:hint="eastAsia"/>
        </w:rPr>
      </w:pPr>
      <w:r w:rsidRPr="009D6881">
        <w:lastRenderedPageBreak/>
        <w:t>Effect on laboratory tests</w:t>
      </w:r>
    </w:p>
    <w:p w14:paraId="564698BE" w14:textId="1D20E59A" w:rsidR="00016B64" w:rsidRPr="009D6881" w:rsidRDefault="00016B64" w:rsidP="00016B64">
      <w:pPr>
        <w:pStyle w:val="Heading2"/>
        <w:rPr>
          <w:rFonts w:ascii="Times New Roman" w:hAnsi="Times New Roman"/>
          <w:b w:val="0"/>
          <w:bCs w:val="0"/>
          <w:i w:val="0"/>
        </w:rPr>
      </w:pPr>
      <w:r w:rsidRPr="009D6881">
        <w:rPr>
          <w:rFonts w:ascii="Times New Roman" w:hAnsi="Times New Roman"/>
          <w:b w:val="0"/>
          <w:bCs w:val="0"/>
          <w:i w:val="0"/>
        </w:rPr>
        <w:t xml:space="preserve">See sections </w:t>
      </w:r>
      <w:r w:rsidRPr="009D6881">
        <w:rPr>
          <w:rFonts w:ascii="Times New Roman" w:hAnsi="Times New Roman"/>
          <w:b w:val="0"/>
          <w:bCs w:val="0"/>
        </w:rPr>
        <w:t>PRECAUTIONS, Immune-related hepatitis</w:t>
      </w:r>
      <w:r w:rsidRPr="009D6881">
        <w:rPr>
          <w:rFonts w:ascii="Times New Roman" w:hAnsi="Times New Roman"/>
          <w:b w:val="0"/>
          <w:bCs w:val="0"/>
          <w:i w:val="0"/>
        </w:rPr>
        <w:t xml:space="preserve"> and </w:t>
      </w:r>
      <w:r w:rsidRPr="009D6881">
        <w:rPr>
          <w:rFonts w:ascii="Times New Roman" w:hAnsi="Times New Roman"/>
          <w:b w:val="0"/>
          <w:bCs w:val="0"/>
        </w:rPr>
        <w:t>Immune-related endocrinopathies</w:t>
      </w:r>
      <w:r w:rsidRPr="009D6881">
        <w:rPr>
          <w:rFonts w:ascii="Times New Roman" w:hAnsi="Times New Roman"/>
          <w:b w:val="0"/>
          <w:bCs w:val="0"/>
          <w:i w:val="0"/>
        </w:rPr>
        <w:t xml:space="preserve"> for management of the following:</w:t>
      </w:r>
    </w:p>
    <w:p w14:paraId="5A8CE1FD" w14:textId="6D5E9AF8" w:rsidR="00016B64" w:rsidRPr="009D6881" w:rsidRDefault="00016B64" w:rsidP="00016B64">
      <w:pPr>
        <w:pStyle w:val="Heading2"/>
        <w:numPr>
          <w:ilvl w:val="0"/>
          <w:numId w:val="31"/>
        </w:numPr>
        <w:spacing w:before="0" w:after="0"/>
        <w:ind w:left="714" w:hanging="357"/>
        <w:rPr>
          <w:rFonts w:ascii="Times New Roman" w:hAnsi="Times New Roman"/>
          <w:b w:val="0"/>
          <w:bCs w:val="0"/>
          <w:i w:val="0"/>
        </w:rPr>
      </w:pPr>
      <w:r w:rsidRPr="009D6881">
        <w:rPr>
          <w:rFonts w:ascii="Times New Roman" w:hAnsi="Times New Roman"/>
          <w:b w:val="0"/>
          <w:bCs w:val="0"/>
          <w:i w:val="0"/>
        </w:rPr>
        <w:t>AST, ALT, bilirubin</w:t>
      </w:r>
    </w:p>
    <w:p w14:paraId="17176D25" w14:textId="68EEAC99" w:rsidR="00016B64" w:rsidRPr="009D6881" w:rsidRDefault="00016B64" w:rsidP="00016B64">
      <w:pPr>
        <w:pStyle w:val="Heading2"/>
        <w:numPr>
          <w:ilvl w:val="0"/>
          <w:numId w:val="31"/>
        </w:numPr>
        <w:spacing w:before="0" w:after="0"/>
        <w:ind w:left="714" w:hanging="357"/>
        <w:rPr>
          <w:rFonts w:ascii="Times New Roman" w:hAnsi="Times New Roman"/>
          <w:b w:val="0"/>
          <w:bCs w:val="0"/>
          <w:i w:val="0"/>
        </w:rPr>
      </w:pPr>
      <w:r w:rsidRPr="009D6881">
        <w:rPr>
          <w:rFonts w:ascii="Times New Roman" w:hAnsi="Times New Roman"/>
          <w:b w:val="0"/>
          <w:bCs w:val="0"/>
          <w:i w:val="0"/>
        </w:rPr>
        <w:t>thyroid function.</w:t>
      </w:r>
    </w:p>
    <w:p w14:paraId="21BBD0CD" w14:textId="78C2D1B2" w:rsidR="00016B64" w:rsidRPr="009D6881" w:rsidRDefault="00016B64" w:rsidP="00016B64">
      <w:pPr>
        <w:pStyle w:val="Heading2"/>
        <w:rPr>
          <w:rFonts w:hint="eastAsia"/>
        </w:rPr>
      </w:pPr>
      <w:r w:rsidRPr="009D6881">
        <w:t>Ability to drive and use machines</w:t>
      </w:r>
    </w:p>
    <w:p w14:paraId="3375B35B" w14:textId="3D45F9DA" w:rsidR="00D844B2" w:rsidRPr="009D6881" w:rsidRDefault="00016B64" w:rsidP="00016B64">
      <w:r w:rsidRPr="009D6881">
        <w:t>No studies on the effects on the ability to drive and to use machines have been performed.</w:t>
      </w:r>
    </w:p>
    <w:p w14:paraId="3375B363" w14:textId="77777777" w:rsidR="00D844B2" w:rsidRPr="009D6881" w:rsidRDefault="00D844B2" w:rsidP="00761783">
      <w:pPr>
        <w:pStyle w:val="Heading1"/>
        <w:rPr>
          <w:rFonts w:hint="eastAsia"/>
        </w:rPr>
      </w:pPr>
      <w:r w:rsidRPr="009D6881">
        <w:t>Interactions with other medicines</w:t>
      </w:r>
    </w:p>
    <w:p w14:paraId="3375B364" w14:textId="404DAD84" w:rsidR="007577C1" w:rsidRPr="009D6881" w:rsidRDefault="00C92402" w:rsidP="007577C1">
      <w:r w:rsidRPr="009D6881">
        <w:t xml:space="preserve">No formal pharmacokinetic drug-drug interaction studies have been conducted with </w:t>
      </w:r>
      <w:r w:rsidR="008C70BA" w:rsidRPr="009D6881">
        <w:t>Tecentriq</w:t>
      </w:r>
      <w:r w:rsidRPr="009D6881">
        <w:t>.</w:t>
      </w:r>
    </w:p>
    <w:p w14:paraId="3375B366" w14:textId="77777777" w:rsidR="00D844B2" w:rsidRPr="009D6881" w:rsidRDefault="00D844B2" w:rsidP="00AE74F3">
      <w:pPr>
        <w:pStyle w:val="Heading1"/>
        <w:rPr>
          <w:rFonts w:hint="eastAsia"/>
        </w:rPr>
      </w:pPr>
      <w:r w:rsidRPr="009D6881">
        <w:t>Adverse effects</w:t>
      </w:r>
    </w:p>
    <w:p w14:paraId="69825E74" w14:textId="2D484574" w:rsidR="00315710" w:rsidRPr="009D6881" w:rsidRDefault="00944DF1" w:rsidP="00944DF1">
      <w:r w:rsidRPr="009D6881">
        <w:t xml:space="preserve">The safety of </w:t>
      </w:r>
      <w:r w:rsidR="008C70BA" w:rsidRPr="009D6881">
        <w:t xml:space="preserve">Tecentriq </w:t>
      </w:r>
      <w:r w:rsidRPr="009D6881">
        <w:t xml:space="preserve">is based on pooled data in </w:t>
      </w:r>
      <w:r w:rsidR="00103365">
        <w:t>1636</w:t>
      </w:r>
      <w:r w:rsidR="00FD2E00">
        <w:t xml:space="preserve"> </w:t>
      </w:r>
      <w:r w:rsidRPr="009D6881">
        <w:t xml:space="preserve">patients with NSCLC, with supporting data from the </w:t>
      </w:r>
      <w:r w:rsidR="002C371B">
        <w:t xml:space="preserve">estimated </w:t>
      </w:r>
      <w:r w:rsidRPr="009D6881">
        <w:t xml:space="preserve">cumulative exposure in </w:t>
      </w:r>
      <w:r w:rsidR="002C371B">
        <w:t>6000</w:t>
      </w:r>
      <w:r w:rsidR="002C371B" w:rsidRPr="009D6881">
        <w:t xml:space="preserve"> </w:t>
      </w:r>
      <w:r w:rsidRPr="009D6881">
        <w:t xml:space="preserve">patients across all clinical trials in multiple </w:t>
      </w:r>
      <w:r w:rsidR="00655A25" w:rsidRPr="009D6881">
        <w:t>tumour</w:t>
      </w:r>
      <w:r w:rsidRPr="009D6881">
        <w:t xml:space="preserve"> types.  </w:t>
      </w:r>
    </w:p>
    <w:p w14:paraId="2EEA7B3B" w14:textId="77777777" w:rsidR="00315710" w:rsidRPr="009D6881" w:rsidRDefault="00315710" w:rsidP="00944DF1"/>
    <w:p w14:paraId="0022083C" w14:textId="558AEBC2" w:rsidR="00D96D49" w:rsidRDefault="00944DF1" w:rsidP="00944DF1">
      <w:r w:rsidRPr="009D6881">
        <w:t xml:space="preserve">Table </w:t>
      </w:r>
      <w:r w:rsidR="00FD2E00">
        <w:t>5</w:t>
      </w:r>
      <w:r w:rsidR="00FD2E00" w:rsidRPr="009D6881">
        <w:t xml:space="preserve"> </w:t>
      </w:r>
      <w:r w:rsidRPr="009D6881">
        <w:t>summar</w:t>
      </w:r>
      <w:r w:rsidR="00C26231" w:rsidRPr="009D6881">
        <w:t>ise</w:t>
      </w:r>
      <w:r w:rsidRPr="009D6881">
        <w:t xml:space="preserve">s the adverse drug reactions </w:t>
      </w:r>
      <w:r w:rsidR="002C371B">
        <w:t xml:space="preserve">(ADRs) </w:t>
      </w:r>
      <w:r w:rsidRPr="009D6881">
        <w:t xml:space="preserve">that have been reported in association with the use of </w:t>
      </w:r>
      <w:r w:rsidR="008C70BA" w:rsidRPr="009D6881">
        <w:t xml:space="preserve">Tecentriq </w:t>
      </w:r>
      <w:r w:rsidRPr="009D6881">
        <w:t>during treatment. The following categories of frequency have been used: very common (≥1/10), common (≥1/100 to &lt;1/10), uncommon (≥1/1,000 to &lt;1/100), rare (≥1/10,000 to &lt;1/1000), very rare (&lt;1/10,000).</w:t>
      </w:r>
    </w:p>
    <w:p w14:paraId="57DB81B7" w14:textId="77777777" w:rsidR="002217EA" w:rsidRPr="009D6881" w:rsidRDefault="002217EA" w:rsidP="00944DF1">
      <w:pPr>
        <w:rPr>
          <w:b/>
        </w:rPr>
      </w:pPr>
    </w:p>
    <w:p w14:paraId="00635D2C" w14:textId="4D8367B7" w:rsidR="00944DF1" w:rsidRPr="009D6881" w:rsidRDefault="00944DF1" w:rsidP="003427AF">
      <w:pPr>
        <w:tabs>
          <w:tab w:val="left" w:pos="8080"/>
        </w:tabs>
      </w:pPr>
      <w:r w:rsidRPr="009D6881">
        <w:rPr>
          <w:b/>
        </w:rPr>
        <w:t xml:space="preserve">Table </w:t>
      </w:r>
      <w:r w:rsidR="002337CF">
        <w:rPr>
          <w:b/>
        </w:rPr>
        <w:t>5</w:t>
      </w:r>
      <w:r w:rsidR="00315710" w:rsidRPr="009D6881">
        <w:rPr>
          <w:b/>
        </w:rPr>
        <w:t>.</w:t>
      </w:r>
      <w:r w:rsidRPr="009D6881">
        <w:rPr>
          <w:b/>
        </w:rPr>
        <w:t xml:space="preserve"> Summary of </w:t>
      </w:r>
      <w:r w:rsidR="00FE6B92" w:rsidRPr="009D6881">
        <w:rPr>
          <w:b/>
        </w:rPr>
        <w:t>ADRs</w:t>
      </w:r>
      <w:r w:rsidRPr="009D6881">
        <w:rPr>
          <w:b/>
        </w:rPr>
        <w:t xml:space="preserve"> occurring in patients treated with </w:t>
      </w:r>
      <w:r w:rsidR="008C70BA" w:rsidRPr="009D6881">
        <w:rPr>
          <w:b/>
        </w:rPr>
        <w:t xml:space="preserve">Tecentriq </w:t>
      </w:r>
      <w:r w:rsidRPr="009D6881">
        <w:rPr>
          <w:b/>
        </w:rPr>
        <w:t>in clinical trials</w:t>
      </w:r>
    </w:p>
    <w:tbl>
      <w:tblPr>
        <w:tblW w:w="8928" w:type="dxa"/>
        <w:shd w:val="clear" w:color="auto" w:fill="FFFFFF"/>
        <w:tblLayout w:type="fixed"/>
        <w:tblLook w:val="00A0" w:firstRow="1" w:lastRow="0" w:firstColumn="1" w:lastColumn="0" w:noHBand="0" w:noVBand="0"/>
      </w:tblPr>
      <w:tblGrid>
        <w:gridCol w:w="2917"/>
        <w:gridCol w:w="1359"/>
        <w:gridCol w:w="85"/>
        <w:gridCol w:w="1341"/>
        <w:gridCol w:w="1494"/>
        <w:gridCol w:w="1732"/>
      </w:tblGrid>
      <w:tr w:rsidR="00B22810" w:rsidRPr="009D6881" w14:paraId="03EF60B8" w14:textId="77777777" w:rsidTr="00651C35">
        <w:trPr>
          <w:tblHeader/>
        </w:trPr>
        <w:tc>
          <w:tcPr>
            <w:tcW w:w="2917" w:type="dxa"/>
            <w:vMerge w:val="restart"/>
            <w:tcBorders>
              <w:top w:val="single" w:sz="4" w:space="0" w:color="auto"/>
              <w:left w:val="single" w:sz="4" w:space="0" w:color="auto"/>
            </w:tcBorders>
            <w:shd w:val="clear" w:color="auto" w:fill="FFFFFF"/>
            <w:vAlign w:val="bottom"/>
          </w:tcPr>
          <w:p w14:paraId="0B2D52A7" w14:textId="4EBADCAD" w:rsidR="00B22810" w:rsidRPr="009D6881" w:rsidRDefault="00B22810" w:rsidP="009D6881">
            <w:pPr>
              <w:keepNext/>
              <w:spacing w:afterLines="20" w:after="48"/>
              <w:jc w:val="center"/>
              <w:rPr>
                <w:rFonts w:eastAsia="MS Mincho"/>
                <w:b/>
                <w:sz w:val="22"/>
              </w:rPr>
            </w:pPr>
            <w:r w:rsidRPr="009D6881">
              <w:rPr>
                <w:rFonts w:eastAsia="MS Mincho"/>
                <w:b/>
                <w:sz w:val="22"/>
              </w:rPr>
              <w:t>System Order Class/</w:t>
            </w:r>
            <w:r w:rsidRPr="009D6881">
              <w:rPr>
                <w:rFonts w:eastAsia="MS Mincho"/>
                <w:b/>
                <w:sz w:val="22"/>
              </w:rPr>
              <w:br/>
              <w:t>ADR (MedDRA Preferred Term)</w:t>
            </w:r>
          </w:p>
        </w:tc>
        <w:tc>
          <w:tcPr>
            <w:tcW w:w="6011" w:type="dxa"/>
            <w:gridSpan w:val="5"/>
            <w:tcBorders>
              <w:top w:val="single" w:sz="4" w:space="0" w:color="auto"/>
              <w:bottom w:val="single" w:sz="4" w:space="0" w:color="auto"/>
              <w:right w:val="single" w:sz="4" w:space="0" w:color="auto"/>
            </w:tcBorders>
            <w:shd w:val="clear" w:color="auto" w:fill="FFFFFF"/>
            <w:vAlign w:val="bottom"/>
          </w:tcPr>
          <w:p w14:paraId="0ECDB041" w14:textId="452EA315" w:rsidR="00B22810" w:rsidRPr="009D6881" w:rsidRDefault="00295A75" w:rsidP="00B22810">
            <w:pPr>
              <w:keepNext/>
              <w:spacing w:afterLines="20" w:after="48"/>
              <w:jc w:val="center"/>
              <w:rPr>
                <w:rFonts w:eastAsia="MS Mincho"/>
                <w:b/>
                <w:sz w:val="22"/>
              </w:rPr>
            </w:pPr>
            <w:r>
              <w:rPr>
                <w:rFonts w:eastAsia="MS Mincho"/>
                <w:b/>
                <w:sz w:val="22"/>
              </w:rPr>
              <w:t xml:space="preserve">Tecentriq </w:t>
            </w:r>
            <w:r w:rsidR="00B22810">
              <w:rPr>
                <w:rFonts w:eastAsia="MS Mincho"/>
                <w:b/>
                <w:sz w:val="22"/>
              </w:rPr>
              <w:t xml:space="preserve">(n = </w:t>
            </w:r>
            <w:r w:rsidR="00103365" w:rsidRPr="00103365">
              <w:rPr>
                <w:rFonts w:eastAsia="MS Mincho"/>
                <w:b/>
                <w:sz w:val="22"/>
              </w:rPr>
              <w:t>1636</w:t>
            </w:r>
            <w:r w:rsidR="00B22810">
              <w:rPr>
                <w:rFonts w:eastAsia="MS Mincho"/>
                <w:b/>
                <w:sz w:val="22"/>
              </w:rPr>
              <w:t>)</w:t>
            </w:r>
          </w:p>
        </w:tc>
      </w:tr>
      <w:tr w:rsidR="00B22810" w:rsidRPr="009D6881" w14:paraId="315A3B39" w14:textId="77777777" w:rsidTr="000823AB">
        <w:trPr>
          <w:tblHeader/>
        </w:trPr>
        <w:tc>
          <w:tcPr>
            <w:tcW w:w="2917" w:type="dxa"/>
            <w:vMerge/>
            <w:tcBorders>
              <w:left w:val="single" w:sz="4" w:space="0" w:color="auto"/>
              <w:bottom w:val="single" w:sz="4" w:space="0" w:color="auto"/>
            </w:tcBorders>
            <w:shd w:val="clear" w:color="auto" w:fill="FFFFFF"/>
            <w:vAlign w:val="bottom"/>
          </w:tcPr>
          <w:p w14:paraId="589FC748" w14:textId="6AA172B8" w:rsidR="00B22810" w:rsidRPr="009D6881" w:rsidRDefault="00B22810" w:rsidP="009D6881">
            <w:pPr>
              <w:keepNext/>
              <w:spacing w:afterLines="20" w:after="48"/>
              <w:jc w:val="center"/>
              <w:rPr>
                <w:rFonts w:eastAsia="MS Mincho"/>
                <w:b/>
                <w:sz w:val="22"/>
              </w:rPr>
            </w:pPr>
          </w:p>
        </w:tc>
        <w:tc>
          <w:tcPr>
            <w:tcW w:w="1444" w:type="dxa"/>
            <w:gridSpan w:val="2"/>
            <w:tcBorders>
              <w:top w:val="single" w:sz="4" w:space="0" w:color="auto"/>
              <w:bottom w:val="single" w:sz="4" w:space="0" w:color="auto"/>
            </w:tcBorders>
            <w:shd w:val="clear" w:color="auto" w:fill="FFFFFF"/>
          </w:tcPr>
          <w:p w14:paraId="04ACF8D1" w14:textId="77777777" w:rsidR="00B22810" w:rsidRPr="009D6881" w:rsidRDefault="00B22810" w:rsidP="009D6881">
            <w:pPr>
              <w:keepNext/>
              <w:spacing w:afterLines="20" w:after="48"/>
              <w:jc w:val="center"/>
              <w:rPr>
                <w:rFonts w:eastAsia="MS Mincho"/>
                <w:b/>
                <w:sz w:val="22"/>
              </w:rPr>
            </w:pPr>
            <w:r w:rsidRPr="009D6881">
              <w:rPr>
                <w:rFonts w:eastAsia="MS Mincho"/>
                <w:b/>
                <w:sz w:val="22"/>
              </w:rPr>
              <w:t>All Grades (%)</w:t>
            </w:r>
          </w:p>
        </w:tc>
        <w:tc>
          <w:tcPr>
            <w:tcW w:w="1341" w:type="dxa"/>
            <w:tcBorders>
              <w:top w:val="single" w:sz="4" w:space="0" w:color="auto"/>
              <w:bottom w:val="single" w:sz="4" w:space="0" w:color="auto"/>
            </w:tcBorders>
            <w:shd w:val="clear" w:color="auto" w:fill="FFFFFF"/>
          </w:tcPr>
          <w:p w14:paraId="7AD20D5D" w14:textId="77777777" w:rsidR="00B22810" w:rsidRPr="009D6881" w:rsidRDefault="00B22810" w:rsidP="009D6881">
            <w:pPr>
              <w:keepNext/>
              <w:spacing w:afterLines="20" w:after="48"/>
              <w:jc w:val="center"/>
              <w:rPr>
                <w:rFonts w:eastAsia="MS Mincho"/>
                <w:b/>
                <w:sz w:val="22"/>
              </w:rPr>
            </w:pPr>
            <w:r w:rsidRPr="009D6881">
              <w:rPr>
                <w:rFonts w:eastAsia="MS Mincho"/>
                <w:b/>
                <w:sz w:val="22"/>
              </w:rPr>
              <w:t>Grade 3 - 4 (%)</w:t>
            </w:r>
          </w:p>
        </w:tc>
        <w:tc>
          <w:tcPr>
            <w:tcW w:w="1494" w:type="dxa"/>
            <w:tcBorders>
              <w:top w:val="single" w:sz="4" w:space="0" w:color="auto"/>
              <w:bottom w:val="single" w:sz="4" w:space="0" w:color="auto"/>
            </w:tcBorders>
            <w:shd w:val="clear" w:color="auto" w:fill="FFFFFF"/>
          </w:tcPr>
          <w:p w14:paraId="6757A5C3" w14:textId="77777777" w:rsidR="00B22810" w:rsidRPr="009D6881" w:rsidRDefault="00B22810" w:rsidP="009D6881">
            <w:pPr>
              <w:keepNext/>
              <w:spacing w:afterLines="20" w:after="48"/>
              <w:jc w:val="center"/>
              <w:rPr>
                <w:rFonts w:eastAsia="MS Mincho"/>
                <w:b/>
                <w:sz w:val="22"/>
              </w:rPr>
            </w:pPr>
            <w:r w:rsidRPr="009D6881">
              <w:rPr>
                <w:rFonts w:eastAsia="MS Mincho"/>
                <w:b/>
                <w:sz w:val="22"/>
              </w:rPr>
              <w:t>Grade 5 (%)</w:t>
            </w:r>
          </w:p>
        </w:tc>
        <w:tc>
          <w:tcPr>
            <w:tcW w:w="1732" w:type="dxa"/>
            <w:tcBorders>
              <w:top w:val="single" w:sz="4" w:space="0" w:color="auto"/>
              <w:bottom w:val="single" w:sz="4" w:space="0" w:color="auto"/>
              <w:right w:val="single" w:sz="4" w:space="0" w:color="auto"/>
            </w:tcBorders>
            <w:shd w:val="clear" w:color="auto" w:fill="FFFFFF"/>
          </w:tcPr>
          <w:p w14:paraId="287F2925" w14:textId="4309BAB4" w:rsidR="00B22810" w:rsidRPr="009D6881" w:rsidRDefault="00B22810" w:rsidP="00AB540A">
            <w:pPr>
              <w:keepNext/>
              <w:spacing w:afterLines="20" w:after="48"/>
              <w:jc w:val="center"/>
              <w:rPr>
                <w:rFonts w:eastAsia="MS Mincho"/>
                <w:b/>
                <w:sz w:val="22"/>
              </w:rPr>
            </w:pPr>
            <w:r w:rsidRPr="009D6881">
              <w:rPr>
                <w:rFonts w:eastAsia="MS Mincho"/>
                <w:b/>
                <w:sz w:val="22"/>
              </w:rPr>
              <w:t xml:space="preserve">Frequency </w:t>
            </w:r>
            <w:r>
              <w:rPr>
                <w:rFonts w:eastAsia="MS Mincho"/>
                <w:b/>
                <w:sz w:val="22"/>
              </w:rPr>
              <w:t>(All Grades)</w:t>
            </w:r>
          </w:p>
        </w:tc>
      </w:tr>
      <w:tr w:rsidR="00944DF1" w:rsidRPr="009D6881" w14:paraId="733A112E" w14:textId="77777777" w:rsidTr="000823AB">
        <w:tc>
          <w:tcPr>
            <w:tcW w:w="2917" w:type="dxa"/>
            <w:tcBorders>
              <w:top w:val="single" w:sz="4" w:space="0" w:color="auto"/>
              <w:left w:val="single" w:sz="4" w:space="0" w:color="auto"/>
              <w:bottom w:val="single" w:sz="4" w:space="0" w:color="auto"/>
            </w:tcBorders>
            <w:shd w:val="clear" w:color="auto" w:fill="FFFFFF"/>
            <w:vAlign w:val="bottom"/>
          </w:tcPr>
          <w:p w14:paraId="0742CF71" w14:textId="77777777" w:rsidR="00944DF1" w:rsidRPr="00636006" w:rsidRDefault="00944DF1" w:rsidP="009D6881">
            <w:pPr>
              <w:spacing w:afterLines="20" w:after="48"/>
              <w:jc w:val="left"/>
              <w:rPr>
                <w:rFonts w:eastAsia="MS Mincho"/>
                <w:b/>
                <w:sz w:val="22"/>
              </w:rPr>
            </w:pPr>
            <w:r w:rsidRPr="00636006">
              <w:rPr>
                <w:rFonts w:eastAsia="MS Mincho"/>
                <w:b/>
                <w:sz w:val="22"/>
              </w:rPr>
              <w:t>Blood and Lymphatic System Disorders</w:t>
            </w:r>
          </w:p>
          <w:p w14:paraId="37A4D263" w14:textId="0ADC9F00" w:rsidR="00944DF1" w:rsidRPr="00807F0B" w:rsidRDefault="00944DF1" w:rsidP="009D6881">
            <w:pPr>
              <w:spacing w:afterLines="20" w:after="48"/>
              <w:jc w:val="left"/>
              <w:rPr>
                <w:rFonts w:eastAsia="MS Mincho"/>
                <w:sz w:val="22"/>
              </w:rPr>
            </w:pPr>
            <w:r w:rsidRPr="00807F0B">
              <w:rPr>
                <w:rFonts w:eastAsia="MS Mincho"/>
                <w:sz w:val="22"/>
              </w:rPr>
              <w:t>Thrombocytopenia</w:t>
            </w:r>
          </w:p>
        </w:tc>
        <w:tc>
          <w:tcPr>
            <w:tcW w:w="1444" w:type="dxa"/>
            <w:gridSpan w:val="2"/>
            <w:tcBorders>
              <w:top w:val="single" w:sz="4" w:space="0" w:color="auto"/>
              <w:bottom w:val="single" w:sz="4" w:space="0" w:color="auto"/>
            </w:tcBorders>
            <w:shd w:val="clear" w:color="auto" w:fill="FFFFFF"/>
            <w:vAlign w:val="bottom"/>
          </w:tcPr>
          <w:p w14:paraId="4927F156" w14:textId="2E52B908" w:rsidR="00944DF1" w:rsidRPr="00636006" w:rsidRDefault="00103365" w:rsidP="00103365">
            <w:pPr>
              <w:spacing w:afterLines="20" w:after="48"/>
              <w:jc w:val="center"/>
              <w:rPr>
                <w:rFonts w:eastAsia="MS Mincho"/>
                <w:sz w:val="22"/>
              </w:rPr>
            </w:pPr>
            <w:r w:rsidRPr="00807F0B">
              <w:rPr>
                <w:rFonts w:eastAsia="MS Mincho"/>
                <w:sz w:val="22"/>
              </w:rPr>
              <w:t>31</w:t>
            </w:r>
            <w:r w:rsidR="002C371B" w:rsidRPr="00807F0B">
              <w:rPr>
                <w:rFonts w:eastAsia="MS Mincho"/>
                <w:sz w:val="22"/>
              </w:rPr>
              <w:t xml:space="preserve"> </w:t>
            </w:r>
            <w:r w:rsidR="00944DF1" w:rsidRPr="00636006">
              <w:rPr>
                <w:rFonts w:eastAsia="MS Mincho"/>
                <w:sz w:val="22"/>
              </w:rPr>
              <w:t>(</w:t>
            </w:r>
            <w:r w:rsidRPr="00636006">
              <w:rPr>
                <w:rFonts w:eastAsia="MS Mincho"/>
                <w:sz w:val="22"/>
              </w:rPr>
              <w:t>1.9</w:t>
            </w:r>
            <w:r w:rsidR="00944DF1" w:rsidRPr="00636006">
              <w:rPr>
                <w:rFonts w:eastAsia="MS Mincho"/>
                <w:sz w:val="22"/>
              </w:rPr>
              <w:t>%)</w:t>
            </w:r>
          </w:p>
        </w:tc>
        <w:tc>
          <w:tcPr>
            <w:tcW w:w="1341" w:type="dxa"/>
            <w:tcBorders>
              <w:top w:val="single" w:sz="4" w:space="0" w:color="auto"/>
              <w:bottom w:val="single" w:sz="4" w:space="0" w:color="auto"/>
            </w:tcBorders>
            <w:shd w:val="clear" w:color="auto" w:fill="FFFFFF"/>
            <w:vAlign w:val="bottom"/>
          </w:tcPr>
          <w:p w14:paraId="1C625420" w14:textId="7CAB3888" w:rsidR="00944DF1" w:rsidRPr="00636006" w:rsidRDefault="00103365" w:rsidP="00103365">
            <w:pPr>
              <w:spacing w:afterLines="20" w:after="48"/>
              <w:jc w:val="center"/>
              <w:rPr>
                <w:rFonts w:eastAsia="MS Mincho"/>
                <w:sz w:val="22"/>
              </w:rPr>
            </w:pPr>
            <w:r w:rsidRPr="00636006">
              <w:rPr>
                <w:rFonts w:eastAsia="MS Mincho"/>
                <w:sz w:val="22"/>
              </w:rPr>
              <w:t xml:space="preserve">7 </w:t>
            </w:r>
            <w:r w:rsidR="00944DF1" w:rsidRPr="00636006">
              <w:rPr>
                <w:rFonts w:eastAsia="MS Mincho"/>
                <w:sz w:val="22"/>
              </w:rPr>
              <w:t>(</w:t>
            </w:r>
            <w:r w:rsidRPr="00636006">
              <w:rPr>
                <w:rFonts w:eastAsia="MS Mincho"/>
                <w:sz w:val="22"/>
              </w:rPr>
              <w:t>0.4</w:t>
            </w:r>
            <w:r w:rsidR="00944DF1" w:rsidRPr="00636006">
              <w:rPr>
                <w:rFonts w:eastAsia="MS Mincho"/>
                <w:sz w:val="22"/>
              </w:rPr>
              <w:t>%)</w:t>
            </w:r>
          </w:p>
        </w:tc>
        <w:tc>
          <w:tcPr>
            <w:tcW w:w="1494" w:type="dxa"/>
            <w:tcBorders>
              <w:top w:val="single" w:sz="4" w:space="0" w:color="auto"/>
              <w:bottom w:val="single" w:sz="4" w:space="0" w:color="auto"/>
            </w:tcBorders>
            <w:shd w:val="clear" w:color="auto" w:fill="FFFFFF"/>
            <w:vAlign w:val="bottom"/>
          </w:tcPr>
          <w:p w14:paraId="034207FA"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bottom w:val="single" w:sz="4" w:space="0" w:color="auto"/>
              <w:right w:val="single" w:sz="4" w:space="0" w:color="auto"/>
            </w:tcBorders>
            <w:shd w:val="clear" w:color="auto" w:fill="FFFFFF"/>
            <w:vAlign w:val="bottom"/>
          </w:tcPr>
          <w:p w14:paraId="1738A5B7"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0DCC0DBE" w14:textId="77777777" w:rsidTr="000823AB">
        <w:tc>
          <w:tcPr>
            <w:tcW w:w="2917" w:type="dxa"/>
            <w:tcBorders>
              <w:top w:val="single" w:sz="4" w:space="0" w:color="auto"/>
              <w:left w:val="single" w:sz="4" w:space="0" w:color="auto"/>
            </w:tcBorders>
            <w:shd w:val="clear" w:color="auto" w:fill="FFFFFF"/>
            <w:vAlign w:val="bottom"/>
          </w:tcPr>
          <w:p w14:paraId="29156E13" w14:textId="0312B733" w:rsidR="00944DF1" w:rsidRPr="00807F0B" w:rsidRDefault="00944DF1" w:rsidP="009D6881">
            <w:pPr>
              <w:spacing w:afterLines="20" w:after="48"/>
              <w:jc w:val="left"/>
              <w:rPr>
                <w:rFonts w:eastAsia="MS Mincho"/>
                <w:sz w:val="22"/>
              </w:rPr>
            </w:pPr>
            <w:r w:rsidRPr="00636006">
              <w:rPr>
                <w:rFonts w:eastAsia="MS Mincho"/>
                <w:b/>
                <w:sz w:val="22"/>
              </w:rPr>
              <w:t>Endocrine Disorders</w:t>
            </w:r>
            <w:r w:rsidRPr="00636006">
              <w:rPr>
                <w:rFonts w:eastAsia="MS Mincho"/>
                <w:sz w:val="22"/>
              </w:rPr>
              <w:t xml:space="preserve"> Hypothyroidism </w:t>
            </w:r>
            <w:r w:rsidRPr="00807F0B">
              <w:rPr>
                <w:rFonts w:eastAsia="MS Mincho"/>
                <w:sz w:val="22"/>
                <w:vertAlign w:val="superscript"/>
              </w:rPr>
              <w:t>a</w:t>
            </w:r>
          </w:p>
        </w:tc>
        <w:tc>
          <w:tcPr>
            <w:tcW w:w="1444" w:type="dxa"/>
            <w:gridSpan w:val="2"/>
            <w:tcBorders>
              <w:top w:val="single" w:sz="4" w:space="0" w:color="auto"/>
            </w:tcBorders>
            <w:shd w:val="clear" w:color="auto" w:fill="FFFFFF"/>
            <w:vAlign w:val="bottom"/>
          </w:tcPr>
          <w:p w14:paraId="362CA2D3" w14:textId="7BA85BE7" w:rsidR="00944DF1" w:rsidRPr="00636006" w:rsidRDefault="00103365" w:rsidP="00AB540A">
            <w:pPr>
              <w:spacing w:afterLines="20" w:after="48"/>
              <w:jc w:val="center"/>
              <w:rPr>
                <w:rFonts w:eastAsia="MS Mincho"/>
                <w:sz w:val="22"/>
              </w:rPr>
            </w:pPr>
            <w:r w:rsidRPr="00807F0B">
              <w:rPr>
                <w:rFonts w:eastAsia="MS Mincho"/>
                <w:sz w:val="22"/>
              </w:rPr>
              <w:t>76</w:t>
            </w:r>
            <w:r w:rsidR="002C371B" w:rsidRPr="00807F0B">
              <w:rPr>
                <w:rFonts w:eastAsia="MS Mincho"/>
                <w:sz w:val="22"/>
              </w:rPr>
              <w:t xml:space="preserve"> (</w:t>
            </w:r>
            <w:r w:rsidRPr="00807F0B">
              <w:rPr>
                <w:rFonts w:eastAsia="MS Mincho"/>
                <w:sz w:val="22"/>
              </w:rPr>
              <w:t>4.6</w:t>
            </w:r>
            <w:r w:rsidRPr="00807F0B" w:rsidDel="00103365">
              <w:rPr>
                <w:rFonts w:eastAsia="MS Mincho"/>
                <w:sz w:val="22"/>
              </w:rPr>
              <w:t xml:space="preserve"> </w:t>
            </w:r>
            <w:r w:rsidR="002C371B" w:rsidRPr="00636006">
              <w:rPr>
                <w:rFonts w:eastAsia="MS Mincho"/>
                <w:sz w:val="22"/>
              </w:rPr>
              <w:t>%)</w:t>
            </w:r>
          </w:p>
        </w:tc>
        <w:tc>
          <w:tcPr>
            <w:tcW w:w="1341" w:type="dxa"/>
            <w:tcBorders>
              <w:top w:val="single" w:sz="4" w:space="0" w:color="auto"/>
            </w:tcBorders>
            <w:shd w:val="clear" w:color="auto" w:fill="FFFFFF"/>
            <w:vAlign w:val="bottom"/>
          </w:tcPr>
          <w:p w14:paraId="696F3CE9" w14:textId="04DAAFBF" w:rsidR="00944DF1" w:rsidRPr="00636006" w:rsidRDefault="00103365" w:rsidP="00AB540A">
            <w:pPr>
              <w:spacing w:afterLines="20" w:after="48"/>
              <w:jc w:val="center"/>
              <w:rPr>
                <w:rFonts w:eastAsia="MS Mincho"/>
                <w:sz w:val="22"/>
              </w:rPr>
            </w:pPr>
            <w:r w:rsidRPr="00636006">
              <w:rPr>
                <w:rFonts w:eastAsia="MS Mincho"/>
                <w:sz w:val="22"/>
              </w:rPr>
              <w:t xml:space="preserve">3 </w:t>
            </w:r>
            <w:r w:rsidR="002C371B" w:rsidRPr="00636006">
              <w:rPr>
                <w:rFonts w:eastAsia="MS Mincho"/>
                <w:sz w:val="22"/>
              </w:rPr>
              <w:t>(0.2%)</w:t>
            </w:r>
          </w:p>
        </w:tc>
        <w:tc>
          <w:tcPr>
            <w:tcW w:w="1494" w:type="dxa"/>
            <w:tcBorders>
              <w:top w:val="single" w:sz="4" w:space="0" w:color="auto"/>
            </w:tcBorders>
            <w:shd w:val="clear" w:color="auto" w:fill="FFFFFF"/>
            <w:vAlign w:val="bottom"/>
          </w:tcPr>
          <w:p w14:paraId="6B80A2B0"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40EE374B"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5E2D236F" w14:textId="77777777" w:rsidTr="000823AB">
        <w:tc>
          <w:tcPr>
            <w:tcW w:w="2917" w:type="dxa"/>
            <w:tcBorders>
              <w:left w:val="single" w:sz="4" w:space="0" w:color="auto"/>
            </w:tcBorders>
            <w:shd w:val="clear" w:color="auto" w:fill="FFFFFF"/>
            <w:vAlign w:val="bottom"/>
          </w:tcPr>
          <w:p w14:paraId="6837EF2A" w14:textId="77777777" w:rsidR="00944DF1" w:rsidRPr="00636006" w:rsidRDefault="00944DF1" w:rsidP="009D6881">
            <w:pPr>
              <w:spacing w:afterLines="20" w:after="48"/>
              <w:jc w:val="left"/>
              <w:rPr>
                <w:rFonts w:eastAsia="MS Mincho"/>
                <w:sz w:val="22"/>
              </w:rPr>
            </w:pPr>
            <w:r w:rsidRPr="00636006">
              <w:rPr>
                <w:rFonts w:eastAsia="MS Mincho"/>
                <w:sz w:val="22"/>
              </w:rPr>
              <w:t xml:space="preserve">Hyperthyroidism </w:t>
            </w:r>
            <w:r w:rsidRPr="00636006">
              <w:rPr>
                <w:rFonts w:eastAsia="MS Mincho"/>
                <w:sz w:val="22"/>
                <w:vertAlign w:val="superscript"/>
              </w:rPr>
              <w:t>b</w:t>
            </w:r>
          </w:p>
        </w:tc>
        <w:tc>
          <w:tcPr>
            <w:tcW w:w="1444" w:type="dxa"/>
            <w:gridSpan w:val="2"/>
            <w:shd w:val="clear" w:color="auto" w:fill="FFFFFF"/>
            <w:vAlign w:val="bottom"/>
          </w:tcPr>
          <w:p w14:paraId="44DF007D" w14:textId="7017D762" w:rsidR="00944DF1" w:rsidRPr="00807F0B" w:rsidRDefault="00103365" w:rsidP="00AB540A">
            <w:pPr>
              <w:spacing w:afterLines="20" w:after="48"/>
              <w:jc w:val="center"/>
              <w:rPr>
                <w:rFonts w:eastAsia="MS Mincho"/>
                <w:sz w:val="22"/>
              </w:rPr>
            </w:pPr>
            <w:r w:rsidRPr="00807F0B">
              <w:rPr>
                <w:rFonts w:eastAsia="MS Mincho"/>
                <w:sz w:val="22"/>
              </w:rPr>
              <w:t>30</w:t>
            </w:r>
            <w:r w:rsidR="002C371B" w:rsidRPr="00807F0B">
              <w:rPr>
                <w:rFonts w:eastAsia="MS Mincho"/>
                <w:sz w:val="22"/>
              </w:rPr>
              <w:t xml:space="preserve"> (1.</w:t>
            </w:r>
            <w:r w:rsidRPr="00807F0B">
              <w:rPr>
                <w:rFonts w:eastAsia="MS Mincho"/>
                <w:sz w:val="22"/>
              </w:rPr>
              <w:t>8</w:t>
            </w:r>
            <w:r w:rsidR="002C371B" w:rsidRPr="00807F0B">
              <w:rPr>
                <w:rFonts w:eastAsia="MS Mincho"/>
                <w:sz w:val="22"/>
              </w:rPr>
              <w:t>%)</w:t>
            </w:r>
          </w:p>
        </w:tc>
        <w:tc>
          <w:tcPr>
            <w:tcW w:w="1341" w:type="dxa"/>
            <w:shd w:val="clear" w:color="auto" w:fill="FFFFFF"/>
            <w:vAlign w:val="bottom"/>
          </w:tcPr>
          <w:p w14:paraId="3A229A4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494" w:type="dxa"/>
            <w:shd w:val="clear" w:color="auto" w:fill="FFFFFF"/>
            <w:vAlign w:val="bottom"/>
          </w:tcPr>
          <w:p w14:paraId="5C852141"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7A59B2CC" w14:textId="4C0D5F20" w:rsidR="00944DF1" w:rsidRPr="00636006" w:rsidRDefault="00A27264" w:rsidP="00AB540A">
            <w:pPr>
              <w:spacing w:afterLines="20" w:after="48"/>
              <w:jc w:val="center"/>
              <w:rPr>
                <w:rFonts w:eastAsia="MS Mincho"/>
                <w:sz w:val="22"/>
              </w:rPr>
            </w:pPr>
            <w:r w:rsidRPr="00636006">
              <w:rPr>
                <w:rFonts w:eastAsia="MS Mincho"/>
                <w:sz w:val="22"/>
              </w:rPr>
              <w:t>Common</w:t>
            </w:r>
          </w:p>
        </w:tc>
      </w:tr>
      <w:tr w:rsidR="00944DF1" w:rsidRPr="009D6881" w14:paraId="5E4BFBAF" w14:textId="77777777" w:rsidTr="000823AB">
        <w:tc>
          <w:tcPr>
            <w:tcW w:w="2917" w:type="dxa"/>
            <w:tcBorders>
              <w:left w:val="single" w:sz="4" w:space="0" w:color="auto"/>
            </w:tcBorders>
            <w:shd w:val="clear" w:color="auto" w:fill="FFFFFF"/>
            <w:vAlign w:val="bottom"/>
          </w:tcPr>
          <w:p w14:paraId="04B545C0" w14:textId="3257F977" w:rsidR="00944DF1" w:rsidRPr="00636006" w:rsidRDefault="00944DF1" w:rsidP="00AB540A">
            <w:pPr>
              <w:spacing w:afterLines="20" w:after="48"/>
              <w:jc w:val="left"/>
              <w:rPr>
                <w:rFonts w:eastAsia="MS Mincho"/>
                <w:sz w:val="22"/>
              </w:rPr>
            </w:pPr>
            <w:r w:rsidRPr="00636006">
              <w:rPr>
                <w:rFonts w:eastAsia="MS Mincho"/>
                <w:sz w:val="22"/>
              </w:rPr>
              <w:t>Adrenal insufficiency</w:t>
            </w:r>
            <w:r w:rsidR="003146C3" w:rsidRPr="00636006">
              <w:rPr>
                <w:sz w:val="22"/>
                <w:vertAlign w:val="superscript"/>
              </w:rPr>
              <w:t xml:space="preserve"> c</w:t>
            </w:r>
          </w:p>
        </w:tc>
        <w:tc>
          <w:tcPr>
            <w:tcW w:w="1444" w:type="dxa"/>
            <w:gridSpan w:val="2"/>
            <w:shd w:val="clear" w:color="auto" w:fill="FFFFFF"/>
            <w:vAlign w:val="bottom"/>
          </w:tcPr>
          <w:p w14:paraId="394183DC" w14:textId="5DAECC4D" w:rsidR="00944DF1" w:rsidRPr="00807F0B" w:rsidRDefault="00420F9A" w:rsidP="00AB540A">
            <w:pPr>
              <w:spacing w:afterLines="20" w:after="48"/>
              <w:jc w:val="center"/>
              <w:rPr>
                <w:rFonts w:eastAsia="MS Mincho"/>
                <w:sz w:val="22"/>
              </w:rPr>
            </w:pPr>
            <w:r w:rsidRPr="00807F0B">
              <w:rPr>
                <w:rFonts w:eastAsia="MS Mincho"/>
                <w:sz w:val="22"/>
              </w:rPr>
              <w:t>6</w:t>
            </w:r>
            <w:r w:rsidR="002C371B" w:rsidRPr="00807F0B">
              <w:rPr>
                <w:rFonts w:eastAsia="MS Mincho"/>
                <w:sz w:val="22"/>
              </w:rPr>
              <w:t xml:space="preserve"> (0.</w:t>
            </w:r>
            <w:r w:rsidR="00103365" w:rsidRPr="00807F0B">
              <w:rPr>
                <w:rFonts w:eastAsia="MS Mincho"/>
                <w:sz w:val="22"/>
              </w:rPr>
              <w:t>4</w:t>
            </w:r>
            <w:r w:rsidR="002C371B" w:rsidRPr="00807F0B">
              <w:rPr>
                <w:rFonts w:eastAsia="MS Mincho"/>
                <w:sz w:val="22"/>
              </w:rPr>
              <w:t>%)</w:t>
            </w:r>
          </w:p>
        </w:tc>
        <w:tc>
          <w:tcPr>
            <w:tcW w:w="1341" w:type="dxa"/>
            <w:shd w:val="clear" w:color="auto" w:fill="FFFFFF"/>
            <w:vAlign w:val="bottom"/>
          </w:tcPr>
          <w:p w14:paraId="216C4FBD"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494" w:type="dxa"/>
            <w:shd w:val="clear" w:color="auto" w:fill="FFFFFF"/>
            <w:vAlign w:val="bottom"/>
          </w:tcPr>
          <w:p w14:paraId="533BBDB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35E99D80" w14:textId="1BC17922" w:rsidR="00944DF1" w:rsidRPr="00636006" w:rsidRDefault="00944DF1" w:rsidP="003146C3">
            <w:pPr>
              <w:spacing w:afterLines="20" w:after="48"/>
              <w:jc w:val="center"/>
              <w:rPr>
                <w:rFonts w:eastAsia="MS Mincho"/>
                <w:sz w:val="22"/>
              </w:rPr>
            </w:pPr>
            <w:r w:rsidRPr="00636006">
              <w:rPr>
                <w:rFonts w:eastAsia="MS Mincho"/>
                <w:sz w:val="22"/>
              </w:rPr>
              <w:t>Uncommon</w:t>
            </w:r>
          </w:p>
        </w:tc>
      </w:tr>
      <w:tr w:rsidR="00AC5083" w:rsidRPr="009D6881" w14:paraId="7B714133" w14:textId="77777777" w:rsidTr="000823AB">
        <w:trPr>
          <w:trHeight w:val="146"/>
        </w:trPr>
        <w:tc>
          <w:tcPr>
            <w:tcW w:w="2917" w:type="dxa"/>
            <w:tcBorders>
              <w:left w:val="single" w:sz="4" w:space="0" w:color="auto"/>
            </w:tcBorders>
            <w:shd w:val="clear" w:color="auto" w:fill="FFFFFF"/>
            <w:vAlign w:val="bottom"/>
          </w:tcPr>
          <w:p w14:paraId="11BEF2A6" w14:textId="241D8F55" w:rsidR="00AC5083" w:rsidRPr="00636006" w:rsidRDefault="00AC5083" w:rsidP="008D3F49">
            <w:pPr>
              <w:keepNext/>
              <w:keepLines/>
              <w:jc w:val="left"/>
              <w:outlineLvl w:val="2"/>
              <w:rPr>
                <w:rFonts w:eastAsia="MS Mincho"/>
                <w:sz w:val="22"/>
              </w:rPr>
            </w:pPr>
            <w:r w:rsidRPr="00636006">
              <w:rPr>
                <w:rFonts w:eastAsia="MS Mincho"/>
                <w:sz w:val="22"/>
              </w:rPr>
              <w:t>Hypophysitis</w:t>
            </w:r>
          </w:p>
        </w:tc>
        <w:tc>
          <w:tcPr>
            <w:tcW w:w="1444" w:type="dxa"/>
            <w:gridSpan w:val="2"/>
            <w:shd w:val="clear" w:color="auto" w:fill="FFFFFF"/>
            <w:vAlign w:val="bottom"/>
          </w:tcPr>
          <w:p w14:paraId="656F85F2" w14:textId="1BD4084C" w:rsidR="00AC5083" w:rsidRPr="00807F0B" w:rsidRDefault="00AC5083" w:rsidP="008D3F49">
            <w:pPr>
              <w:keepNext/>
              <w:keepLines/>
              <w:jc w:val="center"/>
              <w:outlineLvl w:val="2"/>
              <w:rPr>
                <w:rFonts w:eastAsia="MS Mincho"/>
                <w:sz w:val="22"/>
              </w:rPr>
            </w:pPr>
            <w:r w:rsidRPr="00807F0B">
              <w:rPr>
                <w:rFonts w:eastAsia="MS Mincho"/>
                <w:sz w:val="22"/>
              </w:rPr>
              <w:t>1 (&lt; 0.1%)</w:t>
            </w:r>
          </w:p>
        </w:tc>
        <w:tc>
          <w:tcPr>
            <w:tcW w:w="1341" w:type="dxa"/>
            <w:shd w:val="clear" w:color="auto" w:fill="FFFFFF"/>
            <w:vAlign w:val="bottom"/>
          </w:tcPr>
          <w:p w14:paraId="0272853C" w14:textId="64CD1BEF" w:rsidR="00AC5083" w:rsidRPr="00636006" w:rsidRDefault="00AC5083" w:rsidP="008D3F49">
            <w:pPr>
              <w:keepNext/>
              <w:keepLines/>
              <w:jc w:val="center"/>
              <w:outlineLvl w:val="2"/>
              <w:rPr>
                <w:rFonts w:eastAsia="MS Mincho"/>
                <w:sz w:val="22"/>
              </w:rPr>
            </w:pPr>
            <w:r w:rsidRPr="00636006">
              <w:rPr>
                <w:sz w:val="22"/>
              </w:rPr>
              <w:t>0 (0%)</w:t>
            </w:r>
          </w:p>
        </w:tc>
        <w:tc>
          <w:tcPr>
            <w:tcW w:w="1494" w:type="dxa"/>
            <w:shd w:val="clear" w:color="auto" w:fill="FFFFFF"/>
            <w:vAlign w:val="bottom"/>
          </w:tcPr>
          <w:p w14:paraId="7E6E0CFC" w14:textId="31A35674" w:rsidR="00AC5083" w:rsidRPr="00636006" w:rsidRDefault="00AC5083" w:rsidP="008D3F49">
            <w:pPr>
              <w:keepNext/>
              <w:keepLines/>
              <w:jc w:val="center"/>
              <w:outlineLvl w:val="2"/>
              <w:rPr>
                <w:rFonts w:eastAsia="MS Mincho"/>
                <w:sz w:val="22"/>
              </w:rPr>
            </w:pPr>
            <w:r w:rsidRPr="00636006">
              <w:rPr>
                <w:sz w:val="22"/>
              </w:rPr>
              <w:t>0 (0%)</w:t>
            </w:r>
          </w:p>
        </w:tc>
        <w:tc>
          <w:tcPr>
            <w:tcW w:w="1732" w:type="dxa"/>
            <w:tcBorders>
              <w:right w:val="single" w:sz="4" w:space="0" w:color="auto"/>
            </w:tcBorders>
            <w:shd w:val="clear" w:color="auto" w:fill="FFFFFF"/>
          </w:tcPr>
          <w:p w14:paraId="5EF5169C" w14:textId="0B29622A" w:rsidR="00AC5083" w:rsidRPr="00636006" w:rsidRDefault="00AC5083" w:rsidP="008D3F49">
            <w:pPr>
              <w:keepNext/>
              <w:keepLines/>
              <w:jc w:val="center"/>
              <w:outlineLvl w:val="2"/>
              <w:rPr>
                <w:rFonts w:eastAsia="MS Mincho"/>
                <w:sz w:val="22"/>
              </w:rPr>
            </w:pPr>
            <w:r w:rsidRPr="00636006">
              <w:rPr>
                <w:sz w:val="22"/>
              </w:rPr>
              <w:t>Rare</w:t>
            </w:r>
          </w:p>
        </w:tc>
      </w:tr>
      <w:tr w:rsidR="00944DF1" w:rsidRPr="009D6881" w14:paraId="131D7D1B" w14:textId="77777777" w:rsidTr="008524BA">
        <w:tc>
          <w:tcPr>
            <w:tcW w:w="2917" w:type="dxa"/>
            <w:tcBorders>
              <w:left w:val="single" w:sz="4" w:space="0" w:color="auto"/>
              <w:bottom w:val="single" w:sz="4" w:space="0" w:color="auto"/>
            </w:tcBorders>
            <w:shd w:val="clear" w:color="auto" w:fill="FFFFFF"/>
            <w:vAlign w:val="bottom"/>
          </w:tcPr>
          <w:p w14:paraId="24034DA8" w14:textId="772FDF83" w:rsidR="00944DF1" w:rsidRPr="00636006" w:rsidRDefault="00944DF1" w:rsidP="00E105E4">
            <w:pPr>
              <w:spacing w:afterLines="20" w:after="48"/>
              <w:jc w:val="left"/>
              <w:rPr>
                <w:rFonts w:eastAsia="MS Mincho"/>
                <w:sz w:val="22"/>
              </w:rPr>
            </w:pPr>
            <w:r w:rsidRPr="00636006">
              <w:rPr>
                <w:rFonts w:eastAsia="MS Mincho"/>
                <w:sz w:val="22"/>
              </w:rPr>
              <w:t>Diabetes mellitus</w:t>
            </w:r>
            <w:r w:rsidRPr="00636006">
              <w:rPr>
                <w:sz w:val="22"/>
                <w:vertAlign w:val="superscript"/>
              </w:rPr>
              <w:t xml:space="preserve"> </w:t>
            </w:r>
            <w:r w:rsidR="003146C3" w:rsidRPr="00636006">
              <w:rPr>
                <w:sz w:val="22"/>
                <w:vertAlign w:val="superscript"/>
              </w:rPr>
              <w:t>d</w:t>
            </w:r>
          </w:p>
        </w:tc>
        <w:tc>
          <w:tcPr>
            <w:tcW w:w="1359" w:type="dxa"/>
            <w:tcBorders>
              <w:bottom w:val="single" w:sz="4" w:space="0" w:color="auto"/>
            </w:tcBorders>
            <w:shd w:val="clear" w:color="auto" w:fill="FFFFFF"/>
            <w:vAlign w:val="bottom"/>
          </w:tcPr>
          <w:p w14:paraId="2DC6DAC8" w14:textId="15E09000" w:rsidR="00944DF1" w:rsidRPr="00807F0B" w:rsidRDefault="009B2A96" w:rsidP="00AB540A">
            <w:pPr>
              <w:spacing w:afterLines="20" w:after="48"/>
              <w:jc w:val="center"/>
              <w:rPr>
                <w:rFonts w:eastAsia="MS Mincho"/>
                <w:sz w:val="22"/>
              </w:rPr>
            </w:pPr>
            <w:r w:rsidRPr="00807F0B">
              <w:rPr>
                <w:rFonts w:eastAsia="MS Mincho"/>
                <w:sz w:val="22"/>
              </w:rPr>
              <w:t xml:space="preserve">5 </w:t>
            </w:r>
            <w:r w:rsidR="002C371B" w:rsidRPr="00807F0B">
              <w:rPr>
                <w:rFonts w:eastAsia="MS Mincho"/>
                <w:sz w:val="22"/>
              </w:rPr>
              <w:t>(0.3%)</w:t>
            </w:r>
          </w:p>
        </w:tc>
        <w:tc>
          <w:tcPr>
            <w:tcW w:w="1426" w:type="dxa"/>
            <w:gridSpan w:val="2"/>
            <w:tcBorders>
              <w:bottom w:val="single" w:sz="4" w:space="0" w:color="auto"/>
            </w:tcBorders>
            <w:shd w:val="clear" w:color="auto" w:fill="FFFFFF"/>
            <w:vAlign w:val="bottom"/>
          </w:tcPr>
          <w:p w14:paraId="40C3FFB3" w14:textId="6301044C" w:rsidR="00944DF1" w:rsidRPr="00636006" w:rsidRDefault="009B2A96" w:rsidP="009D6881">
            <w:pPr>
              <w:spacing w:afterLines="20" w:after="48"/>
              <w:jc w:val="center"/>
              <w:rPr>
                <w:rFonts w:eastAsia="MS Mincho"/>
                <w:sz w:val="22"/>
              </w:rPr>
            </w:pPr>
            <w:r w:rsidRPr="00636006">
              <w:rPr>
                <w:rFonts w:eastAsia="MS Mincho"/>
                <w:sz w:val="22"/>
              </w:rPr>
              <w:t xml:space="preserve">3 </w:t>
            </w:r>
            <w:r w:rsidR="00944DF1" w:rsidRPr="00636006">
              <w:rPr>
                <w:rFonts w:eastAsia="MS Mincho"/>
                <w:sz w:val="22"/>
              </w:rPr>
              <w:t>(0.2%)</w:t>
            </w:r>
          </w:p>
        </w:tc>
        <w:tc>
          <w:tcPr>
            <w:tcW w:w="1494" w:type="dxa"/>
            <w:tcBorders>
              <w:bottom w:val="single" w:sz="4" w:space="0" w:color="auto"/>
            </w:tcBorders>
            <w:shd w:val="clear" w:color="auto" w:fill="FFFFFF"/>
            <w:vAlign w:val="bottom"/>
          </w:tcPr>
          <w:p w14:paraId="3A355616"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2B345E96" w14:textId="77777777" w:rsidR="00944DF1" w:rsidRPr="00636006" w:rsidRDefault="00944DF1" w:rsidP="009D6881">
            <w:pPr>
              <w:spacing w:afterLines="20" w:after="48"/>
              <w:jc w:val="center"/>
              <w:rPr>
                <w:rFonts w:eastAsia="MS Mincho"/>
                <w:sz w:val="22"/>
              </w:rPr>
            </w:pPr>
            <w:r w:rsidRPr="00636006">
              <w:rPr>
                <w:rFonts w:eastAsia="MS Mincho"/>
                <w:sz w:val="22"/>
              </w:rPr>
              <w:t>Uncommon</w:t>
            </w:r>
          </w:p>
        </w:tc>
      </w:tr>
      <w:tr w:rsidR="00944DF1" w:rsidRPr="009D6881" w14:paraId="316779C5" w14:textId="77777777" w:rsidTr="000823AB">
        <w:tc>
          <w:tcPr>
            <w:tcW w:w="2917" w:type="dxa"/>
            <w:tcBorders>
              <w:top w:val="single" w:sz="4" w:space="0" w:color="auto"/>
              <w:left w:val="single" w:sz="4" w:space="0" w:color="auto"/>
            </w:tcBorders>
            <w:shd w:val="clear" w:color="auto" w:fill="FFFFFF"/>
            <w:vAlign w:val="bottom"/>
          </w:tcPr>
          <w:p w14:paraId="07699EC4" w14:textId="7EDFFD6B" w:rsidR="00944DF1" w:rsidRPr="00807F0B" w:rsidRDefault="00944DF1" w:rsidP="009D6881">
            <w:pPr>
              <w:spacing w:afterLines="20" w:after="48"/>
              <w:jc w:val="left"/>
              <w:rPr>
                <w:rFonts w:eastAsia="MS Mincho"/>
                <w:sz w:val="22"/>
              </w:rPr>
            </w:pPr>
            <w:r w:rsidRPr="00636006">
              <w:rPr>
                <w:rFonts w:eastAsia="MS Mincho"/>
                <w:b/>
                <w:sz w:val="22"/>
              </w:rPr>
              <w:t>Gastrointestinal Disorders</w:t>
            </w:r>
            <w:r w:rsidRPr="00636006">
              <w:rPr>
                <w:rFonts w:eastAsia="MS Mincho"/>
                <w:sz w:val="22"/>
              </w:rPr>
              <w:t xml:space="preserve"> Diarrh</w:t>
            </w:r>
            <w:r w:rsidR="00BB6C0A" w:rsidRPr="00807F0B">
              <w:rPr>
                <w:rFonts w:eastAsia="MS Mincho"/>
                <w:sz w:val="22"/>
              </w:rPr>
              <w:t>o</w:t>
            </w:r>
            <w:r w:rsidRPr="00807F0B">
              <w:rPr>
                <w:rFonts w:eastAsia="MS Mincho"/>
                <w:sz w:val="22"/>
              </w:rPr>
              <w:t>ea</w:t>
            </w:r>
          </w:p>
        </w:tc>
        <w:tc>
          <w:tcPr>
            <w:tcW w:w="1444" w:type="dxa"/>
            <w:gridSpan w:val="2"/>
            <w:tcBorders>
              <w:top w:val="single" w:sz="4" w:space="0" w:color="auto"/>
            </w:tcBorders>
            <w:shd w:val="clear" w:color="auto" w:fill="FFFFFF"/>
            <w:vAlign w:val="bottom"/>
          </w:tcPr>
          <w:p w14:paraId="79FC81D1" w14:textId="083DE677" w:rsidR="00944DF1" w:rsidRPr="00636006" w:rsidRDefault="009B2A96" w:rsidP="009B2A96">
            <w:pPr>
              <w:spacing w:afterLines="20" w:after="48"/>
              <w:jc w:val="center"/>
              <w:rPr>
                <w:rFonts w:eastAsia="MS Mincho"/>
                <w:sz w:val="22"/>
              </w:rPr>
            </w:pPr>
            <w:r w:rsidRPr="00807F0B">
              <w:rPr>
                <w:rFonts w:eastAsia="MS Mincho"/>
                <w:sz w:val="22"/>
              </w:rPr>
              <w:t>287</w:t>
            </w:r>
            <w:r w:rsidRPr="00807F0B" w:rsidDel="009B2A96">
              <w:rPr>
                <w:rFonts w:eastAsia="MS Mincho"/>
                <w:sz w:val="22"/>
              </w:rPr>
              <w:t xml:space="preserve"> </w:t>
            </w:r>
            <w:r w:rsidR="00B22810" w:rsidRPr="00636006">
              <w:rPr>
                <w:rFonts w:eastAsia="MS Mincho"/>
                <w:sz w:val="22"/>
              </w:rPr>
              <w:t>(</w:t>
            </w:r>
            <w:r w:rsidRPr="00636006">
              <w:rPr>
                <w:rFonts w:eastAsia="MS Mincho"/>
                <w:sz w:val="22"/>
              </w:rPr>
              <w:t>17.5</w:t>
            </w:r>
            <w:r w:rsidR="00B22810" w:rsidRPr="00636006">
              <w:rPr>
                <w:rFonts w:eastAsia="MS Mincho"/>
                <w:sz w:val="22"/>
              </w:rPr>
              <w:t>%)</w:t>
            </w:r>
          </w:p>
        </w:tc>
        <w:tc>
          <w:tcPr>
            <w:tcW w:w="1341" w:type="dxa"/>
            <w:tcBorders>
              <w:top w:val="single" w:sz="4" w:space="0" w:color="auto"/>
            </w:tcBorders>
            <w:shd w:val="clear" w:color="auto" w:fill="FFFFFF"/>
            <w:vAlign w:val="bottom"/>
          </w:tcPr>
          <w:p w14:paraId="670D2D1A" w14:textId="41B77C5C" w:rsidR="00944DF1" w:rsidRPr="00636006" w:rsidRDefault="009B2A96" w:rsidP="009B2A96">
            <w:pPr>
              <w:spacing w:afterLines="20" w:after="48"/>
              <w:jc w:val="center"/>
              <w:rPr>
                <w:rFonts w:eastAsia="MS Mincho"/>
                <w:sz w:val="22"/>
              </w:rPr>
            </w:pPr>
            <w:r w:rsidRPr="00636006">
              <w:rPr>
                <w:rFonts w:eastAsia="MS Mincho"/>
                <w:sz w:val="22"/>
              </w:rPr>
              <w:t xml:space="preserve">14 </w:t>
            </w:r>
            <w:r w:rsidR="00B22810" w:rsidRPr="00636006">
              <w:rPr>
                <w:rFonts w:eastAsia="MS Mincho"/>
                <w:sz w:val="22"/>
              </w:rPr>
              <w:t>(</w:t>
            </w:r>
            <w:r w:rsidRPr="00636006">
              <w:rPr>
                <w:rFonts w:eastAsia="MS Mincho"/>
                <w:sz w:val="22"/>
              </w:rPr>
              <w:t>0.9</w:t>
            </w:r>
            <w:r w:rsidR="00B22810" w:rsidRPr="00636006">
              <w:rPr>
                <w:rFonts w:eastAsia="MS Mincho"/>
                <w:sz w:val="22"/>
              </w:rPr>
              <w:t>%)</w:t>
            </w:r>
          </w:p>
        </w:tc>
        <w:tc>
          <w:tcPr>
            <w:tcW w:w="1494" w:type="dxa"/>
            <w:tcBorders>
              <w:top w:val="single" w:sz="4" w:space="0" w:color="auto"/>
            </w:tcBorders>
            <w:shd w:val="clear" w:color="auto" w:fill="FFFFFF"/>
            <w:vAlign w:val="bottom"/>
          </w:tcPr>
          <w:p w14:paraId="7F883A26"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282BBFBD"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43865EF4" w14:textId="77777777" w:rsidTr="000823AB">
        <w:tc>
          <w:tcPr>
            <w:tcW w:w="2917" w:type="dxa"/>
            <w:tcBorders>
              <w:left w:val="single" w:sz="4" w:space="0" w:color="auto"/>
            </w:tcBorders>
            <w:shd w:val="clear" w:color="auto" w:fill="FFFFFF"/>
            <w:vAlign w:val="bottom"/>
          </w:tcPr>
          <w:p w14:paraId="69B758AD" w14:textId="77777777" w:rsidR="00944DF1" w:rsidRPr="00636006" w:rsidRDefault="00944DF1" w:rsidP="009D6881">
            <w:pPr>
              <w:spacing w:afterLines="20" w:after="48"/>
              <w:jc w:val="left"/>
              <w:rPr>
                <w:rFonts w:eastAsia="MS Mincho"/>
                <w:sz w:val="22"/>
              </w:rPr>
            </w:pPr>
            <w:r w:rsidRPr="00636006">
              <w:rPr>
                <w:rFonts w:eastAsia="MS Mincho"/>
                <w:sz w:val="22"/>
              </w:rPr>
              <w:t>Dysphagia</w:t>
            </w:r>
          </w:p>
        </w:tc>
        <w:tc>
          <w:tcPr>
            <w:tcW w:w="1444" w:type="dxa"/>
            <w:gridSpan w:val="2"/>
            <w:shd w:val="clear" w:color="auto" w:fill="FFFFFF"/>
            <w:vAlign w:val="bottom"/>
          </w:tcPr>
          <w:p w14:paraId="39D1C415" w14:textId="7A05C0DB" w:rsidR="00944DF1" w:rsidRPr="00636006" w:rsidRDefault="009B2A96" w:rsidP="009B2A96">
            <w:pPr>
              <w:spacing w:afterLines="20" w:after="48"/>
              <w:jc w:val="center"/>
              <w:rPr>
                <w:rFonts w:eastAsia="MS Mincho"/>
                <w:sz w:val="22"/>
              </w:rPr>
            </w:pPr>
            <w:r w:rsidRPr="00807F0B">
              <w:rPr>
                <w:rFonts w:eastAsia="MS Mincho"/>
                <w:sz w:val="22"/>
              </w:rPr>
              <w:t xml:space="preserve">52 </w:t>
            </w:r>
            <w:r w:rsidR="00B22810" w:rsidRPr="00636006">
              <w:rPr>
                <w:rFonts w:eastAsia="MS Mincho"/>
                <w:sz w:val="22"/>
              </w:rPr>
              <w:t>(</w:t>
            </w:r>
            <w:r w:rsidRPr="00636006">
              <w:rPr>
                <w:rFonts w:eastAsia="MS Mincho"/>
                <w:sz w:val="22"/>
              </w:rPr>
              <w:t>3.2</w:t>
            </w:r>
            <w:r w:rsidR="00B22810" w:rsidRPr="00636006">
              <w:rPr>
                <w:rFonts w:eastAsia="MS Mincho"/>
                <w:sz w:val="22"/>
              </w:rPr>
              <w:t>%)</w:t>
            </w:r>
          </w:p>
        </w:tc>
        <w:tc>
          <w:tcPr>
            <w:tcW w:w="1341" w:type="dxa"/>
            <w:shd w:val="clear" w:color="auto" w:fill="FFFFFF"/>
            <w:vAlign w:val="bottom"/>
          </w:tcPr>
          <w:p w14:paraId="3F5C2E4C" w14:textId="1404C401" w:rsidR="00944DF1" w:rsidRPr="00636006" w:rsidRDefault="00B22810" w:rsidP="009D6881">
            <w:pPr>
              <w:spacing w:afterLines="20" w:after="48"/>
              <w:jc w:val="center"/>
              <w:rPr>
                <w:rFonts w:eastAsia="MS Mincho"/>
                <w:sz w:val="22"/>
              </w:rPr>
            </w:pPr>
            <w:r w:rsidRPr="00636006">
              <w:rPr>
                <w:rFonts w:eastAsia="MS Mincho"/>
                <w:sz w:val="22"/>
              </w:rPr>
              <w:t>1</w:t>
            </w:r>
            <w:r w:rsidR="009B2A96" w:rsidRPr="00636006">
              <w:rPr>
                <w:rFonts w:eastAsia="MS Mincho"/>
                <w:sz w:val="22"/>
              </w:rPr>
              <w:t>0</w:t>
            </w:r>
            <w:r w:rsidRPr="00636006">
              <w:rPr>
                <w:rFonts w:eastAsia="MS Mincho"/>
                <w:sz w:val="22"/>
              </w:rPr>
              <w:t xml:space="preserve"> </w:t>
            </w:r>
            <w:r w:rsidR="00944DF1" w:rsidRPr="00636006">
              <w:rPr>
                <w:rFonts w:eastAsia="MS Mincho"/>
                <w:sz w:val="22"/>
              </w:rPr>
              <w:t>(0.</w:t>
            </w:r>
            <w:r w:rsidR="009B2A96" w:rsidRPr="00636006">
              <w:rPr>
                <w:rFonts w:eastAsia="MS Mincho"/>
                <w:sz w:val="22"/>
              </w:rPr>
              <w:t>6</w:t>
            </w:r>
            <w:r w:rsidR="00944DF1" w:rsidRPr="00636006">
              <w:rPr>
                <w:rFonts w:eastAsia="MS Mincho"/>
                <w:sz w:val="22"/>
              </w:rPr>
              <w:t>%)</w:t>
            </w:r>
          </w:p>
        </w:tc>
        <w:tc>
          <w:tcPr>
            <w:tcW w:w="1494" w:type="dxa"/>
            <w:shd w:val="clear" w:color="auto" w:fill="FFFFFF"/>
            <w:vAlign w:val="bottom"/>
          </w:tcPr>
          <w:p w14:paraId="4E68FD30"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2CC603A3"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3A9F7956" w14:textId="77777777" w:rsidTr="008524BA">
        <w:tc>
          <w:tcPr>
            <w:tcW w:w="2917" w:type="dxa"/>
            <w:tcBorders>
              <w:left w:val="single" w:sz="4" w:space="0" w:color="auto"/>
            </w:tcBorders>
            <w:shd w:val="clear" w:color="auto" w:fill="FFFFFF"/>
            <w:vAlign w:val="bottom"/>
          </w:tcPr>
          <w:p w14:paraId="14F58F35" w14:textId="029E8999" w:rsidR="00944DF1" w:rsidRPr="00636006" w:rsidRDefault="00944DF1" w:rsidP="00E105E4">
            <w:pPr>
              <w:spacing w:afterLines="20" w:after="48"/>
              <w:jc w:val="left"/>
              <w:rPr>
                <w:rFonts w:eastAsia="MS Mincho"/>
                <w:sz w:val="22"/>
              </w:rPr>
            </w:pPr>
            <w:r w:rsidRPr="00636006">
              <w:rPr>
                <w:rFonts w:eastAsia="MS Mincho"/>
                <w:sz w:val="22"/>
              </w:rPr>
              <w:t xml:space="preserve">Colitis </w:t>
            </w:r>
            <w:r w:rsidR="00B22810" w:rsidRPr="00636006">
              <w:rPr>
                <w:rFonts w:eastAsia="MS Mincho"/>
                <w:sz w:val="22"/>
                <w:vertAlign w:val="superscript"/>
              </w:rPr>
              <w:t>e</w:t>
            </w:r>
          </w:p>
        </w:tc>
        <w:tc>
          <w:tcPr>
            <w:tcW w:w="1359" w:type="dxa"/>
            <w:shd w:val="clear" w:color="auto" w:fill="FFFFFF"/>
            <w:vAlign w:val="bottom"/>
          </w:tcPr>
          <w:p w14:paraId="2B83B28E" w14:textId="5245C2D5" w:rsidR="00944DF1" w:rsidRPr="00636006" w:rsidRDefault="009B2A96" w:rsidP="009B2A96">
            <w:pPr>
              <w:spacing w:afterLines="20" w:after="48"/>
              <w:jc w:val="center"/>
              <w:rPr>
                <w:rFonts w:eastAsia="MS Mincho"/>
                <w:sz w:val="22"/>
              </w:rPr>
            </w:pPr>
            <w:r w:rsidRPr="00807F0B">
              <w:rPr>
                <w:rFonts w:eastAsia="MS Mincho"/>
                <w:sz w:val="22"/>
              </w:rPr>
              <w:t>15</w:t>
            </w:r>
            <w:r w:rsidRPr="00807F0B" w:rsidDel="009B2A96">
              <w:rPr>
                <w:rFonts w:eastAsia="MS Mincho"/>
                <w:sz w:val="22"/>
              </w:rPr>
              <w:t xml:space="preserve"> </w:t>
            </w:r>
            <w:r w:rsidR="00B22810" w:rsidRPr="00636006">
              <w:rPr>
                <w:rFonts w:eastAsia="MS Mincho"/>
                <w:sz w:val="22"/>
              </w:rPr>
              <w:t>(</w:t>
            </w:r>
            <w:r w:rsidRPr="00636006">
              <w:rPr>
                <w:rFonts w:eastAsia="MS Mincho"/>
                <w:sz w:val="22"/>
              </w:rPr>
              <w:t>0.9</w:t>
            </w:r>
            <w:r w:rsidR="00B22810" w:rsidRPr="00636006">
              <w:rPr>
                <w:rFonts w:eastAsia="MS Mincho"/>
                <w:sz w:val="22"/>
              </w:rPr>
              <w:t>%)</w:t>
            </w:r>
          </w:p>
        </w:tc>
        <w:tc>
          <w:tcPr>
            <w:tcW w:w="1426" w:type="dxa"/>
            <w:gridSpan w:val="2"/>
            <w:shd w:val="clear" w:color="auto" w:fill="FFFFFF"/>
            <w:vAlign w:val="bottom"/>
          </w:tcPr>
          <w:p w14:paraId="7665C44E" w14:textId="01BF36F1" w:rsidR="00944DF1" w:rsidRPr="00636006" w:rsidRDefault="00856811" w:rsidP="00856811">
            <w:pPr>
              <w:spacing w:afterLines="20" w:after="48"/>
              <w:jc w:val="center"/>
              <w:rPr>
                <w:rFonts w:eastAsia="MS Mincho"/>
                <w:sz w:val="22"/>
              </w:rPr>
            </w:pPr>
            <w:r w:rsidRPr="00636006">
              <w:rPr>
                <w:rFonts w:eastAsia="MS Mincho"/>
                <w:sz w:val="22"/>
              </w:rPr>
              <w:t xml:space="preserve">4 </w:t>
            </w:r>
            <w:r w:rsidR="00B22810" w:rsidRPr="00636006">
              <w:rPr>
                <w:rFonts w:eastAsia="MS Mincho"/>
                <w:sz w:val="22"/>
              </w:rPr>
              <w:t>(0.</w:t>
            </w:r>
            <w:r w:rsidRPr="00636006">
              <w:rPr>
                <w:rFonts w:eastAsia="MS Mincho"/>
                <w:sz w:val="22"/>
              </w:rPr>
              <w:t>2</w:t>
            </w:r>
            <w:r w:rsidR="00B22810" w:rsidRPr="00636006">
              <w:rPr>
                <w:rFonts w:eastAsia="MS Mincho"/>
                <w:sz w:val="22"/>
              </w:rPr>
              <w:t>%)</w:t>
            </w:r>
          </w:p>
        </w:tc>
        <w:tc>
          <w:tcPr>
            <w:tcW w:w="1494" w:type="dxa"/>
            <w:shd w:val="clear" w:color="auto" w:fill="FFFFFF"/>
            <w:vAlign w:val="bottom"/>
          </w:tcPr>
          <w:p w14:paraId="3928D28E"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6E2272EA" w14:textId="6020D46D" w:rsidR="00944DF1" w:rsidRPr="00636006" w:rsidRDefault="00457C32" w:rsidP="009D6881">
            <w:pPr>
              <w:spacing w:afterLines="20" w:after="48"/>
              <w:jc w:val="center"/>
              <w:rPr>
                <w:rFonts w:eastAsia="MS Mincho"/>
                <w:sz w:val="22"/>
              </w:rPr>
            </w:pPr>
            <w:r>
              <w:rPr>
                <w:rFonts w:eastAsia="MS Mincho"/>
                <w:sz w:val="22"/>
              </w:rPr>
              <w:t>Un</w:t>
            </w:r>
            <w:r w:rsidR="00323485">
              <w:rPr>
                <w:rFonts w:eastAsia="MS Mincho"/>
                <w:sz w:val="22"/>
              </w:rPr>
              <w:t>c</w:t>
            </w:r>
            <w:r w:rsidR="00944DF1" w:rsidRPr="00636006">
              <w:rPr>
                <w:rFonts w:eastAsia="MS Mincho"/>
                <w:sz w:val="22"/>
              </w:rPr>
              <w:t>ommon</w:t>
            </w:r>
          </w:p>
        </w:tc>
      </w:tr>
      <w:tr w:rsidR="00944DF1" w:rsidRPr="009D6881" w14:paraId="7F892CA7" w14:textId="77777777" w:rsidTr="000823AB">
        <w:tc>
          <w:tcPr>
            <w:tcW w:w="2917" w:type="dxa"/>
            <w:tcBorders>
              <w:left w:val="single" w:sz="4" w:space="0" w:color="auto"/>
            </w:tcBorders>
            <w:shd w:val="clear" w:color="auto" w:fill="FFFFFF"/>
            <w:vAlign w:val="bottom"/>
          </w:tcPr>
          <w:p w14:paraId="12FEBB86" w14:textId="77777777" w:rsidR="00944DF1" w:rsidRPr="00636006" w:rsidRDefault="00944DF1" w:rsidP="009D6881">
            <w:pPr>
              <w:spacing w:afterLines="20" w:after="48"/>
              <w:jc w:val="left"/>
              <w:rPr>
                <w:rFonts w:eastAsia="MS Mincho"/>
                <w:sz w:val="22"/>
              </w:rPr>
            </w:pPr>
            <w:r w:rsidRPr="00636006">
              <w:rPr>
                <w:rFonts w:eastAsia="MS Mincho"/>
                <w:sz w:val="22"/>
              </w:rPr>
              <w:t>Nausea</w:t>
            </w:r>
          </w:p>
        </w:tc>
        <w:tc>
          <w:tcPr>
            <w:tcW w:w="1444" w:type="dxa"/>
            <w:gridSpan w:val="2"/>
            <w:shd w:val="clear" w:color="auto" w:fill="FFFFFF"/>
            <w:vAlign w:val="bottom"/>
          </w:tcPr>
          <w:p w14:paraId="516CD101" w14:textId="1036810E" w:rsidR="00944DF1" w:rsidRPr="00636006" w:rsidRDefault="00856811" w:rsidP="00AB540A">
            <w:pPr>
              <w:spacing w:afterLines="20" w:after="48"/>
              <w:jc w:val="center"/>
              <w:rPr>
                <w:rFonts w:eastAsia="MS Mincho"/>
                <w:sz w:val="22"/>
              </w:rPr>
            </w:pPr>
            <w:r w:rsidRPr="00807F0B">
              <w:rPr>
                <w:rFonts w:eastAsia="MS Mincho"/>
                <w:sz w:val="22"/>
              </w:rPr>
              <w:t>359</w:t>
            </w:r>
            <w:r w:rsidRPr="00807F0B" w:rsidDel="00856811">
              <w:rPr>
                <w:rFonts w:eastAsia="MS Mincho"/>
                <w:sz w:val="22"/>
              </w:rPr>
              <w:t xml:space="preserve"> </w:t>
            </w:r>
            <w:r w:rsidR="00B22810" w:rsidRPr="00636006">
              <w:rPr>
                <w:rFonts w:eastAsia="MS Mincho"/>
                <w:sz w:val="22"/>
              </w:rPr>
              <w:t>(</w:t>
            </w:r>
            <w:r w:rsidRPr="00636006">
              <w:rPr>
                <w:rFonts w:eastAsia="MS Mincho"/>
                <w:sz w:val="22"/>
              </w:rPr>
              <w:t>21.9</w:t>
            </w:r>
            <w:r w:rsidRPr="00636006" w:rsidDel="00856811">
              <w:rPr>
                <w:rFonts w:eastAsia="MS Mincho"/>
                <w:sz w:val="22"/>
              </w:rPr>
              <w:t xml:space="preserve"> </w:t>
            </w:r>
            <w:r w:rsidR="00B22810" w:rsidRPr="00636006">
              <w:rPr>
                <w:rFonts w:eastAsia="MS Mincho"/>
                <w:sz w:val="22"/>
              </w:rPr>
              <w:t>%)</w:t>
            </w:r>
          </w:p>
        </w:tc>
        <w:tc>
          <w:tcPr>
            <w:tcW w:w="1341" w:type="dxa"/>
            <w:shd w:val="clear" w:color="auto" w:fill="FFFFFF"/>
            <w:vAlign w:val="bottom"/>
          </w:tcPr>
          <w:p w14:paraId="569AFE96" w14:textId="59BE8061" w:rsidR="00944DF1" w:rsidRPr="00636006" w:rsidRDefault="00856811" w:rsidP="00856811">
            <w:pPr>
              <w:spacing w:afterLines="20" w:after="48"/>
              <w:jc w:val="center"/>
              <w:rPr>
                <w:rFonts w:eastAsia="MS Mincho"/>
                <w:sz w:val="22"/>
              </w:rPr>
            </w:pPr>
            <w:r w:rsidRPr="00636006">
              <w:rPr>
                <w:rFonts w:eastAsia="MS Mincho"/>
                <w:sz w:val="22"/>
              </w:rPr>
              <w:t xml:space="preserve">17 </w:t>
            </w:r>
            <w:r w:rsidR="00B22810" w:rsidRPr="00636006">
              <w:rPr>
                <w:rFonts w:eastAsia="MS Mincho"/>
                <w:sz w:val="22"/>
              </w:rPr>
              <w:t>(1.</w:t>
            </w:r>
            <w:r w:rsidRPr="00636006">
              <w:rPr>
                <w:rFonts w:eastAsia="MS Mincho"/>
                <w:sz w:val="22"/>
              </w:rPr>
              <w:t>0</w:t>
            </w:r>
            <w:r w:rsidR="00B22810" w:rsidRPr="00636006">
              <w:rPr>
                <w:rFonts w:eastAsia="MS Mincho"/>
                <w:sz w:val="22"/>
              </w:rPr>
              <w:t>%)</w:t>
            </w:r>
          </w:p>
        </w:tc>
        <w:tc>
          <w:tcPr>
            <w:tcW w:w="1494" w:type="dxa"/>
            <w:shd w:val="clear" w:color="auto" w:fill="FFFFFF"/>
            <w:vAlign w:val="bottom"/>
          </w:tcPr>
          <w:p w14:paraId="13259790"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24342556"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26A92CBC" w14:textId="77777777" w:rsidTr="000823AB">
        <w:tc>
          <w:tcPr>
            <w:tcW w:w="2917" w:type="dxa"/>
            <w:tcBorders>
              <w:left w:val="single" w:sz="4" w:space="0" w:color="auto"/>
            </w:tcBorders>
            <w:shd w:val="clear" w:color="auto" w:fill="FFFFFF"/>
            <w:vAlign w:val="bottom"/>
          </w:tcPr>
          <w:p w14:paraId="4C830FC2" w14:textId="77777777" w:rsidR="00944DF1" w:rsidRPr="00636006" w:rsidRDefault="00944DF1" w:rsidP="009D6881">
            <w:pPr>
              <w:spacing w:afterLines="20" w:after="48"/>
              <w:jc w:val="left"/>
              <w:rPr>
                <w:rFonts w:eastAsia="MS Mincho"/>
                <w:sz w:val="22"/>
              </w:rPr>
            </w:pPr>
            <w:r w:rsidRPr="00636006">
              <w:rPr>
                <w:rFonts w:eastAsia="MS Mincho"/>
                <w:sz w:val="22"/>
              </w:rPr>
              <w:t>Vomiting</w:t>
            </w:r>
          </w:p>
        </w:tc>
        <w:tc>
          <w:tcPr>
            <w:tcW w:w="1444" w:type="dxa"/>
            <w:gridSpan w:val="2"/>
            <w:shd w:val="clear" w:color="auto" w:fill="FFFFFF"/>
            <w:vAlign w:val="bottom"/>
          </w:tcPr>
          <w:p w14:paraId="5B006083" w14:textId="20CFBC0B" w:rsidR="00944DF1" w:rsidRPr="00636006" w:rsidRDefault="00856811" w:rsidP="00856811">
            <w:pPr>
              <w:spacing w:afterLines="20" w:after="48"/>
              <w:jc w:val="center"/>
              <w:rPr>
                <w:rFonts w:eastAsia="MS Mincho"/>
                <w:sz w:val="22"/>
              </w:rPr>
            </w:pPr>
            <w:r w:rsidRPr="00807F0B">
              <w:rPr>
                <w:rFonts w:eastAsia="MS Mincho"/>
                <w:sz w:val="22"/>
              </w:rPr>
              <w:t>231</w:t>
            </w:r>
            <w:r w:rsidRPr="00807F0B" w:rsidDel="00856811">
              <w:rPr>
                <w:rFonts w:eastAsia="MS Mincho"/>
                <w:sz w:val="22"/>
              </w:rPr>
              <w:t xml:space="preserve"> </w:t>
            </w:r>
            <w:r w:rsidR="00B22810" w:rsidRPr="00636006">
              <w:rPr>
                <w:rFonts w:eastAsia="MS Mincho"/>
                <w:sz w:val="22"/>
              </w:rPr>
              <w:t>(</w:t>
            </w:r>
            <w:r w:rsidRPr="00636006">
              <w:rPr>
                <w:rFonts w:eastAsia="MS Mincho"/>
                <w:sz w:val="22"/>
              </w:rPr>
              <w:t>14.1</w:t>
            </w:r>
            <w:r w:rsidR="00B22810" w:rsidRPr="00636006">
              <w:rPr>
                <w:rFonts w:eastAsia="MS Mincho"/>
                <w:sz w:val="22"/>
              </w:rPr>
              <w:t>%)</w:t>
            </w:r>
          </w:p>
        </w:tc>
        <w:tc>
          <w:tcPr>
            <w:tcW w:w="1341" w:type="dxa"/>
            <w:shd w:val="clear" w:color="auto" w:fill="FFFFFF"/>
            <w:vAlign w:val="bottom"/>
          </w:tcPr>
          <w:p w14:paraId="38837607" w14:textId="5C6DA984" w:rsidR="00944DF1" w:rsidRPr="00636006" w:rsidRDefault="00856811" w:rsidP="00AB540A">
            <w:pPr>
              <w:spacing w:afterLines="20" w:after="48"/>
              <w:jc w:val="center"/>
              <w:rPr>
                <w:rFonts w:eastAsia="MS Mincho"/>
                <w:sz w:val="22"/>
              </w:rPr>
            </w:pPr>
            <w:r w:rsidRPr="00636006">
              <w:rPr>
                <w:rFonts w:eastAsia="MS Mincho"/>
                <w:sz w:val="22"/>
              </w:rPr>
              <w:t xml:space="preserve">14 </w:t>
            </w:r>
            <w:r w:rsidR="00B22810" w:rsidRPr="00636006">
              <w:rPr>
                <w:rFonts w:eastAsia="MS Mincho"/>
                <w:sz w:val="22"/>
              </w:rPr>
              <w:t>(0.9%)</w:t>
            </w:r>
          </w:p>
        </w:tc>
        <w:tc>
          <w:tcPr>
            <w:tcW w:w="1494" w:type="dxa"/>
            <w:shd w:val="clear" w:color="auto" w:fill="FFFFFF"/>
            <w:vAlign w:val="bottom"/>
          </w:tcPr>
          <w:p w14:paraId="2653CEB9"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782E636C"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44F81924" w14:textId="77777777" w:rsidTr="000823AB">
        <w:tc>
          <w:tcPr>
            <w:tcW w:w="2917" w:type="dxa"/>
            <w:tcBorders>
              <w:left w:val="single" w:sz="4" w:space="0" w:color="auto"/>
            </w:tcBorders>
            <w:shd w:val="clear" w:color="auto" w:fill="FFFFFF"/>
            <w:vAlign w:val="bottom"/>
          </w:tcPr>
          <w:p w14:paraId="4325DD92" w14:textId="77777777" w:rsidR="00944DF1" w:rsidRPr="00636006" w:rsidRDefault="00944DF1" w:rsidP="009D6881">
            <w:pPr>
              <w:spacing w:afterLines="20" w:after="48"/>
              <w:jc w:val="left"/>
              <w:rPr>
                <w:rFonts w:eastAsia="MS Mincho"/>
                <w:sz w:val="22"/>
              </w:rPr>
            </w:pPr>
            <w:r w:rsidRPr="00636006">
              <w:rPr>
                <w:rFonts w:eastAsia="MS Mincho"/>
                <w:sz w:val="22"/>
              </w:rPr>
              <w:t>Abdominal pain</w:t>
            </w:r>
          </w:p>
        </w:tc>
        <w:tc>
          <w:tcPr>
            <w:tcW w:w="1444" w:type="dxa"/>
            <w:gridSpan w:val="2"/>
            <w:shd w:val="clear" w:color="auto" w:fill="FFFFFF"/>
            <w:vAlign w:val="bottom"/>
          </w:tcPr>
          <w:p w14:paraId="1EB20980" w14:textId="703723F9" w:rsidR="00944DF1" w:rsidRPr="00636006" w:rsidRDefault="00856811" w:rsidP="00856811">
            <w:pPr>
              <w:spacing w:afterLines="20" w:after="48"/>
              <w:jc w:val="center"/>
              <w:rPr>
                <w:rFonts w:eastAsia="MS Mincho"/>
                <w:sz w:val="22"/>
              </w:rPr>
            </w:pPr>
            <w:r w:rsidRPr="00807F0B">
              <w:rPr>
                <w:rFonts w:eastAsia="MS Mincho"/>
                <w:sz w:val="22"/>
              </w:rPr>
              <w:t>86</w:t>
            </w:r>
            <w:r w:rsidRPr="00807F0B" w:rsidDel="00856811">
              <w:rPr>
                <w:rFonts w:eastAsia="MS Mincho"/>
                <w:sz w:val="22"/>
              </w:rPr>
              <w:t xml:space="preserve"> </w:t>
            </w:r>
            <w:r w:rsidR="00B22810" w:rsidRPr="00636006">
              <w:rPr>
                <w:rFonts w:eastAsia="MS Mincho"/>
                <w:sz w:val="22"/>
              </w:rPr>
              <w:t>(</w:t>
            </w:r>
            <w:r w:rsidRPr="00636006">
              <w:rPr>
                <w:rFonts w:eastAsia="MS Mincho"/>
                <w:sz w:val="22"/>
              </w:rPr>
              <w:t>5.3</w:t>
            </w:r>
            <w:r w:rsidR="00B22810" w:rsidRPr="00636006">
              <w:rPr>
                <w:rFonts w:eastAsia="MS Mincho"/>
                <w:sz w:val="22"/>
              </w:rPr>
              <w:t>%)</w:t>
            </w:r>
          </w:p>
        </w:tc>
        <w:tc>
          <w:tcPr>
            <w:tcW w:w="1341" w:type="dxa"/>
            <w:shd w:val="clear" w:color="auto" w:fill="FFFFFF"/>
            <w:vAlign w:val="bottom"/>
          </w:tcPr>
          <w:p w14:paraId="2F2336B6" w14:textId="5CFC635A" w:rsidR="00944DF1" w:rsidRPr="00636006" w:rsidRDefault="00856811" w:rsidP="00AB540A">
            <w:pPr>
              <w:spacing w:afterLines="20" w:after="48"/>
              <w:jc w:val="center"/>
              <w:rPr>
                <w:rFonts w:eastAsia="MS Mincho"/>
                <w:sz w:val="22"/>
              </w:rPr>
            </w:pPr>
            <w:r w:rsidRPr="00636006">
              <w:rPr>
                <w:rFonts w:eastAsia="MS Mincho"/>
                <w:sz w:val="22"/>
              </w:rPr>
              <w:t xml:space="preserve">6 </w:t>
            </w:r>
            <w:r w:rsidR="00B22810" w:rsidRPr="00636006">
              <w:rPr>
                <w:rFonts w:eastAsia="MS Mincho"/>
                <w:sz w:val="22"/>
              </w:rPr>
              <w:t>(0.</w:t>
            </w:r>
            <w:r w:rsidRPr="00636006">
              <w:rPr>
                <w:rFonts w:eastAsia="MS Mincho"/>
                <w:sz w:val="22"/>
              </w:rPr>
              <w:t>4</w:t>
            </w:r>
            <w:r w:rsidR="00B22810" w:rsidRPr="00636006">
              <w:rPr>
                <w:rFonts w:eastAsia="MS Mincho"/>
                <w:sz w:val="22"/>
              </w:rPr>
              <w:t>%)</w:t>
            </w:r>
          </w:p>
        </w:tc>
        <w:tc>
          <w:tcPr>
            <w:tcW w:w="1494" w:type="dxa"/>
            <w:shd w:val="clear" w:color="auto" w:fill="FFFFFF"/>
            <w:vAlign w:val="bottom"/>
          </w:tcPr>
          <w:p w14:paraId="74F6BB5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387D9634"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0C5998F1" w14:textId="77777777" w:rsidTr="008524BA">
        <w:tc>
          <w:tcPr>
            <w:tcW w:w="2917" w:type="dxa"/>
            <w:tcBorders>
              <w:left w:val="single" w:sz="4" w:space="0" w:color="auto"/>
            </w:tcBorders>
            <w:shd w:val="clear" w:color="auto" w:fill="FFFFFF"/>
            <w:vAlign w:val="bottom"/>
          </w:tcPr>
          <w:p w14:paraId="7CE94228" w14:textId="1711605E" w:rsidR="00944DF1" w:rsidRPr="00636006" w:rsidRDefault="00944DF1" w:rsidP="00E105E4">
            <w:pPr>
              <w:spacing w:afterLines="20" w:after="48"/>
              <w:jc w:val="left"/>
              <w:rPr>
                <w:rFonts w:eastAsia="MS Mincho"/>
                <w:sz w:val="22"/>
              </w:rPr>
            </w:pPr>
            <w:r w:rsidRPr="00636006">
              <w:rPr>
                <w:rFonts w:eastAsia="MS Mincho"/>
                <w:sz w:val="22"/>
              </w:rPr>
              <w:t>Pancreatitis</w:t>
            </w:r>
            <w:r w:rsidRPr="00636006">
              <w:rPr>
                <w:rFonts w:eastAsia="MS Mincho"/>
                <w:sz w:val="22"/>
                <w:vertAlign w:val="superscript"/>
              </w:rPr>
              <w:t xml:space="preserve"> </w:t>
            </w:r>
            <w:r w:rsidR="00B22810" w:rsidRPr="00636006">
              <w:rPr>
                <w:rFonts w:eastAsia="MS Mincho"/>
                <w:sz w:val="22"/>
                <w:vertAlign w:val="superscript"/>
              </w:rPr>
              <w:t>f</w:t>
            </w:r>
          </w:p>
        </w:tc>
        <w:tc>
          <w:tcPr>
            <w:tcW w:w="1359" w:type="dxa"/>
            <w:shd w:val="clear" w:color="auto" w:fill="FFFFFF"/>
            <w:vAlign w:val="bottom"/>
          </w:tcPr>
          <w:p w14:paraId="1B9BEEB2" w14:textId="7EAF34F0" w:rsidR="00944DF1" w:rsidRPr="00807F0B" w:rsidRDefault="00B22810" w:rsidP="00AB540A">
            <w:pPr>
              <w:spacing w:afterLines="20" w:after="48"/>
              <w:jc w:val="center"/>
              <w:rPr>
                <w:rFonts w:eastAsia="MS Mincho"/>
                <w:sz w:val="22"/>
              </w:rPr>
            </w:pPr>
            <w:r w:rsidRPr="00807F0B">
              <w:rPr>
                <w:rFonts w:eastAsia="MS Mincho"/>
                <w:sz w:val="22"/>
              </w:rPr>
              <w:t>4 (0.2%)</w:t>
            </w:r>
          </w:p>
        </w:tc>
        <w:tc>
          <w:tcPr>
            <w:tcW w:w="1426" w:type="dxa"/>
            <w:gridSpan w:val="2"/>
            <w:shd w:val="clear" w:color="auto" w:fill="FFFFFF"/>
            <w:vAlign w:val="bottom"/>
          </w:tcPr>
          <w:p w14:paraId="4820E760" w14:textId="597C68BB" w:rsidR="00944DF1" w:rsidRPr="00807F0B" w:rsidRDefault="00B22810" w:rsidP="009D6881">
            <w:pPr>
              <w:spacing w:afterLines="20" w:after="48"/>
              <w:jc w:val="center"/>
              <w:rPr>
                <w:rFonts w:eastAsia="MS Mincho"/>
                <w:sz w:val="22"/>
              </w:rPr>
            </w:pPr>
            <w:r w:rsidRPr="00807F0B">
              <w:rPr>
                <w:rFonts w:eastAsia="MS Mincho"/>
                <w:sz w:val="22"/>
              </w:rPr>
              <w:t xml:space="preserve">3 </w:t>
            </w:r>
            <w:r w:rsidR="00944DF1" w:rsidRPr="00807F0B">
              <w:rPr>
                <w:rFonts w:eastAsia="MS Mincho"/>
                <w:sz w:val="22"/>
              </w:rPr>
              <w:t>(0.</w:t>
            </w:r>
            <w:r w:rsidR="00856811" w:rsidRPr="00807F0B">
              <w:rPr>
                <w:rFonts w:eastAsia="MS Mincho"/>
                <w:sz w:val="22"/>
              </w:rPr>
              <w:t>2</w:t>
            </w:r>
            <w:r w:rsidR="00944DF1" w:rsidRPr="00807F0B">
              <w:rPr>
                <w:rFonts w:eastAsia="MS Mincho"/>
                <w:sz w:val="22"/>
              </w:rPr>
              <w:t>%)</w:t>
            </w:r>
          </w:p>
        </w:tc>
        <w:tc>
          <w:tcPr>
            <w:tcW w:w="1494" w:type="dxa"/>
            <w:shd w:val="clear" w:color="auto" w:fill="FFFFFF"/>
            <w:vAlign w:val="bottom"/>
          </w:tcPr>
          <w:p w14:paraId="31591702"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41D465FE" w14:textId="77777777" w:rsidR="00944DF1" w:rsidRPr="00636006" w:rsidRDefault="00944DF1" w:rsidP="009D6881">
            <w:pPr>
              <w:spacing w:afterLines="20" w:after="48"/>
              <w:jc w:val="center"/>
              <w:rPr>
                <w:rFonts w:eastAsia="MS Mincho"/>
                <w:sz w:val="22"/>
              </w:rPr>
            </w:pPr>
            <w:r w:rsidRPr="00636006">
              <w:rPr>
                <w:rFonts w:eastAsia="MS Mincho"/>
                <w:sz w:val="22"/>
              </w:rPr>
              <w:t>Uncommon</w:t>
            </w:r>
          </w:p>
        </w:tc>
      </w:tr>
      <w:tr w:rsidR="00944DF1" w:rsidRPr="009D6881" w14:paraId="5D98637D" w14:textId="77777777" w:rsidTr="000823AB">
        <w:tc>
          <w:tcPr>
            <w:tcW w:w="2917" w:type="dxa"/>
            <w:tcBorders>
              <w:left w:val="single" w:sz="4" w:space="0" w:color="auto"/>
            </w:tcBorders>
            <w:shd w:val="clear" w:color="auto" w:fill="FFFFFF"/>
            <w:vAlign w:val="bottom"/>
          </w:tcPr>
          <w:p w14:paraId="644D1CF5" w14:textId="77777777" w:rsidR="00944DF1" w:rsidRPr="00636006" w:rsidRDefault="00944DF1" w:rsidP="009D6881">
            <w:pPr>
              <w:spacing w:afterLines="20" w:after="48"/>
              <w:jc w:val="left"/>
              <w:rPr>
                <w:rFonts w:eastAsia="MS Mincho"/>
                <w:sz w:val="22"/>
              </w:rPr>
            </w:pPr>
            <w:r w:rsidRPr="00636006">
              <w:rPr>
                <w:rFonts w:eastAsia="MS Mincho"/>
                <w:sz w:val="22"/>
              </w:rPr>
              <w:t>Amylase increased</w:t>
            </w:r>
          </w:p>
        </w:tc>
        <w:tc>
          <w:tcPr>
            <w:tcW w:w="1444" w:type="dxa"/>
            <w:gridSpan w:val="2"/>
            <w:shd w:val="clear" w:color="auto" w:fill="FFFFFF"/>
            <w:vAlign w:val="bottom"/>
          </w:tcPr>
          <w:p w14:paraId="7D5CC0D0" w14:textId="14CAC380" w:rsidR="00944DF1" w:rsidRPr="00807F0B" w:rsidRDefault="00856811" w:rsidP="009D6881">
            <w:pPr>
              <w:spacing w:afterLines="20" w:after="48"/>
              <w:jc w:val="center"/>
              <w:rPr>
                <w:rFonts w:eastAsia="MS Mincho"/>
                <w:sz w:val="22"/>
              </w:rPr>
            </w:pPr>
            <w:r w:rsidRPr="00807F0B">
              <w:rPr>
                <w:rFonts w:eastAsia="MS Mincho"/>
                <w:sz w:val="22"/>
              </w:rPr>
              <w:t xml:space="preserve">1 </w:t>
            </w:r>
            <w:r w:rsidR="00944DF1" w:rsidRPr="00807F0B">
              <w:rPr>
                <w:rFonts w:eastAsia="MS Mincho"/>
                <w:sz w:val="22"/>
              </w:rPr>
              <w:t>(</w:t>
            </w:r>
            <w:r w:rsidR="00B22810" w:rsidRPr="00807F0B">
              <w:rPr>
                <w:rFonts w:eastAsia="MS Mincho"/>
                <w:sz w:val="22"/>
              </w:rPr>
              <w:t xml:space="preserve">&lt; </w:t>
            </w:r>
            <w:r w:rsidR="00944DF1" w:rsidRPr="00807F0B">
              <w:rPr>
                <w:rFonts w:eastAsia="MS Mincho"/>
                <w:sz w:val="22"/>
              </w:rPr>
              <w:t>0.1%)</w:t>
            </w:r>
          </w:p>
        </w:tc>
        <w:tc>
          <w:tcPr>
            <w:tcW w:w="1341" w:type="dxa"/>
            <w:shd w:val="clear" w:color="auto" w:fill="FFFFFF"/>
            <w:vAlign w:val="bottom"/>
          </w:tcPr>
          <w:p w14:paraId="6A5DD549" w14:textId="09A494C1" w:rsidR="00944DF1" w:rsidRPr="00636006" w:rsidRDefault="00944DF1" w:rsidP="009D6881">
            <w:pPr>
              <w:spacing w:afterLines="20" w:after="48"/>
              <w:jc w:val="center"/>
              <w:rPr>
                <w:rFonts w:eastAsia="MS Mincho"/>
                <w:sz w:val="22"/>
              </w:rPr>
            </w:pPr>
            <w:r w:rsidRPr="00636006">
              <w:rPr>
                <w:rFonts w:eastAsia="MS Mincho"/>
                <w:sz w:val="22"/>
              </w:rPr>
              <w:t>1 (&lt;</w:t>
            </w:r>
            <w:r w:rsidR="00B22810" w:rsidRPr="00636006">
              <w:rPr>
                <w:rFonts w:eastAsia="MS Mincho"/>
                <w:sz w:val="22"/>
              </w:rPr>
              <w:t xml:space="preserve"> </w:t>
            </w:r>
            <w:r w:rsidRPr="00636006">
              <w:rPr>
                <w:rFonts w:eastAsia="MS Mincho"/>
                <w:sz w:val="22"/>
              </w:rPr>
              <w:t>0.1%)</w:t>
            </w:r>
          </w:p>
        </w:tc>
        <w:tc>
          <w:tcPr>
            <w:tcW w:w="1494" w:type="dxa"/>
            <w:shd w:val="clear" w:color="auto" w:fill="FFFFFF"/>
            <w:vAlign w:val="bottom"/>
          </w:tcPr>
          <w:p w14:paraId="2CCC36C0"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315D2670" w14:textId="5BF0EF2E" w:rsidR="00944DF1" w:rsidRPr="00636006" w:rsidRDefault="00B22810" w:rsidP="00AB540A">
            <w:pPr>
              <w:spacing w:afterLines="20" w:after="48"/>
              <w:jc w:val="center"/>
              <w:rPr>
                <w:rFonts w:eastAsia="MS Mincho"/>
                <w:sz w:val="22"/>
              </w:rPr>
            </w:pPr>
            <w:r w:rsidRPr="00636006">
              <w:rPr>
                <w:rFonts w:eastAsia="MS Mincho"/>
                <w:sz w:val="22"/>
              </w:rPr>
              <w:t>Rare</w:t>
            </w:r>
          </w:p>
        </w:tc>
      </w:tr>
      <w:tr w:rsidR="00944DF1" w:rsidRPr="009D6881" w14:paraId="0EE556BE" w14:textId="77777777" w:rsidTr="000823AB">
        <w:tc>
          <w:tcPr>
            <w:tcW w:w="2917" w:type="dxa"/>
            <w:tcBorders>
              <w:left w:val="single" w:sz="4" w:space="0" w:color="auto"/>
              <w:bottom w:val="single" w:sz="4" w:space="0" w:color="auto"/>
            </w:tcBorders>
            <w:shd w:val="clear" w:color="auto" w:fill="FFFFFF"/>
            <w:vAlign w:val="bottom"/>
          </w:tcPr>
          <w:p w14:paraId="3A2D9338" w14:textId="77777777" w:rsidR="00944DF1" w:rsidRPr="00636006" w:rsidRDefault="00944DF1" w:rsidP="009D6881">
            <w:pPr>
              <w:spacing w:afterLines="20" w:after="48"/>
              <w:jc w:val="left"/>
              <w:rPr>
                <w:rFonts w:eastAsia="MS Mincho"/>
                <w:sz w:val="22"/>
              </w:rPr>
            </w:pPr>
            <w:r w:rsidRPr="00636006">
              <w:rPr>
                <w:rFonts w:eastAsia="MS Mincho"/>
                <w:sz w:val="22"/>
              </w:rPr>
              <w:t>Lipase increased</w:t>
            </w:r>
          </w:p>
        </w:tc>
        <w:tc>
          <w:tcPr>
            <w:tcW w:w="1444" w:type="dxa"/>
            <w:gridSpan w:val="2"/>
            <w:tcBorders>
              <w:bottom w:val="single" w:sz="4" w:space="0" w:color="auto"/>
            </w:tcBorders>
            <w:shd w:val="clear" w:color="auto" w:fill="FFFFFF"/>
            <w:vAlign w:val="bottom"/>
          </w:tcPr>
          <w:p w14:paraId="017598E6" w14:textId="41BAB8C0" w:rsidR="00944DF1" w:rsidRPr="00807F0B" w:rsidRDefault="00856811" w:rsidP="009D6881">
            <w:pPr>
              <w:spacing w:afterLines="20" w:after="48"/>
              <w:jc w:val="center"/>
              <w:rPr>
                <w:rFonts w:eastAsia="MS Mincho"/>
                <w:sz w:val="22"/>
              </w:rPr>
            </w:pPr>
            <w:r w:rsidRPr="00807F0B">
              <w:rPr>
                <w:rFonts w:eastAsia="MS Mincho"/>
                <w:sz w:val="22"/>
              </w:rPr>
              <w:t xml:space="preserve">3 </w:t>
            </w:r>
            <w:r w:rsidR="00944DF1" w:rsidRPr="00807F0B">
              <w:rPr>
                <w:rFonts w:eastAsia="MS Mincho"/>
                <w:sz w:val="22"/>
              </w:rPr>
              <w:t>(0.2%)</w:t>
            </w:r>
          </w:p>
        </w:tc>
        <w:tc>
          <w:tcPr>
            <w:tcW w:w="1341" w:type="dxa"/>
            <w:tcBorders>
              <w:bottom w:val="single" w:sz="4" w:space="0" w:color="auto"/>
            </w:tcBorders>
            <w:shd w:val="clear" w:color="auto" w:fill="FFFFFF"/>
            <w:vAlign w:val="bottom"/>
          </w:tcPr>
          <w:p w14:paraId="177762F5" w14:textId="334E80E2" w:rsidR="00944DF1" w:rsidRPr="00636006" w:rsidRDefault="00856811" w:rsidP="009D6881">
            <w:pPr>
              <w:spacing w:afterLines="20" w:after="48"/>
              <w:jc w:val="center"/>
              <w:rPr>
                <w:rFonts w:eastAsia="MS Mincho"/>
                <w:sz w:val="22"/>
              </w:rPr>
            </w:pPr>
            <w:r w:rsidRPr="00636006">
              <w:rPr>
                <w:rFonts w:eastAsia="MS Mincho"/>
                <w:sz w:val="22"/>
              </w:rPr>
              <w:t xml:space="preserve">2 </w:t>
            </w:r>
            <w:r w:rsidR="00944DF1" w:rsidRPr="00636006">
              <w:rPr>
                <w:rFonts w:eastAsia="MS Mincho"/>
                <w:sz w:val="22"/>
              </w:rPr>
              <w:t>(0.1%)</w:t>
            </w:r>
          </w:p>
        </w:tc>
        <w:tc>
          <w:tcPr>
            <w:tcW w:w="1494" w:type="dxa"/>
            <w:tcBorders>
              <w:bottom w:val="single" w:sz="4" w:space="0" w:color="auto"/>
            </w:tcBorders>
            <w:shd w:val="clear" w:color="auto" w:fill="FFFFFF"/>
            <w:vAlign w:val="bottom"/>
          </w:tcPr>
          <w:p w14:paraId="5A1C1BB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035FD7C5" w14:textId="77777777" w:rsidR="00944DF1" w:rsidRPr="00636006" w:rsidRDefault="00944DF1" w:rsidP="009D6881">
            <w:pPr>
              <w:spacing w:afterLines="20" w:after="48"/>
              <w:jc w:val="center"/>
              <w:rPr>
                <w:rFonts w:eastAsia="MS Mincho"/>
                <w:sz w:val="22"/>
              </w:rPr>
            </w:pPr>
            <w:r w:rsidRPr="00636006">
              <w:rPr>
                <w:rFonts w:eastAsia="MS Mincho"/>
                <w:sz w:val="22"/>
              </w:rPr>
              <w:t>Uncommon</w:t>
            </w:r>
          </w:p>
        </w:tc>
      </w:tr>
      <w:tr w:rsidR="00944DF1" w:rsidRPr="009D6881" w14:paraId="40A0A729" w14:textId="77777777" w:rsidTr="000823AB">
        <w:tc>
          <w:tcPr>
            <w:tcW w:w="2917" w:type="dxa"/>
            <w:tcBorders>
              <w:top w:val="single" w:sz="4" w:space="0" w:color="auto"/>
              <w:left w:val="single" w:sz="4" w:space="0" w:color="auto"/>
            </w:tcBorders>
            <w:shd w:val="clear" w:color="auto" w:fill="FFFFFF"/>
            <w:vAlign w:val="bottom"/>
          </w:tcPr>
          <w:p w14:paraId="219C074C" w14:textId="77777777" w:rsidR="00944DF1" w:rsidRPr="00807F0B" w:rsidRDefault="00944DF1" w:rsidP="009D6881">
            <w:pPr>
              <w:spacing w:afterLines="20" w:after="48"/>
              <w:jc w:val="left"/>
              <w:rPr>
                <w:rFonts w:eastAsia="MS Mincho"/>
                <w:sz w:val="22"/>
              </w:rPr>
            </w:pPr>
            <w:r w:rsidRPr="00636006">
              <w:rPr>
                <w:rFonts w:eastAsia="MS Mincho"/>
                <w:b/>
                <w:sz w:val="22"/>
              </w:rPr>
              <w:lastRenderedPageBreak/>
              <w:t>General Disorders and Administration</w:t>
            </w:r>
            <w:r w:rsidRPr="00807F0B">
              <w:rPr>
                <w:rFonts w:eastAsia="MS Mincho"/>
                <w:sz w:val="22"/>
              </w:rPr>
              <w:t xml:space="preserve"> </w:t>
            </w:r>
          </w:p>
          <w:p w14:paraId="0BDCA1F7" w14:textId="79D0B38A" w:rsidR="00944DF1" w:rsidRPr="00807F0B" w:rsidRDefault="00944DF1" w:rsidP="009D6881">
            <w:pPr>
              <w:spacing w:afterLines="20" w:after="48"/>
              <w:jc w:val="left"/>
              <w:rPr>
                <w:rFonts w:eastAsia="MS Mincho"/>
                <w:sz w:val="22"/>
              </w:rPr>
            </w:pPr>
            <w:r w:rsidRPr="00807F0B">
              <w:rPr>
                <w:rFonts w:eastAsia="MS Mincho"/>
                <w:sz w:val="22"/>
              </w:rPr>
              <w:t>Chills</w:t>
            </w:r>
          </w:p>
        </w:tc>
        <w:tc>
          <w:tcPr>
            <w:tcW w:w="1444" w:type="dxa"/>
            <w:gridSpan w:val="2"/>
            <w:tcBorders>
              <w:top w:val="single" w:sz="4" w:space="0" w:color="auto"/>
            </w:tcBorders>
            <w:shd w:val="clear" w:color="auto" w:fill="FFFFFF"/>
            <w:vAlign w:val="bottom"/>
          </w:tcPr>
          <w:p w14:paraId="2A3E3FD2" w14:textId="237F37E0" w:rsidR="00944DF1" w:rsidRPr="00636006" w:rsidRDefault="00460B7A" w:rsidP="00460B7A">
            <w:pPr>
              <w:spacing w:afterLines="20" w:after="48"/>
              <w:jc w:val="center"/>
              <w:rPr>
                <w:rFonts w:eastAsia="MS Mincho"/>
                <w:sz w:val="22"/>
              </w:rPr>
            </w:pPr>
            <w:r w:rsidRPr="00636006">
              <w:rPr>
                <w:rFonts w:eastAsia="MS Mincho"/>
                <w:sz w:val="22"/>
              </w:rPr>
              <w:t>77</w:t>
            </w:r>
            <w:r w:rsidRPr="00636006" w:rsidDel="00460B7A">
              <w:rPr>
                <w:rFonts w:eastAsia="MS Mincho"/>
                <w:sz w:val="22"/>
              </w:rPr>
              <w:t xml:space="preserve"> </w:t>
            </w:r>
            <w:r w:rsidR="00166394" w:rsidRPr="00636006">
              <w:rPr>
                <w:rFonts w:eastAsia="MS Mincho"/>
                <w:sz w:val="22"/>
              </w:rPr>
              <w:t>(</w:t>
            </w:r>
            <w:r w:rsidRPr="00636006">
              <w:rPr>
                <w:rFonts w:eastAsia="MS Mincho"/>
                <w:sz w:val="22"/>
              </w:rPr>
              <w:t>4.7</w:t>
            </w:r>
            <w:r w:rsidR="00166394" w:rsidRPr="00636006">
              <w:rPr>
                <w:rFonts w:eastAsia="MS Mincho"/>
                <w:sz w:val="22"/>
              </w:rPr>
              <w:t>%)</w:t>
            </w:r>
          </w:p>
        </w:tc>
        <w:tc>
          <w:tcPr>
            <w:tcW w:w="1341" w:type="dxa"/>
            <w:tcBorders>
              <w:top w:val="single" w:sz="4" w:space="0" w:color="auto"/>
            </w:tcBorders>
            <w:shd w:val="clear" w:color="auto" w:fill="FFFFFF"/>
            <w:vAlign w:val="bottom"/>
          </w:tcPr>
          <w:p w14:paraId="312332E2" w14:textId="628F62B1" w:rsidR="00944DF1" w:rsidRPr="00636006" w:rsidRDefault="00460B7A" w:rsidP="009D6881">
            <w:pPr>
              <w:spacing w:afterLines="20" w:after="48"/>
              <w:jc w:val="center"/>
              <w:rPr>
                <w:rFonts w:eastAsia="MS Mincho"/>
                <w:sz w:val="22"/>
              </w:rPr>
            </w:pPr>
            <w:r w:rsidRPr="00636006">
              <w:rPr>
                <w:rFonts w:eastAsia="MS Mincho"/>
                <w:sz w:val="22"/>
              </w:rPr>
              <w:t xml:space="preserve">1 </w:t>
            </w:r>
            <w:r w:rsidR="00944DF1" w:rsidRPr="00636006">
              <w:rPr>
                <w:rFonts w:eastAsia="MS Mincho"/>
                <w:sz w:val="22"/>
              </w:rPr>
              <w:t>(</w:t>
            </w:r>
            <w:r w:rsidR="00166394" w:rsidRPr="00636006">
              <w:rPr>
                <w:rFonts w:eastAsia="MS Mincho"/>
                <w:sz w:val="22"/>
              </w:rPr>
              <w:t xml:space="preserve">&lt; </w:t>
            </w:r>
            <w:r w:rsidR="00944DF1" w:rsidRPr="00636006">
              <w:rPr>
                <w:rFonts w:eastAsia="MS Mincho"/>
                <w:sz w:val="22"/>
              </w:rPr>
              <w:t>0.1%)</w:t>
            </w:r>
          </w:p>
        </w:tc>
        <w:tc>
          <w:tcPr>
            <w:tcW w:w="1494" w:type="dxa"/>
            <w:tcBorders>
              <w:top w:val="single" w:sz="4" w:space="0" w:color="auto"/>
            </w:tcBorders>
            <w:shd w:val="clear" w:color="auto" w:fill="FFFFFF"/>
            <w:vAlign w:val="bottom"/>
          </w:tcPr>
          <w:p w14:paraId="2E63C88B"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45113810"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5A43E787" w14:textId="77777777" w:rsidTr="000823AB">
        <w:tc>
          <w:tcPr>
            <w:tcW w:w="2917" w:type="dxa"/>
            <w:tcBorders>
              <w:left w:val="single" w:sz="4" w:space="0" w:color="auto"/>
            </w:tcBorders>
            <w:shd w:val="clear" w:color="auto" w:fill="FFFFFF"/>
            <w:vAlign w:val="bottom"/>
          </w:tcPr>
          <w:p w14:paraId="6E39B891" w14:textId="77777777" w:rsidR="00944DF1" w:rsidRPr="00636006" w:rsidRDefault="00944DF1" w:rsidP="009D6881">
            <w:pPr>
              <w:spacing w:afterLines="20" w:after="48"/>
              <w:jc w:val="left"/>
              <w:rPr>
                <w:rFonts w:eastAsia="MS Mincho"/>
                <w:sz w:val="22"/>
              </w:rPr>
            </w:pPr>
            <w:r w:rsidRPr="00636006">
              <w:rPr>
                <w:rFonts w:eastAsia="MS Mincho"/>
                <w:sz w:val="22"/>
              </w:rPr>
              <w:t>Fatigue</w:t>
            </w:r>
          </w:p>
        </w:tc>
        <w:tc>
          <w:tcPr>
            <w:tcW w:w="1444" w:type="dxa"/>
            <w:gridSpan w:val="2"/>
            <w:shd w:val="clear" w:color="auto" w:fill="FFFFFF"/>
            <w:vAlign w:val="bottom"/>
          </w:tcPr>
          <w:p w14:paraId="376A895D" w14:textId="2DFDF833" w:rsidR="00944DF1" w:rsidRPr="00636006" w:rsidRDefault="00460B7A" w:rsidP="00016A38">
            <w:pPr>
              <w:spacing w:afterLines="20" w:after="48"/>
              <w:jc w:val="center"/>
              <w:rPr>
                <w:rFonts w:eastAsia="MS Mincho"/>
                <w:sz w:val="22"/>
              </w:rPr>
            </w:pPr>
            <w:r w:rsidRPr="00807F0B">
              <w:rPr>
                <w:rFonts w:eastAsia="MS Mincho"/>
                <w:sz w:val="22"/>
              </w:rPr>
              <w:t>514</w:t>
            </w:r>
            <w:r w:rsidRPr="00807F0B" w:rsidDel="00460B7A">
              <w:rPr>
                <w:rFonts w:eastAsia="MS Mincho"/>
                <w:sz w:val="22"/>
              </w:rPr>
              <w:t xml:space="preserve"> </w:t>
            </w:r>
            <w:r w:rsidR="00166394" w:rsidRPr="00636006">
              <w:rPr>
                <w:rFonts w:eastAsia="MS Mincho"/>
                <w:sz w:val="22"/>
              </w:rPr>
              <w:t>(</w:t>
            </w:r>
            <w:r w:rsidRPr="00636006">
              <w:rPr>
                <w:rFonts w:eastAsia="MS Mincho"/>
                <w:sz w:val="22"/>
              </w:rPr>
              <w:t>31.4</w:t>
            </w:r>
            <w:r w:rsidRPr="00636006" w:rsidDel="00460B7A">
              <w:rPr>
                <w:rFonts w:eastAsia="MS Mincho"/>
                <w:sz w:val="22"/>
              </w:rPr>
              <w:t xml:space="preserve"> </w:t>
            </w:r>
            <w:r w:rsidR="00166394" w:rsidRPr="00636006">
              <w:rPr>
                <w:rFonts w:eastAsia="MS Mincho"/>
                <w:sz w:val="22"/>
              </w:rPr>
              <w:t>%)</w:t>
            </w:r>
          </w:p>
        </w:tc>
        <w:tc>
          <w:tcPr>
            <w:tcW w:w="1341" w:type="dxa"/>
            <w:shd w:val="clear" w:color="auto" w:fill="FFFFFF"/>
            <w:vAlign w:val="bottom"/>
          </w:tcPr>
          <w:p w14:paraId="0D2483D7" w14:textId="1C5F5843" w:rsidR="00944DF1" w:rsidRPr="00636006" w:rsidRDefault="00460B7A" w:rsidP="00460B7A">
            <w:pPr>
              <w:spacing w:afterLines="20" w:after="48"/>
              <w:jc w:val="center"/>
              <w:rPr>
                <w:rFonts w:eastAsia="MS Mincho"/>
                <w:sz w:val="22"/>
              </w:rPr>
            </w:pPr>
            <w:r w:rsidRPr="00636006">
              <w:rPr>
                <w:rFonts w:eastAsia="MS Mincho"/>
                <w:sz w:val="22"/>
              </w:rPr>
              <w:t>47</w:t>
            </w:r>
            <w:r w:rsidR="00166394" w:rsidRPr="00636006">
              <w:rPr>
                <w:rFonts w:eastAsia="MS Mincho"/>
                <w:sz w:val="22"/>
              </w:rPr>
              <w:t xml:space="preserve"> (</w:t>
            </w:r>
            <w:r w:rsidRPr="00636006">
              <w:rPr>
                <w:rFonts w:eastAsia="MS Mincho"/>
                <w:sz w:val="22"/>
              </w:rPr>
              <w:t>2.9</w:t>
            </w:r>
            <w:r w:rsidR="00166394" w:rsidRPr="00636006">
              <w:rPr>
                <w:rFonts w:eastAsia="MS Mincho"/>
                <w:sz w:val="22"/>
              </w:rPr>
              <w:t>%)</w:t>
            </w:r>
          </w:p>
        </w:tc>
        <w:tc>
          <w:tcPr>
            <w:tcW w:w="1494" w:type="dxa"/>
            <w:shd w:val="clear" w:color="auto" w:fill="FFFFFF"/>
            <w:vAlign w:val="bottom"/>
          </w:tcPr>
          <w:p w14:paraId="4CE2746B"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2699183F"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5AE3F46A" w14:textId="77777777" w:rsidTr="000823AB">
        <w:tc>
          <w:tcPr>
            <w:tcW w:w="2917" w:type="dxa"/>
            <w:tcBorders>
              <w:left w:val="single" w:sz="4" w:space="0" w:color="auto"/>
            </w:tcBorders>
            <w:shd w:val="clear" w:color="auto" w:fill="FFFFFF"/>
            <w:vAlign w:val="bottom"/>
          </w:tcPr>
          <w:p w14:paraId="7A15FA2F" w14:textId="77777777" w:rsidR="00944DF1" w:rsidRPr="00636006" w:rsidRDefault="00944DF1" w:rsidP="009D6881">
            <w:pPr>
              <w:spacing w:afterLines="20" w:after="48"/>
              <w:jc w:val="left"/>
              <w:rPr>
                <w:rFonts w:eastAsia="MS Mincho"/>
                <w:sz w:val="22"/>
              </w:rPr>
            </w:pPr>
            <w:r w:rsidRPr="00636006">
              <w:rPr>
                <w:rFonts w:eastAsia="MS Mincho"/>
                <w:sz w:val="22"/>
              </w:rPr>
              <w:t>Asthenia</w:t>
            </w:r>
          </w:p>
        </w:tc>
        <w:tc>
          <w:tcPr>
            <w:tcW w:w="1444" w:type="dxa"/>
            <w:gridSpan w:val="2"/>
            <w:shd w:val="clear" w:color="auto" w:fill="FFFFFF"/>
            <w:vAlign w:val="bottom"/>
          </w:tcPr>
          <w:p w14:paraId="382BDC9A" w14:textId="24A4835D" w:rsidR="00944DF1" w:rsidRPr="00636006" w:rsidRDefault="00460B7A" w:rsidP="00460B7A">
            <w:pPr>
              <w:spacing w:afterLines="20" w:after="48"/>
              <w:jc w:val="center"/>
              <w:rPr>
                <w:rFonts w:eastAsia="MS Mincho"/>
                <w:sz w:val="22"/>
              </w:rPr>
            </w:pPr>
            <w:r w:rsidRPr="00807F0B">
              <w:rPr>
                <w:rFonts w:eastAsia="MS Mincho"/>
                <w:sz w:val="22"/>
              </w:rPr>
              <w:t>240</w:t>
            </w:r>
            <w:r w:rsidRPr="00807F0B" w:rsidDel="00460B7A">
              <w:rPr>
                <w:rFonts w:eastAsia="MS Mincho"/>
                <w:sz w:val="22"/>
              </w:rPr>
              <w:t xml:space="preserve"> </w:t>
            </w:r>
            <w:r w:rsidR="00166394" w:rsidRPr="00636006">
              <w:rPr>
                <w:rFonts w:eastAsia="MS Mincho"/>
                <w:sz w:val="22"/>
              </w:rPr>
              <w:t>(</w:t>
            </w:r>
            <w:r w:rsidRPr="00636006">
              <w:rPr>
                <w:rFonts w:eastAsia="MS Mincho"/>
                <w:sz w:val="22"/>
              </w:rPr>
              <w:t>14.7</w:t>
            </w:r>
            <w:r w:rsidR="00166394" w:rsidRPr="00636006">
              <w:rPr>
                <w:rFonts w:eastAsia="MS Mincho"/>
                <w:sz w:val="22"/>
              </w:rPr>
              <w:t>%)</w:t>
            </w:r>
          </w:p>
        </w:tc>
        <w:tc>
          <w:tcPr>
            <w:tcW w:w="1341" w:type="dxa"/>
            <w:shd w:val="clear" w:color="auto" w:fill="FFFFFF"/>
            <w:vAlign w:val="bottom"/>
          </w:tcPr>
          <w:p w14:paraId="05BADFA2" w14:textId="5FFA40F3" w:rsidR="00944DF1" w:rsidRPr="00636006" w:rsidRDefault="00460B7A" w:rsidP="00016A38">
            <w:pPr>
              <w:spacing w:afterLines="20" w:after="48"/>
              <w:jc w:val="center"/>
              <w:rPr>
                <w:rFonts w:eastAsia="MS Mincho"/>
                <w:sz w:val="22"/>
              </w:rPr>
            </w:pPr>
            <w:r w:rsidRPr="00636006">
              <w:rPr>
                <w:rFonts w:eastAsia="MS Mincho"/>
                <w:sz w:val="22"/>
              </w:rPr>
              <w:t xml:space="preserve">22 </w:t>
            </w:r>
            <w:r w:rsidR="00166394" w:rsidRPr="00636006">
              <w:rPr>
                <w:rFonts w:eastAsia="MS Mincho"/>
                <w:sz w:val="22"/>
              </w:rPr>
              <w:t>(1.</w:t>
            </w:r>
            <w:r w:rsidRPr="00636006">
              <w:rPr>
                <w:rFonts w:eastAsia="MS Mincho"/>
                <w:sz w:val="22"/>
              </w:rPr>
              <w:t>3</w:t>
            </w:r>
            <w:r w:rsidR="00166394" w:rsidRPr="00636006">
              <w:rPr>
                <w:rFonts w:eastAsia="MS Mincho"/>
                <w:sz w:val="22"/>
              </w:rPr>
              <w:t>%)</w:t>
            </w:r>
          </w:p>
        </w:tc>
        <w:tc>
          <w:tcPr>
            <w:tcW w:w="1494" w:type="dxa"/>
            <w:shd w:val="clear" w:color="auto" w:fill="FFFFFF"/>
            <w:vAlign w:val="bottom"/>
          </w:tcPr>
          <w:p w14:paraId="6D21FB9A"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4BBE3429"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38ACCB27" w14:textId="77777777" w:rsidTr="000823AB">
        <w:tc>
          <w:tcPr>
            <w:tcW w:w="2917" w:type="dxa"/>
            <w:tcBorders>
              <w:left w:val="single" w:sz="4" w:space="0" w:color="auto"/>
            </w:tcBorders>
            <w:shd w:val="clear" w:color="auto" w:fill="FFFFFF"/>
            <w:vAlign w:val="bottom"/>
          </w:tcPr>
          <w:p w14:paraId="76247972" w14:textId="77777777" w:rsidR="00944DF1" w:rsidRPr="00636006" w:rsidRDefault="00944DF1" w:rsidP="009D6881">
            <w:pPr>
              <w:spacing w:afterLines="20" w:after="48"/>
              <w:jc w:val="left"/>
              <w:rPr>
                <w:rFonts w:eastAsia="MS Mincho"/>
                <w:sz w:val="22"/>
              </w:rPr>
            </w:pPr>
            <w:r w:rsidRPr="00636006">
              <w:rPr>
                <w:rFonts w:eastAsia="MS Mincho"/>
                <w:sz w:val="22"/>
              </w:rPr>
              <w:t>Influenza like illness</w:t>
            </w:r>
          </w:p>
        </w:tc>
        <w:tc>
          <w:tcPr>
            <w:tcW w:w="1444" w:type="dxa"/>
            <w:gridSpan w:val="2"/>
            <w:shd w:val="clear" w:color="auto" w:fill="FFFFFF"/>
            <w:vAlign w:val="bottom"/>
          </w:tcPr>
          <w:p w14:paraId="7053FCAD" w14:textId="29975B64" w:rsidR="00944DF1" w:rsidRPr="00636006" w:rsidRDefault="00460B7A" w:rsidP="00016A38">
            <w:pPr>
              <w:spacing w:afterLines="20" w:after="48"/>
              <w:jc w:val="center"/>
              <w:rPr>
                <w:rFonts w:eastAsia="MS Mincho"/>
                <w:sz w:val="22"/>
              </w:rPr>
            </w:pPr>
            <w:r w:rsidRPr="00807F0B">
              <w:rPr>
                <w:rFonts w:eastAsia="MS Mincho"/>
                <w:sz w:val="22"/>
              </w:rPr>
              <w:t>93</w:t>
            </w:r>
            <w:r w:rsidRPr="00807F0B" w:rsidDel="00460B7A">
              <w:rPr>
                <w:rFonts w:eastAsia="MS Mincho"/>
                <w:sz w:val="22"/>
              </w:rPr>
              <w:t xml:space="preserve"> </w:t>
            </w:r>
            <w:r w:rsidR="00166394" w:rsidRPr="00636006">
              <w:rPr>
                <w:rFonts w:eastAsia="MS Mincho"/>
                <w:sz w:val="22"/>
              </w:rPr>
              <w:t>(5.</w:t>
            </w:r>
            <w:r w:rsidRPr="00636006">
              <w:rPr>
                <w:rFonts w:eastAsia="MS Mincho"/>
                <w:sz w:val="22"/>
              </w:rPr>
              <w:t>7</w:t>
            </w:r>
            <w:r w:rsidR="00166394" w:rsidRPr="00636006">
              <w:rPr>
                <w:rFonts w:eastAsia="MS Mincho"/>
                <w:sz w:val="22"/>
              </w:rPr>
              <w:t>%)</w:t>
            </w:r>
          </w:p>
        </w:tc>
        <w:tc>
          <w:tcPr>
            <w:tcW w:w="1341" w:type="dxa"/>
            <w:shd w:val="clear" w:color="auto" w:fill="FFFFFF"/>
            <w:vAlign w:val="bottom"/>
          </w:tcPr>
          <w:p w14:paraId="61117933" w14:textId="77777777" w:rsidR="00944DF1" w:rsidRPr="00636006" w:rsidRDefault="00944DF1" w:rsidP="009D6881">
            <w:pPr>
              <w:spacing w:afterLines="20" w:after="48"/>
              <w:jc w:val="center"/>
              <w:rPr>
                <w:rFonts w:eastAsia="MS Mincho"/>
                <w:sz w:val="22"/>
              </w:rPr>
            </w:pPr>
            <w:r w:rsidRPr="00636006">
              <w:rPr>
                <w:rFonts w:eastAsia="MS Mincho"/>
                <w:sz w:val="22"/>
              </w:rPr>
              <w:t>0 (0.0%)</w:t>
            </w:r>
          </w:p>
        </w:tc>
        <w:tc>
          <w:tcPr>
            <w:tcW w:w="1494" w:type="dxa"/>
            <w:shd w:val="clear" w:color="auto" w:fill="FFFFFF"/>
            <w:vAlign w:val="bottom"/>
          </w:tcPr>
          <w:p w14:paraId="7663793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612DE4BB"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35E9A6C6" w14:textId="77777777" w:rsidTr="000823AB">
        <w:tc>
          <w:tcPr>
            <w:tcW w:w="2917" w:type="dxa"/>
            <w:tcBorders>
              <w:left w:val="single" w:sz="4" w:space="0" w:color="auto"/>
            </w:tcBorders>
            <w:shd w:val="clear" w:color="auto" w:fill="FFFFFF"/>
            <w:vAlign w:val="bottom"/>
          </w:tcPr>
          <w:p w14:paraId="57FA5C40" w14:textId="77777777" w:rsidR="00944DF1" w:rsidRPr="00636006" w:rsidRDefault="00944DF1" w:rsidP="009D6881">
            <w:pPr>
              <w:spacing w:afterLines="20" w:after="48"/>
              <w:jc w:val="left"/>
              <w:rPr>
                <w:rFonts w:eastAsia="MS Mincho"/>
                <w:sz w:val="22"/>
              </w:rPr>
            </w:pPr>
            <w:r w:rsidRPr="00636006">
              <w:rPr>
                <w:rFonts w:eastAsia="MS Mincho"/>
                <w:sz w:val="22"/>
              </w:rPr>
              <w:t>Pyrexia</w:t>
            </w:r>
          </w:p>
        </w:tc>
        <w:tc>
          <w:tcPr>
            <w:tcW w:w="1444" w:type="dxa"/>
            <w:gridSpan w:val="2"/>
            <w:shd w:val="clear" w:color="auto" w:fill="FFFFFF"/>
            <w:vAlign w:val="bottom"/>
          </w:tcPr>
          <w:p w14:paraId="3AB1EF39" w14:textId="668251C8" w:rsidR="00944DF1" w:rsidRPr="00636006" w:rsidRDefault="00460B7A" w:rsidP="00016A38">
            <w:pPr>
              <w:spacing w:afterLines="20" w:after="48"/>
              <w:jc w:val="center"/>
              <w:rPr>
                <w:rFonts w:eastAsia="MS Mincho"/>
                <w:sz w:val="22"/>
              </w:rPr>
            </w:pPr>
            <w:r w:rsidRPr="00807F0B">
              <w:rPr>
                <w:rFonts w:eastAsia="MS Mincho"/>
                <w:sz w:val="22"/>
              </w:rPr>
              <w:t>287</w:t>
            </w:r>
            <w:r w:rsidRPr="00807F0B" w:rsidDel="00460B7A">
              <w:rPr>
                <w:rFonts w:eastAsia="MS Mincho"/>
                <w:sz w:val="22"/>
              </w:rPr>
              <w:t xml:space="preserve"> </w:t>
            </w:r>
            <w:r w:rsidR="00166394" w:rsidRPr="00636006">
              <w:rPr>
                <w:rFonts w:eastAsia="MS Mincho"/>
                <w:sz w:val="22"/>
              </w:rPr>
              <w:t>(1</w:t>
            </w:r>
            <w:r w:rsidRPr="00636006">
              <w:rPr>
                <w:rFonts w:eastAsia="MS Mincho"/>
                <w:sz w:val="22"/>
              </w:rPr>
              <w:t>7</w:t>
            </w:r>
            <w:r w:rsidR="00166394" w:rsidRPr="00636006">
              <w:rPr>
                <w:rFonts w:eastAsia="MS Mincho"/>
                <w:sz w:val="22"/>
              </w:rPr>
              <w:t>.</w:t>
            </w:r>
            <w:r w:rsidR="00457C32">
              <w:rPr>
                <w:rFonts w:eastAsia="MS Mincho"/>
                <w:sz w:val="22"/>
              </w:rPr>
              <w:t>5</w:t>
            </w:r>
            <w:r w:rsidR="00166394" w:rsidRPr="00636006">
              <w:rPr>
                <w:rFonts w:eastAsia="MS Mincho"/>
                <w:sz w:val="22"/>
              </w:rPr>
              <w:t>%)</w:t>
            </w:r>
          </w:p>
        </w:tc>
        <w:tc>
          <w:tcPr>
            <w:tcW w:w="1341" w:type="dxa"/>
            <w:shd w:val="clear" w:color="auto" w:fill="FFFFFF"/>
            <w:vAlign w:val="bottom"/>
          </w:tcPr>
          <w:p w14:paraId="57332DBB" w14:textId="2A2EDB23" w:rsidR="00944DF1" w:rsidRPr="00636006" w:rsidRDefault="00460B7A" w:rsidP="00016A38">
            <w:pPr>
              <w:spacing w:afterLines="20" w:after="48"/>
              <w:jc w:val="center"/>
              <w:rPr>
                <w:rFonts w:eastAsia="MS Mincho"/>
                <w:sz w:val="22"/>
              </w:rPr>
            </w:pPr>
            <w:r w:rsidRPr="00636006">
              <w:rPr>
                <w:rFonts w:eastAsia="MS Mincho"/>
                <w:sz w:val="22"/>
              </w:rPr>
              <w:t xml:space="preserve">7 </w:t>
            </w:r>
            <w:r w:rsidR="00166394" w:rsidRPr="00636006">
              <w:rPr>
                <w:rFonts w:eastAsia="MS Mincho"/>
                <w:sz w:val="22"/>
              </w:rPr>
              <w:t>(0.</w:t>
            </w:r>
            <w:r w:rsidRPr="00636006">
              <w:rPr>
                <w:rFonts w:eastAsia="MS Mincho"/>
                <w:sz w:val="22"/>
              </w:rPr>
              <w:t>4</w:t>
            </w:r>
            <w:r w:rsidR="00166394" w:rsidRPr="00636006">
              <w:rPr>
                <w:rFonts w:eastAsia="MS Mincho"/>
                <w:sz w:val="22"/>
              </w:rPr>
              <w:t>%)</w:t>
            </w:r>
          </w:p>
        </w:tc>
        <w:tc>
          <w:tcPr>
            <w:tcW w:w="1494" w:type="dxa"/>
            <w:shd w:val="clear" w:color="auto" w:fill="FFFFFF"/>
            <w:vAlign w:val="bottom"/>
          </w:tcPr>
          <w:p w14:paraId="616E3879"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5C79561E"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09A5F1C3" w14:textId="77777777" w:rsidTr="000823AB">
        <w:tc>
          <w:tcPr>
            <w:tcW w:w="2917" w:type="dxa"/>
            <w:tcBorders>
              <w:left w:val="single" w:sz="4" w:space="0" w:color="auto"/>
              <w:bottom w:val="single" w:sz="4" w:space="0" w:color="auto"/>
            </w:tcBorders>
            <w:shd w:val="clear" w:color="auto" w:fill="FFFFFF"/>
            <w:vAlign w:val="bottom"/>
          </w:tcPr>
          <w:p w14:paraId="5FAFC6A8" w14:textId="77777777" w:rsidR="00944DF1" w:rsidRPr="00636006" w:rsidRDefault="00944DF1" w:rsidP="009D6881">
            <w:pPr>
              <w:spacing w:afterLines="20" w:after="48"/>
              <w:jc w:val="left"/>
              <w:rPr>
                <w:rFonts w:eastAsia="MS Mincho"/>
                <w:sz w:val="22"/>
              </w:rPr>
            </w:pPr>
            <w:r w:rsidRPr="00636006">
              <w:rPr>
                <w:rFonts w:eastAsia="MS Mincho"/>
                <w:sz w:val="22"/>
              </w:rPr>
              <w:t>Infusion related reaction</w:t>
            </w:r>
          </w:p>
        </w:tc>
        <w:tc>
          <w:tcPr>
            <w:tcW w:w="1444" w:type="dxa"/>
            <w:gridSpan w:val="2"/>
            <w:tcBorders>
              <w:bottom w:val="single" w:sz="4" w:space="0" w:color="auto"/>
            </w:tcBorders>
            <w:shd w:val="clear" w:color="auto" w:fill="FFFFFF"/>
            <w:vAlign w:val="bottom"/>
          </w:tcPr>
          <w:p w14:paraId="7564F4DE" w14:textId="62999A24" w:rsidR="00944DF1" w:rsidRPr="00636006" w:rsidRDefault="00460B7A" w:rsidP="00016A38">
            <w:pPr>
              <w:spacing w:afterLines="20" w:after="48"/>
              <w:jc w:val="center"/>
              <w:rPr>
                <w:rFonts w:eastAsia="MS Mincho"/>
                <w:sz w:val="22"/>
              </w:rPr>
            </w:pPr>
            <w:r w:rsidRPr="00807F0B">
              <w:rPr>
                <w:rFonts w:eastAsia="MS Mincho"/>
                <w:sz w:val="22"/>
              </w:rPr>
              <w:t xml:space="preserve">19 </w:t>
            </w:r>
            <w:r w:rsidR="00166394" w:rsidRPr="00636006">
              <w:rPr>
                <w:rFonts w:eastAsia="MS Mincho"/>
                <w:sz w:val="22"/>
              </w:rPr>
              <w:t>(1.2%)</w:t>
            </w:r>
          </w:p>
        </w:tc>
        <w:tc>
          <w:tcPr>
            <w:tcW w:w="1341" w:type="dxa"/>
            <w:tcBorders>
              <w:bottom w:val="single" w:sz="4" w:space="0" w:color="auto"/>
            </w:tcBorders>
            <w:shd w:val="clear" w:color="auto" w:fill="FFFFFF"/>
            <w:vAlign w:val="bottom"/>
          </w:tcPr>
          <w:p w14:paraId="3D12E0AF" w14:textId="39BB46E9" w:rsidR="00944DF1" w:rsidRPr="00636006" w:rsidRDefault="00166394" w:rsidP="00016A38">
            <w:pPr>
              <w:spacing w:afterLines="20" w:after="48"/>
              <w:jc w:val="center"/>
              <w:rPr>
                <w:rFonts w:eastAsia="MS Mincho"/>
                <w:sz w:val="22"/>
              </w:rPr>
            </w:pPr>
            <w:r w:rsidRPr="00636006">
              <w:rPr>
                <w:rFonts w:eastAsia="MS Mincho"/>
                <w:sz w:val="22"/>
              </w:rPr>
              <w:t>5 (0.</w:t>
            </w:r>
            <w:r w:rsidR="00460B7A" w:rsidRPr="00636006">
              <w:rPr>
                <w:rFonts w:eastAsia="MS Mincho"/>
                <w:sz w:val="22"/>
              </w:rPr>
              <w:t>3</w:t>
            </w:r>
            <w:r w:rsidRPr="00636006">
              <w:rPr>
                <w:rFonts w:eastAsia="MS Mincho"/>
                <w:sz w:val="22"/>
              </w:rPr>
              <w:t>%)</w:t>
            </w:r>
          </w:p>
        </w:tc>
        <w:tc>
          <w:tcPr>
            <w:tcW w:w="1494" w:type="dxa"/>
            <w:tcBorders>
              <w:bottom w:val="single" w:sz="4" w:space="0" w:color="auto"/>
            </w:tcBorders>
            <w:shd w:val="clear" w:color="auto" w:fill="FFFFFF"/>
            <w:vAlign w:val="bottom"/>
          </w:tcPr>
          <w:p w14:paraId="184272F7"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48413BF5"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16F257C5" w14:textId="77777777" w:rsidTr="000823AB">
        <w:tc>
          <w:tcPr>
            <w:tcW w:w="2917" w:type="dxa"/>
            <w:tcBorders>
              <w:top w:val="single" w:sz="4" w:space="0" w:color="auto"/>
              <w:left w:val="single" w:sz="4" w:space="0" w:color="auto"/>
            </w:tcBorders>
            <w:shd w:val="clear" w:color="auto" w:fill="FFFFFF"/>
            <w:vAlign w:val="bottom"/>
          </w:tcPr>
          <w:p w14:paraId="1BB611FB" w14:textId="77777777" w:rsidR="00FE6B92" w:rsidRPr="00807F0B" w:rsidRDefault="00944DF1" w:rsidP="009D6881">
            <w:pPr>
              <w:spacing w:afterLines="20" w:after="48"/>
              <w:jc w:val="left"/>
              <w:rPr>
                <w:rFonts w:eastAsia="MS Mincho"/>
                <w:sz w:val="22"/>
              </w:rPr>
            </w:pPr>
            <w:r w:rsidRPr="00636006">
              <w:rPr>
                <w:rFonts w:eastAsia="MS Mincho"/>
                <w:b/>
                <w:sz w:val="22"/>
              </w:rPr>
              <w:t>Hepatobi</w:t>
            </w:r>
            <w:r w:rsidRPr="005A3F14">
              <w:rPr>
                <w:rFonts w:eastAsia="MS Mincho"/>
                <w:b/>
                <w:sz w:val="22"/>
              </w:rPr>
              <w:t>liary Disorders</w:t>
            </w:r>
            <w:r w:rsidRPr="00807F0B">
              <w:rPr>
                <w:rFonts w:eastAsia="MS Mincho"/>
                <w:sz w:val="22"/>
              </w:rPr>
              <w:t xml:space="preserve"> </w:t>
            </w:r>
          </w:p>
          <w:p w14:paraId="13ABECAC" w14:textId="32DC7E43" w:rsidR="00944DF1" w:rsidRPr="00636006" w:rsidRDefault="00944DF1" w:rsidP="009D6881">
            <w:pPr>
              <w:spacing w:afterLines="20" w:after="48"/>
              <w:jc w:val="left"/>
              <w:rPr>
                <w:rFonts w:eastAsia="MS Mincho"/>
                <w:sz w:val="22"/>
              </w:rPr>
            </w:pPr>
            <w:r w:rsidRPr="00636006">
              <w:rPr>
                <w:rFonts w:eastAsia="MS Mincho"/>
                <w:sz w:val="22"/>
              </w:rPr>
              <w:t>ALT increased</w:t>
            </w:r>
          </w:p>
        </w:tc>
        <w:tc>
          <w:tcPr>
            <w:tcW w:w="1444" w:type="dxa"/>
            <w:gridSpan w:val="2"/>
            <w:tcBorders>
              <w:top w:val="single" w:sz="4" w:space="0" w:color="auto"/>
            </w:tcBorders>
            <w:shd w:val="clear" w:color="auto" w:fill="FFFFFF"/>
            <w:vAlign w:val="bottom"/>
          </w:tcPr>
          <w:p w14:paraId="45A34D90" w14:textId="60FC4B3B" w:rsidR="00944DF1" w:rsidRPr="00636006" w:rsidRDefault="00460B7A" w:rsidP="00016A38">
            <w:pPr>
              <w:spacing w:afterLines="20" w:after="48"/>
              <w:jc w:val="center"/>
              <w:rPr>
                <w:rFonts w:eastAsia="MS Mincho"/>
                <w:sz w:val="22"/>
              </w:rPr>
            </w:pPr>
            <w:r w:rsidRPr="00636006">
              <w:rPr>
                <w:rFonts w:eastAsia="MS Mincho"/>
                <w:sz w:val="22"/>
              </w:rPr>
              <w:t xml:space="preserve">73 </w:t>
            </w:r>
            <w:r w:rsidR="00166394" w:rsidRPr="00636006">
              <w:rPr>
                <w:rFonts w:eastAsia="MS Mincho"/>
                <w:sz w:val="22"/>
              </w:rPr>
              <w:t>(4.</w:t>
            </w:r>
            <w:r w:rsidRPr="00636006">
              <w:rPr>
                <w:rFonts w:eastAsia="MS Mincho"/>
                <w:sz w:val="22"/>
              </w:rPr>
              <w:t>5</w:t>
            </w:r>
            <w:r w:rsidR="00166394" w:rsidRPr="00636006">
              <w:rPr>
                <w:rFonts w:eastAsia="MS Mincho"/>
                <w:sz w:val="22"/>
              </w:rPr>
              <w:t>%)</w:t>
            </w:r>
          </w:p>
        </w:tc>
        <w:tc>
          <w:tcPr>
            <w:tcW w:w="1341" w:type="dxa"/>
            <w:tcBorders>
              <w:top w:val="single" w:sz="4" w:space="0" w:color="auto"/>
            </w:tcBorders>
            <w:shd w:val="clear" w:color="auto" w:fill="FFFFFF"/>
            <w:vAlign w:val="bottom"/>
          </w:tcPr>
          <w:p w14:paraId="24E3674E" w14:textId="08C2DE75" w:rsidR="00944DF1" w:rsidRPr="00636006" w:rsidRDefault="00460B7A" w:rsidP="00460B7A">
            <w:pPr>
              <w:spacing w:afterLines="20" w:after="48"/>
              <w:jc w:val="center"/>
              <w:rPr>
                <w:rFonts w:eastAsia="MS Mincho"/>
                <w:sz w:val="22"/>
              </w:rPr>
            </w:pPr>
            <w:r w:rsidRPr="00636006">
              <w:rPr>
                <w:rFonts w:eastAsia="MS Mincho"/>
                <w:sz w:val="22"/>
              </w:rPr>
              <w:t xml:space="preserve">14 </w:t>
            </w:r>
            <w:r w:rsidR="00166394" w:rsidRPr="00636006">
              <w:rPr>
                <w:rFonts w:eastAsia="MS Mincho"/>
                <w:sz w:val="22"/>
              </w:rPr>
              <w:t>(</w:t>
            </w:r>
            <w:r w:rsidRPr="00636006">
              <w:rPr>
                <w:rFonts w:eastAsia="MS Mincho"/>
                <w:sz w:val="22"/>
              </w:rPr>
              <w:t>0.9</w:t>
            </w:r>
            <w:r w:rsidR="00166394" w:rsidRPr="00636006">
              <w:rPr>
                <w:rFonts w:eastAsia="MS Mincho"/>
                <w:sz w:val="22"/>
              </w:rPr>
              <w:t>%)</w:t>
            </w:r>
          </w:p>
        </w:tc>
        <w:tc>
          <w:tcPr>
            <w:tcW w:w="1494" w:type="dxa"/>
            <w:tcBorders>
              <w:top w:val="single" w:sz="4" w:space="0" w:color="auto"/>
            </w:tcBorders>
            <w:shd w:val="clear" w:color="auto" w:fill="FFFFFF"/>
            <w:vAlign w:val="bottom"/>
          </w:tcPr>
          <w:p w14:paraId="42FED49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452E2947"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790B73BE" w14:textId="77777777" w:rsidTr="000823AB">
        <w:tc>
          <w:tcPr>
            <w:tcW w:w="2917" w:type="dxa"/>
            <w:tcBorders>
              <w:left w:val="single" w:sz="4" w:space="0" w:color="auto"/>
            </w:tcBorders>
            <w:shd w:val="clear" w:color="auto" w:fill="FFFFFF"/>
            <w:vAlign w:val="bottom"/>
          </w:tcPr>
          <w:p w14:paraId="6A1DE546" w14:textId="77777777" w:rsidR="00944DF1" w:rsidRPr="00636006" w:rsidRDefault="00944DF1" w:rsidP="009D6881">
            <w:pPr>
              <w:spacing w:afterLines="20" w:after="48"/>
              <w:jc w:val="left"/>
              <w:rPr>
                <w:rFonts w:eastAsia="MS Mincho"/>
                <w:sz w:val="22"/>
              </w:rPr>
            </w:pPr>
            <w:r w:rsidRPr="00636006">
              <w:rPr>
                <w:rFonts w:eastAsia="MS Mincho"/>
                <w:sz w:val="22"/>
              </w:rPr>
              <w:t>AST increased</w:t>
            </w:r>
          </w:p>
        </w:tc>
        <w:tc>
          <w:tcPr>
            <w:tcW w:w="1444" w:type="dxa"/>
            <w:gridSpan w:val="2"/>
            <w:shd w:val="clear" w:color="auto" w:fill="FFFFFF"/>
            <w:vAlign w:val="bottom"/>
          </w:tcPr>
          <w:p w14:paraId="17F19DED" w14:textId="556E2DFB" w:rsidR="00944DF1" w:rsidRPr="00636006" w:rsidRDefault="00460B7A" w:rsidP="00460B7A">
            <w:pPr>
              <w:spacing w:afterLines="20" w:after="48"/>
              <w:jc w:val="center"/>
              <w:rPr>
                <w:rFonts w:eastAsia="MS Mincho"/>
                <w:sz w:val="22"/>
              </w:rPr>
            </w:pPr>
            <w:r w:rsidRPr="00807F0B">
              <w:rPr>
                <w:rFonts w:eastAsia="MS Mincho"/>
                <w:sz w:val="22"/>
              </w:rPr>
              <w:t xml:space="preserve">80 </w:t>
            </w:r>
            <w:r w:rsidR="00166394" w:rsidRPr="00636006">
              <w:rPr>
                <w:rFonts w:eastAsia="MS Mincho"/>
                <w:sz w:val="22"/>
              </w:rPr>
              <w:t>(</w:t>
            </w:r>
            <w:r w:rsidRPr="00636006">
              <w:rPr>
                <w:rFonts w:eastAsia="MS Mincho"/>
                <w:sz w:val="22"/>
              </w:rPr>
              <w:t>4.9</w:t>
            </w:r>
            <w:r w:rsidR="00166394" w:rsidRPr="00636006">
              <w:rPr>
                <w:rFonts w:eastAsia="MS Mincho"/>
                <w:sz w:val="22"/>
              </w:rPr>
              <w:t>%)</w:t>
            </w:r>
          </w:p>
        </w:tc>
        <w:tc>
          <w:tcPr>
            <w:tcW w:w="1341" w:type="dxa"/>
            <w:shd w:val="clear" w:color="auto" w:fill="FFFFFF"/>
            <w:vAlign w:val="bottom"/>
          </w:tcPr>
          <w:p w14:paraId="2B444B5D" w14:textId="78C71C57" w:rsidR="00944DF1" w:rsidRPr="00636006" w:rsidRDefault="00460B7A" w:rsidP="00016A38">
            <w:pPr>
              <w:spacing w:afterLines="20" w:after="48"/>
              <w:jc w:val="center"/>
              <w:rPr>
                <w:rFonts w:eastAsia="MS Mincho"/>
                <w:sz w:val="22"/>
              </w:rPr>
            </w:pPr>
            <w:r w:rsidRPr="00636006">
              <w:rPr>
                <w:rFonts w:eastAsia="MS Mincho"/>
                <w:sz w:val="22"/>
              </w:rPr>
              <w:t xml:space="preserve">16 </w:t>
            </w:r>
            <w:r w:rsidR="00166394" w:rsidRPr="00636006">
              <w:rPr>
                <w:rFonts w:eastAsia="MS Mincho"/>
                <w:sz w:val="22"/>
              </w:rPr>
              <w:t>(1.</w:t>
            </w:r>
            <w:r w:rsidRPr="00636006">
              <w:rPr>
                <w:rFonts w:eastAsia="MS Mincho"/>
                <w:sz w:val="22"/>
              </w:rPr>
              <w:t>0</w:t>
            </w:r>
            <w:r w:rsidR="00166394" w:rsidRPr="00636006">
              <w:rPr>
                <w:rFonts w:eastAsia="MS Mincho"/>
                <w:sz w:val="22"/>
              </w:rPr>
              <w:t>%)</w:t>
            </w:r>
          </w:p>
        </w:tc>
        <w:tc>
          <w:tcPr>
            <w:tcW w:w="1494" w:type="dxa"/>
            <w:shd w:val="clear" w:color="auto" w:fill="FFFFFF"/>
            <w:vAlign w:val="bottom"/>
          </w:tcPr>
          <w:p w14:paraId="760C0673"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4660578C"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6B11E910" w14:textId="77777777" w:rsidTr="008524BA">
        <w:tc>
          <w:tcPr>
            <w:tcW w:w="2917" w:type="dxa"/>
            <w:tcBorders>
              <w:left w:val="single" w:sz="4" w:space="0" w:color="auto"/>
              <w:bottom w:val="single" w:sz="4" w:space="0" w:color="auto"/>
            </w:tcBorders>
            <w:shd w:val="clear" w:color="auto" w:fill="FFFFFF"/>
            <w:vAlign w:val="bottom"/>
          </w:tcPr>
          <w:p w14:paraId="476430B7" w14:textId="10AAA8F5" w:rsidR="00944DF1" w:rsidRPr="00807F0B" w:rsidRDefault="00944DF1" w:rsidP="00E105E4">
            <w:pPr>
              <w:spacing w:afterLines="20" w:after="48"/>
              <w:jc w:val="left"/>
              <w:rPr>
                <w:rFonts w:eastAsia="MS Mincho"/>
                <w:sz w:val="22"/>
              </w:rPr>
            </w:pPr>
            <w:r w:rsidRPr="00636006">
              <w:rPr>
                <w:rFonts w:eastAsia="MS Mincho"/>
                <w:sz w:val="22"/>
              </w:rPr>
              <w:t xml:space="preserve">Hepatitis </w:t>
            </w:r>
            <w:r w:rsidR="00166394" w:rsidRPr="005A3F14">
              <w:rPr>
                <w:rFonts w:eastAsia="MS Mincho"/>
                <w:sz w:val="22"/>
                <w:vertAlign w:val="superscript"/>
              </w:rPr>
              <w:t>g</w:t>
            </w:r>
          </w:p>
        </w:tc>
        <w:tc>
          <w:tcPr>
            <w:tcW w:w="1359" w:type="dxa"/>
            <w:tcBorders>
              <w:bottom w:val="single" w:sz="4" w:space="0" w:color="auto"/>
            </w:tcBorders>
            <w:shd w:val="clear" w:color="auto" w:fill="FFFFFF"/>
            <w:vAlign w:val="bottom"/>
          </w:tcPr>
          <w:p w14:paraId="69ADBD83" w14:textId="09971FEF" w:rsidR="00944DF1" w:rsidRPr="00636006" w:rsidRDefault="00460B7A" w:rsidP="009D6881">
            <w:pPr>
              <w:spacing w:afterLines="20" w:after="48"/>
              <w:jc w:val="center"/>
              <w:rPr>
                <w:rFonts w:eastAsia="MS Mincho"/>
                <w:sz w:val="22"/>
              </w:rPr>
            </w:pPr>
            <w:r w:rsidRPr="00636006">
              <w:rPr>
                <w:rFonts w:eastAsia="MS Mincho"/>
                <w:sz w:val="22"/>
              </w:rPr>
              <w:t xml:space="preserve">5 </w:t>
            </w:r>
            <w:r w:rsidR="00944DF1" w:rsidRPr="00636006">
              <w:rPr>
                <w:rFonts w:eastAsia="MS Mincho"/>
                <w:sz w:val="22"/>
              </w:rPr>
              <w:t>(0.3%)</w:t>
            </w:r>
          </w:p>
        </w:tc>
        <w:tc>
          <w:tcPr>
            <w:tcW w:w="1426" w:type="dxa"/>
            <w:gridSpan w:val="2"/>
            <w:tcBorders>
              <w:bottom w:val="single" w:sz="4" w:space="0" w:color="auto"/>
            </w:tcBorders>
            <w:shd w:val="clear" w:color="auto" w:fill="FFFFFF"/>
            <w:vAlign w:val="bottom"/>
          </w:tcPr>
          <w:p w14:paraId="494C2D0C" w14:textId="686AB732" w:rsidR="00944DF1" w:rsidRPr="00636006" w:rsidRDefault="00460B7A" w:rsidP="00460B7A">
            <w:pPr>
              <w:spacing w:afterLines="20" w:after="48"/>
              <w:jc w:val="center"/>
              <w:rPr>
                <w:rFonts w:eastAsia="MS Mincho"/>
                <w:sz w:val="22"/>
              </w:rPr>
            </w:pPr>
            <w:r w:rsidRPr="00636006">
              <w:rPr>
                <w:rFonts w:eastAsia="MS Mincho"/>
                <w:sz w:val="22"/>
              </w:rPr>
              <w:t xml:space="preserve">4 </w:t>
            </w:r>
            <w:r w:rsidR="00166394" w:rsidRPr="00636006">
              <w:rPr>
                <w:rFonts w:eastAsia="MS Mincho"/>
                <w:sz w:val="22"/>
              </w:rPr>
              <w:t>(0.</w:t>
            </w:r>
            <w:r w:rsidRPr="00636006">
              <w:rPr>
                <w:rFonts w:eastAsia="MS Mincho"/>
                <w:sz w:val="22"/>
              </w:rPr>
              <w:t>2</w:t>
            </w:r>
            <w:r w:rsidR="00166394" w:rsidRPr="00636006">
              <w:rPr>
                <w:rFonts w:eastAsia="MS Mincho"/>
                <w:sz w:val="22"/>
              </w:rPr>
              <w:t>%)</w:t>
            </w:r>
          </w:p>
        </w:tc>
        <w:tc>
          <w:tcPr>
            <w:tcW w:w="1494" w:type="dxa"/>
            <w:tcBorders>
              <w:bottom w:val="single" w:sz="4" w:space="0" w:color="auto"/>
            </w:tcBorders>
            <w:shd w:val="clear" w:color="auto" w:fill="FFFFFF"/>
            <w:vAlign w:val="bottom"/>
          </w:tcPr>
          <w:p w14:paraId="0A68F2C4"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7735EEAA" w14:textId="77777777" w:rsidR="00944DF1" w:rsidRPr="00636006" w:rsidRDefault="00944DF1" w:rsidP="009D6881">
            <w:pPr>
              <w:spacing w:afterLines="20" w:after="48"/>
              <w:jc w:val="center"/>
              <w:rPr>
                <w:rFonts w:eastAsia="MS Mincho"/>
                <w:sz w:val="22"/>
              </w:rPr>
            </w:pPr>
            <w:r w:rsidRPr="00636006">
              <w:rPr>
                <w:rFonts w:eastAsia="MS Mincho"/>
                <w:sz w:val="22"/>
              </w:rPr>
              <w:t>Uncommon</w:t>
            </w:r>
          </w:p>
        </w:tc>
      </w:tr>
      <w:tr w:rsidR="00944DF1" w:rsidRPr="009D6881" w14:paraId="255E6618" w14:textId="77777777" w:rsidTr="000823AB">
        <w:tc>
          <w:tcPr>
            <w:tcW w:w="2917" w:type="dxa"/>
            <w:tcBorders>
              <w:top w:val="single" w:sz="4" w:space="0" w:color="auto"/>
              <w:left w:val="single" w:sz="4" w:space="0" w:color="auto"/>
              <w:bottom w:val="single" w:sz="4" w:space="0" w:color="auto"/>
            </w:tcBorders>
            <w:shd w:val="clear" w:color="auto" w:fill="FFFFFF"/>
            <w:vAlign w:val="bottom"/>
          </w:tcPr>
          <w:p w14:paraId="7F9D9282" w14:textId="0FF97FE9" w:rsidR="00944DF1" w:rsidRPr="005A3F14" w:rsidRDefault="00944DF1" w:rsidP="009D6881">
            <w:pPr>
              <w:spacing w:afterLines="20" w:after="48"/>
              <w:jc w:val="left"/>
              <w:rPr>
                <w:rFonts w:eastAsia="MS Mincho"/>
                <w:sz w:val="22"/>
              </w:rPr>
            </w:pPr>
            <w:r w:rsidRPr="00636006">
              <w:rPr>
                <w:rFonts w:eastAsia="MS Mincho"/>
                <w:b/>
                <w:sz w:val="22"/>
              </w:rPr>
              <w:t>Immune System Disorders</w:t>
            </w:r>
            <w:r w:rsidRPr="005A3F14">
              <w:rPr>
                <w:rFonts w:eastAsia="MS Mincho"/>
                <w:sz w:val="22"/>
              </w:rPr>
              <w:t xml:space="preserve"> Hypersensitivity</w:t>
            </w:r>
          </w:p>
        </w:tc>
        <w:tc>
          <w:tcPr>
            <w:tcW w:w="1444" w:type="dxa"/>
            <w:gridSpan w:val="2"/>
            <w:tcBorders>
              <w:top w:val="single" w:sz="4" w:space="0" w:color="auto"/>
              <w:bottom w:val="single" w:sz="4" w:space="0" w:color="auto"/>
            </w:tcBorders>
            <w:shd w:val="clear" w:color="auto" w:fill="FFFFFF"/>
            <w:vAlign w:val="bottom"/>
          </w:tcPr>
          <w:p w14:paraId="5B0A84AE" w14:textId="48A42E26" w:rsidR="00944DF1" w:rsidRPr="00636006" w:rsidRDefault="00460B7A" w:rsidP="009D6881">
            <w:pPr>
              <w:spacing w:afterLines="20" w:after="48"/>
              <w:jc w:val="center"/>
              <w:rPr>
                <w:rFonts w:eastAsia="MS Mincho"/>
                <w:sz w:val="22"/>
              </w:rPr>
            </w:pPr>
            <w:r w:rsidRPr="00807F0B">
              <w:rPr>
                <w:rFonts w:eastAsia="MS Mincho"/>
                <w:sz w:val="22"/>
              </w:rPr>
              <w:t xml:space="preserve">20 </w:t>
            </w:r>
            <w:r w:rsidR="00166394" w:rsidRPr="00636006">
              <w:rPr>
                <w:rFonts w:eastAsia="MS Mincho"/>
                <w:sz w:val="22"/>
              </w:rPr>
              <w:t>(1.</w:t>
            </w:r>
            <w:r w:rsidRPr="00636006">
              <w:rPr>
                <w:rFonts w:eastAsia="MS Mincho"/>
                <w:sz w:val="22"/>
              </w:rPr>
              <w:t>2</w:t>
            </w:r>
            <w:r w:rsidR="00166394" w:rsidRPr="00636006">
              <w:rPr>
                <w:rFonts w:eastAsia="MS Mincho"/>
                <w:sz w:val="22"/>
              </w:rPr>
              <w:t>%)</w:t>
            </w:r>
          </w:p>
        </w:tc>
        <w:tc>
          <w:tcPr>
            <w:tcW w:w="1341" w:type="dxa"/>
            <w:tcBorders>
              <w:top w:val="single" w:sz="4" w:space="0" w:color="auto"/>
              <w:bottom w:val="single" w:sz="4" w:space="0" w:color="auto"/>
            </w:tcBorders>
            <w:shd w:val="clear" w:color="auto" w:fill="FFFFFF"/>
            <w:vAlign w:val="bottom"/>
          </w:tcPr>
          <w:p w14:paraId="3D90E000" w14:textId="5D8B5054" w:rsidR="00944DF1" w:rsidRPr="00636006" w:rsidRDefault="00460B7A" w:rsidP="009D6881">
            <w:pPr>
              <w:spacing w:afterLines="20" w:after="48"/>
              <w:jc w:val="center"/>
              <w:rPr>
                <w:rFonts w:eastAsia="MS Mincho"/>
                <w:sz w:val="22"/>
              </w:rPr>
            </w:pPr>
            <w:r w:rsidRPr="00636006">
              <w:rPr>
                <w:rFonts w:eastAsia="MS Mincho"/>
                <w:sz w:val="22"/>
              </w:rPr>
              <w:t xml:space="preserve">1 </w:t>
            </w:r>
            <w:r w:rsidR="00944DF1" w:rsidRPr="00636006">
              <w:rPr>
                <w:rFonts w:eastAsia="MS Mincho"/>
                <w:sz w:val="22"/>
              </w:rPr>
              <w:t>(&lt;</w:t>
            </w:r>
            <w:r w:rsidRPr="00636006">
              <w:rPr>
                <w:rFonts w:eastAsia="MS Mincho"/>
                <w:sz w:val="22"/>
              </w:rPr>
              <w:t xml:space="preserve"> </w:t>
            </w:r>
            <w:r w:rsidR="00944DF1" w:rsidRPr="00636006">
              <w:rPr>
                <w:rFonts w:eastAsia="MS Mincho"/>
                <w:sz w:val="22"/>
              </w:rPr>
              <w:t>0.1%)</w:t>
            </w:r>
          </w:p>
        </w:tc>
        <w:tc>
          <w:tcPr>
            <w:tcW w:w="1494" w:type="dxa"/>
            <w:tcBorders>
              <w:top w:val="single" w:sz="4" w:space="0" w:color="auto"/>
              <w:bottom w:val="single" w:sz="4" w:space="0" w:color="auto"/>
            </w:tcBorders>
            <w:shd w:val="clear" w:color="auto" w:fill="FFFFFF"/>
            <w:vAlign w:val="bottom"/>
          </w:tcPr>
          <w:p w14:paraId="79EE4334"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bottom w:val="single" w:sz="4" w:space="0" w:color="auto"/>
              <w:right w:val="single" w:sz="4" w:space="0" w:color="auto"/>
            </w:tcBorders>
            <w:shd w:val="clear" w:color="auto" w:fill="FFFFFF"/>
            <w:vAlign w:val="bottom"/>
          </w:tcPr>
          <w:p w14:paraId="44950E9D"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48A3C4CA" w14:textId="77777777" w:rsidTr="000823AB">
        <w:tc>
          <w:tcPr>
            <w:tcW w:w="2917" w:type="dxa"/>
            <w:tcBorders>
              <w:top w:val="single" w:sz="4" w:space="0" w:color="auto"/>
              <w:left w:val="single" w:sz="4" w:space="0" w:color="auto"/>
            </w:tcBorders>
            <w:shd w:val="clear" w:color="auto" w:fill="FFFFFF"/>
            <w:vAlign w:val="bottom"/>
          </w:tcPr>
          <w:p w14:paraId="0545B3DB" w14:textId="77777777" w:rsidR="00944DF1" w:rsidRPr="00807F0B" w:rsidRDefault="00944DF1" w:rsidP="009D6881">
            <w:pPr>
              <w:spacing w:afterLines="20" w:after="48"/>
              <w:jc w:val="left"/>
              <w:rPr>
                <w:rFonts w:eastAsia="MS Mincho"/>
                <w:sz w:val="22"/>
              </w:rPr>
            </w:pPr>
            <w:r w:rsidRPr="00636006">
              <w:rPr>
                <w:rFonts w:eastAsia="MS Mincho"/>
                <w:b/>
                <w:sz w:val="22"/>
              </w:rPr>
              <w:t>Metabolism and Nutrition Disorders</w:t>
            </w:r>
            <w:r w:rsidRPr="00807F0B">
              <w:rPr>
                <w:rFonts w:eastAsia="MS Mincho"/>
                <w:sz w:val="22"/>
              </w:rPr>
              <w:t xml:space="preserve"> </w:t>
            </w:r>
          </w:p>
          <w:p w14:paraId="75BE608D" w14:textId="5E1187E9" w:rsidR="00944DF1" w:rsidRPr="00807F0B" w:rsidRDefault="00944DF1" w:rsidP="009D6881">
            <w:pPr>
              <w:spacing w:afterLines="20" w:after="48"/>
              <w:jc w:val="left"/>
              <w:rPr>
                <w:rFonts w:eastAsia="MS Mincho"/>
                <w:sz w:val="22"/>
              </w:rPr>
            </w:pPr>
            <w:r w:rsidRPr="00807F0B">
              <w:rPr>
                <w:rFonts w:eastAsia="MS Mincho"/>
                <w:sz w:val="22"/>
              </w:rPr>
              <w:t>Decreased appetite</w:t>
            </w:r>
          </w:p>
        </w:tc>
        <w:tc>
          <w:tcPr>
            <w:tcW w:w="1444" w:type="dxa"/>
            <w:gridSpan w:val="2"/>
            <w:tcBorders>
              <w:top w:val="single" w:sz="4" w:space="0" w:color="auto"/>
            </w:tcBorders>
            <w:shd w:val="clear" w:color="auto" w:fill="FFFFFF"/>
            <w:vAlign w:val="bottom"/>
          </w:tcPr>
          <w:p w14:paraId="238B08EB" w14:textId="38A5FAFF" w:rsidR="00944DF1" w:rsidRPr="00636006" w:rsidRDefault="00460B7A" w:rsidP="00460B7A">
            <w:pPr>
              <w:spacing w:afterLines="20" w:after="48"/>
              <w:jc w:val="center"/>
              <w:rPr>
                <w:rFonts w:eastAsia="MS Mincho"/>
                <w:sz w:val="22"/>
              </w:rPr>
            </w:pPr>
            <w:r w:rsidRPr="00636006">
              <w:rPr>
                <w:rFonts w:eastAsia="MS Mincho"/>
                <w:sz w:val="22"/>
              </w:rPr>
              <w:t>406</w:t>
            </w:r>
            <w:r w:rsidRPr="00636006" w:rsidDel="00460B7A">
              <w:rPr>
                <w:rFonts w:eastAsia="MS Mincho"/>
                <w:sz w:val="22"/>
              </w:rPr>
              <w:t xml:space="preserve"> </w:t>
            </w:r>
            <w:r w:rsidR="00166394" w:rsidRPr="00636006">
              <w:rPr>
                <w:rFonts w:eastAsia="MS Mincho"/>
                <w:sz w:val="22"/>
              </w:rPr>
              <w:t>(2</w:t>
            </w:r>
            <w:r w:rsidRPr="00636006">
              <w:rPr>
                <w:rFonts w:eastAsia="MS Mincho"/>
                <w:sz w:val="22"/>
              </w:rPr>
              <w:t>4.8</w:t>
            </w:r>
            <w:r w:rsidR="00166394" w:rsidRPr="00636006">
              <w:rPr>
                <w:rFonts w:eastAsia="MS Mincho"/>
                <w:sz w:val="22"/>
              </w:rPr>
              <w:t>%)</w:t>
            </w:r>
          </w:p>
        </w:tc>
        <w:tc>
          <w:tcPr>
            <w:tcW w:w="1341" w:type="dxa"/>
            <w:tcBorders>
              <w:top w:val="single" w:sz="4" w:space="0" w:color="auto"/>
            </w:tcBorders>
            <w:shd w:val="clear" w:color="auto" w:fill="FFFFFF"/>
            <w:vAlign w:val="bottom"/>
          </w:tcPr>
          <w:p w14:paraId="27E1F76A" w14:textId="18B32DBB" w:rsidR="00944DF1" w:rsidRPr="00636006" w:rsidRDefault="00460B7A" w:rsidP="00460B7A">
            <w:pPr>
              <w:spacing w:afterLines="20" w:after="48"/>
              <w:jc w:val="center"/>
              <w:rPr>
                <w:rFonts w:eastAsia="MS Mincho"/>
                <w:sz w:val="22"/>
              </w:rPr>
            </w:pPr>
            <w:r w:rsidRPr="00636006">
              <w:rPr>
                <w:rFonts w:eastAsia="MS Mincho"/>
                <w:sz w:val="22"/>
              </w:rPr>
              <w:t xml:space="preserve">12 </w:t>
            </w:r>
            <w:r w:rsidR="00166394" w:rsidRPr="00636006">
              <w:rPr>
                <w:rFonts w:eastAsia="MS Mincho"/>
                <w:sz w:val="22"/>
              </w:rPr>
              <w:t>(</w:t>
            </w:r>
            <w:r w:rsidRPr="00636006">
              <w:rPr>
                <w:rFonts w:eastAsia="MS Mincho"/>
                <w:sz w:val="22"/>
              </w:rPr>
              <w:t>0.7</w:t>
            </w:r>
            <w:r w:rsidR="00166394" w:rsidRPr="00636006">
              <w:rPr>
                <w:rFonts w:eastAsia="MS Mincho"/>
                <w:sz w:val="22"/>
              </w:rPr>
              <w:t>%)</w:t>
            </w:r>
          </w:p>
        </w:tc>
        <w:tc>
          <w:tcPr>
            <w:tcW w:w="1494" w:type="dxa"/>
            <w:tcBorders>
              <w:top w:val="single" w:sz="4" w:space="0" w:color="auto"/>
            </w:tcBorders>
            <w:shd w:val="clear" w:color="auto" w:fill="FFFFFF"/>
            <w:vAlign w:val="bottom"/>
          </w:tcPr>
          <w:p w14:paraId="22DD616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21EE28E6"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1AA3E8A3" w14:textId="77777777" w:rsidTr="000823AB">
        <w:tc>
          <w:tcPr>
            <w:tcW w:w="2917" w:type="dxa"/>
            <w:tcBorders>
              <w:left w:val="single" w:sz="4" w:space="0" w:color="auto"/>
            </w:tcBorders>
            <w:shd w:val="clear" w:color="auto" w:fill="FFFFFF"/>
            <w:vAlign w:val="bottom"/>
          </w:tcPr>
          <w:p w14:paraId="4DC14CED" w14:textId="77777777" w:rsidR="00944DF1" w:rsidRPr="00636006" w:rsidRDefault="00944DF1" w:rsidP="009D6881">
            <w:pPr>
              <w:spacing w:afterLines="20" w:after="48"/>
              <w:jc w:val="left"/>
              <w:rPr>
                <w:rFonts w:eastAsia="MS Mincho"/>
                <w:sz w:val="22"/>
              </w:rPr>
            </w:pPr>
            <w:r w:rsidRPr="00636006">
              <w:rPr>
                <w:rFonts w:eastAsia="MS Mincho"/>
                <w:sz w:val="22"/>
              </w:rPr>
              <w:t>Hypokalemia</w:t>
            </w:r>
          </w:p>
        </w:tc>
        <w:tc>
          <w:tcPr>
            <w:tcW w:w="1444" w:type="dxa"/>
            <w:gridSpan w:val="2"/>
            <w:shd w:val="clear" w:color="auto" w:fill="FFFFFF"/>
            <w:vAlign w:val="bottom"/>
          </w:tcPr>
          <w:p w14:paraId="0BB10E3F" w14:textId="465E9FA2" w:rsidR="00944DF1" w:rsidRPr="00636006" w:rsidRDefault="00460B7A" w:rsidP="009D6881">
            <w:pPr>
              <w:spacing w:afterLines="20" w:after="48"/>
              <w:jc w:val="center"/>
              <w:rPr>
                <w:rFonts w:eastAsia="MS Mincho"/>
                <w:sz w:val="22"/>
              </w:rPr>
            </w:pPr>
            <w:r w:rsidRPr="00807F0B">
              <w:rPr>
                <w:rFonts w:eastAsia="MS Mincho"/>
                <w:sz w:val="22"/>
              </w:rPr>
              <w:t xml:space="preserve">80 </w:t>
            </w:r>
            <w:r w:rsidR="00166394" w:rsidRPr="00636006">
              <w:rPr>
                <w:rFonts w:eastAsia="MS Mincho"/>
                <w:sz w:val="22"/>
              </w:rPr>
              <w:t>(4.</w:t>
            </w:r>
            <w:r w:rsidRPr="00636006">
              <w:rPr>
                <w:rFonts w:eastAsia="MS Mincho"/>
                <w:sz w:val="22"/>
              </w:rPr>
              <w:t>9</w:t>
            </w:r>
            <w:r w:rsidR="00166394" w:rsidRPr="00636006">
              <w:rPr>
                <w:rFonts w:eastAsia="MS Mincho"/>
                <w:sz w:val="22"/>
              </w:rPr>
              <w:t>%)</w:t>
            </w:r>
          </w:p>
        </w:tc>
        <w:tc>
          <w:tcPr>
            <w:tcW w:w="1341" w:type="dxa"/>
            <w:shd w:val="clear" w:color="auto" w:fill="FFFFFF"/>
            <w:vAlign w:val="bottom"/>
          </w:tcPr>
          <w:p w14:paraId="227C3AD0" w14:textId="367F3592" w:rsidR="00944DF1" w:rsidRPr="00636006" w:rsidRDefault="00460B7A" w:rsidP="009D6881">
            <w:pPr>
              <w:spacing w:afterLines="20" w:after="48"/>
              <w:jc w:val="center"/>
              <w:rPr>
                <w:rFonts w:eastAsia="MS Mincho"/>
                <w:sz w:val="22"/>
              </w:rPr>
            </w:pPr>
            <w:r w:rsidRPr="00636006">
              <w:rPr>
                <w:rFonts w:eastAsia="MS Mincho"/>
                <w:sz w:val="22"/>
              </w:rPr>
              <w:t>17</w:t>
            </w:r>
            <w:r w:rsidRPr="00636006" w:rsidDel="00166394">
              <w:rPr>
                <w:rFonts w:eastAsia="MS Mincho"/>
                <w:sz w:val="22"/>
              </w:rPr>
              <w:t xml:space="preserve"> </w:t>
            </w:r>
            <w:r w:rsidR="00944DF1" w:rsidRPr="00636006">
              <w:rPr>
                <w:rFonts w:eastAsia="MS Mincho"/>
                <w:sz w:val="22"/>
              </w:rPr>
              <w:t>(1.</w:t>
            </w:r>
            <w:r w:rsidRPr="00636006">
              <w:rPr>
                <w:rFonts w:eastAsia="MS Mincho"/>
                <w:sz w:val="22"/>
              </w:rPr>
              <w:t>0</w:t>
            </w:r>
            <w:r w:rsidR="00944DF1" w:rsidRPr="00636006">
              <w:rPr>
                <w:rFonts w:eastAsia="MS Mincho"/>
                <w:sz w:val="22"/>
              </w:rPr>
              <w:t>%)</w:t>
            </w:r>
          </w:p>
        </w:tc>
        <w:tc>
          <w:tcPr>
            <w:tcW w:w="1494" w:type="dxa"/>
            <w:shd w:val="clear" w:color="auto" w:fill="FFFFFF"/>
            <w:vAlign w:val="bottom"/>
          </w:tcPr>
          <w:p w14:paraId="12E912AF"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127E843E"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099A40D5" w14:textId="77777777" w:rsidTr="000823AB">
        <w:tc>
          <w:tcPr>
            <w:tcW w:w="2917" w:type="dxa"/>
            <w:tcBorders>
              <w:left w:val="single" w:sz="4" w:space="0" w:color="auto"/>
              <w:bottom w:val="single" w:sz="4" w:space="0" w:color="auto"/>
            </w:tcBorders>
            <w:shd w:val="clear" w:color="auto" w:fill="FFFFFF"/>
            <w:vAlign w:val="bottom"/>
          </w:tcPr>
          <w:p w14:paraId="1D206BD7" w14:textId="77777777" w:rsidR="00944DF1" w:rsidRPr="00636006" w:rsidRDefault="00944DF1" w:rsidP="009D6881">
            <w:pPr>
              <w:spacing w:afterLines="20" w:after="48"/>
              <w:jc w:val="left"/>
              <w:rPr>
                <w:rFonts w:eastAsia="MS Mincho"/>
                <w:sz w:val="22"/>
              </w:rPr>
            </w:pPr>
            <w:r w:rsidRPr="00636006">
              <w:rPr>
                <w:rFonts w:eastAsia="MS Mincho"/>
                <w:sz w:val="22"/>
              </w:rPr>
              <w:t>Hyponatremia</w:t>
            </w:r>
          </w:p>
        </w:tc>
        <w:tc>
          <w:tcPr>
            <w:tcW w:w="1444" w:type="dxa"/>
            <w:gridSpan w:val="2"/>
            <w:tcBorders>
              <w:bottom w:val="single" w:sz="4" w:space="0" w:color="auto"/>
            </w:tcBorders>
            <w:shd w:val="clear" w:color="auto" w:fill="FFFFFF"/>
            <w:vAlign w:val="bottom"/>
          </w:tcPr>
          <w:p w14:paraId="7FD5DA8A" w14:textId="5A58FBB7" w:rsidR="00944DF1" w:rsidRPr="00636006" w:rsidRDefault="00460B7A" w:rsidP="00460B7A">
            <w:pPr>
              <w:spacing w:afterLines="20" w:after="48"/>
              <w:jc w:val="center"/>
              <w:rPr>
                <w:rFonts w:eastAsia="MS Mincho"/>
                <w:sz w:val="22"/>
              </w:rPr>
            </w:pPr>
            <w:r w:rsidRPr="00807F0B">
              <w:rPr>
                <w:rFonts w:eastAsia="MS Mincho"/>
                <w:sz w:val="22"/>
              </w:rPr>
              <w:t>74</w:t>
            </w:r>
            <w:r w:rsidRPr="00807F0B" w:rsidDel="00460B7A">
              <w:rPr>
                <w:rFonts w:eastAsia="MS Mincho"/>
                <w:sz w:val="22"/>
              </w:rPr>
              <w:t xml:space="preserve"> </w:t>
            </w:r>
            <w:r w:rsidR="00166394" w:rsidRPr="00636006">
              <w:rPr>
                <w:rFonts w:eastAsia="MS Mincho"/>
                <w:sz w:val="22"/>
              </w:rPr>
              <w:t>(</w:t>
            </w:r>
            <w:r w:rsidRPr="00636006">
              <w:rPr>
                <w:rFonts w:eastAsia="MS Mincho"/>
                <w:sz w:val="22"/>
              </w:rPr>
              <w:t>4.5</w:t>
            </w:r>
            <w:r w:rsidR="00166394" w:rsidRPr="00636006">
              <w:rPr>
                <w:rFonts w:eastAsia="MS Mincho"/>
                <w:sz w:val="22"/>
              </w:rPr>
              <w:t>%)</w:t>
            </w:r>
          </w:p>
        </w:tc>
        <w:tc>
          <w:tcPr>
            <w:tcW w:w="1341" w:type="dxa"/>
            <w:tcBorders>
              <w:bottom w:val="single" w:sz="4" w:space="0" w:color="auto"/>
            </w:tcBorders>
            <w:shd w:val="clear" w:color="auto" w:fill="FFFFFF"/>
            <w:vAlign w:val="bottom"/>
          </w:tcPr>
          <w:p w14:paraId="4A2DCC41" w14:textId="5B1967A3" w:rsidR="00944DF1" w:rsidRPr="00636006" w:rsidRDefault="00460B7A" w:rsidP="009D6881">
            <w:pPr>
              <w:spacing w:afterLines="20" w:after="48"/>
              <w:jc w:val="center"/>
              <w:rPr>
                <w:rFonts w:eastAsia="MS Mincho"/>
                <w:sz w:val="22"/>
              </w:rPr>
            </w:pPr>
            <w:r w:rsidRPr="00636006">
              <w:rPr>
                <w:rFonts w:eastAsia="MS Mincho"/>
                <w:sz w:val="22"/>
              </w:rPr>
              <w:t xml:space="preserve">42 </w:t>
            </w:r>
            <w:r w:rsidR="00166394" w:rsidRPr="00636006">
              <w:rPr>
                <w:rFonts w:eastAsia="MS Mincho"/>
                <w:sz w:val="22"/>
              </w:rPr>
              <w:t>(2.</w:t>
            </w:r>
            <w:r w:rsidR="00E77967" w:rsidRPr="00636006">
              <w:rPr>
                <w:rFonts w:eastAsia="MS Mincho"/>
                <w:sz w:val="22"/>
              </w:rPr>
              <w:t>6</w:t>
            </w:r>
            <w:r w:rsidR="00166394" w:rsidRPr="00636006">
              <w:rPr>
                <w:rFonts w:eastAsia="MS Mincho"/>
                <w:sz w:val="22"/>
              </w:rPr>
              <w:t>%)</w:t>
            </w:r>
          </w:p>
        </w:tc>
        <w:tc>
          <w:tcPr>
            <w:tcW w:w="1494" w:type="dxa"/>
            <w:tcBorders>
              <w:bottom w:val="single" w:sz="4" w:space="0" w:color="auto"/>
            </w:tcBorders>
            <w:shd w:val="clear" w:color="auto" w:fill="FFFFFF"/>
            <w:vAlign w:val="bottom"/>
          </w:tcPr>
          <w:p w14:paraId="5A01B7A6"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0EEF3393"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2775268F" w14:textId="77777777" w:rsidTr="000823AB">
        <w:tc>
          <w:tcPr>
            <w:tcW w:w="2917" w:type="dxa"/>
            <w:tcBorders>
              <w:top w:val="single" w:sz="4" w:space="0" w:color="auto"/>
              <w:left w:val="single" w:sz="4" w:space="0" w:color="auto"/>
            </w:tcBorders>
            <w:shd w:val="clear" w:color="auto" w:fill="FFFFFF"/>
            <w:vAlign w:val="bottom"/>
          </w:tcPr>
          <w:p w14:paraId="31823DF1" w14:textId="77777777" w:rsidR="00944DF1" w:rsidRPr="005A3F14" w:rsidRDefault="00944DF1" w:rsidP="009D6881">
            <w:pPr>
              <w:spacing w:afterLines="20" w:after="48"/>
              <w:jc w:val="left"/>
              <w:rPr>
                <w:rFonts w:eastAsia="MS Mincho"/>
                <w:b/>
                <w:sz w:val="22"/>
              </w:rPr>
            </w:pPr>
            <w:r w:rsidRPr="00636006">
              <w:rPr>
                <w:rFonts w:eastAsia="MS Mincho"/>
                <w:b/>
                <w:sz w:val="22"/>
              </w:rPr>
              <w:t>Musculoskeleta</w:t>
            </w:r>
            <w:r w:rsidRPr="005A3F14">
              <w:rPr>
                <w:rFonts w:eastAsia="MS Mincho"/>
                <w:b/>
                <w:sz w:val="22"/>
              </w:rPr>
              <w:t>l and Connective Tissue Disorders</w:t>
            </w:r>
          </w:p>
          <w:p w14:paraId="33EEEA3B" w14:textId="4A84065F" w:rsidR="00944DF1" w:rsidRPr="00807F0B" w:rsidRDefault="00944DF1" w:rsidP="009D6881">
            <w:pPr>
              <w:spacing w:afterLines="20" w:after="48"/>
              <w:jc w:val="left"/>
              <w:rPr>
                <w:rFonts w:eastAsia="MS Mincho"/>
                <w:sz w:val="22"/>
              </w:rPr>
            </w:pPr>
            <w:r w:rsidRPr="00807F0B">
              <w:rPr>
                <w:rFonts w:eastAsia="MS Mincho"/>
                <w:sz w:val="22"/>
              </w:rPr>
              <w:t>Arthralgia</w:t>
            </w:r>
          </w:p>
        </w:tc>
        <w:tc>
          <w:tcPr>
            <w:tcW w:w="1444" w:type="dxa"/>
            <w:gridSpan w:val="2"/>
            <w:tcBorders>
              <w:top w:val="single" w:sz="4" w:space="0" w:color="auto"/>
            </w:tcBorders>
            <w:shd w:val="clear" w:color="auto" w:fill="FFFFFF"/>
            <w:vAlign w:val="bottom"/>
          </w:tcPr>
          <w:p w14:paraId="6F9CB717" w14:textId="251D06D9" w:rsidR="00944DF1" w:rsidRPr="00636006" w:rsidRDefault="00E77967" w:rsidP="00E77967">
            <w:pPr>
              <w:spacing w:afterLines="20" w:after="48"/>
              <w:jc w:val="center"/>
              <w:rPr>
                <w:rFonts w:eastAsia="MS Mincho"/>
                <w:sz w:val="22"/>
              </w:rPr>
            </w:pPr>
            <w:r w:rsidRPr="00807F0B">
              <w:rPr>
                <w:rFonts w:eastAsia="MS Mincho"/>
                <w:sz w:val="22"/>
              </w:rPr>
              <w:t>220</w:t>
            </w:r>
            <w:r w:rsidRPr="00807F0B" w:rsidDel="00E77967">
              <w:rPr>
                <w:rFonts w:eastAsia="MS Mincho"/>
                <w:sz w:val="22"/>
              </w:rPr>
              <w:t xml:space="preserve"> </w:t>
            </w:r>
            <w:r w:rsidR="00166394" w:rsidRPr="00636006">
              <w:rPr>
                <w:rFonts w:eastAsia="MS Mincho"/>
                <w:sz w:val="22"/>
              </w:rPr>
              <w:t>(</w:t>
            </w:r>
            <w:r w:rsidRPr="00636006">
              <w:rPr>
                <w:rFonts w:eastAsia="MS Mincho"/>
                <w:sz w:val="22"/>
              </w:rPr>
              <w:t>13.4</w:t>
            </w:r>
            <w:r w:rsidR="00166394" w:rsidRPr="00636006">
              <w:rPr>
                <w:rFonts w:eastAsia="MS Mincho"/>
                <w:sz w:val="22"/>
              </w:rPr>
              <w:t>%)</w:t>
            </w:r>
          </w:p>
        </w:tc>
        <w:tc>
          <w:tcPr>
            <w:tcW w:w="1341" w:type="dxa"/>
            <w:tcBorders>
              <w:top w:val="single" w:sz="4" w:space="0" w:color="auto"/>
            </w:tcBorders>
            <w:shd w:val="clear" w:color="auto" w:fill="FFFFFF"/>
            <w:vAlign w:val="bottom"/>
          </w:tcPr>
          <w:p w14:paraId="6A28EF81" w14:textId="40F8BDBA" w:rsidR="00944DF1" w:rsidRPr="00636006" w:rsidRDefault="00E77967" w:rsidP="009D6881">
            <w:pPr>
              <w:spacing w:afterLines="20" w:after="48"/>
              <w:jc w:val="center"/>
              <w:rPr>
                <w:rFonts w:eastAsia="MS Mincho"/>
                <w:sz w:val="22"/>
              </w:rPr>
            </w:pPr>
            <w:r w:rsidRPr="00636006">
              <w:rPr>
                <w:rFonts w:eastAsia="MS Mincho"/>
                <w:sz w:val="22"/>
              </w:rPr>
              <w:t xml:space="preserve">11 </w:t>
            </w:r>
            <w:r w:rsidR="00944DF1" w:rsidRPr="00636006">
              <w:rPr>
                <w:rFonts w:eastAsia="MS Mincho"/>
                <w:sz w:val="22"/>
              </w:rPr>
              <w:t>(0.7%)</w:t>
            </w:r>
          </w:p>
        </w:tc>
        <w:tc>
          <w:tcPr>
            <w:tcW w:w="1494" w:type="dxa"/>
            <w:tcBorders>
              <w:top w:val="single" w:sz="4" w:space="0" w:color="auto"/>
            </w:tcBorders>
            <w:shd w:val="clear" w:color="auto" w:fill="FFFFFF"/>
            <w:vAlign w:val="bottom"/>
          </w:tcPr>
          <w:p w14:paraId="3F79155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2334462E"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453EC59B" w14:textId="77777777" w:rsidTr="000823AB">
        <w:tc>
          <w:tcPr>
            <w:tcW w:w="2917" w:type="dxa"/>
            <w:tcBorders>
              <w:left w:val="single" w:sz="4" w:space="0" w:color="auto"/>
              <w:bottom w:val="single" w:sz="4" w:space="0" w:color="auto"/>
            </w:tcBorders>
            <w:shd w:val="clear" w:color="auto" w:fill="FFFFFF"/>
            <w:vAlign w:val="bottom"/>
          </w:tcPr>
          <w:p w14:paraId="5454F93D" w14:textId="77777777" w:rsidR="00944DF1" w:rsidRPr="00636006" w:rsidRDefault="00944DF1" w:rsidP="009D6881">
            <w:pPr>
              <w:spacing w:afterLines="20" w:after="48"/>
              <w:jc w:val="left"/>
              <w:rPr>
                <w:rFonts w:eastAsia="MS Mincho"/>
                <w:sz w:val="22"/>
              </w:rPr>
            </w:pPr>
            <w:r w:rsidRPr="00636006">
              <w:rPr>
                <w:rFonts w:eastAsia="MS Mincho"/>
                <w:sz w:val="22"/>
              </w:rPr>
              <w:t>Musculoskeletal pain</w:t>
            </w:r>
          </w:p>
        </w:tc>
        <w:tc>
          <w:tcPr>
            <w:tcW w:w="1444" w:type="dxa"/>
            <w:gridSpan w:val="2"/>
            <w:tcBorders>
              <w:bottom w:val="single" w:sz="4" w:space="0" w:color="auto"/>
            </w:tcBorders>
            <w:shd w:val="clear" w:color="auto" w:fill="FFFFFF"/>
            <w:vAlign w:val="bottom"/>
          </w:tcPr>
          <w:p w14:paraId="5AEA8954" w14:textId="2DD72BF5" w:rsidR="00944DF1" w:rsidRPr="00636006" w:rsidRDefault="00E77967" w:rsidP="00E77967">
            <w:pPr>
              <w:spacing w:afterLines="20" w:after="48"/>
              <w:jc w:val="center"/>
              <w:rPr>
                <w:rFonts w:eastAsia="MS Mincho"/>
                <w:sz w:val="22"/>
              </w:rPr>
            </w:pPr>
            <w:r w:rsidRPr="00807F0B">
              <w:rPr>
                <w:rFonts w:eastAsia="MS Mincho"/>
                <w:sz w:val="22"/>
              </w:rPr>
              <w:t>158</w:t>
            </w:r>
            <w:r w:rsidRPr="00807F0B" w:rsidDel="00E77967">
              <w:rPr>
                <w:rFonts w:eastAsia="MS Mincho"/>
                <w:sz w:val="22"/>
              </w:rPr>
              <w:t xml:space="preserve"> </w:t>
            </w:r>
            <w:r w:rsidR="00166394" w:rsidRPr="00636006">
              <w:rPr>
                <w:rFonts w:eastAsia="MS Mincho"/>
                <w:sz w:val="22"/>
              </w:rPr>
              <w:t>(</w:t>
            </w:r>
            <w:r w:rsidRPr="00636006">
              <w:rPr>
                <w:rFonts w:eastAsia="MS Mincho"/>
                <w:sz w:val="22"/>
              </w:rPr>
              <w:t>9.7</w:t>
            </w:r>
            <w:r w:rsidR="00166394" w:rsidRPr="00636006">
              <w:rPr>
                <w:rFonts w:eastAsia="MS Mincho"/>
                <w:sz w:val="22"/>
              </w:rPr>
              <w:t>%)</w:t>
            </w:r>
          </w:p>
        </w:tc>
        <w:tc>
          <w:tcPr>
            <w:tcW w:w="1341" w:type="dxa"/>
            <w:tcBorders>
              <w:bottom w:val="single" w:sz="4" w:space="0" w:color="auto"/>
            </w:tcBorders>
            <w:shd w:val="clear" w:color="auto" w:fill="FFFFFF"/>
            <w:vAlign w:val="bottom"/>
          </w:tcPr>
          <w:p w14:paraId="72A33221" w14:textId="32BE19D1" w:rsidR="00944DF1" w:rsidRPr="00636006" w:rsidRDefault="00E77967" w:rsidP="009D6881">
            <w:pPr>
              <w:spacing w:afterLines="20" w:after="48"/>
              <w:jc w:val="center"/>
              <w:rPr>
                <w:rFonts w:eastAsia="MS Mincho"/>
                <w:sz w:val="22"/>
              </w:rPr>
            </w:pPr>
            <w:r w:rsidRPr="00636006">
              <w:rPr>
                <w:rFonts w:eastAsia="MS Mincho"/>
                <w:sz w:val="22"/>
              </w:rPr>
              <w:t xml:space="preserve">8 </w:t>
            </w:r>
            <w:r w:rsidR="00166394" w:rsidRPr="00636006">
              <w:rPr>
                <w:rFonts w:eastAsia="MS Mincho"/>
                <w:sz w:val="22"/>
              </w:rPr>
              <w:t>(0.5%)</w:t>
            </w:r>
          </w:p>
        </w:tc>
        <w:tc>
          <w:tcPr>
            <w:tcW w:w="1494" w:type="dxa"/>
            <w:tcBorders>
              <w:bottom w:val="single" w:sz="4" w:space="0" w:color="auto"/>
            </w:tcBorders>
            <w:shd w:val="clear" w:color="auto" w:fill="FFFFFF"/>
            <w:vAlign w:val="bottom"/>
          </w:tcPr>
          <w:p w14:paraId="79C71B4A"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666ED719"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33398B53" w14:textId="77777777" w:rsidTr="008524BA">
        <w:trPr>
          <w:trHeight w:val="393"/>
        </w:trPr>
        <w:tc>
          <w:tcPr>
            <w:tcW w:w="2917" w:type="dxa"/>
            <w:tcBorders>
              <w:top w:val="single" w:sz="4" w:space="0" w:color="auto"/>
              <w:left w:val="single" w:sz="4" w:space="0" w:color="auto"/>
            </w:tcBorders>
            <w:shd w:val="clear" w:color="auto" w:fill="FFFFFF"/>
            <w:vAlign w:val="bottom"/>
          </w:tcPr>
          <w:p w14:paraId="12D50F11" w14:textId="7E2068F6" w:rsidR="00944DF1" w:rsidRPr="00636006" w:rsidRDefault="00944DF1" w:rsidP="00E105E4">
            <w:pPr>
              <w:spacing w:afterLines="20" w:after="48"/>
              <w:jc w:val="left"/>
              <w:rPr>
                <w:rFonts w:eastAsia="MS Mincho"/>
                <w:sz w:val="22"/>
                <w:lang w:val="fr-CH"/>
              </w:rPr>
            </w:pPr>
            <w:r w:rsidRPr="00636006">
              <w:rPr>
                <w:rFonts w:eastAsia="MS Mincho"/>
                <w:b/>
                <w:sz w:val="22"/>
              </w:rPr>
              <w:t>Nervous System Disorders</w:t>
            </w:r>
            <w:r w:rsidRPr="005A3F14">
              <w:rPr>
                <w:rFonts w:eastAsia="MS Mincho"/>
                <w:sz w:val="22"/>
              </w:rPr>
              <w:t xml:space="preserve"> Guillain-Barré syndrome</w:t>
            </w:r>
            <w:r w:rsidRPr="00807F0B">
              <w:rPr>
                <w:rFonts w:eastAsia="MS Mincho"/>
                <w:sz w:val="22"/>
                <w:lang w:val="fr-CH"/>
              </w:rPr>
              <w:t xml:space="preserve"> </w:t>
            </w:r>
            <w:r w:rsidR="00166394" w:rsidRPr="00807F0B">
              <w:rPr>
                <w:rFonts w:eastAsia="MS Mincho"/>
                <w:sz w:val="22"/>
                <w:vertAlign w:val="superscript"/>
                <w:lang w:val="fr-CH"/>
              </w:rPr>
              <w:t>h</w:t>
            </w:r>
          </w:p>
        </w:tc>
        <w:tc>
          <w:tcPr>
            <w:tcW w:w="1359" w:type="dxa"/>
            <w:tcBorders>
              <w:top w:val="single" w:sz="4" w:space="0" w:color="auto"/>
            </w:tcBorders>
            <w:shd w:val="clear" w:color="auto" w:fill="FFFFFF"/>
            <w:vAlign w:val="bottom"/>
          </w:tcPr>
          <w:p w14:paraId="12AFB175" w14:textId="41F1292A" w:rsidR="00944DF1" w:rsidRPr="00636006" w:rsidRDefault="00166394" w:rsidP="009D6881">
            <w:pPr>
              <w:spacing w:afterLines="20" w:after="48"/>
              <w:jc w:val="center"/>
              <w:rPr>
                <w:rFonts w:eastAsia="MS Mincho"/>
                <w:sz w:val="22"/>
              </w:rPr>
            </w:pPr>
            <w:r w:rsidRPr="00636006">
              <w:rPr>
                <w:rFonts w:eastAsia="MS Mincho"/>
                <w:sz w:val="22"/>
              </w:rPr>
              <w:t>5 (0.</w:t>
            </w:r>
            <w:r w:rsidR="00E77967" w:rsidRPr="00636006">
              <w:rPr>
                <w:rFonts w:eastAsia="MS Mincho"/>
                <w:sz w:val="22"/>
              </w:rPr>
              <w:t>3</w:t>
            </w:r>
            <w:r w:rsidRPr="00636006">
              <w:rPr>
                <w:rFonts w:eastAsia="MS Mincho"/>
                <w:sz w:val="22"/>
              </w:rPr>
              <w:t>%)</w:t>
            </w:r>
          </w:p>
        </w:tc>
        <w:tc>
          <w:tcPr>
            <w:tcW w:w="1426" w:type="dxa"/>
            <w:gridSpan w:val="2"/>
            <w:tcBorders>
              <w:top w:val="single" w:sz="4" w:space="0" w:color="auto"/>
            </w:tcBorders>
            <w:shd w:val="clear" w:color="auto" w:fill="FFFFFF"/>
            <w:vAlign w:val="bottom"/>
          </w:tcPr>
          <w:p w14:paraId="79378FE8" w14:textId="4774F22E" w:rsidR="00944DF1" w:rsidRPr="00636006" w:rsidRDefault="00166394" w:rsidP="009D6881">
            <w:pPr>
              <w:spacing w:afterLines="20" w:after="48"/>
              <w:jc w:val="center"/>
              <w:rPr>
                <w:rFonts w:eastAsia="MS Mincho"/>
                <w:sz w:val="22"/>
              </w:rPr>
            </w:pPr>
            <w:r w:rsidRPr="00636006">
              <w:rPr>
                <w:rFonts w:eastAsia="MS Mincho"/>
                <w:sz w:val="22"/>
              </w:rPr>
              <w:t>4 (0.2%)</w:t>
            </w:r>
          </w:p>
        </w:tc>
        <w:tc>
          <w:tcPr>
            <w:tcW w:w="1494" w:type="dxa"/>
            <w:tcBorders>
              <w:top w:val="single" w:sz="4" w:space="0" w:color="auto"/>
            </w:tcBorders>
            <w:shd w:val="clear" w:color="auto" w:fill="FFFFFF"/>
            <w:vAlign w:val="bottom"/>
          </w:tcPr>
          <w:p w14:paraId="6398BAE4"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7546ABCB" w14:textId="6C7B984A" w:rsidR="00944DF1" w:rsidRPr="00636006" w:rsidRDefault="00D326E5" w:rsidP="009D6881">
            <w:pPr>
              <w:spacing w:afterLines="20" w:after="48"/>
              <w:jc w:val="center"/>
              <w:rPr>
                <w:rFonts w:eastAsia="MS Mincho"/>
                <w:sz w:val="22"/>
              </w:rPr>
            </w:pPr>
            <w:r w:rsidRPr="00636006">
              <w:rPr>
                <w:rFonts w:eastAsia="MS Mincho"/>
                <w:sz w:val="22"/>
              </w:rPr>
              <w:t>Uncommon</w:t>
            </w:r>
          </w:p>
        </w:tc>
      </w:tr>
      <w:tr w:rsidR="00944DF1" w:rsidRPr="009D6881" w14:paraId="28FDCAC0" w14:textId="77777777" w:rsidTr="008524BA">
        <w:trPr>
          <w:trHeight w:val="309"/>
        </w:trPr>
        <w:tc>
          <w:tcPr>
            <w:tcW w:w="2917" w:type="dxa"/>
            <w:tcBorders>
              <w:left w:val="single" w:sz="4" w:space="0" w:color="auto"/>
            </w:tcBorders>
            <w:shd w:val="clear" w:color="auto" w:fill="FFFFFF"/>
            <w:vAlign w:val="bottom"/>
          </w:tcPr>
          <w:p w14:paraId="41A2BD4E" w14:textId="3C679AC8" w:rsidR="00944DF1" w:rsidRPr="00807F0B" w:rsidRDefault="00944DF1" w:rsidP="00E105E4">
            <w:pPr>
              <w:spacing w:afterLines="20" w:after="48"/>
              <w:jc w:val="left"/>
              <w:rPr>
                <w:rFonts w:eastAsia="MS Mincho"/>
                <w:sz w:val="22"/>
                <w:lang w:val="fr-CH"/>
              </w:rPr>
            </w:pPr>
            <w:r w:rsidRPr="00636006">
              <w:rPr>
                <w:rFonts w:eastAsia="MS Mincho"/>
                <w:sz w:val="22"/>
                <w:lang w:val="fr-CH"/>
              </w:rPr>
              <w:t>Noni</w:t>
            </w:r>
            <w:r w:rsidRPr="005A3F14">
              <w:rPr>
                <w:rFonts w:eastAsia="MS Mincho"/>
                <w:sz w:val="22"/>
                <w:lang w:val="fr-CH"/>
              </w:rPr>
              <w:t xml:space="preserve">nfective encephalitis </w:t>
            </w:r>
            <w:r w:rsidR="00166394" w:rsidRPr="00807F0B">
              <w:rPr>
                <w:rFonts w:eastAsia="MS Mincho"/>
                <w:sz w:val="22"/>
                <w:vertAlign w:val="superscript"/>
                <w:lang w:val="fr-CH"/>
              </w:rPr>
              <w:t>i</w:t>
            </w:r>
          </w:p>
        </w:tc>
        <w:tc>
          <w:tcPr>
            <w:tcW w:w="1359" w:type="dxa"/>
            <w:shd w:val="clear" w:color="auto" w:fill="FFFFFF"/>
            <w:vAlign w:val="bottom"/>
          </w:tcPr>
          <w:p w14:paraId="1B451E1F" w14:textId="2EA8CF35" w:rsidR="00944DF1" w:rsidRPr="00636006" w:rsidRDefault="00D326E5" w:rsidP="009D6881">
            <w:pPr>
              <w:spacing w:afterLines="20" w:after="48"/>
              <w:jc w:val="center"/>
              <w:rPr>
                <w:rFonts w:eastAsia="MS Mincho"/>
                <w:sz w:val="22"/>
              </w:rPr>
            </w:pPr>
            <w:r w:rsidRPr="00636006">
              <w:rPr>
                <w:rFonts w:eastAsia="MS Mincho"/>
                <w:sz w:val="22"/>
              </w:rPr>
              <w:t xml:space="preserve">2 </w:t>
            </w:r>
            <w:r w:rsidR="00944DF1" w:rsidRPr="00636006">
              <w:rPr>
                <w:rFonts w:eastAsia="MS Mincho"/>
                <w:sz w:val="22"/>
              </w:rPr>
              <w:t>(0.1%)</w:t>
            </w:r>
          </w:p>
        </w:tc>
        <w:tc>
          <w:tcPr>
            <w:tcW w:w="1426" w:type="dxa"/>
            <w:gridSpan w:val="2"/>
            <w:shd w:val="clear" w:color="auto" w:fill="FFFFFF"/>
            <w:vAlign w:val="bottom"/>
          </w:tcPr>
          <w:p w14:paraId="45A15B5C" w14:textId="39F0097B" w:rsidR="00944DF1" w:rsidRPr="00636006" w:rsidRDefault="00D326E5" w:rsidP="009D6881">
            <w:pPr>
              <w:spacing w:afterLines="20" w:after="48"/>
              <w:jc w:val="center"/>
              <w:rPr>
                <w:rFonts w:eastAsia="MS Mincho"/>
                <w:sz w:val="22"/>
              </w:rPr>
            </w:pPr>
            <w:r w:rsidRPr="00636006">
              <w:rPr>
                <w:rFonts w:eastAsia="MS Mincho"/>
                <w:sz w:val="22"/>
              </w:rPr>
              <w:t xml:space="preserve">2 </w:t>
            </w:r>
            <w:r w:rsidR="00944DF1" w:rsidRPr="00636006">
              <w:rPr>
                <w:rFonts w:eastAsia="MS Mincho"/>
                <w:sz w:val="22"/>
              </w:rPr>
              <w:t>(0.1%)</w:t>
            </w:r>
          </w:p>
        </w:tc>
        <w:tc>
          <w:tcPr>
            <w:tcW w:w="1494" w:type="dxa"/>
            <w:shd w:val="clear" w:color="auto" w:fill="FFFFFF"/>
            <w:vAlign w:val="bottom"/>
          </w:tcPr>
          <w:p w14:paraId="5A3AB8EE"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19D55A81" w14:textId="77777777" w:rsidR="00944DF1" w:rsidRPr="00636006" w:rsidRDefault="00944DF1" w:rsidP="009D6881">
            <w:pPr>
              <w:spacing w:afterLines="20" w:after="48"/>
              <w:jc w:val="center"/>
              <w:rPr>
                <w:rFonts w:eastAsia="MS Mincho"/>
                <w:sz w:val="22"/>
              </w:rPr>
            </w:pPr>
            <w:r w:rsidRPr="00636006">
              <w:rPr>
                <w:rFonts w:eastAsia="MS Mincho"/>
                <w:sz w:val="22"/>
              </w:rPr>
              <w:t>Rare</w:t>
            </w:r>
          </w:p>
        </w:tc>
      </w:tr>
      <w:tr w:rsidR="00944DF1" w:rsidRPr="009D6881" w14:paraId="41F44CA5" w14:textId="77777777" w:rsidTr="008524BA">
        <w:tc>
          <w:tcPr>
            <w:tcW w:w="2917" w:type="dxa"/>
            <w:tcBorders>
              <w:left w:val="single" w:sz="4" w:space="0" w:color="auto"/>
            </w:tcBorders>
            <w:shd w:val="clear" w:color="auto" w:fill="FFFFFF"/>
            <w:vAlign w:val="bottom"/>
          </w:tcPr>
          <w:p w14:paraId="2B57F0F5" w14:textId="6DA9B668" w:rsidR="00944DF1" w:rsidRPr="00807F0B" w:rsidRDefault="00944DF1" w:rsidP="00E105E4">
            <w:pPr>
              <w:spacing w:afterLines="20" w:after="48"/>
              <w:jc w:val="left"/>
              <w:rPr>
                <w:rFonts w:eastAsia="MS Mincho"/>
                <w:sz w:val="22"/>
              </w:rPr>
            </w:pPr>
            <w:r w:rsidRPr="00636006">
              <w:rPr>
                <w:rFonts w:eastAsia="MS Mincho"/>
                <w:sz w:val="22"/>
                <w:lang w:val="fr-CH"/>
              </w:rPr>
              <w:t>Meningitis noninfective</w:t>
            </w:r>
            <w:r w:rsidRPr="005A3F14">
              <w:rPr>
                <w:sz w:val="22"/>
                <w:vertAlign w:val="superscript"/>
              </w:rPr>
              <w:t xml:space="preserve"> </w:t>
            </w:r>
            <w:r w:rsidR="00166394" w:rsidRPr="00807F0B">
              <w:rPr>
                <w:sz w:val="22"/>
                <w:vertAlign w:val="superscript"/>
              </w:rPr>
              <w:t>j</w:t>
            </w:r>
          </w:p>
        </w:tc>
        <w:tc>
          <w:tcPr>
            <w:tcW w:w="1359" w:type="dxa"/>
            <w:shd w:val="clear" w:color="auto" w:fill="FFFFFF"/>
            <w:vAlign w:val="bottom"/>
          </w:tcPr>
          <w:p w14:paraId="67C3AC3C" w14:textId="48A886EE" w:rsidR="00944DF1" w:rsidRPr="00636006" w:rsidRDefault="00D326E5" w:rsidP="009D6881">
            <w:pPr>
              <w:spacing w:afterLines="20" w:after="48"/>
              <w:jc w:val="center"/>
              <w:rPr>
                <w:rFonts w:eastAsia="MS Mincho"/>
                <w:sz w:val="22"/>
              </w:rPr>
            </w:pPr>
            <w:r w:rsidRPr="00636006">
              <w:rPr>
                <w:rFonts w:eastAsia="MS Mincho"/>
                <w:sz w:val="22"/>
              </w:rPr>
              <w:t>3 (0.</w:t>
            </w:r>
            <w:r w:rsidR="00E77967" w:rsidRPr="00636006">
              <w:rPr>
                <w:rFonts w:eastAsia="MS Mincho"/>
                <w:sz w:val="22"/>
              </w:rPr>
              <w:t>2</w:t>
            </w:r>
            <w:r w:rsidRPr="00636006">
              <w:rPr>
                <w:rFonts w:eastAsia="MS Mincho"/>
                <w:sz w:val="22"/>
              </w:rPr>
              <w:t>%)</w:t>
            </w:r>
          </w:p>
        </w:tc>
        <w:tc>
          <w:tcPr>
            <w:tcW w:w="1426" w:type="dxa"/>
            <w:gridSpan w:val="2"/>
            <w:shd w:val="clear" w:color="auto" w:fill="FFFFFF"/>
            <w:vAlign w:val="bottom"/>
          </w:tcPr>
          <w:p w14:paraId="58B373B4" w14:textId="044D2ABC" w:rsidR="00944DF1" w:rsidRPr="00636006" w:rsidRDefault="00D326E5" w:rsidP="009D6881">
            <w:pPr>
              <w:spacing w:afterLines="20" w:after="48"/>
              <w:jc w:val="center"/>
              <w:rPr>
                <w:rFonts w:eastAsia="MS Mincho"/>
                <w:sz w:val="22"/>
              </w:rPr>
            </w:pPr>
            <w:r w:rsidRPr="00636006">
              <w:rPr>
                <w:rFonts w:eastAsia="MS Mincho"/>
                <w:sz w:val="22"/>
              </w:rPr>
              <w:t>2 (0.1%)</w:t>
            </w:r>
          </w:p>
        </w:tc>
        <w:tc>
          <w:tcPr>
            <w:tcW w:w="1494" w:type="dxa"/>
            <w:shd w:val="clear" w:color="auto" w:fill="FFFFFF"/>
            <w:vAlign w:val="bottom"/>
          </w:tcPr>
          <w:p w14:paraId="776AAE88" w14:textId="6CB53290" w:rsidR="00944DF1" w:rsidRPr="00636006" w:rsidRDefault="00D326E5"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52B6980F" w14:textId="7E61B31F" w:rsidR="00944DF1" w:rsidRPr="00636006" w:rsidRDefault="00D326E5" w:rsidP="009D6881">
            <w:pPr>
              <w:spacing w:afterLines="20" w:after="48"/>
              <w:jc w:val="center"/>
              <w:rPr>
                <w:rFonts w:eastAsia="MS Mincho"/>
                <w:sz w:val="22"/>
              </w:rPr>
            </w:pPr>
            <w:r w:rsidRPr="00636006">
              <w:rPr>
                <w:rFonts w:eastAsia="MS Mincho"/>
                <w:sz w:val="22"/>
              </w:rPr>
              <w:t>Uncommon</w:t>
            </w:r>
          </w:p>
        </w:tc>
      </w:tr>
      <w:tr w:rsidR="00944DF1" w:rsidRPr="009D6881" w14:paraId="03268EE6" w14:textId="77777777" w:rsidTr="008524BA">
        <w:tc>
          <w:tcPr>
            <w:tcW w:w="2917" w:type="dxa"/>
            <w:tcBorders>
              <w:left w:val="single" w:sz="4" w:space="0" w:color="auto"/>
              <w:bottom w:val="single" w:sz="4" w:space="0" w:color="auto"/>
            </w:tcBorders>
            <w:shd w:val="clear" w:color="auto" w:fill="FFFFFF"/>
            <w:vAlign w:val="bottom"/>
          </w:tcPr>
          <w:p w14:paraId="542D1D92" w14:textId="22C7A620" w:rsidR="00944DF1" w:rsidRPr="00807F0B" w:rsidRDefault="00944DF1" w:rsidP="00E105E4">
            <w:pPr>
              <w:spacing w:afterLines="20" w:after="48"/>
              <w:jc w:val="left"/>
              <w:rPr>
                <w:rFonts w:eastAsia="MS Mincho"/>
                <w:sz w:val="22"/>
              </w:rPr>
            </w:pPr>
            <w:r w:rsidRPr="00636006">
              <w:rPr>
                <w:rFonts w:eastAsia="MS Mincho"/>
                <w:sz w:val="22"/>
              </w:rPr>
              <w:t>Myasthenic syndrome</w:t>
            </w:r>
            <w:r w:rsidRPr="005A3F14">
              <w:rPr>
                <w:sz w:val="22"/>
                <w:vertAlign w:val="superscript"/>
              </w:rPr>
              <w:t xml:space="preserve"> </w:t>
            </w:r>
            <w:r w:rsidR="00166394" w:rsidRPr="00807F0B">
              <w:rPr>
                <w:sz w:val="22"/>
                <w:vertAlign w:val="superscript"/>
              </w:rPr>
              <w:t>k</w:t>
            </w:r>
          </w:p>
        </w:tc>
        <w:tc>
          <w:tcPr>
            <w:tcW w:w="1359" w:type="dxa"/>
            <w:tcBorders>
              <w:bottom w:val="single" w:sz="4" w:space="0" w:color="auto"/>
            </w:tcBorders>
            <w:shd w:val="clear" w:color="auto" w:fill="FFFFFF"/>
            <w:vAlign w:val="bottom"/>
          </w:tcPr>
          <w:p w14:paraId="61D45CC1" w14:textId="77777777" w:rsidR="00944DF1" w:rsidRPr="00636006" w:rsidRDefault="00944DF1" w:rsidP="009D6881">
            <w:pPr>
              <w:spacing w:afterLines="20" w:after="48"/>
              <w:jc w:val="center"/>
              <w:rPr>
                <w:rFonts w:eastAsia="MS Mincho"/>
                <w:sz w:val="22"/>
              </w:rPr>
            </w:pPr>
            <w:r w:rsidRPr="00636006">
              <w:rPr>
                <w:rFonts w:eastAsia="MS Mincho"/>
                <w:sz w:val="22"/>
              </w:rPr>
              <w:t>-</w:t>
            </w:r>
          </w:p>
        </w:tc>
        <w:tc>
          <w:tcPr>
            <w:tcW w:w="1426" w:type="dxa"/>
            <w:gridSpan w:val="2"/>
            <w:tcBorders>
              <w:bottom w:val="single" w:sz="4" w:space="0" w:color="auto"/>
            </w:tcBorders>
            <w:shd w:val="clear" w:color="auto" w:fill="FFFFFF"/>
            <w:vAlign w:val="bottom"/>
          </w:tcPr>
          <w:p w14:paraId="2AF7357A" w14:textId="77777777" w:rsidR="00944DF1" w:rsidRPr="00636006" w:rsidRDefault="00944DF1" w:rsidP="009D6881">
            <w:pPr>
              <w:spacing w:afterLines="20" w:after="48"/>
              <w:jc w:val="center"/>
              <w:rPr>
                <w:rFonts w:eastAsia="MS Mincho"/>
                <w:sz w:val="22"/>
              </w:rPr>
            </w:pPr>
            <w:r w:rsidRPr="00636006">
              <w:rPr>
                <w:rFonts w:eastAsia="MS Mincho"/>
                <w:sz w:val="22"/>
              </w:rPr>
              <w:t>-</w:t>
            </w:r>
          </w:p>
        </w:tc>
        <w:tc>
          <w:tcPr>
            <w:tcW w:w="1494" w:type="dxa"/>
            <w:tcBorders>
              <w:bottom w:val="single" w:sz="4" w:space="0" w:color="auto"/>
            </w:tcBorders>
            <w:shd w:val="clear" w:color="auto" w:fill="FFFFFF"/>
            <w:vAlign w:val="bottom"/>
          </w:tcPr>
          <w:p w14:paraId="68CB493B" w14:textId="77777777" w:rsidR="00944DF1" w:rsidRPr="00636006" w:rsidRDefault="00944DF1" w:rsidP="009D6881">
            <w:pPr>
              <w:spacing w:afterLines="20" w:after="48"/>
              <w:jc w:val="center"/>
              <w:rPr>
                <w:rFonts w:eastAsia="MS Mincho"/>
                <w:sz w:val="22"/>
              </w:rPr>
            </w:pPr>
            <w:r w:rsidRPr="00636006">
              <w:rPr>
                <w:rFonts w:eastAsia="MS Mincho"/>
                <w:sz w:val="22"/>
              </w:rPr>
              <w:t>-</w:t>
            </w:r>
          </w:p>
        </w:tc>
        <w:tc>
          <w:tcPr>
            <w:tcW w:w="1732" w:type="dxa"/>
            <w:tcBorders>
              <w:bottom w:val="single" w:sz="4" w:space="0" w:color="auto"/>
              <w:right w:val="single" w:sz="4" w:space="0" w:color="auto"/>
            </w:tcBorders>
            <w:shd w:val="clear" w:color="auto" w:fill="FFFFFF"/>
            <w:vAlign w:val="bottom"/>
          </w:tcPr>
          <w:p w14:paraId="59C55A50" w14:textId="77777777" w:rsidR="00944DF1" w:rsidRPr="00636006" w:rsidRDefault="00944DF1" w:rsidP="009D6881">
            <w:pPr>
              <w:spacing w:afterLines="20" w:after="48"/>
              <w:jc w:val="center"/>
              <w:rPr>
                <w:rFonts w:eastAsia="MS Mincho"/>
                <w:sz w:val="22"/>
              </w:rPr>
            </w:pPr>
            <w:r w:rsidRPr="00636006">
              <w:rPr>
                <w:rFonts w:eastAsia="MS Mincho"/>
                <w:sz w:val="22"/>
              </w:rPr>
              <w:t>Rare</w:t>
            </w:r>
          </w:p>
        </w:tc>
      </w:tr>
      <w:tr w:rsidR="00944DF1" w:rsidRPr="009D6881" w14:paraId="71354A19" w14:textId="77777777" w:rsidTr="000823AB">
        <w:tc>
          <w:tcPr>
            <w:tcW w:w="2917" w:type="dxa"/>
            <w:tcBorders>
              <w:top w:val="single" w:sz="4" w:space="0" w:color="auto"/>
              <w:left w:val="single" w:sz="4" w:space="0" w:color="auto"/>
            </w:tcBorders>
            <w:shd w:val="clear" w:color="auto" w:fill="FFFFFF"/>
            <w:vAlign w:val="bottom"/>
          </w:tcPr>
          <w:p w14:paraId="60469657" w14:textId="77777777" w:rsidR="00FB1725" w:rsidRPr="00807F0B" w:rsidRDefault="00944DF1" w:rsidP="009D6881">
            <w:pPr>
              <w:spacing w:afterLines="20" w:after="48"/>
              <w:jc w:val="left"/>
              <w:rPr>
                <w:rFonts w:eastAsia="MS Mincho"/>
                <w:sz w:val="22"/>
              </w:rPr>
            </w:pPr>
            <w:r w:rsidRPr="00636006">
              <w:rPr>
                <w:rFonts w:eastAsia="MS Mincho"/>
                <w:b/>
                <w:sz w:val="22"/>
              </w:rPr>
              <w:t>Respiratory, Thoracic, and Mediastinal Disorders</w:t>
            </w:r>
            <w:r w:rsidRPr="00807F0B">
              <w:rPr>
                <w:rFonts w:eastAsia="MS Mincho"/>
                <w:sz w:val="22"/>
              </w:rPr>
              <w:t xml:space="preserve"> </w:t>
            </w:r>
          </w:p>
          <w:p w14:paraId="33208756" w14:textId="5C6357CE" w:rsidR="00944DF1" w:rsidRPr="00636006" w:rsidRDefault="00944DF1" w:rsidP="009D6881">
            <w:pPr>
              <w:spacing w:afterLines="20" w:after="48"/>
              <w:jc w:val="left"/>
              <w:rPr>
                <w:rFonts w:eastAsia="MS Mincho"/>
                <w:sz w:val="22"/>
              </w:rPr>
            </w:pPr>
            <w:r w:rsidRPr="00636006">
              <w:rPr>
                <w:rFonts w:eastAsia="MS Mincho"/>
                <w:sz w:val="22"/>
              </w:rPr>
              <w:t>Dyspn</w:t>
            </w:r>
            <w:r w:rsidR="00F14714" w:rsidRPr="00636006">
              <w:rPr>
                <w:rFonts w:eastAsia="MS Mincho"/>
                <w:sz w:val="22"/>
              </w:rPr>
              <w:t>o</w:t>
            </w:r>
            <w:r w:rsidRPr="00636006">
              <w:rPr>
                <w:rFonts w:eastAsia="MS Mincho"/>
                <w:sz w:val="22"/>
              </w:rPr>
              <w:t>ea</w:t>
            </w:r>
          </w:p>
        </w:tc>
        <w:tc>
          <w:tcPr>
            <w:tcW w:w="1444" w:type="dxa"/>
            <w:gridSpan w:val="2"/>
            <w:tcBorders>
              <w:top w:val="single" w:sz="4" w:space="0" w:color="auto"/>
            </w:tcBorders>
            <w:shd w:val="clear" w:color="auto" w:fill="FFFFFF"/>
            <w:vAlign w:val="bottom"/>
          </w:tcPr>
          <w:p w14:paraId="01F4CA1C" w14:textId="3D42624B" w:rsidR="00944DF1" w:rsidRPr="00636006" w:rsidRDefault="00E77967" w:rsidP="00E77967">
            <w:pPr>
              <w:spacing w:afterLines="20" w:after="48"/>
              <w:jc w:val="center"/>
              <w:rPr>
                <w:rFonts w:eastAsia="MS Mincho"/>
                <w:sz w:val="22"/>
              </w:rPr>
            </w:pPr>
            <w:r w:rsidRPr="00636006">
              <w:rPr>
                <w:rFonts w:eastAsia="MS Mincho"/>
                <w:sz w:val="22"/>
              </w:rPr>
              <w:t>386</w:t>
            </w:r>
            <w:r w:rsidRPr="00636006" w:rsidDel="00E77967">
              <w:rPr>
                <w:rFonts w:eastAsia="MS Mincho"/>
                <w:sz w:val="22"/>
              </w:rPr>
              <w:t xml:space="preserve"> </w:t>
            </w:r>
            <w:r w:rsidR="00D326E5" w:rsidRPr="00636006">
              <w:rPr>
                <w:rFonts w:eastAsia="MS Mincho"/>
                <w:sz w:val="22"/>
              </w:rPr>
              <w:t>(2</w:t>
            </w:r>
            <w:r w:rsidRPr="00636006">
              <w:rPr>
                <w:rFonts w:eastAsia="MS Mincho"/>
                <w:sz w:val="22"/>
              </w:rPr>
              <w:t>3.6</w:t>
            </w:r>
            <w:r w:rsidR="00D326E5" w:rsidRPr="00636006">
              <w:rPr>
                <w:rFonts w:eastAsia="MS Mincho"/>
                <w:sz w:val="22"/>
              </w:rPr>
              <w:t>%)</w:t>
            </w:r>
          </w:p>
        </w:tc>
        <w:tc>
          <w:tcPr>
            <w:tcW w:w="1341" w:type="dxa"/>
            <w:tcBorders>
              <w:top w:val="single" w:sz="4" w:space="0" w:color="auto"/>
            </w:tcBorders>
            <w:shd w:val="clear" w:color="auto" w:fill="FFFFFF"/>
            <w:vAlign w:val="bottom"/>
          </w:tcPr>
          <w:p w14:paraId="26FA3BD0" w14:textId="3F0CB22A" w:rsidR="00944DF1" w:rsidRPr="00636006" w:rsidRDefault="00E77967" w:rsidP="00E77967">
            <w:pPr>
              <w:spacing w:afterLines="20" w:after="48"/>
              <w:jc w:val="center"/>
              <w:rPr>
                <w:rFonts w:eastAsia="MS Mincho"/>
                <w:sz w:val="22"/>
              </w:rPr>
            </w:pPr>
            <w:r w:rsidRPr="00636006">
              <w:rPr>
                <w:rFonts w:eastAsia="MS Mincho"/>
                <w:sz w:val="22"/>
              </w:rPr>
              <w:t xml:space="preserve">68 </w:t>
            </w:r>
            <w:r w:rsidR="00D326E5" w:rsidRPr="00636006">
              <w:rPr>
                <w:rFonts w:eastAsia="MS Mincho"/>
                <w:sz w:val="22"/>
              </w:rPr>
              <w:t>(</w:t>
            </w:r>
            <w:r w:rsidRPr="00636006">
              <w:rPr>
                <w:rFonts w:eastAsia="MS Mincho"/>
                <w:sz w:val="22"/>
              </w:rPr>
              <w:t>4.2</w:t>
            </w:r>
            <w:r w:rsidR="00D326E5" w:rsidRPr="00636006">
              <w:rPr>
                <w:rFonts w:eastAsia="MS Mincho"/>
                <w:sz w:val="22"/>
              </w:rPr>
              <w:t>%)</w:t>
            </w:r>
          </w:p>
        </w:tc>
        <w:tc>
          <w:tcPr>
            <w:tcW w:w="1494" w:type="dxa"/>
            <w:tcBorders>
              <w:top w:val="single" w:sz="4" w:space="0" w:color="auto"/>
            </w:tcBorders>
            <w:shd w:val="clear" w:color="auto" w:fill="FFFFFF"/>
            <w:vAlign w:val="bottom"/>
          </w:tcPr>
          <w:p w14:paraId="68D55169" w14:textId="165ACE79" w:rsidR="00944DF1" w:rsidRPr="00636006" w:rsidRDefault="00D326E5" w:rsidP="009D6881">
            <w:pPr>
              <w:spacing w:afterLines="20" w:after="48"/>
              <w:jc w:val="center"/>
              <w:rPr>
                <w:rFonts w:eastAsia="MS Mincho"/>
                <w:sz w:val="22"/>
              </w:rPr>
            </w:pPr>
            <w:r w:rsidRPr="00636006">
              <w:rPr>
                <w:rFonts w:eastAsia="MS Mincho"/>
                <w:sz w:val="22"/>
              </w:rPr>
              <w:t>1 (&lt;</w:t>
            </w:r>
            <w:r w:rsidR="00A27264" w:rsidRPr="00636006">
              <w:rPr>
                <w:rFonts w:eastAsia="MS Mincho"/>
                <w:sz w:val="22"/>
              </w:rPr>
              <w:t xml:space="preserve"> </w:t>
            </w:r>
            <w:r w:rsidRPr="00636006">
              <w:rPr>
                <w:rFonts w:eastAsia="MS Mincho"/>
                <w:sz w:val="22"/>
              </w:rPr>
              <w:t>0.1%)</w:t>
            </w:r>
          </w:p>
        </w:tc>
        <w:tc>
          <w:tcPr>
            <w:tcW w:w="1732" w:type="dxa"/>
            <w:tcBorders>
              <w:top w:val="single" w:sz="4" w:space="0" w:color="auto"/>
              <w:right w:val="single" w:sz="4" w:space="0" w:color="auto"/>
            </w:tcBorders>
            <w:shd w:val="clear" w:color="auto" w:fill="FFFFFF"/>
            <w:vAlign w:val="bottom"/>
          </w:tcPr>
          <w:p w14:paraId="5AA1187D"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79A40D01" w14:textId="77777777" w:rsidTr="000823AB">
        <w:tc>
          <w:tcPr>
            <w:tcW w:w="2917" w:type="dxa"/>
            <w:tcBorders>
              <w:left w:val="single" w:sz="4" w:space="0" w:color="auto"/>
            </w:tcBorders>
            <w:shd w:val="clear" w:color="auto" w:fill="FFFFFF"/>
            <w:vAlign w:val="bottom"/>
          </w:tcPr>
          <w:p w14:paraId="2468A75B" w14:textId="77777777" w:rsidR="00944DF1" w:rsidRPr="00636006" w:rsidRDefault="00944DF1" w:rsidP="009D6881">
            <w:pPr>
              <w:spacing w:afterLines="20" w:after="48"/>
              <w:jc w:val="left"/>
              <w:rPr>
                <w:rFonts w:eastAsia="MS Mincho"/>
                <w:sz w:val="22"/>
              </w:rPr>
            </w:pPr>
            <w:r w:rsidRPr="00636006">
              <w:rPr>
                <w:rFonts w:eastAsia="MS Mincho"/>
                <w:sz w:val="22"/>
              </w:rPr>
              <w:t>Hypoxia</w:t>
            </w:r>
          </w:p>
        </w:tc>
        <w:tc>
          <w:tcPr>
            <w:tcW w:w="1444" w:type="dxa"/>
            <w:gridSpan w:val="2"/>
            <w:shd w:val="clear" w:color="auto" w:fill="FFFFFF"/>
            <w:vAlign w:val="bottom"/>
          </w:tcPr>
          <w:p w14:paraId="5DE914B7" w14:textId="7826B544" w:rsidR="00944DF1" w:rsidRPr="00636006" w:rsidRDefault="00E77967" w:rsidP="009D6881">
            <w:pPr>
              <w:spacing w:afterLines="20" w:after="48"/>
              <w:jc w:val="center"/>
              <w:rPr>
                <w:rFonts w:eastAsia="MS Mincho"/>
                <w:sz w:val="22"/>
              </w:rPr>
            </w:pPr>
            <w:r w:rsidRPr="00807F0B">
              <w:rPr>
                <w:rFonts w:eastAsia="MS Mincho"/>
                <w:sz w:val="22"/>
              </w:rPr>
              <w:t>47</w:t>
            </w:r>
            <w:r w:rsidRPr="00807F0B" w:rsidDel="00E77967">
              <w:rPr>
                <w:rFonts w:eastAsia="MS Mincho"/>
                <w:sz w:val="22"/>
              </w:rPr>
              <w:t xml:space="preserve"> </w:t>
            </w:r>
            <w:r w:rsidR="00D326E5" w:rsidRPr="00636006">
              <w:rPr>
                <w:rFonts w:eastAsia="MS Mincho"/>
                <w:sz w:val="22"/>
              </w:rPr>
              <w:t>(2.</w:t>
            </w:r>
            <w:r w:rsidRPr="00636006">
              <w:rPr>
                <w:rFonts w:eastAsia="MS Mincho"/>
                <w:sz w:val="22"/>
              </w:rPr>
              <w:t>9</w:t>
            </w:r>
            <w:r w:rsidR="00D326E5" w:rsidRPr="00636006">
              <w:rPr>
                <w:rFonts w:eastAsia="MS Mincho"/>
                <w:sz w:val="22"/>
              </w:rPr>
              <w:t>%)</w:t>
            </w:r>
          </w:p>
        </w:tc>
        <w:tc>
          <w:tcPr>
            <w:tcW w:w="1341" w:type="dxa"/>
            <w:shd w:val="clear" w:color="auto" w:fill="FFFFFF"/>
            <w:vAlign w:val="bottom"/>
          </w:tcPr>
          <w:p w14:paraId="51CC9555" w14:textId="5881E5DF" w:rsidR="00944DF1" w:rsidRPr="00636006" w:rsidRDefault="00D326E5" w:rsidP="009D6881">
            <w:pPr>
              <w:spacing w:afterLines="20" w:after="48"/>
              <w:jc w:val="center"/>
              <w:rPr>
                <w:rFonts w:eastAsia="MS Mincho"/>
                <w:sz w:val="22"/>
              </w:rPr>
            </w:pPr>
            <w:r w:rsidRPr="00636006">
              <w:rPr>
                <w:rFonts w:eastAsia="MS Mincho"/>
                <w:sz w:val="22"/>
              </w:rPr>
              <w:t>2</w:t>
            </w:r>
            <w:r w:rsidR="00E77967" w:rsidRPr="00636006">
              <w:rPr>
                <w:rFonts w:eastAsia="MS Mincho"/>
                <w:sz w:val="22"/>
              </w:rPr>
              <w:t>1</w:t>
            </w:r>
            <w:r w:rsidRPr="00636006">
              <w:rPr>
                <w:rFonts w:eastAsia="MS Mincho"/>
                <w:sz w:val="22"/>
              </w:rPr>
              <w:t xml:space="preserve"> (1.</w:t>
            </w:r>
            <w:r w:rsidR="00E77967" w:rsidRPr="00636006">
              <w:rPr>
                <w:rFonts w:eastAsia="MS Mincho"/>
                <w:sz w:val="22"/>
              </w:rPr>
              <w:t>3</w:t>
            </w:r>
            <w:r w:rsidRPr="00636006">
              <w:rPr>
                <w:rFonts w:eastAsia="MS Mincho"/>
                <w:sz w:val="22"/>
              </w:rPr>
              <w:t>%)</w:t>
            </w:r>
          </w:p>
        </w:tc>
        <w:tc>
          <w:tcPr>
            <w:tcW w:w="1494" w:type="dxa"/>
            <w:shd w:val="clear" w:color="auto" w:fill="FFFFFF"/>
            <w:vAlign w:val="bottom"/>
          </w:tcPr>
          <w:p w14:paraId="3089CA74"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31287F2F"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195AF89A" w14:textId="77777777" w:rsidTr="000823AB">
        <w:tc>
          <w:tcPr>
            <w:tcW w:w="2917" w:type="dxa"/>
            <w:tcBorders>
              <w:left w:val="single" w:sz="4" w:space="0" w:color="auto"/>
            </w:tcBorders>
            <w:shd w:val="clear" w:color="auto" w:fill="FFFFFF"/>
            <w:vAlign w:val="bottom"/>
          </w:tcPr>
          <w:p w14:paraId="2593E4E3" w14:textId="77777777" w:rsidR="00944DF1" w:rsidRPr="00636006" w:rsidRDefault="00944DF1" w:rsidP="009D6881">
            <w:pPr>
              <w:spacing w:afterLines="20" w:after="48"/>
              <w:jc w:val="left"/>
              <w:rPr>
                <w:rFonts w:eastAsia="MS Mincho"/>
                <w:sz w:val="22"/>
              </w:rPr>
            </w:pPr>
            <w:r w:rsidRPr="00636006">
              <w:rPr>
                <w:rFonts w:eastAsia="MS Mincho"/>
                <w:sz w:val="22"/>
              </w:rPr>
              <w:t>Nasal congestion</w:t>
            </w:r>
          </w:p>
        </w:tc>
        <w:tc>
          <w:tcPr>
            <w:tcW w:w="1444" w:type="dxa"/>
            <w:gridSpan w:val="2"/>
            <w:shd w:val="clear" w:color="auto" w:fill="FFFFFF"/>
            <w:vAlign w:val="bottom"/>
          </w:tcPr>
          <w:p w14:paraId="35C0A62B" w14:textId="1B32C86D" w:rsidR="00944DF1" w:rsidRPr="00636006" w:rsidRDefault="00E77967" w:rsidP="009D6881">
            <w:pPr>
              <w:spacing w:afterLines="20" w:after="48"/>
              <w:jc w:val="center"/>
              <w:rPr>
                <w:rFonts w:eastAsia="MS Mincho"/>
                <w:sz w:val="22"/>
              </w:rPr>
            </w:pPr>
            <w:r w:rsidRPr="00807F0B">
              <w:rPr>
                <w:rFonts w:eastAsia="MS Mincho"/>
                <w:sz w:val="22"/>
              </w:rPr>
              <w:t xml:space="preserve">39 </w:t>
            </w:r>
            <w:r w:rsidR="00D326E5" w:rsidRPr="00636006">
              <w:rPr>
                <w:rFonts w:eastAsia="MS Mincho"/>
                <w:sz w:val="22"/>
              </w:rPr>
              <w:t>(2.</w:t>
            </w:r>
            <w:r w:rsidRPr="00636006">
              <w:rPr>
                <w:rFonts w:eastAsia="MS Mincho"/>
                <w:sz w:val="22"/>
              </w:rPr>
              <w:t>4</w:t>
            </w:r>
            <w:r w:rsidR="00D326E5" w:rsidRPr="00636006">
              <w:rPr>
                <w:rFonts w:eastAsia="MS Mincho"/>
                <w:sz w:val="22"/>
              </w:rPr>
              <w:t>%)</w:t>
            </w:r>
          </w:p>
        </w:tc>
        <w:tc>
          <w:tcPr>
            <w:tcW w:w="1341" w:type="dxa"/>
            <w:shd w:val="clear" w:color="auto" w:fill="FFFFFF"/>
            <w:vAlign w:val="bottom"/>
          </w:tcPr>
          <w:p w14:paraId="3AB380F6"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494" w:type="dxa"/>
            <w:shd w:val="clear" w:color="auto" w:fill="FFFFFF"/>
            <w:vAlign w:val="bottom"/>
          </w:tcPr>
          <w:p w14:paraId="13671FD5"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right w:val="single" w:sz="4" w:space="0" w:color="auto"/>
            </w:tcBorders>
            <w:shd w:val="clear" w:color="auto" w:fill="FFFFFF"/>
            <w:vAlign w:val="bottom"/>
          </w:tcPr>
          <w:p w14:paraId="763CE646"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6C2466BD" w14:textId="77777777" w:rsidTr="008524BA">
        <w:tc>
          <w:tcPr>
            <w:tcW w:w="2917" w:type="dxa"/>
            <w:tcBorders>
              <w:left w:val="single" w:sz="4" w:space="0" w:color="auto"/>
              <w:bottom w:val="single" w:sz="4" w:space="0" w:color="auto"/>
            </w:tcBorders>
            <w:shd w:val="clear" w:color="auto" w:fill="FFFFFF"/>
            <w:vAlign w:val="bottom"/>
          </w:tcPr>
          <w:p w14:paraId="51FFF872" w14:textId="603CD424" w:rsidR="00944DF1" w:rsidRPr="00807F0B" w:rsidRDefault="00944DF1" w:rsidP="00E105E4">
            <w:pPr>
              <w:spacing w:afterLines="20" w:after="48"/>
              <w:jc w:val="left"/>
              <w:rPr>
                <w:rFonts w:eastAsia="MS Mincho"/>
                <w:sz w:val="22"/>
              </w:rPr>
            </w:pPr>
            <w:r w:rsidRPr="00636006">
              <w:rPr>
                <w:rFonts w:eastAsia="MS Mincho"/>
                <w:sz w:val="22"/>
              </w:rPr>
              <w:t>Pneumonitis</w:t>
            </w:r>
            <w:r w:rsidRPr="005A3F14">
              <w:rPr>
                <w:rFonts w:eastAsia="MS Mincho"/>
                <w:sz w:val="22"/>
              </w:rPr>
              <w:t xml:space="preserve"> </w:t>
            </w:r>
            <w:r w:rsidR="002C086E" w:rsidRPr="00807F0B">
              <w:rPr>
                <w:rFonts w:eastAsia="MS Mincho"/>
                <w:sz w:val="22"/>
                <w:vertAlign w:val="superscript"/>
              </w:rPr>
              <w:t>l</w:t>
            </w:r>
          </w:p>
        </w:tc>
        <w:tc>
          <w:tcPr>
            <w:tcW w:w="1359" w:type="dxa"/>
            <w:tcBorders>
              <w:bottom w:val="single" w:sz="4" w:space="0" w:color="auto"/>
            </w:tcBorders>
            <w:shd w:val="clear" w:color="auto" w:fill="FFFFFF"/>
            <w:vAlign w:val="bottom"/>
          </w:tcPr>
          <w:p w14:paraId="63EB18B6" w14:textId="55FFE5FC" w:rsidR="00944DF1" w:rsidRPr="00636006" w:rsidRDefault="00E77967" w:rsidP="00E77967">
            <w:pPr>
              <w:spacing w:afterLines="20" w:after="48"/>
              <w:jc w:val="center"/>
              <w:rPr>
                <w:rFonts w:eastAsia="MS Mincho"/>
                <w:sz w:val="22"/>
              </w:rPr>
            </w:pPr>
            <w:r w:rsidRPr="00636006">
              <w:rPr>
                <w:rFonts w:eastAsia="MS Mincho"/>
                <w:sz w:val="22"/>
              </w:rPr>
              <w:t>56</w:t>
            </w:r>
            <w:r w:rsidRPr="00636006" w:rsidDel="00E77967">
              <w:rPr>
                <w:rFonts w:eastAsia="MS Mincho"/>
                <w:sz w:val="22"/>
              </w:rPr>
              <w:t xml:space="preserve"> </w:t>
            </w:r>
            <w:r w:rsidR="00D326E5" w:rsidRPr="00636006">
              <w:rPr>
                <w:rFonts w:eastAsia="MS Mincho"/>
                <w:sz w:val="22"/>
              </w:rPr>
              <w:t>(3.</w:t>
            </w:r>
            <w:r w:rsidRPr="00636006">
              <w:rPr>
                <w:rFonts w:eastAsia="MS Mincho"/>
                <w:sz w:val="22"/>
              </w:rPr>
              <w:t>4</w:t>
            </w:r>
            <w:r w:rsidR="00D326E5" w:rsidRPr="00636006">
              <w:rPr>
                <w:rFonts w:eastAsia="MS Mincho"/>
                <w:sz w:val="22"/>
              </w:rPr>
              <w:t>%)</w:t>
            </w:r>
          </w:p>
        </w:tc>
        <w:tc>
          <w:tcPr>
            <w:tcW w:w="1426" w:type="dxa"/>
            <w:gridSpan w:val="2"/>
            <w:tcBorders>
              <w:bottom w:val="single" w:sz="4" w:space="0" w:color="auto"/>
            </w:tcBorders>
            <w:shd w:val="clear" w:color="auto" w:fill="FFFFFF"/>
            <w:vAlign w:val="bottom"/>
          </w:tcPr>
          <w:p w14:paraId="4D1FDC27" w14:textId="53E4EE64" w:rsidR="00944DF1" w:rsidRPr="00636006" w:rsidRDefault="00E77967" w:rsidP="009D6881">
            <w:pPr>
              <w:spacing w:afterLines="20" w:after="48"/>
              <w:jc w:val="center"/>
              <w:rPr>
                <w:rFonts w:eastAsia="MS Mincho"/>
                <w:sz w:val="22"/>
              </w:rPr>
            </w:pPr>
            <w:r w:rsidRPr="00636006">
              <w:rPr>
                <w:rFonts w:eastAsia="MS Mincho"/>
                <w:sz w:val="22"/>
              </w:rPr>
              <w:t xml:space="preserve">19 </w:t>
            </w:r>
            <w:r w:rsidR="00944DF1" w:rsidRPr="00636006">
              <w:rPr>
                <w:rFonts w:eastAsia="MS Mincho"/>
                <w:sz w:val="22"/>
              </w:rPr>
              <w:t>(1.</w:t>
            </w:r>
            <w:r w:rsidRPr="00636006">
              <w:rPr>
                <w:rFonts w:eastAsia="MS Mincho"/>
                <w:sz w:val="22"/>
              </w:rPr>
              <w:t>2</w:t>
            </w:r>
            <w:r w:rsidR="00944DF1" w:rsidRPr="00636006">
              <w:rPr>
                <w:rFonts w:eastAsia="MS Mincho"/>
                <w:sz w:val="22"/>
              </w:rPr>
              <w:t>%)</w:t>
            </w:r>
          </w:p>
        </w:tc>
        <w:tc>
          <w:tcPr>
            <w:tcW w:w="1494" w:type="dxa"/>
            <w:tcBorders>
              <w:bottom w:val="single" w:sz="4" w:space="0" w:color="auto"/>
            </w:tcBorders>
            <w:shd w:val="clear" w:color="auto" w:fill="FFFFFF"/>
            <w:vAlign w:val="bottom"/>
          </w:tcPr>
          <w:p w14:paraId="5A4D9C6F" w14:textId="1E9111EC" w:rsidR="00944DF1" w:rsidRPr="00636006" w:rsidRDefault="00944DF1" w:rsidP="009D6881">
            <w:pPr>
              <w:spacing w:afterLines="20" w:after="48"/>
              <w:jc w:val="center"/>
              <w:rPr>
                <w:rFonts w:eastAsia="MS Mincho"/>
                <w:sz w:val="22"/>
              </w:rPr>
            </w:pPr>
            <w:r w:rsidRPr="00636006">
              <w:rPr>
                <w:rFonts w:eastAsia="MS Mincho"/>
                <w:sz w:val="22"/>
              </w:rPr>
              <w:t>1 (&lt;</w:t>
            </w:r>
            <w:r w:rsidR="00A27264" w:rsidRPr="00636006">
              <w:rPr>
                <w:rFonts w:eastAsia="MS Mincho"/>
                <w:sz w:val="22"/>
              </w:rPr>
              <w:t xml:space="preserve"> </w:t>
            </w:r>
            <w:r w:rsidRPr="00636006">
              <w:rPr>
                <w:rFonts w:eastAsia="MS Mincho"/>
                <w:sz w:val="22"/>
              </w:rPr>
              <w:t>0.1%)</w:t>
            </w:r>
          </w:p>
        </w:tc>
        <w:tc>
          <w:tcPr>
            <w:tcW w:w="1732" w:type="dxa"/>
            <w:tcBorders>
              <w:bottom w:val="single" w:sz="4" w:space="0" w:color="auto"/>
              <w:right w:val="single" w:sz="4" w:space="0" w:color="auto"/>
            </w:tcBorders>
            <w:shd w:val="clear" w:color="auto" w:fill="FFFFFF"/>
            <w:vAlign w:val="bottom"/>
          </w:tcPr>
          <w:p w14:paraId="6E77271D"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19CFC2E3" w14:textId="77777777" w:rsidTr="008524BA">
        <w:tc>
          <w:tcPr>
            <w:tcW w:w="2917" w:type="dxa"/>
            <w:tcBorders>
              <w:top w:val="single" w:sz="4" w:space="0" w:color="auto"/>
              <w:left w:val="single" w:sz="4" w:space="0" w:color="auto"/>
            </w:tcBorders>
            <w:shd w:val="clear" w:color="auto" w:fill="FFFFFF"/>
            <w:vAlign w:val="bottom"/>
          </w:tcPr>
          <w:p w14:paraId="7BB70755" w14:textId="77777777" w:rsidR="00944DF1" w:rsidRPr="00807F0B" w:rsidRDefault="00944DF1" w:rsidP="009D6881">
            <w:pPr>
              <w:spacing w:afterLines="20" w:after="48"/>
              <w:jc w:val="left"/>
              <w:rPr>
                <w:rFonts w:eastAsia="MS Mincho"/>
                <w:sz w:val="22"/>
              </w:rPr>
            </w:pPr>
            <w:r w:rsidRPr="00636006">
              <w:rPr>
                <w:rFonts w:eastAsia="MS Mincho"/>
                <w:b/>
                <w:sz w:val="22"/>
              </w:rPr>
              <w:t>Skin and Subcutaneous Tissue Disorders</w:t>
            </w:r>
            <w:r w:rsidRPr="00807F0B">
              <w:rPr>
                <w:rFonts w:eastAsia="MS Mincho"/>
                <w:sz w:val="22"/>
              </w:rPr>
              <w:t xml:space="preserve"> </w:t>
            </w:r>
          </w:p>
          <w:p w14:paraId="6E3C17B0" w14:textId="18A363F7" w:rsidR="00944DF1" w:rsidRPr="00636006" w:rsidRDefault="00944DF1" w:rsidP="00E105E4">
            <w:pPr>
              <w:spacing w:afterLines="20" w:after="48"/>
              <w:jc w:val="left"/>
              <w:rPr>
                <w:rFonts w:eastAsia="MS Mincho"/>
                <w:sz w:val="22"/>
              </w:rPr>
            </w:pPr>
            <w:r w:rsidRPr="00807F0B">
              <w:rPr>
                <w:rFonts w:eastAsia="MS Mincho"/>
                <w:sz w:val="22"/>
              </w:rPr>
              <w:t xml:space="preserve">Rash </w:t>
            </w:r>
            <w:r w:rsidR="00D326E5" w:rsidRPr="00807F0B">
              <w:rPr>
                <w:rFonts w:eastAsia="MS Mincho"/>
                <w:sz w:val="22"/>
                <w:vertAlign w:val="superscript"/>
              </w:rPr>
              <w:t>m</w:t>
            </w:r>
          </w:p>
        </w:tc>
        <w:tc>
          <w:tcPr>
            <w:tcW w:w="1359" w:type="dxa"/>
            <w:tcBorders>
              <w:top w:val="single" w:sz="4" w:space="0" w:color="auto"/>
            </w:tcBorders>
            <w:shd w:val="clear" w:color="auto" w:fill="FFFFFF"/>
            <w:vAlign w:val="bottom"/>
          </w:tcPr>
          <w:p w14:paraId="1265BD17" w14:textId="0DCFD81C" w:rsidR="00944DF1" w:rsidRPr="00636006" w:rsidRDefault="00E77967" w:rsidP="009D6881">
            <w:pPr>
              <w:spacing w:afterLines="20" w:after="48"/>
              <w:jc w:val="center"/>
              <w:rPr>
                <w:rFonts w:eastAsia="MS Mincho"/>
                <w:sz w:val="22"/>
              </w:rPr>
            </w:pPr>
            <w:r w:rsidRPr="00636006">
              <w:rPr>
                <w:rFonts w:eastAsia="MS Mincho"/>
                <w:sz w:val="22"/>
              </w:rPr>
              <w:t>303</w:t>
            </w:r>
            <w:r w:rsidRPr="00636006" w:rsidDel="00E77967">
              <w:rPr>
                <w:rFonts w:eastAsia="MS Mincho"/>
                <w:sz w:val="22"/>
              </w:rPr>
              <w:t xml:space="preserve"> </w:t>
            </w:r>
            <w:r w:rsidR="00D326E5" w:rsidRPr="00636006">
              <w:rPr>
                <w:rFonts w:eastAsia="MS Mincho"/>
                <w:sz w:val="22"/>
              </w:rPr>
              <w:t>(18.</w:t>
            </w:r>
            <w:r w:rsidRPr="00636006">
              <w:rPr>
                <w:rFonts w:eastAsia="MS Mincho"/>
                <w:sz w:val="22"/>
              </w:rPr>
              <w:t>5</w:t>
            </w:r>
            <w:r w:rsidR="00D326E5" w:rsidRPr="00636006">
              <w:rPr>
                <w:rFonts w:eastAsia="MS Mincho"/>
                <w:sz w:val="22"/>
              </w:rPr>
              <w:t>%)</w:t>
            </w:r>
          </w:p>
        </w:tc>
        <w:tc>
          <w:tcPr>
            <w:tcW w:w="1426" w:type="dxa"/>
            <w:gridSpan w:val="2"/>
            <w:tcBorders>
              <w:top w:val="single" w:sz="4" w:space="0" w:color="auto"/>
            </w:tcBorders>
            <w:shd w:val="clear" w:color="auto" w:fill="FFFFFF"/>
            <w:vAlign w:val="bottom"/>
          </w:tcPr>
          <w:p w14:paraId="6413E276" w14:textId="79A26E81" w:rsidR="00944DF1" w:rsidRPr="00636006" w:rsidRDefault="00D326E5" w:rsidP="009D6881">
            <w:pPr>
              <w:spacing w:afterLines="20" w:after="48"/>
              <w:jc w:val="center"/>
              <w:rPr>
                <w:rFonts w:eastAsia="MS Mincho"/>
                <w:sz w:val="22"/>
              </w:rPr>
            </w:pPr>
            <w:r w:rsidRPr="00636006">
              <w:rPr>
                <w:rFonts w:eastAsia="MS Mincho"/>
                <w:sz w:val="22"/>
              </w:rPr>
              <w:t>1</w:t>
            </w:r>
            <w:r w:rsidR="00E77967" w:rsidRPr="00636006">
              <w:rPr>
                <w:rFonts w:eastAsia="MS Mincho"/>
                <w:sz w:val="22"/>
              </w:rPr>
              <w:t>5</w:t>
            </w:r>
            <w:r w:rsidRPr="00636006">
              <w:rPr>
                <w:rFonts w:eastAsia="MS Mincho"/>
                <w:sz w:val="22"/>
              </w:rPr>
              <w:t xml:space="preserve"> (0.9%)</w:t>
            </w:r>
          </w:p>
        </w:tc>
        <w:tc>
          <w:tcPr>
            <w:tcW w:w="1494" w:type="dxa"/>
            <w:tcBorders>
              <w:top w:val="single" w:sz="4" w:space="0" w:color="auto"/>
            </w:tcBorders>
            <w:shd w:val="clear" w:color="auto" w:fill="FFFFFF"/>
            <w:vAlign w:val="bottom"/>
          </w:tcPr>
          <w:p w14:paraId="69E3B12A"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right w:val="single" w:sz="4" w:space="0" w:color="auto"/>
            </w:tcBorders>
            <w:shd w:val="clear" w:color="auto" w:fill="FFFFFF"/>
            <w:vAlign w:val="bottom"/>
          </w:tcPr>
          <w:p w14:paraId="5F109277" w14:textId="77777777" w:rsidR="00944DF1" w:rsidRPr="00636006" w:rsidRDefault="00944DF1" w:rsidP="009D6881">
            <w:pPr>
              <w:spacing w:afterLines="20" w:after="48"/>
              <w:jc w:val="center"/>
              <w:rPr>
                <w:rFonts w:eastAsia="MS Mincho"/>
                <w:sz w:val="22"/>
              </w:rPr>
            </w:pPr>
            <w:r w:rsidRPr="00636006">
              <w:rPr>
                <w:rFonts w:eastAsia="MS Mincho"/>
                <w:sz w:val="22"/>
              </w:rPr>
              <w:t>Very Common</w:t>
            </w:r>
          </w:p>
        </w:tc>
      </w:tr>
      <w:tr w:rsidR="00944DF1" w:rsidRPr="009D6881" w14:paraId="71730F3C" w14:textId="77777777" w:rsidTr="000823AB">
        <w:tc>
          <w:tcPr>
            <w:tcW w:w="2917" w:type="dxa"/>
            <w:tcBorders>
              <w:left w:val="single" w:sz="4" w:space="0" w:color="auto"/>
              <w:bottom w:val="single" w:sz="4" w:space="0" w:color="auto"/>
            </w:tcBorders>
            <w:shd w:val="clear" w:color="auto" w:fill="FFFFFF"/>
            <w:vAlign w:val="bottom"/>
          </w:tcPr>
          <w:p w14:paraId="52744845" w14:textId="77777777" w:rsidR="00944DF1" w:rsidRPr="00636006" w:rsidRDefault="00944DF1" w:rsidP="009D6881">
            <w:pPr>
              <w:spacing w:afterLines="20" w:after="48"/>
              <w:jc w:val="left"/>
              <w:rPr>
                <w:rFonts w:eastAsia="MS Mincho"/>
                <w:sz w:val="22"/>
              </w:rPr>
            </w:pPr>
            <w:r w:rsidRPr="00636006">
              <w:rPr>
                <w:rFonts w:eastAsia="MS Mincho"/>
                <w:sz w:val="22"/>
              </w:rPr>
              <w:t>Pruritus</w:t>
            </w:r>
          </w:p>
        </w:tc>
        <w:tc>
          <w:tcPr>
            <w:tcW w:w="1444" w:type="dxa"/>
            <w:gridSpan w:val="2"/>
            <w:tcBorders>
              <w:bottom w:val="single" w:sz="4" w:space="0" w:color="auto"/>
            </w:tcBorders>
            <w:shd w:val="clear" w:color="auto" w:fill="FFFFFF"/>
            <w:vAlign w:val="bottom"/>
          </w:tcPr>
          <w:p w14:paraId="520555AF" w14:textId="3E30B3AF" w:rsidR="00944DF1" w:rsidRPr="00636006" w:rsidRDefault="00E77967" w:rsidP="00E77967">
            <w:pPr>
              <w:spacing w:afterLines="20" w:after="48"/>
              <w:jc w:val="center"/>
              <w:rPr>
                <w:rFonts w:eastAsia="MS Mincho"/>
                <w:sz w:val="22"/>
              </w:rPr>
            </w:pPr>
            <w:r w:rsidRPr="00807F0B">
              <w:rPr>
                <w:rFonts w:eastAsia="MS Mincho"/>
                <w:sz w:val="22"/>
              </w:rPr>
              <w:t>163</w:t>
            </w:r>
            <w:r w:rsidRPr="00807F0B" w:rsidDel="00E77967">
              <w:rPr>
                <w:rFonts w:eastAsia="MS Mincho"/>
                <w:sz w:val="22"/>
              </w:rPr>
              <w:t xml:space="preserve"> </w:t>
            </w:r>
            <w:r w:rsidR="00D326E5" w:rsidRPr="00636006">
              <w:rPr>
                <w:rFonts w:eastAsia="MS Mincho"/>
                <w:sz w:val="22"/>
              </w:rPr>
              <w:t>(1</w:t>
            </w:r>
            <w:r w:rsidRPr="00636006">
              <w:rPr>
                <w:rFonts w:eastAsia="MS Mincho"/>
                <w:sz w:val="22"/>
              </w:rPr>
              <w:t>0.0</w:t>
            </w:r>
            <w:r w:rsidR="00D326E5" w:rsidRPr="00636006">
              <w:rPr>
                <w:rFonts w:eastAsia="MS Mincho"/>
                <w:sz w:val="22"/>
              </w:rPr>
              <w:t>%)</w:t>
            </w:r>
          </w:p>
        </w:tc>
        <w:tc>
          <w:tcPr>
            <w:tcW w:w="1341" w:type="dxa"/>
            <w:tcBorders>
              <w:bottom w:val="single" w:sz="4" w:space="0" w:color="auto"/>
            </w:tcBorders>
            <w:shd w:val="clear" w:color="auto" w:fill="FFFFFF"/>
            <w:vAlign w:val="bottom"/>
          </w:tcPr>
          <w:p w14:paraId="31B4F384" w14:textId="6D6A1D55" w:rsidR="00944DF1" w:rsidRPr="00636006" w:rsidRDefault="00E77967" w:rsidP="009D6881">
            <w:pPr>
              <w:spacing w:afterLines="20" w:after="48"/>
              <w:jc w:val="center"/>
              <w:rPr>
                <w:rFonts w:eastAsia="MS Mincho"/>
                <w:sz w:val="22"/>
              </w:rPr>
            </w:pPr>
            <w:r w:rsidRPr="00636006">
              <w:rPr>
                <w:rFonts w:eastAsia="MS Mincho"/>
                <w:sz w:val="22"/>
              </w:rPr>
              <w:t xml:space="preserve">3 </w:t>
            </w:r>
            <w:r w:rsidR="00D326E5" w:rsidRPr="00636006">
              <w:rPr>
                <w:rFonts w:eastAsia="MS Mincho"/>
                <w:sz w:val="22"/>
              </w:rPr>
              <w:t>(0.2%)</w:t>
            </w:r>
          </w:p>
        </w:tc>
        <w:tc>
          <w:tcPr>
            <w:tcW w:w="1494" w:type="dxa"/>
            <w:tcBorders>
              <w:bottom w:val="single" w:sz="4" w:space="0" w:color="auto"/>
            </w:tcBorders>
            <w:shd w:val="clear" w:color="auto" w:fill="FFFFFF"/>
            <w:vAlign w:val="bottom"/>
          </w:tcPr>
          <w:p w14:paraId="05EED9BC"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bottom w:val="single" w:sz="4" w:space="0" w:color="auto"/>
              <w:right w:val="single" w:sz="4" w:space="0" w:color="auto"/>
            </w:tcBorders>
            <w:shd w:val="clear" w:color="auto" w:fill="FFFFFF"/>
            <w:vAlign w:val="bottom"/>
          </w:tcPr>
          <w:p w14:paraId="3723BF6A" w14:textId="30884CFC"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944DF1" w:rsidRPr="009D6881" w14:paraId="1BE55505" w14:textId="77777777" w:rsidTr="000823AB">
        <w:tc>
          <w:tcPr>
            <w:tcW w:w="2917" w:type="dxa"/>
            <w:tcBorders>
              <w:top w:val="single" w:sz="4" w:space="0" w:color="auto"/>
              <w:left w:val="single" w:sz="4" w:space="0" w:color="auto"/>
              <w:bottom w:val="single" w:sz="4" w:space="0" w:color="auto"/>
            </w:tcBorders>
            <w:shd w:val="clear" w:color="auto" w:fill="FFFFFF"/>
            <w:vAlign w:val="bottom"/>
          </w:tcPr>
          <w:p w14:paraId="691F070F" w14:textId="77777777" w:rsidR="00FB1725" w:rsidRPr="00807F0B" w:rsidRDefault="00944DF1" w:rsidP="009D6881">
            <w:pPr>
              <w:spacing w:afterLines="20" w:after="48"/>
              <w:jc w:val="left"/>
              <w:rPr>
                <w:rFonts w:eastAsia="MS Mincho"/>
                <w:sz w:val="22"/>
              </w:rPr>
            </w:pPr>
            <w:r w:rsidRPr="00636006">
              <w:rPr>
                <w:rFonts w:eastAsia="MS Mincho"/>
                <w:b/>
                <w:sz w:val="22"/>
              </w:rPr>
              <w:t>Vascular Disorders</w:t>
            </w:r>
            <w:r w:rsidRPr="005A3F14">
              <w:rPr>
                <w:rFonts w:eastAsia="MS Mincho"/>
                <w:sz w:val="22"/>
              </w:rPr>
              <w:t xml:space="preserve"> </w:t>
            </w:r>
          </w:p>
          <w:p w14:paraId="3B30E49D" w14:textId="665EB5E5" w:rsidR="00944DF1" w:rsidRPr="00807F0B" w:rsidRDefault="00944DF1" w:rsidP="009D6881">
            <w:pPr>
              <w:spacing w:afterLines="20" w:after="48"/>
              <w:jc w:val="left"/>
              <w:rPr>
                <w:rFonts w:eastAsia="MS Mincho"/>
                <w:sz w:val="22"/>
              </w:rPr>
            </w:pPr>
            <w:r w:rsidRPr="00807F0B">
              <w:rPr>
                <w:rFonts w:eastAsia="MS Mincho"/>
                <w:sz w:val="22"/>
              </w:rPr>
              <w:t>Hypotension</w:t>
            </w:r>
          </w:p>
        </w:tc>
        <w:tc>
          <w:tcPr>
            <w:tcW w:w="1444" w:type="dxa"/>
            <w:gridSpan w:val="2"/>
            <w:tcBorders>
              <w:top w:val="single" w:sz="4" w:space="0" w:color="auto"/>
              <w:bottom w:val="single" w:sz="4" w:space="0" w:color="auto"/>
            </w:tcBorders>
            <w:shd w:val="clear" w:color="auto" w:fill="FFFFFF"/>
            <w:vAlign w:val="bottom"/>
          </w:tcPr>
          <w:p w14:paraId="5DBF3EEA" w14:textId="2773ADEA" w:rsidR="00944DF1" w:rsidRPr="00636006" w:rsidRDefault="00E77967" w:rsidP="009D6881">
            <w:pPr>
              <w:spacing w:afterLines="20" w:after="48"/>
              <w:jc w:val="center"/>
              <w:rPr>
                <w:rFonts w:eastAsia="MS Mincho"/>
                <w:sz w:val="22"/>
              </w:rPr>
            </w:pPr>
            <w:r w:rsidRPr="00636006">
              <w:rPr>
                <w:rFonts w:eastAsia="MS Mincho"/>
                <w:sz w:val="22"/>
              </w:rPr>
              <w:t>53</w:t>
            </w:r>
            <w:r w:rsidRPr="00636006" w:rsidDel="00E77967">
              <w:rPr>
                <w:rFonts w:eastAsia="MS Mincho"/>
                <w:sz w:val="22"/>
              </w:rPr>
              <w:t xml:space="preserve"> </w:t>
            </w:r>
            <w:r w:rsidR="00D326E5" w:rsidRPr="00636006">
              <w:rPr>
                <w:rFonts w:eastAsia="MS Mincho"/>
                <w:sz w:val="22"/>
              </w:rPr>
              <w:t>(3.</w:t>
            </w:r>
            <w:r w:rsidRPr="00636006">
              <w:rPr>
                <w:rFonts w:eastAsia="MS Mincho"/>
                <w:sz w:val="22"/>
              </w:rPr>
              <w:t>2</w:t>
            </w:r>
            <w:r w:rsidR="00D326E5" w:rsidRPr="00636006">
              <w:rPr>
                <w:rFonts w:eastAsia="MS Mincho"/>
                <w:sz w:val="22"/>
              </w:rPr>
              <w:t>%)</w:t>
            </w:r>
          </w:p>
        </w:tc>
        <w:tc>
          <w:tcPr>
            <w:tcW w:w="1341" w:type="dxa"/>
            <w:tcBorders>
              <w:top w:val="single" w:sz="4" w:space="0" w:color="auto"/>
              <w:bottom w:val="single" w:sz="4" w:space="0" w:color="auto"/>
            </w:tcBorders>
            <w:shd w:val="clear" w:color="auto" w:fill="FFFFFF"/>
            <w:vAlign w:val="bottom"/>
          </w:tcPr>
          <w:p w14:paraId="0CDD75B8" w14:textId="079BBE86" w:rsidR="00944DF1" w:rsidRPr="00636006" w:rsidRDefault="00E77967" w:rsidP="009D6881">
            <w:pPr>
              <w:spacing w:afterLines="20" w:after="48"/>
              <w:jc w:val="center"/>
              <w:rPr>
                <w:rFonts w:eastAsia="MS Mincho"/>
                <w:sz w:val="22"/>
              </w:rPr>
            </w:pPr>
            <w:r w:rsidRPr="00636006">
              <w:rPr>
                <w:rFonts w:eastAsia="MS Mincho"/>
                <w:sz w:val="22"/>
              </w:rPr>
              <w:t xml:space="preserve">8 </w:t>
            </w:r>
            <w:r w:rsidR="00D326E5" w:rsidRPr="00636006">
              <w:rPr>
                <w:rFonts w:eastAsia="MS Mincho"/>
                <w:sz w:val="22"/>
              </w:rPr>
              <w:t>(0.</w:t>
            </w:r>
            <w:r w:rsidRPr="00636006">
              <w:rPr>
                <w:rFonts w:eastAsia="MS Mincho"/>
                <w:sz w:val="22"/>
              </w:rPr>
              <w:t>5</w:t>
            </w:r>
            <w:r w:rsidR="00D326E5" w:rsidRPr="00636006">
              <w:rPr>
                <w:rFonts w:eastAsia="MS Mincho"/>
                <w:sz w:val="22"/>
              </w:rPr>
              <w:t>%)</w:t>
            </w:r>
          </w:p>
        </w:tc>
        <w:tc>
          <w:tcPr>
            <w:tcW w:w="1494" w:type="dxa"/>
            <w:tcBorders>
              <w:top w:val="single" w:sz="4" w:space="0" w:color="auto"/>
              <w:bottom w:val="single" w:sz="4" w:space="0" w:color="auto"/>
            </w:tcBorders>
            <w:shd w:val="clear" w:color="auto" w:fill="FFFFFF"/>
            <w:vAlign w:val="bottom"/>
          </w:tcPr>
          <w:p w14:paraId="26F9DE19" w14:textId="77777777" w:rsidR="00944DF1" w:rsidRPr="00636006" w:rsidRDefault="00944DF1" w:rsidP="009D6881">
            <w:pPr>
              <w:spacing w:afterLines="20" w:after="48"/>
              <w:jc w:val="center"/>
              <w:rPr>
                <w:rFonts w:eastAsia="MS Mincho"/>
                <w:sz w:val="22"/>
              </w:rPr>
            </w:pPr>
            <w:r w:rsidRPr="00636006">
              <w:rPr>
                <w:rFonts w:eastAsia="MS Mincho"/>
                <w:sz w:val="22"/>
              </w:rPr>
              <w:t>0 (0%)</w:t>
            </w:r>
          </w:p>
        </w:tc>
        <w:tc>
          <w:tcPr>
            <w:tcW w:w="1732" w:type="dxa"/>
            <w:tcBorders>
              <w:top w:val="single" w:sz="4" w:space="0" w:color="auto"/>
              <w:bottom w:val="single" w:sz="4" w:space="0" w:color="auto"/>
              <w:right w:val="single" w:sz="4" w:space="0" w:color="auto"/>
            </w:tcBorders>
            <w:shd w:val="clear" w:color="auto" w:fill="FFFFFF"/>
            <w:vAlign w:val="bottom"/>
          </w:tcPr>
          <w:p w14:paraId="5ACA3F25" w14:textId="77777777" w:rsidR="00944DF1" w:rsidRPr="00636006" w:rsidRDefault="00944DF1" w:rsidP="009D6881">
            <w:pPr>
              <w:spacing w:afterLines="20" w:after="48"/>
              <w:jc w:val="center"/>
              <w:rPr>
                <w:rFonts w:eastAsia="MS Mincho"/>
                <w:sz w:val="22"/>
              </w:rPr>
            </w:pPr>
            <w:r w:rsidRPr="00636006">
              <w:rPr>
                <w:rFonts w:eastAsia="MS Mincho"/>
                <w:sz w:val="22"/>
              </w:rPr>
              <w:t>Common</w:t>
            </w:r>
          </w:p>
        </w:tc>
      </w:tr>
      <w:tr w:rsidR="00B76DF4" w:rsidRPr="009D6881" w14:paraId="6D18F31E" w14:textId="77777777" w:rsidTr="00FD2E00">
        <w:tc>
          <w:tcPr>
            <w:tcW w:w="2917" w:type="dxa"/>
            <w:tcBorders>
              <w:top w:val="single" w:sz="4" w:space="0" w:color="auto"/>
              <w:left w:val="single" w:sz="4" w:space="0" w:color="auto"/>
              <w:bottom w:val="single" w:sz="4" w:space="0" w:color="auto"/>
            </w:tcBorders>
            <w:shd w:val="clear" w:color="auto" w:fill="FFFFFF"/>
            <w:vAlign w:val="bottom"/>
          </w:tcPr>
          <w:p w14:paraId="1BF745F2" w14:textId="1DF6D63F" w:rsidR="00B76DF4" w:rsidRPr="00636006" w:rsidRDefault="00B76DF4" w:rsidP="003E320C">
            <w:pPr>
              <w:spacing w:afterLines="20" w:after="48"/>
              <w:jc w:val="left"/>
              <w:rPr>
                <w:rFonts w:eastAsia="MS Mincho"/>
                <w:b/>
                <w:sz w:val="22"/>
              </w:rPr>
            </w:pPr>
            <w:r>
              <w:rPr>
                <w:rFonts w:eastAsia="MS Mincho"/>
                <w:b/>
                <w:sz w:val="22"/>
              </w:rPr>
              <w:t>Cardiac</w:t>
            </w:r>
            <w:r w:rsidRPr="007A15DC">
              <w:rPr>
                <w:rFonts w:eastAsia="MS Mincho"/>
                <w:b/>
                <w:sz w:val="22"/>
              </w:rPr>
              <w:t xml:space="preserve"> Disorders</w:t>
            </w:r>
            <w:r w:rsidRPr="00636006">
              <w:rPr>
                <w:rFonts w:eastAsia="MS Mincho"/>
                <w:sz w:val="22"/>
              </w:rPr>
              <w:t xml:space="preserve"> </w:t>
            </w:r>
            <w:r>
              <w:rPr>
                <w:rFonts w:eastAsia="MS Mincho"/>
                <w:sz w:val="22"/>
              </w:rPr>
              <w:t>Myocarditis</w:t>
            </w:r>
            <w:r w:rsidR="003E320C">
              <w:rPr>
                <w:rFonts w:eastAsia="MS Mincho"/>
                <w:sz w:val="22"/>
                <w:vertAlign w:val="superscript"/>
              </w:rPr>
              <w:t>k</w:t>
            </w:r>
          </w:p>
        </w:tc>
        <w:tc>
          <w:tcPr>
            <w:tcW w:w="1444" w:type="dxa"/>
            <w:gridSpan w:val="2"/>
            <w:tcBorders>
              <w:top w:val="single" w:sz="4" w:space="0" w:color="auto"/>
              <w:bottom w:val="single" w:sz="4" w:space="0" w:color="auto"/>
            </w:tcBorders>
            <w:shd w:val="clear" w:color="auto" w:fill="FFFFFF"/>
            <w:vAlign w:val="bottom"/>
          </w:tcPr>
          <w:p w14:paraId="78430E75" w14:textId="59534CC4" w:rsidR="00B76DF4" w:rsidRPr="00636006" w:rsidRDefault="00B76DF4" w:rsidP="009D6881">
            <w:pPr>
              <w:spacing w:afterLines="20" w:after="48"/>
              <w:jc w:val="center"/>
              <w:rPr>
                <w:rFonts w:eastAsia="MS Mincho"/>
                <w:sz w:val="22"/>
              </w:rPr>
            </w:pPr>
            <w:r w:rsidRPr="00636006">
              <w:rPr>
                <w:rFonts w:eastAsia="MS Mincho"/>
                <w:sz w:val="22"/>
              </w:rPr>
              <w:t>-</w:t>
            </w:r>
          </w:p>
        </w:tc>
        <w:tc>
          <w:tcPr>
            <w:tcW w:w="1341" w:type="dxa"/>
            <w:tcBorders>
              <w:top w:val="single" w:sz="4" w:space="0" w:color="auto"/>
              <w:bottom w:val="single" w:sz="4" w:space="0" w:color="auto"/>
            </w:tcBorders>
            <w:shd w:val="clear" w:color="auto" w:fill="FFFFFF"/>
            <w:vAlign w:val="bottom"/>
          </w:tcPr>
          <w:p w14:paraId="3F8E8B86" w14:textId="168B5412" w:rsidR="00B76DF4" w:rsidRPr="00636006" w:rsidDel="00E77967" w:rsidRDefault="00B76DF4" w:rsidP="009D6881">
            <w:pPr>
              <w:spacing w:afterLines="20" w:after="48"/>
              <w:jc w:val="center"/>
              <w:rPr>
                <w:rFonts w:eastAsia="MS Mincho"/>
                <w:sz w:val="22"/>
              </w:rPr>
            </w:pPr>
            <w:r w:rsidRPr="00636006">
              <w:rPr>
                <w:rFonts w:eastAsia="MS Mincho"/>
                <w:sz w:val="22"/>
              </w:rPr>
              <w:t>-</w:t>
            </w:r>
          </w:p>
        </w:tc>
        <w:tc>
          <w:tcPr>
            <w:tcW w:w="1494" w:type="dxa"/>
            <w:tcBorders>
              <w:top w:val="single" w:sz="4" w:space="0" w:color="auto"/>
              <w:bottom w:val="single" w:sz="4" w:space="0" w:color="auto"/>
            </w:tcBorders>
            <w:shd w:val="clear" w:color="auto" w:fill="FFFFFF"/>
            <w:vAlign w:val="bottom"/>
          </w:tcPr>
          <w:p w14:paraId="5A8B789B" w14:textId="78968611" w:rsidR="00B76DF4" w:rsidRPr="00636006" w:rsidRDefault="00B76DF4" w:rsidP="009D6881">
            <w:pPr>
              <w:spacing w:afterLines="20" w:after="48"/>
              <w:jc w:val="center"/>
              <w:rPr>
                <w:rFonts w:eastAsia="MS Mincho"/>
                <w:sz w:val="22"/>
              </w:rPr>
            </w:pPr>
            <w:r w:rsidRPr="00636006">
              <w:rPr>
                <w:rFonts w:eastAsia="MS Mincho"/>
                <w:sz w:val="22"/>
              </w:rPr>
              <w:t>-</w:t>
            </w:r>
          </w:p>
        </w:tc>
        <w:tc>
          <w:tcPr>
            <w:tcW w:w="1732" w:type="dxa"/>
            <w:tcBorders>
              <w:top w:val="single" w:sz="4" w:space="0" w:color="auto"/>
              <w:bottom w:val="single" w:sz="4" w:space="0" w:color="auto"/>
              <w:right w:val="single" w:sz="4" w:space="0" w:color="auto"/>
            </w:tcBorders>
            <w:shd w:val="clear" w:color="auto" w:fill="FFFFFF"/>
            <w:vAlign w:val="bottom"/>
          </w:tcPr>
          <w:p w14:paraId="339EC5D9" w14:textId="050B8AFE" w:rsidR="00B76DF4" w:rsidRPr="00636006" w:rsidRDefault="00B76DF4" w:rsidP="009D6881">
            <w:pPr>
              <w:spacing w:afterLines="20" w:after="48"/>
              <w:jc w:val="center"/>
              <w:rPr>
                <w:rFonts w:eastAsia="MS Mincho"/>
                <w:sz w:val="22"/>
              </w:rPr>
            </w:pPr>
            <w:r w:rsidRPr="00636006">
              <w:rPr>
                <w:rFonts w:eastAsia="MS Mincho"/>
                <w:sz w:val="22"/>
              </w:rPr>
              <w:t>Rare</w:t>
            </w:r>
          </w:p>
        </w:tc>
      </w:tr>
    </w:tbl>
    <w:p w14:paraId="2B10B04F" w14:textId="56393E29" w:rsidR="00944DF1" w:rsidRPr="009D6881" w:rsidRDefault="00944DF1" w:rsidP="00944DF1">
      <w:pPr>
        <w:rPr>
          <w:sz w:val="22"/>
        </w:rPr>
      </w:pPr>
      <w:r w:rsidRPr="009D6881">
        <w:rPr>
          <w:sz w:val="22"/>
          <w:vertAlign w:val="superscript"/>
        </w:rPr>
        <w:lastRenderedPageBreak/>
        <w:t>a</w:t>
      </w:r>
      <w:r w:rsidR="00251192" w:rsidRPr="009D6881">
        <w:rPr>
          <w:sz w:val="22"/>
        </w:rPr>
        <w:t xml:space="preserve"> </w:t>
      </w:r>
      <w:r w:rsidRPr="009D6881">
        <w:rPr>
          <w:sz w:val="22"/>
        </w:rPr>
        <w:t xml:space="preserve">Includes reports of hypothyroidism, blood thyroid stimulating hormone increased, </w:t>
      </w:r>
      <w:r w:rsidR="00D326E5" w:rsidRPr="00D326E5">
        <w:rPr>
          <w:sz w:val="22"/>
        </w:rPr>
        <w:t xml:space="preserve">thyroiditis, blood thyroid stimulating hormone decreased, </w:t>
      </w:r>
      <w:r w:rsidRPr="009D6881">
        <w:rPr>
          <w:sz w:val="22"/>
        </w:rPr>
        <w:t xml:space="preserve">myxoedema, </w:t>
      </w:r>
      <w:r w:rsidR="00D326E5" w:rsidRPr="00D326E5">
        <w:rPr>
          <w:sz w:val="22"/>
        </w:rPr>
        <w:t>thyroid function test abnormal,</w:t>
      </w:r>
      <w:r w:rsidR="00D326E5">
        <w:rPr>
          <w:sz w:val="22"/>
        </w:rPr>
        <w:t xml:space="preserve"> </w:t>
      </w:r>
      <w:r w:rsidRPr="009D6881">
        <w:rPr>
          <w:sz w:val="22"/>
        </w:rPr>
        <w:t>thyroiditis acute, thyroxine decreased</w:t>
      </w:r>
    </w:p>
    <w:p w14:paraId="3A4893E0" w14:textId="265A285B" w:rsidR="00944DF1" w:rsidRDefault="00944DF1" w:rsidP="00944DF1">
      <w:pPr>
        <w:rPr>
          <w:sz w:val="22"/>
        </w:rPr>
      </w:pPr>
      <w:r w:rsidRPr="009D6881">
        <w:rPr>
          <w:sz w:val="22"/>
          <w:vertAlign w:val="superscript"/>
        </w:rPr>
        <w:t>b</w:t>
      </w:r>
      <w:r w:rsidRPr="009D6881">
        <w:rPr>
          <w:sz w:val="22"/>
        </w:rPr>
        <w:t xml:space="preserve"> Includes reports of hyperthyroidism, blood thyroid stimulating hormone increased, </w:t>
      </w:r>
      <w:r w:rsidR="00D326E5" w:rsidRPr="00D326E5">
        <w:rPr>
          <w:sz w:val="22"/>
        </w:rPr>
        <w:t>thyroiditis, blood thyroid stimulating hormone decreased, endocrine ophthalmopathy, exophthalmus, thyroid function test abnormal,</w:t>
      </w:r>
      <w:r w:rsidR="00D326E5">
        <w:rPr>
          <w:sz w:val="22"/>
        </w:rPr>
        <w:t xml:space="preserve"> </w:t>
      </w:r>
      <w:r w:rsidRPr="009D6881">
        <w:rPr>
          <w:sz w:val="22"/>
        </w:rPr>
        <w:t>thyroiditis acute, thyroxine decreased</w:t>
      </w:r>
    </w:p>
    <w:p w14:paraId="3E346EF9" w14:textId="72DD029F" w:rsidR="00D326E5" w:rsidRPr="009D6881" w:rsidRDefault="00D326E5" w:rsidP="00944DF1">
      <w:pPr>
        <w:rPr>
          <w:sz w:val="22"/>
        </w:rPr>
      </w:pPr>
      <w:r w:rsidRPr="00651C35">
        <w:rPr>
          <w:sz w:val="22"/>
          <w:vertAlign w:val="superscript"/>
        </w:rPr>
        <w:t>c</w:t>
      </w:r>
      <w:r w:rsidRPr="00D326E5">
        <w:rPr>
          <w:sz w:val="22"/>
        </w:rPr>
        <w:t xml:space="preserve"> Includes reports of adrenal insufficiency, primary adrenal insufficiency, and Addison’s disease</w:t>
      </w:r>
    </w:p>
    <w:p w14:paraId="0D5DD5AA" w14:textId="5966FF92" w:rsidR="00944DF1" w:rsidRPr="009D6881" w:rsidRDefault="00D326E5" w:rsidP="00944DF1">
      <w:pPr>
        <w:rPr>
          <w:sz w:val="22"/>
        </w:rPr>
      </w:pPr>
      <w:r>
        <w:rPr>
          <w:sz w:val="22"/>
          <w:vertAlign w:val="superscript"/>
        </w:rPr>
        <w:t>d</w:t>
      </w:r>
      <w:r w:rsidRPr="009D6881">
        <w:rPr>
          <w:sz w:val="22"/>
        </w:rPr>
        <w:t xml:space="preserve"> </w:t>
      </w:r>
      <w:r w:rsidR="00944DF1" w:rsidRPr="009D6881">
        <w:rPr>
          <w:sz w:val="22"/>
        </w:rPr>
        <w:t>Includes reports of diabetes mellitus and type 1</w:t>
      </w:r>
      <w:r w:rsidR="00251192" w:rsidRPr="009D6881">
        <w:rPr>
          <w:sz w:val="22"/>
        </w:rPr>
        <w:t xml:space="preserve"> </w:t>
      </w:r>
      <w:r w:rsidR="00944DF1" w:rsidRPr="009D6881">
        <w:rPr>
          <w:sz w:val="22"/>
        </w:rPr>
        <w:t>diabetes mellitus</w:t>
      </w:r>
    </w:p>
    <w:p w14:paraId="63DA93B4" w14:textId="1B10415A" w:rsidR="00944DF1" w:rsidRPr="009D6881" w:rsidRDefault="00D326E5" w:rsidP="00944DF1">
      <w:pPr>
        <w:rPr>
          <w:sz w:val="22"/>
        </w:rPr>
      </w:pPr>
      <w:r>
        <w:rPr>
          <w:sz w:val="22"/>
          <w:vertAlign w:val="superscript"/>
        </w:rPr>
        <w:t>e</w:t>
      </w:r>
      <w:r w:rsidRPr="009D6881">
        <w:rPr>
          <w:sz w:val="22"/>
        </w:rPr>
        <w:t xml:space="preserve"> </w:t>
      </w:r>
      <w:r w:rsidR="00944DF1" w:rsidRPr="009D6881">
        <w:rPr>
          <w:sz w:val="22"/>
        </w:rPr>
        <w:t xml:space="preserve">Includes reports of colitis, </w:t>
      </w:r>
      <w:r w:rsidRPr="00D326E5">
        <w:rPr>
          <w:sz w:val="22"/>
        </w:rPr>
        <w:t xml:space="preserve">autoimmune colitis, colitis ischaemic, </w:t>
      </w:r>
      <w:r w:rsidR="00944DF1" w:rsidRPr="009D6881">
        <w:rPr>
          <w:sz w:val="22"/>
        </w:rPr>
        <w:t>colitis microscopic</w:t>
      </w:r>
    </w:p>
    <w:p w14:paraId="53613C07" w14:textId="16D592E2" w:rsidR="00944DF1" w:rsidRPr="009D6881" w:rsidRDefault="00D326E5" w:rsidP="00944DF1">
      <w:pPr>
        <w:rPr>
          <w:sz w:val="22"/>
        </w:rPr>
      </w:pPr>
      <w:r>
        <w:rPr>
          <w:sz w:val="22"/>
          <w:vertAlign w:val="superscript"/>
        </w:rPr>
        <w:t>f</w:t>
      </w:r>
      <w:r w:rsidRPr="009D6881">
        <w:rPr>
          <w:sz w:val="22"/>
        </w:rPr>
        <w:t xml:space="preserve"> </w:t>
      </w:r>
      <w:r w:rsidR="00944DF1" w:rsidRPr="009D6881">
        <w:rPr>
          <w:sz w:val="22"/>
        </w:rPr>
        <w:t>Includes reports of pancreatitis and pancreatitis acute</w:t>
      </w:r>
    </w:p>
    <w:p w14:paraId="5448B800" w14:textId="6C60D632" w:rsidR="00944DF1" w:rsidRDefault="00D326E5" w:rsidP="00944DF1">
      <w:pPr>
        <w:rPr>
          <w:sz w:val="22"/>
        </w:rPr>
      </w:pPr>
      <w:r>
        <w:rPr>
          <w:sz w:val="22"/>
          <w:vertAlign w:val="superscript"/>
        </w:rPr>
        <w:t>g</w:t>
      </w:r>
      <w:r w:rsidRPr="009D6881">
        <w:rPr>
          <w:sz w:val="22"/>
        </w:rPr>
        <w:t xml:space="preserve"> </w:t>
      </w:r>
      <w:r w:rsidR="00944DF1" w:rsidRPr="009D6881">
        <w:rPr>
          <w:sz w:val="22"/>
        </w:rPr>
        <w:t>Includes reports of autoimmune hepatitis, hepatitis</w:t>
      </w:r>
      <w:r>
        <w:rPr>
          <w:sz w:val="22"/>
        </w:rPr>
        <w:t xml:space="preserve">, </w:t>
      </w:r>
      <w:r w:rsidRPr="00D326E5">
        <w:rPr>
          <w:sz w:val="22"/>
        </w:rPr>
        <w:t>hepatitis acute</w:t>
      </w:r>
    </w:p>
    <w:p w14:paraId="0136DE6F" w14:textId="39051967" w:rsidR="00D326E5" w:rsidRPr="009D6881" w:rsidRDefault="00D326E5" w:rsidP="00944DF1">
      <w:pPr>
        <w:rPr>
          <w:sz w:val="22"/>
        </w:rPr>
      </w:pPr>
      <w:r w:rsidRPr="00651C35">
        <w:rPr>
          <w:sz w:val="22"/>
          <w:vertAlign w:val="superscript"/>
        </w:rPr>
        <w:t>h</w:t>
      </w:r>
      <w:r w:rsidRPr="00D326E5">
        <w:rPr>
          <w:sz w:val="22"/>
        </w:rPr>
        <w:t xml:space="preserve"> Includes reports of Guillain-Barré syndrome and demyelinating polyneuropathy</w:t>
      </w:r>
    </w:p>
    <w:p w14:paraId="04C7C194" w14:textId="52C36886" w:rsidR="00944DF1" w:rsidRDefault="00D326E5" w:rsidP="00944DF1">
      <w:pPr>
        <w:rPr>
          <w:sz w:val="22"/>
        </w:rPr>
      </w:pPr>
      <w:r>
        <w:rPr>
          <w:sz w:val="22"/>
          <w:vertAlign w:val="superscript"/>
        </w:rPr>
        <w:t>i</w:t>
      </w:r>
      <w:r w:rsidRPr="009D6881">
        <w:rPr>
          <w:sz w:val="22"/>
        </w:rPr>
        <w:t xml:space="preserve"> </w:t>
      </w:r>
      <w:r w:rsidR="00944DF1" w:rsidRPr="009D6881">
        <w:rPr>
          <w:sz w:val="22"/>
        </w:rPr>
        <w:t xml:space="preserve">Includes reports of encephalitis </w:t>
      </w:r>
    </w:p>
    <w:p w14:paraId="3D8AA120" w14:textId="3223EC88" w:rsidR="00D326E5" w:rsidRPr="009D6881" w:rsidRDefault="00D326E5" w:rsidP="00944DF1">
      <w:pPr>
        <w:rPr>
          <w:sz w:val="22"/>
        </w:rPr>
      </w:pPr>
      <w:r w:rsidRPr="00651C35">
        <w:rPr>
          <w:sz w:val="22"/>
          <w:vertAlign w:val="superscript"/>
        </w:rPr>
        <w:t>j</w:t>
      </w:r>
      <w:r w:rsidRPr="00D326E5">
        <w:rPr>
          <w:sz w:val="22"/>
        </w:rPr>
        <w:t xml:space="preserve"> Includes reports of meningitis</w:t>
      </w:r>
    </w:p>
    <w:p w14:paraId="7E59FB9E" w14:textId="7CE8C2B0" w:rsidR="00944DF1" w:rsidRPr="009D6881" w:rsidRDefault="00D326E5" w:rsidP="00944DF1">
      <w:pPr>
        <w:rPr>
          <w:sz w:val="22"/>
        </w:rPr>
      </w:pPr>
      <w:r>
        <w:rPr>
          <w:sz w:val="22"/>
          <w:vertAlign w:val="superscript"/>
        </w:rPr>
        <w:t>k</w:t>
      </w:r>
      <w:r w:rsidR="00075523">
        <w:rPr>
          <w:sz w:val="22"/>
        </w:rPr>
        <w:t xml:space="preserve"> </w:t>
      </w:r>
      <w:r w:rsidRPr="00D326E5">
        <w:rPr>
          <w:sz w:val="22"/>
        </w:rPr>
        <w:t xml:space="preserve">Reported in studies outside the </w:t>
      </w:r>
      <w:r w:rsidR="00AE495D">
        <w:rPr>
          <w:sz w:val="22"/>
        </w:rPr>
        <w:t>NSCLC</w:t>
      </w:r>
      <w:r w:rsidR="00AE495D" w:rsidRPr="00D326E5">
        <w:rPr>
          <w:sz w:val="22"/>
        </w:rPr>
        <w:t xml:space="preserve"> </w:t>
      </w:r>
      <w:r w:rsidRPr="00D326E5">
        <w:rPr>
          <w:sz w:val="22"/>
        </w:rPr>
        <w:t>dataset. The frequency is based on the program-wide exposure</w:t>
      </w:r>
    </w:p>
    <w:p w14:paraId="5D16C6B8" w14:textId="76A761EF" w:rsidR="00944DF1" w:rsidRPr="009D6881" w:rsidRDefault="00D326E5" w:rsidP="00944DF1">
      <w:pPr>
        <w:rPr>
          <w:sz w:val="22"/>
        </w:rPr>
      </w:pPr>
      <w:r>
        <w:rPr>
          <w:sz w:val="22"/>
          <w:vertAlign w:val="superscript"/>
        </w:rPr>
        <w:t>l</w:t>
      </w:r>
      <w:r w:rsidRPr="009D6881">
        <w:rPr>
          <w:sz w:val="22"/>
        </w:rPr>
        <w:t xml:space="preserve"> </w:t>
      </w:r>
      <w:r w:rsidR="00944DF1" w:rsidRPr="009D6881">
        <w:rPr>
          <w:sz w:val="22"/>
        </w:rPr>
        <w:t xml:space="preserve">Includes reports of pneumonitis, lung infiltration, bronchiolitis, interstitial lung disease, radiation pneumonitis </w:t>
      </w:r>
    </w:p>
    <w:p w14:paraId="7EFA00AD" w14:textId="52121FBE" w:rsidR="00944DF1" w:rsidRDefault="00D326E5" w:rsidP="00944DF1">
      <w:pPr>
        <w:rPr>
          <w:sz w:val="22"/>
        </w:rPr>
      </w:pPr>
      <w:r>
        <w:rPr>
          <w:sz w:val="22"/>
          <w:vertAlign w:val="superscript"/>
        </w:rPr>
        <w:t>m</w:t>
      </w:r>
      <w:r w:rsidRPr="009D6881">
        <w:rPr>
          <w:sz w:val="22"/>
        </w:rPr>
        <w:t xml:space="preserve"> </w:t>
      </w:r>
      <w:r w:rsidR="00944DF1" w:rsidRPr="009D6881">
        <w:rPr>
          <w:sz w:val="22"/>
        </w:rPr>
        <w:t xml:space="preserve">Includes reports of rash maculo-papular, erythema, rash pruritic, dermatitis acneiform, eczema, rash papular, rash macular, dermatitis, rash erythematous, acne, </w:t>
      </w:r>
      <w:r w:rsidRPr="00D326E5">
        <w:rPr>
          <w:sz w:val="22"/>
        </w:rPr>
        <w:t xml:space="preserve">rash pustular, </w:t>
      </w:r>
      <w:r w:rsidR="00944DF1" w:rsidRPr="009D6881">
        <w:rPr>
          <w:sz w:val="22"/>
        </w:rPr>
        <w:t>skin exfoliation, skin ulcer, seborrhoeic dermatitis, erythema multiforme, dermatitis bullous, rash general</w:t>
      </w:r>
      <w:r w:rsidR="00C26231" w:rsidRPr="009D6881">
        <w:rPr>
          <w:sz w:val="22"/>
        </w:rPr>
        <w:t>ise</w:t>
      </w:r>
      <w:r w:rsidR="00944DF1" w:rsidRPr="009D6881">
        <w:rPr>
          <w:sz w:val="22"/>
        </w:rPr>
        <w:t xml:space="preserve">d, skin toxicity, </w:t>
      </w:r>
      <w:r w:rsidRPr="00D326E5">
        <w:rPr>
          <w:sz w:val="22"/>
        </w:rPr>
        <w:t>exfoliative rash,</w:t>
      </w:r>
      <w:r>
        <w:rPr>
          <w:sz w:val="22"/>
        </w:rPr>
        <w:t xml:space="preserve"> </w:t>
      </w:r>
      <w:r w:rsidR="00944DF1" w:rsidRPr="009D6881">
        <w:rPr>
          <w:sz w:val="22"/>
        </w:rPr>
        <w:t xml:space="preserve">dermatitis allergic, </w:t>
      </w:r>
      <w:r w:rsidRPr="00D326E5">
        <w:rPr>
          <w:sz w:val="22"/>
        </w:rPr>
        <w:t>drug eruption,</w:t>
      </w:r>
      <w:r>
        <w:rPr>
          <w:sz w:val="22"/>
        </w:rPr>
        <w:t xml:space="preserve"> </w:t>
      </w:r>
      <w:r w:rsidR="00944DF1" w:rsidRPr="009D6881">
        <w:rPr>
          <w:sz w:val="22"/>
        </w:rPr>
        <w:t>dermatitis exfoliative, palmar-plantar erythrodysaesthesia syndrome, rash papulosquamous, toxic skin eruption, erythema of eyelid, eyelid rash, folliculitis, furuncle, rash</w:t>
      </w:r>
    </w:p>
    <w:p w14:paraId="4F40734B" w14:textId="77777777" w:rsidR="00295A75" w:rsidRDefault="00295A75" w:rsidP="00944DF1">
      <w:pPr>
        <w:rPr>
          <w:sz w:val="22"/>
        </w:rPr>
      </w:pPr>
    </w:p>
    <w:p w14:paraId="50972BFB" w14:textId="781489C2" w:rsidR="00295A75" w:rsidRDefault="00295A75" w:rsidP="008D3F49">
      <w:r>
        <w:t>Table</w:t>
      </w:r>
      <w:r w:rsidR="007920E3">
        <w:t>s</w:t>
      </w:r>
      <w:r>
        <w:t xml:space="preserve"> </w:t>
      </w:r>
      <w:r w:rsidR="00FD2E00">
        <w:t xml:space="preserve">6 </w:t>
      </w:r>
      <w:r w:rsidR="007920E3">
        <w:t xml:space="preserve">and </w:t>
      </w:r>
      <w:r w:rsidR="00FD2E00">
        <w:t xml:space="preserve">7 </w:t>
      </w:r>
      <w:r>
        <w:t>summarise</w:t>
      </w:r>
      <w:r w:rsidR="007920E3">
        <w:t xml:space="preserve"> safety information from the </w:t>
      </w:r>
      <w:r w:rsidR="007920E3" w:rsidRPr="007920E3">
        <w:t>GO28915 (OAK)</w:t>
      </w:r>
      <w:r w:rsidR="007920E3">
        <w:t xml:space="preserve"> study </w:t>
      </w:r>
      <w:r w:rsidR="00367839">
        <w:t>that</w:t>
      </w:r>
      <w:r w:rsidR="007920E3">
        <w:t xml:space="preserve"> evaluated</w:t>
      </w:r>
      <w:r w:rsidR="007920E3" w:rsidRPr="007920E3">
        <w:t xml:space="preserve"> Tecentriq </w:t>
      </w:r>
      <w:r w:rsidR="007920E3">
        <w:t xml:space="preserve">compared </w:t>
      </w:r>
      <w:r w:rsidR="007920E3" w:rsidRPr="007920E3">
        <w:t xml:space="preserve">with docetaxel </w:t>
      </w:r>
      <w:r w:rsidR="007920E3">
        <w:t xml:space="preserve">in patients with </w:t>
      </w:r>
      <w:r w:rsidR="007920E3" w:rsidRPr="007920E3">
        <w:t>locally advanced or metastatic NSCLC</w:t>
      </w:r>
      <w:r w:rsidR="007920E3">
        <w:t xml:space="preserve">. Table </w:t>
      </w:r>
      <w:r w:rsidR="00FD2E00">
        <w:t xml:space="preserve">6 </w:t>
      </w:r>
      <w:r w:rsidR="007920E3">
        <w:t>summarises</w:t>
      </w:r>
      <w:r w:rsidR="007920E3" w:rsidRPr="007920E3">
        <w:t xml:space="preserve"> </w:t>
      </w:r>
      <w:r w:rsidR="007920E3">
        <w:t>adverse reactions</w:t>
      </w:r>
      <w:r>
        <w:t xml:space="preserve"> that occurred in at least 10% of Tecentriq-treated patients and at a higher incidence than in the docetaxel arm. Table </w:t>
      </w:r>
      <w:r w:rsidR="00FD2E00">
        <w:t xml:space="preserve">7 </w:t>
      </w:r>
      <w:r>
        <w:t>summarises selected laboratory abnormalities worsening from baseline that occurred in ≥</w:t>
      </w:r>
      <w:r w:rsidR="00CD7154">
        <w:t xml:space="preserve"> </w:t>
      </w:r>
      <w:r>
        <w:t>10% of Tecentriq-treated patients and at a higher incidence than in the docetaxel arm.</w:t>
      </w:r>
    </w:p>
    <w:p w14:paraId="3054C940" w14:textId="77777777" w:rsidR="00295A75" w:rsidRDefault="00295A75" w:rsidP="008D3F49"/>
    <w:p w14:paraId="527F1A84" w14:textId="46F5C240" w:rsidR="00295A75" w:rsidRPr="008D3F49" w:rsidRDefault="00295A75" w:rsidP="008D3F49">
      <w:pPr>
        <w:rPr>
          <w:b/>
        </w:rPr>
      </w:pPr>
      <w:r w:rsidRPr="008D3F49">
        <w:rPr>
          <w:b/>
        </w:rPr>
        <w:t xml:space="preserve">Table </w:t>
      </w:r>
      <w:r w:rsidR="00FD2E00">
        <w:rPr>
          <w:b/>
        </w:rPr>
        <w:t>6</w:t>
      </w:r>
      <w:r w:rsidR="007920E3">
        <w:rPr>
          <w:b/>
        </w:rPr>
        <w:t>.</w:t>
      </w:r>
      <w:r w:rsidRPr="008D3F49">
        <w:rPr>
          <w:b/>
        </w:rPr>
        <w:t xml:space="preserve"> </w:t>
      </w:r>
      <w:r w:rsidR="007920E3">
        <w:rPr>
          <w:b/>
        </w:rPr>
        <w:t>Adverse reactions</w:t>
      </w:r>
      <w:r w:rsidRPr="008D3F49">
        <w:rPr>
          <w:b/>
        </w:rPr>
        <w:t xml:space="preserve"> </w:t>
      </w:r>
      <w:r w:rsidR="007920E3">
        <w:rPr>
          <w:b/>
        </w:rPr>
        <w:t>o</w:t>
      </w:r>
      <w:r w:rsidRPr="008D3F49">
        <w:rPr>
          <w:b/>
        </w:rPr>
        <w:t xml:space="preserve">ccurring in </w:t>
      </w:r>
      <w:r w:rsidR="009D015F">
        <w:rPr>
          <w:b/>
        </w:rPr>
        <w:t xml:space="preserve">≥ </w:t>
      </w:r>
      <w:r w:rsidRPr="008D3F49">
        <w:rPr>
          <w:b/>
        </w:rPr>
        <w:t xml:space="preserve">10% of </w:t>
      </w:r>
      <w:r w:rsidR="007920E3">
        <w:rPr>
          <w:b/>
        </w:rPr>
        <w:t>T</w:t>
      </w:r>
      <w:r w:rsidR="007920E3" w:rsidRPr="00ED43CF">
        <w:rPr>
          <w:b/>
        </w:rPr>
        <w:t xml:space="preserve">ecentriq-treated patients </w:t>
      </w:r>
      <w:r w:rsidR="00367839">
        <w:rPr>
          <w:b/>
        </w:rPr>
        <w:t xml:space="preserve">in </w:t>
      </w:r>
      <w:r w:rsidR="00367839" w:rsidRPr="00367839">
        <w:rPr>
          <w:b/>
        </w:rPr>
        <w:t>GO28915</w:t>
      </w:r>
      <w:r w:rsidR="007920E3" w:rsidRPr="00ED43CF">
        <w:rPr>
          <w:b/>
        </w:rPr>
        <w:t xml:space="preserve"> and at a higher incidence than in the docetaxel arm (between arm difference of </w:t>
      </w:r>
      <w:r w:rsidR="009D015F">
        <w:rPr>
          <w:b/>
        </w:rPr>
        <w:t xml:space="preserve">≥ </w:t>
      </w:r>
      <w:r w:rsidR="007920E3" w:rsidRPr="00ED43CF">
        <w:rPr>
          <w:b/>
        </w:rPr>
        <w:t xml:space="preserve">5% [all grades] or </w:t>
      </w:r>
      <w:r w:rsidR="009D015F">
        <w:rPr>
          <w:b/>
        </w:rPr>
        <w:t xml:space="preserve">≥ </w:t>
      </w:r>
      <w:r w:rsidR="007920E3" w:rsidRPr="00ED43CF">
        <w:rPr>
          <w:b/>
        </w:rPr>
        <w:t>2% [grades 3</w:t>
      </w:r>
      <w:r w:rsidR="009D015F">
        <w:rPr>
          <w:b/>
        </w:rPr>
        <w:t xml:space="preserve"> - </w:t>
      </w:r>
      <w:r w:rsidR="007920E3" w:rsidRPr="00ED43CF">
        <w:rPr>
          <w:b/>
        </w:rPr>
        <w:t xml:space="preserve">4]) </w:t>
      </w:r>
    </w:p>
    <w:p w14:paraId="74A3C662" w14:textId="77777777" w:rsidR="00295A75" w:rsidRPr="008D3F49" w:rsidRDefault="00295A75" w:rsidP="008D3F49">
      <w:pPr>
        <w:rPr>
          <w:b/>
          <w:sz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530"/>
        <w:gridCol w:w="1620"/>
        <w:gridCol w:w="1620"/>
        <w:gridCol w:w="1710"/>
      </w:tblGrid>
      <w:tr w:rsidR="00295A75" w:rsidRPr="00367839" w14:paraId="11686861" w14:textId="77777777" w:rsidTr="00295A75">
        <w:trPr>
          <w:trHeight w:val="296"/>
        </w:trPr>
        <w:tc>
          <w:tcPr>
            <w:tcW w:w="2520" w:type="dxa"/>
            <w:shd w:val="clear" w:color="auto" w:fill="auto"/>
          </w:tcPr>
          <w:p w14:paraId="71292E17" w14:textId="77777777" w:rsidR="00295A75" w:rsidRPr="008D3F49" w:rsidRDefault="00295A75" w:rsidP="00295A75">
            <w:pPr>
              <w:keepNext/>
              <w:keepLines/>
              <w:tabs>
                <w:tab w:val="left" w:pos="1080"/>
              </w:tabs>
              <w:spacing w:before="40" w:after="160" w:line="280" w:lineRule="exact"/>
              <w:ind w:left="1080" w:hanging="1080"/>
              <w:rPr>
                <w:sz w:val="22"/>
              </w:rPr>
            </w:pPr>
          </w:p>
        </w:tc>
        <w:tc>
          <w:tcPr>
            <w:tcW w:w="3150" w:type="dxa"/>
            <w:gridSpan w:val="2"/>
            <w:shd w:val="clear" w:color="auto" w:fill="auto"/>
          </w:tcPr>
          <w:p w14:paraId="53DA1706" w14:textId="69B3E74B" w:rsidR="00295A75" w:rsidRPr="008D3F49" w:rsidRDefault="00367839" w:rsidP="00295A75">
            <w:pPr>
              <w:jc w:val="center"/>
              <w:rPr>
                <w:b/>
                <w:sz w:val="22"/>
              </w:rPr>
            </w:pPr>
            <w:r w:rsidRPr="008D3F49">
              <w:rPr>
                <w:b/>
                <w:sz w:val="22"/>
              </w:rPr>
              <w:t>Tecentriq</w:t>
            </w:r>
          </w:p>
          <w:p w14:paraId="70B225F5" w14:textId="76A7FE06" w:rsidR="00295A75" w:rsidRPr="008D3F49" w:rsidRDefault="00295A75" w:rsidP="00295A75">
            <w:pPr>
              <w:jc w:val="center"/>
              <w:rPr>
                <w:b/>
                <w:sz w:val="22"/>
              </w:rPr>
            </w:pPr>
            <w:r w:rsidRPr="008D3F49">
              <w:rPr>
                <w:b/>
                <w:sz w:val="22"/>
              </w:rPr>
              <w:t>(n = 609)</w:t>
            </w:r>
          </w:p>
        </w:tc>
        <w:tc>
          <w:tcPr>
            <w:tcW w:w="3330" w:type="dxa"/>
            <w:gridSpan w:val="2"/>
            <w:shd w:val="clear" w:color="auto" w:fill="auto"/>
          </w:tcPr>
          <w:p w14:paraId="7D670D9A" w14:textId="350D7238" w:rsidR="00295A75" w:rsidRPr="008D3F49" w:rsidRDefault="00367839" w:rsidP="00295A75">
            <w:pPr>
              <w:jc w:val="center"/>
              <w:rPr>
                <w:b/>
                <w:sz w:val="22"/>
              </w:rPr>
            </w:pPr>
            <w:r w:rsidRPr="008D3F49">
              <w:rPr>
                <w:b/>
                <w:sz w:val="22"/>
              </w:rPr>
              <w:t>d</w:t>
            </w:r>
            <w:r w:rsidR="00295A75" w:rsidRPr="008D3F49">
              <w:rPr>
                <w:b/>
                <w:sz w:val="22"/>
              </w:rPr>
              <w:t>ocetaxel</w:t>
            </w:r>
          </w:p>
          <w:p w14:paraId="7581D8D5" w14:textId="31BE3D17" w:rsidR="00295A75" w:rsidRPr="008D3F49" w:rsidRDefault="00295A75" w:rsidP="00295A75">
            <w:pPr>
              <w:jc w:val="center"/>
              <w:rPr>
                <w:b/>
                <w:sz w:val="22"/>
              </w:rPr>
            </w:pPr>
            <w:r w:rsidRPr="008D3F49">
              <w:rPr>
                <w:b/>
                <w:sz w:val="22"/>
              </w:rPr>
              <w:t>(n = 578)</w:t>
            </w:r>
          </w:p>
        </w:tc>
      </w:tr>
      <w:tr w:rsidR="00295A75" w:rsidRPr="00367839" w14:paraId="35ED1E97" w14:textId="77777777" w:rsidTr="00295A75">
        <w:trPr>
          <w:trHeight w:val="449"/>
        </w:trPr>
        <w:tc>
          <w:tcPr>
            <w:tcW w:w="2520" w:type="dxa"/>
            <w:shd w:val="clear" w:color="auto" w:fill="auto"/>
          </w:tcPr>
          <w:p w14:paraId="6D791499" w14:textId="77777777" w:rsidR="00295A75" w:rsidRPr="008D3F49" w:rsidRDefault="00295A75" w:rsidP="00295A75">
            <w:pPr>
              <w:rPr>
                <w:b/>
                <w:sz w:val="22"/>
              </w:rPr>
            </w:pPr>
            <w:r w:rsidRPr="008D3F49">
              <w:rPr>
                <w:b/>
                <w:sz w:val="22"/>
              </w:rPr>
              <w:t>Adverse Reaction</w:t>
            </w:r>
          </w:p>
        </w:tc>
        <w:tc>
          <w:tcPr>
            <w:tcW w:w="1530" w:type="dxa"/>
            <w:shd w:val="clear" w:color="auto" w:fill="auto"/>
          </w:tcPr>
          <w:p w14:paraId="591816BC" w14:textId="77777777" w:rsidR="00295A75" w:rsidRPr="008D3F49" w:rsidRDefault="00295A75" w:rsidP="00295A75">
            <w:pPr>
              <w:jc w:val="center"/>
              <w:rPr>
                <w:b/>
                <w:sz w:val="22"/>
              </w:rPr>
            </w:pPr>
            <w:r w:rsidRPr="008D3F49">
              <w:rPr>
                <w:b/>
                <w:sz w:val="22"/>
              </w:rPr>
              <w:t>All grades</w:t>
            </w:r>
          </w:p>
        </w:tc>
        <w:tc>
          <w:tcPr>
            <w:tcW w:w="1620" w:type="dxa"/>
            <w:shd w:val="clear" w:color="auto" w:fill="auto"/>
          </w:tcPr>
          <w:p w14:paraId="0C2D0C62" w14:textId="77777777" w:rsidR="00295A75" w:rsidRPr="008D3F49" w:rsidRDefault="00295A75" w:rsidP="00295A75">
            <w:pPr>
              <w:jc w:val="center"/>
              <w:rPr>
                <w:b/>
                <w:sz w:val="22"/>
              </w:rPr>
            </w:pPr>
            <w:r w:rsidRPr="008D3F49">
              <w:rPr>
                <w:b/>
                <w:sz w:val="22"/>
              </w:rPr>
              <w:t>Grade 3</w:t>
            </w:r>
            <w:r w:rsidRPr="008D3F49">
              <w:rPr>
                <w:sz w:val="22"/>
              </w:rPr>
              <w:t>–</w:t>
            </w:r>
            <w:r w:rsidRPr="008D3F49">
              <w:rPr>
                <w:b/>
                <w:sz w:val="22"/>
              </w:rPr>
              <w:t>4</w:t>
            </w:r>
          </w:p>
        </w:tc>
        <w:tc>
          <w:tcPr>
            <w:tcW w:w="1620" w:type="dxa"/>
            <w:shd w:val="clear" w:color="auto" w:fill="auto"/>
          </w:tcPr>
          <w:p w14:paraId="3740B629" w14:textId="77777777" w:rsidR="00295A75" w:rsidRPr="008D3F49" w:rsidRDefault="00295A75" w:rsidP="00295A75">
            <w:pPr>
              <w:jc w:val="center"/>
              <w:rPr>
                <w:b/>
                <w:sz w:val="22"/>
              </w:rPr>
            </w:pPr>
            <w:r w:rsidRPr="008D3F49">
              <w:rPr>
                <w:b/>
                <w:sz w:val="22"/>
              </w:rPr>
              <w:t>All grades</w:t>
            </w:r>
          </w:p>
        </w:tc>
        <w:tc>
          <w:tcPr>
            <w:tcW w:w="1710" w:type="dxa"/>
            <w:shd w:val="clear" w:color="auto" w:fill="auto"/>
          </w:tcPr>
          <w:p w14:paraId="48992354" w14:textId="77777777" w:rsidR="00295A75" w:rsidRPr="008D3F49" w:rsidRDefault="00295A75" w:rsidP="00295A75">
            <w:pPr>
              <w:jc w:val="center"/>
              <w:rPr>
                <w:b/>
                <w:sz w:val="22"/>
              </w:rPr>
            </w:pPr>
            <w:r w:rsidRPr="008D3F49">
              <w:rPr>
                <w:b/>
                <w:sz w:val="22"/>
              </w:rPr>
              <w:t>Grade 3</w:t>
            </w:r>
            <w:r w:rsidRPr="008D3F49">
              <w:rPr>
                <w:sz w:val="22"/>
              </w:rPr>
              <w:t>–</w:t>
            </w:r>
            <w:r w:rsidRPr="008D3F49">
              <w:rPr>
                <w:b/>
                <w:sz w:val="22"/>
              </w:rPr>
              <w:t>4</w:t>
            </w:r>
          </w:p>
        </w:tc>
      </w:tr>
      <w:tr w:rsidR="00295A75" w:rsidRPr="00367839" w14:paraId="5CAE70A7" w14:textId="77777777" w:rsidTr="00295A75">
        <w:trPr>
          <w:trHeight w:val="296"/>
        </w:trPr>
        <w:tc>
          <w:tcPr>
            <w:tcW w:w="2520" w:type="dxa"/>
            <w:shd w:val="clear" w:color="auto" w:fill="auto"/>
          </w:tcPr>
          <w:p w14:paraId="64BB4EDC" w14:textId="77777777" w:rsidR="00295A75" w:rsidRPr="008D3F49" w:rsidRDefault="00295A75" w:rsidP="00295A75">
            <w:pPr>
              <w:rPr>
                <w:b/>
                <w:sz w:val="22"/>
              </w:rPr>
            </w:pPr>
          </w:p>
        </w:tc>
        <w:tc>
          <w:tcPr>
            <w:tcW w:w="6480" w:type="dxa"/>
            <w:gridSpan w:val="4"/>
            <w:shd w:val="clear" w:color="auto" w:fill="auto"/>
          </w:tcPr>
          <w:p w14:paraId="00CD3D1F" w14:textId="77777777" w:rsidR="00295A75" w:rsidRPr="008D3F49" w:rsidRDefault="00295A75" w:rsidP="00295A75">
            <w:pPr>
              <w:jc w:val="center"/>
              <w:rPr>
                <w:b/>
                <w:sz w:val="22"/>
              </w:rPr>
            </w:pPr>
            <w:r w:rsidRPr="008D3F49">
              <w:rPr>
                <w:b/>
                <w:sz w:val="22"/>
              </w:rPr>
              <w:t>Percentage (%) of Patients</w:t>
            </w:r>
          </w:p>
        </w:tc>
      </w:tr>
      <w:tr w:rsidR="00295A75" w:rsidRPr="00367839" w14:paraId="36EDAFA9" w14:textId="77777777" w:rsidTr="00295A75">
        <w:tc>
          <w:tcPr>
            <w:tcW w:w="9000" w:type="dxa"/>
            <w:gridSpan w:val="5"/>
            <w:shd w:val="clear" w:color="auto" w:fill="auto"/>
          </w:tcPr>
          <w:p w14:paraId="2B249ED2" w14:textId="77777777" w:rsidR="00295A75" w:rsidRPr="008D3F49" w:rsidRDefault="00295A75" w:rsidP="00295A75">
            <w:pPr>
              <w:rPr>
                <w:sz w:val="22"/>
              </w:rPr>
            </w:pPr>
            <w:r w:rsidRPr="008D3F49">
              <w:rPr>
                <w:b/>
                <w:sz w:val="22"/>
              </w:rPr>
              <w:t xml:space="preserve">Respiratory, thoracic and mediastinal disorders </w:t>
            </w:r>
          </w:p>
        </w:tc>
      </w:tr>
      <w:tr w:rsidR="00295A75" w:rsidRPr="00367839" w14:paraId="4FA10204" w14:textId="77777777" w:rsidTr="00295A75">
        <w:tc>
          <w:tcPr>
            <w:tcW w:w="2520" w:type="dxa"/>
            <w:shd w:val="clear" w:color="auto" w:fill="auto"/>
          </w:tcPr>
          <w:p w14:paraId="5778CA46" w14:textId="77777777" w:rsidR="00295A75" w:rsidRPr="008D3F49" w:rsidRDefault="00295A75" w:rsidP="008D3F49">
            <w:pPr>
              <w:jc w:val="left"/>
              <w:rPr>
                <w:sz w:val="22"/>
              </w:rPr>
            </w:pPr>
            <w:r w:rsidRPr="008D3F49">
              <w:rPr>
                <w:sz w:val="22"/>
              </w:rPr>
              <w:t>Cough</w:t>
            </w:r>
          </w:p>
        </w:tc>
        <w:tc>
          <w:tcPr>
            <w:tcW w:w="1530" w:type="dxa"/>
            <w:shd w:val="clear" w:color="auto" w:fill="auto"/>
          </w:tcPr>
          <w:p w14:paraId="4FF4BE23" w14:textId="77777777" w:rsidR="00295A75" w:rsidRPr="008D3F49" w:rsidRDefault="00295A75" w:rsidP="00295A75">
            <w:pPr>
              <w:jc w:val="center"/>
              <w:rPr>
                <w:sz w:val="22"/>
              </w:rPr>
            </w:pPr>
            <w:r w:rsidRPr="008D3F49">
              <w:rPr>
                <w:sz w:val="22"/>
              </w:rPr>
              <w:t>26</w:t>
            </w:r>
          </w:p>
        </w:tc>
        <w:tc>
          <w:tcPr>
            <w:tcW w:w="1620" w:type="dxa"/>
            <w:shd w:val="clear" w:color="auto" w:fill="auto"/>
          </w:tcPr>
          <w:p w14:paraId="7B2F3554" w14:textId="77777777" w:rsidR="00295A75" w:rsidRPr="008D3F49" w:rsidRDefault="00295A75" w:rsidP="00295A75">
            <w:pPr>
              <w:jc w:val="center"/>
              <w:rPr>
                <w:sz w:val="22"/>
              </w:rPr>
            </w:pPr>
            <w:r w:rsidRPr="008D3F49">
              <w:rPr>
                <w:sz w:val="22"/>
              </w:rPr>
              <w:t>0.5</w:t>
            </w:r>
          </w:p>
        </w:tc>
        <w:tc>
          <w:tcPr>
            <w:tcW w:w="1620" w:type="dxa"/>
            <w:shd w:val="clear" w:color="auto" w:fill="auto"/>
          </w:tcPr>
          <w:p w14:paraId="5D1DD7F1" w14:textId="77777777" w:rsidR="00295A75" w:rsidRPr="008D3F49" w:rsidRDefault="00295A75" w:rsidP="00295A75">
            <w:pPr>
              <w:jc w:val="center"/>
              <w:rPr>
                <w:sz w:val="22"/>
              </w:rPr>
            </w:pPr>
            <w:r w:rsidRPr="008D3F49">
              <w:rPr>
                <w:sz w:val="22"/>
              </w:rPr>
              <w:t>21</w:t>
            </w:r>
          </w:p>
        </w:tc>
        <w:tc>
          <w:tcPr>
            <w:tcW w:w="1710" w:type="dxa"/>
            <w:shd w:val="clear" w:color="auto" w:fill="auto"/>
          </w:tcPr>
          <w:p w14:paraId="5CF21F20" w14:textId="77777777" w:rsidR="00295A75" w:rsidRPr="008D3F49" w:rsidRDefault="00295A75" w:rsidP="00295A75">
            <w:pPr>
              <w:jc w:val="center"/>
              <w:rPr>
                <w:sz w:val="22"/>
              </w:rPr>
            </w:pPr>
            <w:r w:rsidRPr="008D3F49">
              <w:rPr>
                <w:sz w:val="22"/>
              </w:rPr>
              <w:t>0.2</w:t>
            </w:r>
          </w:p>
        </w:tc>
      </w:tr>
    </w:tbl>
    <w:p w14:paraId="56204DC8" w14:textId="77777777" w:rsidR="00295A75" w:rsidRDefault="00295A75" w:rsidP="008D3F49"/>
    <w:p w14:paraId="6ED722CD" w14:textId="5D29E4F2" w:rsidR="00295A75" w:rsidRPr="008D3F49" w:rsidRDefault="00295A75" w:rsidP="008D3F49">
      <w:pPr>
        <w:rPr>
          <w:b/>
        </w:rPr>
      </w:pPr>
      <w:r w:rsidRPr="008D3F49">
        <w:rPr>
          <w:b/>
        </w:rPr>
        <w:t xml:space="preserve">Table </w:t>
      </w:r>
      <w:r w:rsidR="00FD2E00">
        <w:rPr>
          <w:b/>
        </w:rPr>
        <w:t>7</w:t>
      </w:r>
      <w:r w:rsidR="00367839" w:rsidRPr="008D3F49">
        <w:rPr>
          <w:b/>
        </w:rPr>
        <w:t>.</w:t>
      </w:r>
      <w:r w:rsidRPr="008D3F49">
        <w:rPr>
          <w:b/>
        </w:rPr>
        <w:t xml:space="preserve"> </w:t>
      </w:r>
      <w:r w:rsidR="00367839" w:rsidRPr="008D3F49">
        <w:rPr>
          <w:b/>
        </w:rPr>
        <w:t xml:space="preserve">Selected laboratory abnormalities worsening from baseline occurring in </w:t>
      </w:r>
      <w:r w:rsidR="009D015F">
        <w:rPr>
          <w:b/>
        </w:rPr>
        <w:t xml:space="preserve">≥ </w:t>
      </w:r>
      <w:r w:rsidR="00367839" w:rsidRPr="008D3F49">
        <w:rPr>
          <w:b/>
        </w:rPr>
        <w:t xml:space="preserve">10% of Tecentriq-treated patients in GO28915 and at a higher incidence than in the docetaxel arm (between arm difference of </w:t>
      </w:r>
      <w:r w:rsidR="009D015F">
        <w:rPr>
          <w:b/>
        </w:rPr>
        <w:t xml:space="preserve">≥ </w:t>
      </w:r>
      <w:r w:rsidR="00367839" w:rsidRPr="008D3F49">
        <w:rPr>
          <w:b/>
        </w:rPr>
        <w:t xml:space="preserve">5% [all grades] or </w:t>
      </w:r>
      <w:r w:rsidR="009D015F">
        <w:rPr>
          <w:b/>
        </w:rPr>
        <w:t xml:space="preserve">≥ </w:t>
      </w:r>
      <w:r w:rsidR="00367839" w:rsidRPr="008D3F49">
        <w:rPr>
          <w:b/>
        </w:rPr>
        <w:t>2% [grades 3</w:t>
      </w:r>
      <w:r w:rsidR="009D015F">
        <w:rPr>
          <w:b/>
        </w:rPr>
        <w:t xml:space="preserve"> - </w:t>
      </w:r>
      <w:r w:rsidR="00367839" w:rsidRPr="008D3F49">
        <w:rPr>
          <w:b/>
        </w:rPr>
        <w:t xml:space="preserve">4]) </w:t>
      </w:r>
    </w:p>
    <w:p w14:paraId="0BB00E53" w14:textId="77777777" w:rsidR="00367839" w:rsidRDefault="00367839" w:rsidP="008D3F49"/>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620"/>
        <w:gridCol w:w="1620"/>
        <w:gridCol w:w="1710"/>
        <w:gridCol w:w="1530"/>
      </w:tblGrid>
      <w:tr w:rsidR="00295A75" w:rsidRPr="00367839" w14:paraId="6823AE44" w14:textId="77777777" w:rsidTr="00295A75">
        <w:trPr>
          <w:trHeight w:val="296"/>
        </w:trPr>
        <w:tc>
          <w:tcPr>
            <w:tcW w:w="2520" w:type="dxa"/>
            <w:shd w:val="clear" w:color="auto" w:fill="auto"/>
          </w:tcPr>
          <w:p w14:paraId="4E5EFA06" w14:textId="77777777" w:rsidR="00295A75" w:rsidRPr="008D3F49" w:rsidRDefault="00295A75" w:rsidP="00295A75">
            <w:pPr>
              <w:rPr>
                <w:sz w:val="22"/>
              </w:rPr>
            </w:pPr>
          </w:p>
        </w:tc>
        <w:tc>
          <w:tcPr>
            <w:tcW w:w="6480" w:type="dxa"/>
            <w:gridSpan w:val="4"/>
            <w:shd w:val="clear" w:color="auto" w:fill="auto"/>
          </w:tcPr>
          <w:p w14:paraId="2CAA9312" w14:textId="36E45BE3" w:rsidR="00295A75" w:rsidRPr="008D3F49" w:rsidRDefault="00367839" w:rsidP="00295A75">
            <w:pPr>
              <w:jc w:val="center"/>
              <w:rPr>
                <w:b/>
                <w:sz w:val="22"/>
              </w:rPr>
            </w:pPr>
            <w:r>
              <w:rPr>
                <w:b/>
                <w:sz w:val="22"/>
              </w:rPr>
              <w:t>P</w:t>
            </w:r>
            <w:r w:rsidRPr="00ED43CF">
              <w:rPr>
                <w:b/>
                <w:sz w:val="22"/>
              </w:rPr>
              <w:t>ercentage of patients with worsening</w:t>
            </w:r>
          </w:p>
          <w:p w14:paraId="26D8D9AE" w14:textId="10BA67EC" w:rsidR="00295A75" w:rsidRPr="008D3F49" w:rsidRDefault="00367839" w:rsidP="00295A75">
            <w:pPr>
              <w:jc w:val="center"/>
              <w:rPr>
                <w:sz w:val="22"/>
              </w:rPr>
            </w:pPr>
            <w:r w:rsidRPr="00ED43CF">
              <w:rPr>
                <w:b/>
                <w:sz w:val="22"/>
              </w:rPr>
              <w:t>laboratory test from baseline</w:t>
            </w:r>
          </w:p>
        </w:tc>
      </w:tr>
      <w:tr w:rsidR="00295A75" w:rsidRPr="00367839" w14:paraId="32DADCE6" w14:textId="77777777" w:rsidTr="00295A75">
        <w:trPr>
          <w:trHeight w:val="296"/>
        </w:trPr>
        <w:tc>
          <w:tcPr>
            <w:tcW w:w="2520" w:type="dxa"/>
            <w:shd w:val="clear" w:color="auto" w:fill="auto"/>
          </w:tcPr>
          <w:p w14:paraId="3BE16089" w14:textId="77777777" w:rsidR="00295A75" w:rsidRPr="008D3F49" w:rsidRDefault="00295A75" w:rsidP="00295A75">
            <w:pPr>
              <w:rPr>
                <w:sz w:val="22"/>
              </w:rPr>
            </w:pPr>
          </w:p>
        </w:tc>
        <w:tc>
          <w:tcPr>
            <w:tcW w:w="3240" w:type="dxa"/>
            <w:gridSpan w:val="2"/>
            <w:shd w:val="clear" w:color="auto" w:fill="auto"/>
          </w:tcPr>
          <w:p w14:paraId="50414EF2" w14:textId="4A70CB7C" w:rsidR="00295A75" w:rsidRPr="008D3F49" w:rsidRDefault="00367839" w:rsidP="00295A75">
            <w:pPr>
              <w:jc w:val="center"/>
              <w:rPr>
                <w:b/>
                <w:sz w:val="22"/>
              </w:rPr>
            </w:pPr>
            <w:r w:rsidRPr="008D3F49">
              <w:rPr>
                <w:b/>
                <w:sz w:val="22"/>
              </w:rPr>
              <w:t>Tecentriq</w:t>
            </w:r>
          </w:p>
        </w:tc>
        <w:tc>
          <w:tcPr>
            <w:tcW w:w="3240" w:type="dxa"/>
            <w:gridSpan w:val="2"/>
            <w:shd w:val="clear" w:color="auto" w:fill="auto"/>
          </w:tcPr>
          <w:p w14:paraId="747E7852" w14:textId="4D5C2F23" w:rsidR="00295A75" w:rsidRPr="008D3F49" w:rsidRDefault="00367839" w:rsidP="00295A75">
            <w:pPr>
              <w:jc w:val="center"/>
              <w:rPr>
                <w:b/>
                <w:sz w:val="22"/>
              </w:rPr>
            </w:pPr>
            <w:r w:rsidRPr="008D3F49">
              <w:rPr>
                <w:b/>
                <w:sz w:val="22"/>
              </w:rPr>
              <w:t>d</w:t>
            </w:r>
            <w:r w:rsidR="00295A75" w:rsidRPr="008D3F49">
              <w:rPr>
                <w:b/>
                <w:sz w:val="22"/>
              </w:rPr>
              <w:t>ocetaxel</w:t>
            </w:r>
          </w:p>
        </w:tc>
      </w:tr>
      <w:tr w:rsidR="00295A75" w:rsidRPr="00367839" w14:paraId="77F63E12" w14:textId="77777777" w:rsidTr="008D3F49">
        <w:trPr>
          <w:trHeight w:val="70"/>
        </w:trPr>
        <w:tc>
          <w:tcPr>
            <w:tcW w:w="2520" w:type="dxa"/>
            <w:shd w:val="clear" w:color="auto" w:fill="auto"/>
          </w:tcPr>
          <w:p w14:paraId="115927D1" w14:textId="77777777" w:rsidR="00295A75" w:rsidRPr="008D3F49" w:rsidRDefault="00295A75" w:rsidP="00295A75">
            <w:pPr>
              <w:rPr>
                <w:b/>
                <w:sz w:val="22"/>
              </w:rPr>
            </w:pPr>
            <w:r w:rsidRPr="008D3F49">
              <w:rPr>
                <w:b/>
                <w:sz w:val="22"/>
              </w:rPr>
              <w:lastRenderedPageBreak/>
              <w:t>Test</w:t>
            </w:r>
          </w:p>
        </w:tc>
        <w:tc>
          <w:tcPr>
            <w:tcW w:w="1620" w:type="dxa"/>
            <w:shd w:val="clear" w:color="auto" w:fill="auto"/>
          </w:tcPr>
          <w:p w14:paraId="2459429C" w14:textId="77777777" w:rsidR="00295A75" w:rsidRPr="008D3F49" w:rsidRDefault="00295A75" w:rsidP="00295A75">
            <w:pPr>
              <w:jc w:val="center"/>
              <w:rPr>
                <w:sz w:val="22"/>
              </w:rPr>
            </w:pPr>
            <w:r w:rsidRPr="008D3F49">
              <w:rPr>
                <w:sz w:val="22"/>
              </w:rPr>
              <w:t>All grades</w:t>
            </w:r>
          </w:p>
          <w:p w14:paraId="0F5D31AB" w14:textId="77777777" w:rsidR="00295A75" w:rsidRPr="008D3F49" w:rsidRDefault="00295A75" w:rsidP="00295A75">
            <w:pPr>
              <w:jc w:val="center"/>
              <w:rPr>
                <w:sz w:val="22"/>
              </w:rPr>
            </w:pPr>
            <w:r w:rsidRPr="008D3F49">
              <w:rPr>
                <w:sz w:val="22"/>
              </w:rPr>
              <w:t>%</w:t>
            </w:r>
          </w:p>
        </w:tc>
        <w:tc>
          <w:tcPr>
            <w:tcW w:w="1620" w:type="dxa"/>
            <w:shd w:val="clear" w:color="auto" w:fill="auto"/>
          </w:tcPr>
          <w:p w14:paraId="05471C2E" w14:textId="77777777" w:rsidR="00295A75" w:rsidRPr="008D3F49" w:rsidRDefault="00295A75" w:rsidP="00295A75">
            <w:pPr>
              <w:jc w:val="center"/>
              <w:rPr>
                <w:sz w:val="22"/>
              </w:rPr>
            </w:pPr>
            <w:r w:rsidRPr="008D3F49">
              <w:rPr>
                <w:sz w:val="22"/>
              </w:rPr>
              <w:t>Grade 3–4</w:t>
            </w:r>
          </w:p>
          <w:p w14:paraId="1410C6E3" w14:textId="77777777" w:rsidR="00295A75" w:rsidRPr="008D3F49" w:rsidRDefault="00295A75" w:rsidP="00295A75">
            <w:pPr>
              <w:jc w:val="center"/>
              <w:rPr>
                <w:sz w:val="22"/>
              </w:rPr>
            </w:pPr>
            <w:r w:rsidRPr="008D3F49">
              <w:rPr>
                <w:sz w:val="22"/>
              </w:rPr>
              <w:t>%</w:t>
            </w:r>
          </w:p>
        </w:tc>
        <w:tc>
          <w:tcPr>
            <w:tcW w:w="1710" w:type="dxa"/>
            <w:shd w:val="clear" w:color="auto" w:fill="auto"/>
          </w:tcPr>
          <w:p w14:paraId="62AAB274" w14:textId="77777777" w:rsidR="00295A75" w:rsidRPr="008D3F49" w:rsidRDefault="00295A75" w:rsidP="00295A75">
            <w:pPr>
              <w:jc w:val="center"/>
              <w:rPr>
                <w:sz w:val="22"/>
              </w:rPr>
            </w:pPr>
            <w:r w:rsidRPr="008D3F49">
              <w:rPr>
                <w:sz w:val="22"/>
              </w:rPr>
              <w:t>All grades</w:t>
            </w:r>
          </w:p>
          <w:p w14:paraId="498CEAA0" w14:textId="77777777" w:rsidR="00295A75" w:rsidRPr="008D3F49" w:rsidRDefault="00295A75" w:rsidP="00295A75">
            <w:pPr>
              <w:jc w:val="center"/>
              <w:rPr>
                <w:sz w:val="22"/>
              </w:rPr>
            </w:pPr>
            <w:r w:rsidRPr="008D3F49">
              <w:rPr>
                <w:sz w:val="22"/>
              </w:rPr>
              <w:t>%</w:t>
            </w:r>
          </w:p>
        </w:tc>
        <w:tc>
          <w:tcPr>
            <w:tcW w:w="1530" w:type="dxa"/>
            <w:shd w:val="clear" w:color="auto" w:fill="auto"/>
          </w:tcPr>
          <w:p w14:paraId="3E11D7D6" w14:textId="77777777" w:rsidR="00295A75" w:rsidRPr="008D3F49" w:rsidRDefault="00295A75" w:rsidP="00295A75">
            <w:pPr>
              <w:jc w:val="center"/>
              <w:rPr>
                <w:sz w:val="22"/>
              </w:rPr>
            </w:pPr>
            <w:r w:rsidRPr="008D3F49">
              <w:rPr>
                <w:sz w:val="22"/>
              </w:rPr>
              <w:t>Grade 3–4</w:t>
            </w:r>
          </w:p>
          <w:p w14:paraId="4D92132B" w14:textId="77777777" w:rsidR="00295A75" w:rsidRPr="008D3F49" w:rsidRDefault="00295A75" w:rsidP="00295A75">
            <w:pPr>
              <w:jc w:val="center"/>
              <w:rPr>
                <w:sz w:val="22"/>
              </w:rPr>
            </w:pPr>
            <w:r w:rsidRPr="008D3F49">
              <w:rPr>
                <w:sz w:val="22"/>
              </w:rPr>
              <w:t>%</w:t>
            </w:r>
          </w:p>
        </w:tc>
      </w:tr>
      <w:tr w:rsidR="00295A75" w:rsidRPr="00367839" w14:paraId="3ACF7D60" w14:textId="77777777" w:rsidTr="00295A75">
        <w:trPr>
          <w:trHeight w:val="296"/>
        </w:trPr>
        <w:tc>
          <w:tcPr>
            <w:tcW w:w="2520" w:type="dxa"/>
            <w:shd w:val="clear" w:color="auto" w:fill="auto"/>
          </w:tcPr>
          <w:p w14:paraId="3CB8367E" w14:textId="77777777" w:rsidR="00295A75" w:rsidRPr="008D3F49" w:rsidRDefault="00295A75" w:rsidP="008D3F49">
            <w:pPr>
              <w:jc w:val="left"/>
              <w:rPr>
                <w:sz w:val="22"/>
              </w:rPr>
            </w:pPr>
            <w:r w:rsidRPr="008D3F49">
              <w:rPr>
                <w:sz w:val="22"/>
              </w:rPr>
              <w:t>Hyponatremia</w:t>
            </w:r>
          </w:p>
        </w:tc>
        <w:tc>
          <w:tcPr>
            <w:tcW w:w="1620" w:type="dxa"/>
            <w:shd w:val="clear" w:color="auto" w:fill="auto"/>
          </w:tcPr>
          <w:p w14:paraId="020F66A7" w14:textId="77777777" w:rsidR="00295A75" w:rsidRPr="008D3F49" w:rsidRDefault="00295A75" w:rsidP="00295A75">
            <w:pPr>
              <w:jc w:val="center"/>
              <w:rPr>
                <w:sz w:val="22"/>
              </w:rPr>
            </w:pPr>
            <w:r w:rsidRPr="008D3F49">
              <w:rPr>
                <w:sz w:val="22"/>
              </w:rPr>
              <w:t>42</w:t>
            </w:r>
          </w:p>
        </w:tc>
        <w:tc>
          <w:tcPr>
            <w:tcW w:w="1620" w:type="dxa"/>
            <w:shd w:val="clear" w:color="auto" w:fill="auto"/>
          </w:tcPr>
          <w:p w14:paraId="23E1D735" w14:textId="77777777" w:rsidR="00295A75" w:rsidRPr="008D3F49" w:rsidRDefault="00295A75" w:rsidP="00295A75">
            <w:pPr>
              <w:jc w:val="center"/>
              <w:rPr>
                <w:sz w:val="22"/>
              </w:rPr>
            </w:pPr>
            <w:r w:rsidRPr="008D3F49">
              <w:rPr>
                <w:sz w:val="22"/>
              </w:rPr>
              <w:t>7</w:t>
            </w:r>
          </w:p>
        </w:tc>
        <w:tc>
          <w:tcPr>
            <w:tcW w:w="1710" w:type="dxa"/>
            <w:shd w:val="clear" w:color="auto" w:fill="auto"/>
          </w:tcPr>
          <w:p w14:paraId="2A09CB1F" w14:textId="77777777" w:rsidR="00295A75" w:rsidRPr="008D3F49" w:rsidRDefault="00295A75" w:rsidP="00295A75">
            <w:pPr>
              <w:jc w:val="center"/>
              <w:rPr>
                <w:sz w:val="22"/>
              </w:rPr>
            </w:pPr>
            <w:r w:rsidRPr="008D3F49">
              <w:rPr>
                <w:sz w:val="22"/>
              </w:rPr>
              <w:t>31</w:t>
            </w:r>
          </w:p>
        </w:tc>
        <w:tc>
          <w:tcPr>
            <w:tcW w:w="1530" w:type="dxa"/>
            <w:shd w:val="clear" w:color="auto" w:fill="auto"/>
          </w:tcPr>
          <w:p w14:paraId="54C23DF3" w14:textId="77777777" w:rsidR="00295A75" w:rsidRPr="008D3F49" w:rsidRDefault="00295A75" w:rsidP="00295A75">
            <w:pPr>
              <w:jc w:val="center"/>
              <w:rPr>
                <w:sz w:val="22"/>
              </w:rPr>
            </w:pPr>
            <w:r w:rsidRPr="008D3F49">
              <w:rPr>
                <w:sz w:val="22"/>
              </w:rPr>
              <w:t>6</w:t>
            </w:r>
          </w:p>
        </w:tc>
      </w:tr>
      <w:tr w:rsidR="00295A75" w:rsidRPr="00367839" w14:paraId="5FE9F1B1" w14:textId="77777777" w:rsidTr="00295A75">
        <w:trPr>
          <w:trHeight w:val="296"/>
        </w:trPr>
        <w:tc>
          <w:tcPr>
            <w:tcW w:w="2520" w:type="dxa"/>
            <w:shd w:val="clear" w:color="auto" w:fill="auto"/>
          </w:tcPr>
          <w:p w14:paraId="4509AD82" w14:textId="3D36CE38" w:rsidR="00295A75" w:rsidRPr="008D3F49" w:rsidRDefault="00367839" w:rsidP="008D3F49">
            <w:pPr>
              <w:jc w:val="left"/>
              <w:rPr>
                <w:sz w:val="22"/>
              </w:rPr>
            </w:pPr>
            <w:r>
              <w:rPr>
                <w:sz w:val="22"/>
              </w:rPr>
              <w:t xml:space="preserve">ALP </w:t>
            </w:r>
            <w:r w:rsidR="00295A75" w:rsidRPr="008D3F49">
              <w:rPr>
                <w:sz w:val="22"/>
              </w:rPr>
              <w:t>increased</w:t>
            </w:r>
          </w:p>
        </w:tc>
        <w:tc>
          <w:tcPr>
            <w:tcW w:w="1620" w:type="dxa"/>
            <w:shd w:val="clear" w:color="auto" w:fill="auto"/>
          </w:tcPr>
          <w:p w14:paraId="1F5221B4" w14:textId="77777777" w:rsidR="00295A75" w:rsidRPr="008D3F49" w:rsidRDefault="00295A75" w:rsidP="00295A75">
            <w:pPr>
              <w:jc w:val="center"/>
              <w:rPr>
                <w:sz w:val="22"/>
              </w:rPr>
            </w:pPr>
            <w:r w:rsidRPr="008D3F49">
              <w:rPr>
                <w:sz w:val="22"/>
              </w:rPr>
              <w:t>39</w:t>
            </w:r>
          </w:p>
        </w:tc>
        <w:tc>
          <w:tcPr>
            <w:tcW w:w="1620" w:type="dxa"/>
            <w:shd w:val="clear" w:color="auto" w:fill="auto"/>
          </w:tcPr>
          <w:p w14:paraId="2CE3C930" w14:textId="77777777" w:rsidR="00295A75" w:rsidRPr="008D3F49" w:rsidRDefault="00295A75" w:rsidP="00295A75">
            <w:pPr>
              <w:jc w:val="center"/>
              <w:rPr>
                <w:sz w:val="22"/>
              </w:rPr>
            </w:pPr>
            <w:r w:rsidRPr="008D3F49">
              <w:rPr>
                <w:sz w:val="22"/>
              </w:rPr>
              <w:t>2</w:t>
            </w:r>
          </w:p>
        </w:tc>
        <w:tc>
          <w:tcPr>
            <w:tcW w:w="1710" w:type="dxa"/>
            <w:shd w:val="clear" w:color="auto" w:fill="auto"/>
          </w:tcPr>
          <w:p w14:paraId="39AA0543" w14:textId="77777777" w:rsidR="00295A75" w:rsidRPr="008D3F49" w:rsidRDefault="00295A75" w:rsidP="00295A75">
            <w:pPr>
              <w:jc w:val="center"/>
              <w:rPr>
                <w:sz w:val="22"/>
              </w:rPr>
            </w:pPr>
            <w:r w:rsidRPr="008D3F49">
              <w:rPr>
                <w:sz w:val="22"/>
              </w:rPr>
              <w:t>25</w:t>
            </w:r>
          </w:p>
        </w:tc>
        <w:tc>
          <w:tcPr>
            <w:tcW w:w="1530" w:type="dxa"/>
            <w:shd w:val="clear" w:color="auto" w:fill="auto"/>
          </w:tcPr>
          <w:p w14:paraId="4A98B87A" w14:textId="77777777" w:rsidR="00295A75" w:rsidRPr="008D3F49" w:rsidRDefault="00295A75" w:rsidP="00295A75">
            <w:pPr>
              <w:jc w:val="center"/>
              <w:rPr>
                <w:sz w:val="22"/>
              </w:rPr>
            </w:pPr>
            <w:r w:rsidRPr="008D3F49">
              <w:rPr>
                <w:sz w:val="22"/>
              </w:rPr>
              <w:t>1</w:t>
            </w:r>
          </w:p>
        </w:tc>
      </w:tr>
      <w:tr w:rsidR="00295A75" w:rsidRPr="00367839" w14:paraId="7411F4CB" w14:textId="77777777" w:rsidTr="00295A75">
        <w:trPr>
          <w:trHeight w:val="296"/>
        </w:trPr>
        <w:tc>
          <w:tcPr>
            <w:tcW w:w="2520" w:type="dxa"/>
            <w:shd w:val="clear" w:color="auto" w:fill="auto"/>
          </w:tcPr>
          <w:p w14:paraId="2CE9F72F" w14:textId="7462B441" w:rsidR="00295A75" w:rsidRPr="008D3F49" w:rsidRDefault="00367839" w:rsidP="008D3F49">
            <w:pPr>
              <w:jc w:val="left"/>
              <w:rPr>
                <w:sz w:val="22"/>
              </w:rPr>
            </w:pPr>
            <w:r>
              <w:rPr>
                <w:sz w:val="22"/>
              </w:rPr>
              <w:t xml:space="preserve">AST </w:t>
            </w:r>
            <w:r w:rsidR="00295A75" w:rsidRPr="008D3F49">
              <w:rPr>
                <w:sz w:val="22"/>
              </w:rPr>
              <w:t>increased</w:t>
            </w:r>
          </w:p>
        </w:tc>
        <w:tc>
          <w:tcPr>
            <w:tcW w:w="1620" w:type="dxa"/>
            <w:shd w:val="clear" w:color="auto" w:fill="auto"/>
          </w:tcPr>
          <w:p w14:paraId="26BC7E6C" w14:textId="77777777" w:rsidR="00295A75" w:rsidRPr="008D3F49" w:rsidRDefault="00295A75" w:rsidP="00295A75">
            <w:pPr>
              <w:jc w:val="center"/>
              <w:rPr>
                <w:sz w:val="22"/>
              </w:rPr>
            </w:pPr>
            <w:r w:rsidRPr="008D3F49">
              <w:rPr>
                <w:sz w:val="22"/>
              </w:rPr>
              <w:t>31</w:t>
            </w:r>
          </w:p>
        </w:tc>
        <w:tc>
          <w:tcPr>
            <w:tcW w:w="1620" w:type="dxa"/>
            <w:shd w:val="clear" w:color="auto" w:fill="auto"/>
          </w:tcPr>
          <w:p w14:paraId="284ABF7D" w14:textId="77777777" w:rsidR="00295A75" w:rsidRPr="008D3F49" w:rsidRDefault="00295A75" w:rsidP="00295A75">
            <w:pPr>
              <w:jc w:val="center"/>
              <w:rPr>
                <w:sz w:val="22"/>
              </w:rPr>
            </w:pPr>
            <w:r w:rsidRPr="008D3F49">
              <w:rPr>
                <w:sz w:val="22"/>
              </w:rPr>
              <w:t>3</w:t>
            </w:r>
          </w:p>
        </w:tc>
        <w:tc>
          <w:tcPr>
            <w:tcW w:w="1710" w:type="dxa"/>
            <w:shd w:val="clear" w:color="auto" w:fill="auto"/>
          </w:tcPr>
          <w:p w14:paraId="56A0F879" w14:textId="77777777" w:rsidR="00295A75" w:rsidRPr="008D3F49" w:rsidRDefault="00295A75" w:rsidP="00295A75">
            <w:pPr>
              <w:jc w:val="center"/>
              <w:rPr>
                <w:sz w:val="22"/>
              </w:rPr>
            </w:pPr>
            <w:r w:rsidRPr="008D3F49">
              <w:rPr>
                <w:sz w:val="22"/>
              </w:rPr>
              <w:t>16</w:t>
            </w:r>
          </w:p>
        </w:tc>
        <w:tc>
          <w:tcPr>
            <w:tcW w:w="1530" w:type="dxa"/>
            <w:shd w:val="clear" w:color="auto" w:fill="auto"/>
          </w:tcPr>
          <w:p w14:paraId="78692088" w14:textId="77777777" w:rsidR="00295A75" w:rsidRPr="008D3F49" w:rsidRDefault="00295A75" w:rsidP="00295A75">
            <w:pPr>
              <w:jc w:val="center"/>
              <w:rPr>
                <w:sz w:val="22"/>
              </w:rPr>
            </w:pPr>
            <w:r w:rsidRPr="008D3F49">
              <w:rPr>
                <w:sz w:val="22"/>
              </w:rPr>
              <w:t>1</w:t>
            </w:r>
          </w:p>
        </w:tc>
      </w:tr>
      <w:tr w:rsidR="00295A75" w:rsidRPr="00367839" w14:paraId="1C00BDA4" w14:textId="77777777" w:rsidTr="00295A75">
        <w:trPr>
          <w:trHeight w:val="296"/>
        </w:trPr>
        <w:tc>
          <w:tcPr>
            <w:tcW w:w="2520" w:type="dxa"/>
            <w:shd w:val="clear" w:color="auto" w:fill="auto"/>
          </w:tcPr>
          <w:p w14:paraId="6FE90575" w14:textId="2569CE35" w:rsidR="00295A75" w:rsidRPr="008D3F49" w:rsidRDefault="00367839" w:rsidP="008D3F49">
            <w:pPr>
              <w:jc w:val="left"/>
              <w:rPr>
                <w:sz w:val="22"/>
              </w:rPr>
            </w:pPr>
            <w:r>
              <w:rPr>
                <w:sz w:val="22"/>
              </w:rPr>
              <w:t xml:space="preserve">ALT </w:t>
            </w:r>
            <w:r w:rsidR="00295A75" w:rsidRPr="008D3F49">
              <w:rPr>
                <w:sz w:val="22"/>
              </w:rPr>
              <w:t>increased</w:t>
            </w:r>
          </w:p>
        </w:tc>
        <w:tc>
          <w:tcPr>
            <w:tcW w:w="1620" w:type="dxa"/>
            <w:shd w:val="clear" w:color="auto" w:fill="auto"/>
          </w:tcPr>
          <w:p w14:paraId="59834121" w14:textId="77777777" w:rsidR="00295A75" w:rsidRPr="008D3F49" w:rsidRDefault="00295A75" w:rsidP="00295A75">
            <w:pPr>
              <w:jc w:val="center"/>
              <w:rPr>
                <w:sz w:val="22"/>
              </w:rPr>
            </w:pPr>
            <w:r w:rsidRPr="008D3F49">
              <w:rPr>
                <w:sz w:val="22"/>
              </w:rPr>
              <w:t>27</w:t>
            </w:r>
          </w:p>
        </w:tc>
        <w:tc>
          <w:tcPr>
            <w:tcW w:w="1620" w:type="dxa"/>
            <w:shd w:val="clear" w:color="auto" w:fill="auto"/>
          </w:tcPr>
          <w:p w14:paraId="1B6670EC" w14:textId="77777777" w:rsidR="00295A75" w:rsidRPr="008D3F49" w:rsidRDefault="00295A75" w:rsidP="00295A75">
            <w:pPr>
              <w:jc w:val="center"/>
              <w:rPr>
                <w:sz w:val="22"/>
              </w:rPr>
            </w:pPr>
            <w:r w:rsidRPr="008D3F49">
              <w:rPr>
                <w:sz w:val="22"/>
              </w:rPr>
              <w:t>3</w:t>
            </w:r>
          </w:p>
        </w:tc>
        <w:tc>
          <w:tcPr>
            <w:tcW w:w="1710" w:type="dxa"/>
            <w:shd w:val="clear" w:color="auto" w:fill="auto"/>
          </w:tcPr>
          <w:p w14:paraId="4406D0B8" w14:textId="77777777" w:rsidR="00295A75" w:rsidRPr="008D3F49" w:rsidRDefault="00295A75" w:rsidP="00295A75">
            <w:pPr>
              <w:jc w:val="center"/>
              <w:rPr>
                <w:sz w:val="22"/>
              </w:rPr>
            </w:pPr>
            <w:r w:rsidRPr="008D3F49">
              <w:rPr>
                <w:sz w:val="22"/>
              </w:rPr>
              <w:t>14</w:t>
            </w:r>
          </w:p>
        </w:tc>
        <w:tc>
          <w:tcPr>
            <w:tcW w:w="1530" w:type="dxa"/>
            <w:shd w:val="clear" w:color="auto" w:fill="auto"/>
          </w:tcPr>
          <w:p w14:paraId="54820B85" w14:textId="77777777" w:rsidR="00295A75" w:rsidRPr="008D3F49" w:rsidRDefault="00295A75" w:rsidP="00295A75">
            <w:pPr>
              <w:jc w:val="center"/>
              <w:rPr>
                <w:sz w:val="22"/>
              </w:rPr>
            </w:pPr>
            <w:r w:rsidRPr="008D3F49">
              <w:rPr>
                <w:sz w:val="22"/>
              </w:rPr>
              <w:t>1</w:t>
            </w:r>
          </w:p>
        </w:tc>
      </w:tr>
      <w:tr w:rsidR="00295A75" w:rsidRPr="00367839" w14:paraId="5233A789" w14:textId="77777777" w:rsidTr="00295A75">
        <w:trPr>
          <w:trHeight w:val="296"/>
        </w:trPr>
        <w:tc>
          <w:tcPr>
            <w:tcW w:w="2520" w:type="dxa"/>
            <w:shd w:val="clear" w:color="auto" w:fill="auto"/>
          </w:tcPr>
          <w:p w14:paraId="63780BA0" w14:textId="77777777" w:rsidR="00295A75" w:rsidRPr="008D3F49" w:rsidRDefault="00295A75" w:rsidP="008D3F49">
            <w:pPr>
              <w:jc w:val="left"/>
              <w:rPr>
                <w:sz w:val="22"/>
              </w:rPr>
            </w:pPr>
            <w:r w:rsidRPr="008D3F49">
              <w:rPr>
                <w:sz w:val="22"/>
              </w:rPr>
              <w:t>Magnesium decreased</w:t>
            </w:r>
          </w:p>
        </w:tc>
        <w:tc>
          <w:tcPr>
            <w:tcW w:w="1620" w:type="dxa"/>
            <w:shd w:val="clear" w:color="auto" w:fill="auto"/>
          </w:tcPr>
          <w:p w14:paraId="0F62EB2B" w14:textId="77777777" w:rsidR="00295A75" w:rsidRPr="008D3F49" w:rsidRDefault="00295A75" w:rsidP="00295A75">
            <w:pPr>
              <w:jc w:val="center"/>
              <w:rPr>
                <w:sz w:val="22"/>
              </w:rPr>
            </w:pPr>
            <w:r w:rsidRPr="008D3F49">
              <w:rPr>
                <w:sz w:val="22"/>
              </w:rPr>
              <w:t>26</w:t>
            </w:r>
          </w:p>
        </w:tc>
        <w:tc>
          <w:tcPr>
            <w:tcW w:w="1620" w:type="dxa"/>
            <w:shd w:val="clear" w:color="auto" w:fill="auto"/>
          </w:tcPr>
          <w:p w14:paraId="60E495A1" w14:textId="77777777" w:rsidR="00295A75" w:rsidRPr="008D3F49" w:rsidRDefault="00295A75" w:rsidP="00295A75">
            <w:pPr>
              <w:jc w:val="center"/>
              <w:rPr>
                <w:sz w:val="22"/>
              </w:rPr>
            </w:pPr>
            <w:r w:rsidRPr="008D3F49">
              <w:rPr>
                <w:sz w:val="22"/>
              </w:rPr>
              <w:t>1</w:t>
            </w:r>
          </w:p>
        </w:tc>
        <w:tc>
          <w:tcPr>
            <w:tcW w:w="1710" w:type="dxa"/>
            <w:shd w:val="clear" w:color="auto" w:fill="auto"/>
          </w:tcPr>
          <w:p w14:paraId="3C4D267E" w14:textId="77777777" w:rsidR="00295A75" w:rsidRPr="008D3F49" w:rsidRDefault="00295A75" w:rsidP="00295A75">
            <w:pPr>
              <w:jc w:val="center"/>
              <w:rPr>
                <w:sz w:val="22"/>
              </w:rPr>
            </w:pPr>
            <w:r w:rsidRPr="008D3F49">
              <w:rPr>
                <w:sz w:val="22"/>
              </w:rPr>
              <w:t>21</w:t>
            </w:r>
          </w:p>
        </w:tc>
        <w:tc>
          <w:tcPr>
            <w:tcW w:w="1530" w:type="dxa"/>
            <w:shd w:val="clear" w:color="auto" w:fill="auto"/>
          </w:tcPr>
          <w:p w14:paraId="76CA83EA" w14:textId="77777777" w:rsidR="00295A75" w:rsidRPr="008D3F49" w:rsidRDefault="00295A75" w:rsidP="00295A75">
            <w:pPr>
              <w:jc w:val="center"/>
              <w:rPr>
                <w:sz w:val="22"/>
              </w:rPr>
            </w:pPr>
            <w:r w:rsidRPr="008D3F49">
              <w:rPr>
                <w:sz w:val="22"/>
              </w:rPr>
              <w:t>1</w:t>
            </w:r>
          </w:p>
        </w:tc>
      </w:tr>
      <w:tr w:rsidR="00295A75" w:rsidRPr="00367839" w14:paraId="43DD9434" w14:textId="77777777" w:rsidTr="00295A75">
        <w:trPr>
          <w:trHeight w:val="296"/>
        </w:trPr>
        <w:tc>
          <w:tcPr>
            <w:tcW w:w="2520" w:type="dxa"/>
            <w:shd w:val="clear" w:color="auto" w:fill="auto"/>
          </w:tcPr>
          <w:p w14:paraId="22AF1274" w14:textId="77777777" w:rsidR="00295A75" w:rsidRPr="008D3F49" w:rsidRDefault="00295A75" w:rsidP="008D3F49">
            <w:pPr>
              <w:jc w:val="left"/>
              <w:rPr>
                <w:sz w:val="22"/>
              </w:rPr>
            </w:pPr>
            <w:r w:rsidRPr="008D3F49">
              <w:rPr>
                <w:sz w:val="22"/>
              </w:rPr>
              <w:t>Creatinine increased</w:t>
            </w:r>
          </w:p>
        </w:tc>
        <w:tc>
          <w:tcPr>
            <w:tcW w:w="1620" w:type="dxa"/>
            <w:shd w:val="clear" w:color="auto" w:fill="auto"/>
          </w:tcPr>
          <w:p w14:paraId="3163C442" w14:textId="77777777" w:rsidR="00295A75" w:rsidRPr="008D3F49" w:rsidRDefault="00295A75" w:rsidP="00295A75">
            <w:pPr>
              <w:jc w:val="center"/>
              <w:rPr>
                <w:sz w:val="22"/>
              </w:rPr>
            </w:pPr>
            <w:r w:rsidRPr="008D3F49">
              <w:rPr>
                <w:sz w:val="22"/>
              </w:rPr>
              <w:t>23</w:t>
            </w:r>
          </w:p>
        </w:tc>
        <w:tc>
          <w:tcPr>
            <w:tcW w:w="1620" w:type="dxa"/>
            <w:shd w:val="clear" w:color="auto" w:fill="auto"/>
          </w:tcPr>
          <w:p w14:paraId="5B6CE2D4" w14:textId="77777777" w:rsidR="00295A75" w:rsidRPr="008D3F49" w:rsidRDefault="00295A75" w:rsidP="00295A75">
            <w:pPr>
              <w:jc w:val="center"/>
              <w:rPr>
                <w:sz w:val="22"/>
              </w:rPr>
            </w:pPr>
            <w:r w:rsidRPr="008D3F49">
              <w:rPr>
                <w:sz w:val="22"/>
              </w:rPr>
              <w:t>2</w:t>
            </w:r>
          </w:p>
        </w:tc>
        <w:tc>
          <w:tcPr>
            <w:tcW w:w="1710" w:type="dxa"/>
            <w:shd w:val="clear" w:color="auto" w:fill="auto"/>
          </w:tcPr>
          <w:p w14:paraId="7B46CA76" w14:textId="77777777" w:rsidR="00295A75" w:rsidRPr="008D3F49" w:rsidRDefault="00295A75" w:rsidP="00295A75">
            <w:pPr>
              <w:jc w:val="center"/>
              <w:rPr>
                <w:sz w:val="22"/>
              </w:rPr>
            </w:pPr>
            <w:r w:rsidRPr="008D3F49">
              <w:rPr>
                <w:sz w:val="22"/>
              </w:rPr>
              <w:t>16</w:t>
            </w:r>
          </w:p>
        </w:tc>
        <w:tc>
          <w:tcPr>
            <w:tcW w:w="1530" w:type="dxa"/>
            <w:shd w:val="clear" w:color="auto" w:fill="auto"/>
          </w:tcPr>
          <w:p w14:paraId="65D1FCD6" w14:textId="77777777" w:rsidR="00295A75" w:rsidRPr="008D3F49" w:rsidRDefault="00295A75" w:rsidP="00295A75">
            <w:pPr>
              <w:jc w:val="center"/>
              <w:rPr>
                <w:sz w:val="22"/>
              </w:rPr>
            </w:pPr>
            <w:r w:rsidRPr="008D3F49">
              <w:rPr>
                <w:sz w:val="22"/>
              </w:rPr>
              <w:t>1</w:t>
            </w:r>
          </w:p>
        </w:tc>
      </w:tr>
      <w:tr w:rsidR="00295A75" w:rsidRPr="00367839" w14:paraId="42FC80CD" w14:textId="77777777" w:rsidTr="00295A75">
        <w:trPr>
          <w:trHeight w:val="296"/>
        </w:trPr>
        <w:tc>
          <w:tcPr>
            <w:tcW w:w="2520" w:type="dxa"/>
            <w:shd w:val="clear" w:color="auto" w:fill="auto"/>
          </w:tcPr>
          <w:p w14:paraId="268B6F66" w14:textId="77777777" w:rsidR="00295A75" w:rsidRPr="008D3F49" w:rsidRDefault="00295A75" w:rsidP="008D3F49">
            <w:pPr>
              <w:jc w:val="left"/>
              <w:rPr>
                <w:sz w:val="22"/>
              </w:rPr>
            </w:pPr>
            <w:r w:rsidRPr="008D3F49">
              <w:rPr>
                <w:sz w:val="22"/>
              </w:rPr>
              <w:t>Hypokalemia</w:t>
            </w:r>
          </w:p>
        </w:tc>
        <w:tc>
          <w:tcPr>
            <w:tcW w:w="1620" w:type="dxa"/>
            <w:shd w:val="clear" w:color="auto" w:fill="auto"/>
          </w:tcPr>
          <w:p w14:paraId="4E3D7418" w14:textId="77777777" w:rsidR="00295A75" w:rsidRPr="008D3F49" w:rsidDel="00E97FC4" w:rsidRDefault="00295A75" w:rsidP="00295A75">
            <w:pPr>
              <w:jc w:val="center"/>
              <w:rPr>
                <w:sz w:val="22"/>
              </w:rPr>
            </w:pPr>
            <w:r w:rsidRPr="008D3F49">
              <w:rPr>
                <w:sz w:val="22"/>
              </w:rPr>
              <w:t>15</w:t>
            </w:r>
          </w:p>
        </w:tc>
        <w:tc>
          <w:tcPr>
            <w:tcW w:w="1620" w:type="dxa"/>
            <w:shd w:val="clear" w:color="auto" w:fill="auto"/>
          </w:tcPr>
          <w:p w14:paraId="269BA6F8" w14:textId="77777777" w:rsidR="00295A75" w:rsidRPr="008D3F49" w:rsidRDefault="00295A75" w:rsidP="00295A75">
            <w:pPr>
              <w:jc w:val="center"/>
              <w:rPr>
                <w:sz w:val="22"/>
              </w:rPr>
            </w:pPr>
            <w:r w:rsidRPr="008D3F49">
              <w:rPr>
                <w:sz w:val="22"/>
              </w:rPr>
              <w:t>2</w:t>
            </w:r>
          </w:p>
        </w:tc>
        <w:tc>
          <w:tcPr>
            <w:tcW w:w="1710" w:type="dxa"/>
            <w:shd w:val="clear" w:color="auto" w:fill="auto"/>
          </w:tcPr>
          <w:p w14:paraId="3C61414D" w14:textId="77777777" w:rsidR="00295A75" w:rsidRPr="008D3F49" w:rsidDel="00E97FC4" w:rsidRDefault="00295A75" w:rsidP="00295A75">
            <w:pPr>
              <w:jc w:val="center"/>
              <w:rPr>
                <w:sz w:val="22"/>
              </w:rPr>
            </w:pPr>
            <w:r w:rsidRPr="008D3F49">
              <w:rPr>
                <w:sz w:val="22"/>
              </w:rPr>
              <w:t>9</w:t>
            </w:r>
          </w:p>
        </w:tc>
        <w:tc>
          <w:tcPr>
            <w:tcW w:w="1530" w:type="dxa"/>
            <w:shd w:val="clear" w:color="auto" w:fill="auto"/>
          </w:tcPr>
          <w:p w14:paraId="7A12EC34" w14:textId="77777777" w:rsidR="00295A75" w:rsidRPr="008D3F49" w:rsidDel="00E97FC4" w:rsidRDefault="00295A75" w:rsidP="00295A75">
            <w:pPr>
              <w:jc w:val="center"/>
              <w:rPr>
                <w:sz w:val="22"/>
              </w:rPr>
            </w:pPr>
            <w:r w:rsidRPr="008D3F49">
              <w:rPr>
                <w:sz w:val="22"/>
              </w:rPr>
              <w:t>2</w:t>
            </w:r>
          </w:p>
        </w:tc>
      </w:tr>
    </w:tbl>
    <w:p w14:paraId="7693DB29" w14:textId="77777777" w:rsidR="00295A75" w:rsidRPr="009D6881" w:rsidRDefault="00295A75" w:rsidP="00944DF1">
      <w:pPr>
        <w:rPr>
          <w:sz w:val="22"/>
        </w:rPr>
      </w:pPr>
    </w:p>
    <w:p w14:paraId="69B09615" w14:textId="77777777" w:rsidR="00251192" w:rsidRPr="009D6881" w:rsidRDefault="00251192" w:rsidP="00251192">
      <w:pPr>
        <w:pStyle w:val="Heading2"/>
        <w:rPr>
          <w:rFonts w:hint="eastAsia"/>
        </w:rPr>
      </w:pPr>
      <w:r w:rsidRPr="009D6881">
        <w:t>Additional information for selected adverse reactions</w:t>
      </w:r>
    </w:p>
    <w:p w14:paraId="367A93CC" w14:textId="4382E5AC" w:rsidR="00251192" w:rsidRPr="009D6881" w:rsidRDefault="00251192" w:rsidP="00251192">
      <w:r w:rsidRPr="009D6881">
        <w:t xml:space="preserve">See </w:t>
      </w:r>
      <w:r w:rsidRPr="009D6881">
        <w:rPr>
          <w:i/>
        </w:rPr>
        <w:t>PRECAUTIONS</w:t>
      </w:r>
      <w:r w:rsidRPr="009D6881">
        <w:t xml:space="preserve"> for management of the following:</w:t>
      </w:r>
    </w:p>
    <w:p w14:paraId="1784CFBB" w14:textId="77777777" w:rsidR="00251192" w:rsidRPr="009D6881" w:rsidRDefault="00251192" w:rsidP="00FE6B92">
      <w:pPr>
        <w:pStyle w:val="Heading3"/>
      </w:pPr>
      <w:r w:rsidRPr="009D6881">
        <w:t>Immune-related pneumonitis</w:t>
      </w:r>
    </w:p>
    <w:p w14:paraId="5D21EB82" w14:textId="6BF29EE8" w:rsidR="00251192" w:rsidRPr="009D6881" w:rsidRDefault="00251192" w:rsidP="00251192">
      <w:r w:rsidRPr="009D6881">
        <w:t xml:space="preserve">Pneumonitis occurred in </w:t>
      </w:r>
      <w:r w:rsidR="00D326E5" w:rsidRPr="00D326E5">
        <w:t>3.</w:t>
      </w:r>
      <w:r w:rsidR="00CD7154">
        <w:t>4</w:t>
      </w:r>
      <w:r w:rsidR="00D326E5" w:rsidRPr="00D326E5">
        <w:t>% (</w:t>
      </w:r>
      <w:r w:rsidR="00CD7154">
        <w:t>56</w:t>
      </w:r>
      <w:r w:rsidR="00D326E5" w:rsidRPr="00D326E5">
        <w:t>/</w:t>
      </w:r>
      <w:r w:rsidR="00257AE3" w:rsidRPr="00257AE3">
        <w:t>1636</w:t>
      </w:r>
      <w:r w:rsidR="00D326E5" w:rsidRPr="00D326E5">
        <w:t>)</w:t>
      </w:r>
      <w:r w:rsidRPr="009D6881">
        <w:t xml:space="preserve"> of patients who received </w:t>
      </w:r>
      <w:r w:rsidR="008C70BA" w:rsidRPr="009D6881">
        <w:t>Tecentriq</w:t>
      </w:r>
      <w:r w:rsidRPr="009D6881">
        <w:t xml:space="preserve">. Of the </w:t>
      </w:r>
      <w:r w:rsidR="00CD7154">
        <w:t>56</w:t>
      </w:r>
      <w:r w:rsidR="00CD7154" w:rsidRPr="009D6881">
        <w:t xml:space="preserve"> </w:t>
      </w:r>
      <w:r w:rsidRPr="009D6881">
        <w:t xml:space="preserve">patients, one event was fatal. The median time to onset was </w:t>
      </w:r>
      <w:r w:rsidR="00726AA6">
        <w:t>3.3</w:t>
      </w:r>
      <w:r w:rsidR="00726AA6" w:rsidRPr="009D6881">
        <w:t xml:space="preserve"> </w:t>
      </w:r>
      <w:r w:rsidRPr="009D6881">
        <w:t xml:space="preserve">months (range: 3 days to </w:t>
      </w:r>
      <w:r w:rsidR="00726AA6">
        <w:t>18.7</w:t>
      </w:r>
      <w:r w:rsidRPr="009D6881">
        <w:t xml:space="preserve"> months). The median duration was </w:t>
      </w:r>
      <w:r w:rsidR="001B3C8D">
        <w:t>1.</w:t>
      </w:r>
      <w:r w:rsidR="00726AA6">
        <w:t>6</w:t>
      </w:r>
      <w:r w:rsidRPr="009D6881">
        <w:t xml:space="preserve"> months (range 0 days to </w:t>
      </w:r>
      <w:r w:rsidR="001B3C8D">
        <w:t>15.1</w:t>
      </w:r>
      <w:r w:rsidR="00FE6B92" w:rsidRPr="009D6881">
        <w:t>*</w:t>
      </w:r>
      <w:r w:rsidRPr="009D6881">
        <w:t xml:space="preserve"> months; </w:t>
      </w:r>
      <w:r w:rsidR="00FE6B92" w:rsidRPr="009D6881">
        <w:t>where *</w:t>
      </w:r>
      <w:r w:rsidRPr="009D6881">
        <w:t xml:space="preserve"> denotes a censored value). Pneumonitis led to discontinuation of </w:t>
      </w:r>
      <w:r w:rsidR="00266F4D" w:rsidRPr="009D6881">
        <w:t xml:space="preserve">Tecentriq </w:t>
      </w:r>
      <w:r w:rsidRPr="009D6881">
        <w:t xml:space="preserve">in </w:t>
      </w:r>
      <w:r w:rsidR="00726AA6">
        <w:t>9</w:t>
      </w:r>
      <w:r w:rsidR="00726AA6" w:rsidRPr="009D6881">
        <w:t xml:space="preserve"> </w:t>
      </w:r>
      <w:r w:rsidRPr="009D6881">
        <w:t>(</w:t>
      </w:r>
      <w:r w:rsidR="001B3C8D">
        <w:t>0.</w:t>
      </w:r>
      <w:r w:rsidR="00726AA6">
        <w:t>6</w:t>
      </w:r>
      <w:r w:rsidRPr="009D6881">
        <w:t>%) patients. Pneumonitis requiring the use of corticosteroids occurred in 1.</w:t>
      </w:r>
      <w:r w:rsidR="00726AA6">
        <w:t>8</w:t>
      </w:r>
      <w:r w:rsidRPr="009D6881">
        <w:t>% (</w:t>
      </w:r>
      <w:r w:rsidR="00726AA6">
        <w:t>29</w:t>
      </w:r>
      <w:r w:rsidR="001B3C8D">
        <w:t>/</w:t>
      </w:r>
      <w:r w:rsidR="00726AA6" w:rsidRPr="00726AA6">
        <w:t>1636</w:t>
      </w:r>
      <w:r w:rsidRPr="009D6881">
        <w:t xml:space="preserve">) of patients receiving </w:t>
      </w:r>
      <w:r w:rsidR="008C70BA" w:rsidRPr="009D6881">
        <w:t>Tecentriq</w:t>
      </w:r>
      <w:r w:rsidRPr="009D6881">
        <w:t xml:space="preserve">. </w:t>
      </w:r>
    </w:p>
    <w:p w14:paraId="7954CB5D" w14:textId="77777777" w:rsidR="00251192" w:rsidRPr="009D6881" w:rsidRDefault="00251192" w:rsidP="00FE6B92">
      <w:pPr>
        <w:pStyle w:val="Heading3"/>
      </w:pPr>
      <w:r w:rsidRPr="009D6881">
        <w:t>Immune-related hepatitis</w:t>
      </w:r>
    </w:p>
    <w:p w14:paraId="3F2333FE" w14:textId="17A25681" w:rsidR="00FE6B92" w:rsidRPr="009D6881" w:rsidRDefault="00251192" w:rsidP="00DD0662">
      <w:r w:rsidRPr="009D6881">
        <w:t xml:space="preserve">Hepatitis occurred in 0.3% </w:t>
      </w:r>
      <w:r w:rsidR="001B3C8D" w:rsidRPr="001B3C8D">
        <w:t>(</w:t>
      </w:r>
      <w:r w:rsidR="00726AA6">
        <w:t>5</w:t>
      </w:r>
      <w:r w:rsidR="001B3C8D" w:rsidRPr="001B3C8D">
        <w:t>/</w:t>
      </w:r>
      <w:r w:rsidR="00726AA6" w:rsidRPr="00726AA6">
        <w:t>1636</w:t>
      </w:r>
      <w:r w:rsidR="001B3C8D" w:rsidRPr="001B3C8D">
        <w:t>)</w:t>
      </w:r>
      <w:r w:rsidRPr="009D6881">
        <w:t xml:space="preserve"> of patients who received </w:t>
      </w:r>
      <w:r w:rsidR="008C70BA" w:rsidRPr="009D6881">
        <w:t>Tecentriq</w:t>
      </w:r>
      <w:r w:rsidRPr="009D6881">
        <w:t>.</w:t>
      </w:r>
      <w:r w:rsidR="00DD0662">
        <w:t xml:space="preserve"> </w:t>
      </w:r>
      <w:r w:rsidR="00DD0662" w:rsidRPr="00DD0662">
        <w:t xml:space="preserve"> </w:t>
      </w:r>
      <w:r w:rsidRPr="009D6881">
        <w:t xml:space="preserve">The median time to onset was 1.1 months (range 9 days to 7.9 months). The median duration was </w:t>
      </w:r>
      <w:r w:rsidR="00F50C16">
        <w:t>22</w:t>
      </w:r>
      <w:r w:rsidR="00726AA6">
        <w:t xml:space="preserve"> days </w:t>
      </w:r>
      <w:r w:rsidRPr="009D6881">
        <w:t xml:space="preserve">(range: </w:t>
      </w:r>
      <w:r w:rsidR="001B3C8D">
        <w:t>9</w:t>
      </w:r>
      <w:r w:rsidR="001B3C8D" w:rsidRPr="009D6881">
        <w:t xml:space="preserve"> </w:t>
      </w:r>
      <w:r w:rsidRPr="009D6881">
        <w:t>days to 1.9</w:t>
      </w:r>
      <w:r w:rsidR="00FE6B92" w:rsidRPr="009D6881">
        <w:t>*</w:t>
      </w:r>
      <w:r w:rsidRPr="009D6881">
        <w:t xml:space="preserve"> months; </w:t>
      </w:r>
      <w:r w:rsidR="00FE6B92" w:rsidRPr="009D6881">
        <w:t>where *</w:t>
      </w:r>
      <w:r w:rsidRPr="009D6881">
        <w:t xml:space="preserve"> denotes a censored value). </w:t>
      </w:r>
      <w:r w:rsidR="001B3C8D" w:rsidRPr="001B3C8D">
        <w:t xml:space="preserve">Hepatitis led to discontinuation of </w:t>
      </w:r>
      <w:r w:rsidR="008C70BA" w:rsidRPr="001B3C8D">
        <w:t xml:space="preserve">Tecentriq </w:t>
      </w:r>
      <w:r w:rsidR="001B3C8D" w:rsidRPr="001B3C8D">
        <w:t>in 2 (0.1%) patients.</w:t>
      </w:r>
      <w:r w:rsidR="001B3C8D">
        <w:t xml:space="preserve"> </w:t>
      </w:r>
      <w:r w:rsidRPr="009D6881">
        <w:t xml:space="preserve">Hepatitis requiring the use of corticosteroids occurred in </w:t>
      </w:r>
      <w:r w:rsidR="001B3C8D">
        <w:t>0.2% (</w:t>
      </w:r>
      <w:r w:rsidR="00F50C16">
        <w:t>3</w:t>
      </w:r>
      <w:r w:rsidR="001B3C8D">
        <w:t>/</w:t>
      </w:r>
      <w:r w:rsidR="00F50C16" w:rsidRPr="00F50C16">
        <w:t>1636</w:t>
      </w:r>
      <w:r w:rsidR="001B3C8D">
        <w:t>)</w:t>
      </w:r>
      <w:r w:rsidRPr="009D6881">
        <w:t xml:space="preserve"> of patients receiving </w:t>
      </w:r>
      <w:r w:rsidR="008C70BA" w:rsidRPr="009D6881">
        <w:t>Tecentriq</w:t>
      </w:r>
      <w:r w:rsidRPr="009D6881">
        <w:t xml:space="preserve">. </w:t>
      </w:r>
      <w:r w:rsidR="00DD0662">
        <w:t xml:space="preserve">Grade 3 - 4 events of </w:t>
      </w:r>
      <w:r w:rsidR="00DD0662" w:rsidRPr="00DD0662">
        <w:t>ALT increased</w:t>
      </w:r>
      <w:r w:rsidR="00DD0662">
        <w:t>, A</w:t>
      </w:r>
      <w:r w:rsidR="003427AF">
        <w:t>S</w:t>
      </w:r>
      <w:r w:rsidR="00DD0662">
        <w:t>T increased and</w:t>
      </w:r>
      <w:r w:rsidR="00DD0662" w:rsidRPr="00DD0662">
        <w:t xml:space="preserve"> </w:t>
      </w:r>
      <w:r w:rsidR="00DD0662">
        <w:t>b</w:t>
      </w:r>
      <w:r w:rsidR="00DD0662" w:rsidRPr="00DD0662">
        <w:t>lood bilirubin increased</w:t>
      </w:r>
      <w:r w:rsidR="00DD0662">
        <w:t xml:space="preserve"> occurred in </w:t>
      </w:r>
      <w:r w:rsidR="00F50C16">
        <w:t xml:space="preserve">14 </w:t>
      </w:r>
      <w:r w:rsidR="00DD0662">
        <w:t>(</w:t>
      </w:r>
      <w:r w:rsidR="00F50C16">
        <w:t>0.9</w:t>
      </w:r>
      <w:r w:rsidR="00DD0662">
        <w:t xml:space="preserve">%), </w:t>
      </w:r>
      <w:r w:rsidR="00F50C16">
        <w:t xml:space="preserve">16 </w:t>
      </w:r>
      <w:r w:rsidR="00DD0662">
        <w:t>(1.</w:t>
      </w:r>
      <w:r w:rsidR="00F50C16">
        <w:t>0</w:t>
      </w:r>
      <w:r w:rsidR="00DD0662">
        <w:t xml:space="preserve">%) and </w:t>
      </w:r>
      <w:r w:rsidR="00F50C16">
        <w:t xml:space="preserve">2 </w:t>
      </w:r>
      <w:r w:rsidR="00DD0662">
        <w:t>(0.</w:t>
      </w:r>
      <w:r w:rsidR="00F50C16">
        <w:t>1</w:t>
      </w:r>
      <w:r w:rsidR="00DD0662">
        <w:t>%) patients, respectively.</w:t>
      </w:r>
    </w:p>
    <w:p w14:paraId="25E70A9C" w14:textId="77777777" w:rsidR="00FE6B92" w:rsidRPr="009D6881" w:rsidRDefault="00FE6B92" w:rsidP="00251192"/>
    <w:p w14:paraId="47801F4B" w14:textId="448E65E0" w:rsidR="00251192" w:rsidRPr="009D6881" w:rsidRDefault="00251192" w:rsidP="00251192">
      <w:pPr>
        <w:rPr>
          <w:u w:val="single"/>
        </w:rPr>
      </w:pPr>
      <w:r w:rsidRPr="009D6881">
        <w:rPr>
          <w:u w:val="single"/>
        </w:rPr>
        <w:t>Immune-related colitis</w:t>
      </w:r>
    </w:p>
    <w:p w14:paraId="193D56DE" w14:textId="2B97F810" w:rsidR="00251192" w:rsidRPr="009D6881" w:rsidRDefault="00251192" w:rsidP="00251192">
      <w:r w:rsidRPr="009D6881">
        <w:t xml:space="preserve">Colitis occurred in </w:t>
      </w:r>
      <w:r w:rsidR="002337CF">
        <w:t>0.9</w:t>
      </w:r>
      <w:r w:rsidR="001B3C8D">
        <w:t>%</w:t>
      </w:r>
      <w:r w:rsidRPr="009D6881">
        <w:t xml:space="preserve"> (</w:t>
      </w:r>
      <w:r w:rsidR="002337CF">
        <w:t>15</w:t>
      </w:r>
      <w:r w:rsidR="001B3C8D">
        <w:t>/</w:t>
      </w:r>
      <w:r w:rsidR="002337CF" w:rsidRPr="002337CF">
        <w:t>1636</w:t>
      </w:r>
      <w:r w:rsidRPr="009D6881">
        <w:t xml:space="preserve">) of patients who received </w:t>
      </w:r>
      <w:r w:rsidR="008C70BA" w:rsidRPr="009D6881">
        <w:t>Tecentriq</w:t>
      </w:r>
      <w:r w:rsidRPr="009D6881">
        <w:t xml:space="preserve">. The median time to onset was </w:t>
      </w:r>
      <w:r w:rsidR="002337CF">
        <w:t>3</w:t>
      </w:r>
      <w:r w:rsidR="002337CF" w:rsidRPr="009D6881">
        <w:t xml:space="preserve"> </w:t>
      </w:r>
      <w:r w:rsidRPr="009D6881">
        <w:t xml:space="preserve">months (range 15 days to </w:t>
      </w:r>
      <w:r w:rsidR="002337CF">
        <w:t>12.7</w:t>
      </w:r>
      <w:r w:rsidRPr="009D6881">
        <w:t xml:space="preserve"> months). The median duration was </w:t>
      </w:r>
      <w:r w:rsidR="001B3C8D">
        <w:t>1.</w:t>
      </w:r>
      <w:r w:rsidR="002337CF">
        <w:t>2</w:t>
      </w:r>
      <w:r w:rsidRPr="009D6881">
        <w:t xml:space="preserve"> months (range: </w:t>
      </w:r>
      <w:r w:rsidR="002337CF">
        <w:t>6</w:t>
      </w:r>
      <w:r w:rsidR="002337CF" w:rsidRPr="009D6881">
        <w:t xml:space="preserve"> </w:t>
      </w:r>
      <w:r w:rsidRPr="009D6881">
        <w:t xml:space="preserve">days to </w:t>
      </w:r>
      <w:r w:rsidR="002337CF">
        <w:t>8.3</w:t>
      </w:r>
      <w:r w:rsidR="00FE6B92" w:rsidRPr="009D6881">
        <w:t>*</w:t>
      </w:r>
      <w:r w:rsidRPr="009D6881">
        <w:t xml:space="preserve"> months; </w:t>
      </w:r>
      <w:r w:rsidR="00FE6B92" w:rsidRPr="009D6881">
        <w:t>where * denotes a censored value</w:t>
      </w:r>
      <w:r w:rsidRPr="009D6881">
        <w:t xml:space="preserve">). Colitis led to discontinuation of </w:t>
      </w:r>
      <w:r w:rsidR="008C70BA" w:rsidRPr="009D6881">
        <w:t xml:space="preserve">Tecentriq </w:t>
      </w:r>
      <w:r w:rsidRPr="009D6881">
        <w:t xml:space="preserve">in </w:t>
      </w:r>
      <w:r w:rsidR="002337CF">
        <w:t>2</w:t>
      </w:r>
      <w:r w:rsidR="002337CF" w:rsidRPr="009D6881">
        <w:t xml:space="preserve"> </w:t>
      </w:r>
      <w:r w:rsidRPr="009D6881">
        <w:t>(0.</w:t>
      </w:r>
      <w:r w:rsidR="002337CF">
        <w:t>1</w:t>
      </w:r>
      <w:r w:rsidRPr="009D6881">
        <w:t xml:space="preserve">%) patients. Colitis requiring the use of corticosteroids occurred in </w:t>
      </w:r>
      <w:r w:rsidR="001B3C8D" w:rsidRPr="001B3C8D">
        <w:t>0.</w:t>
      </w:r>
      <w:r w:rsidR="002337CF">
        <w:t>3</w:t>
      </w:r>
      <w:r w:rsidR="001B3C8D" w:rsidRPr="001B3C8D">
        <w:t>% (</w:t>
      </w:r>
      <w:r w:rsidR="002337CF">
        <w:t>5</w:t>
      </w:r>
      <w:r w:rsidR="001B3C8D" w:rsidRPr="001B3C8D">
        <w:t>/</w:t>
      </w:r>
      <w:r w:rsidR="002337CF" w:rsidRPr="002337CF">
        <w:t>1636</w:t>
      </w:r>
      <w:r w:rsidR="001B3C8D" w:rsidRPr="001B3C8D">
        <w:t>)</w:t>
      </w:r>
      <w:r w:rsidRPr="009D6881">
        <w:t xml:space="preserve"> of patients receiving </w:t>
      </w:r>
      <w:r w:rsidR="008C70BA" w:rsidRPr="009D6881">
        <w:t>Tecentriq</w:t>
      </w:r>
      <w:r w:rsidRPr="009D6881">
        <w:t xml:space="preserve">. </w:t>
      </w:r>
      <w:r w:rsidR="00E62E7A">
        <w:t xml:space="preserve">As per Table </w:t>
      </w:r>
      <w:r w:rsidR="002337CF">
        <w:t>5</w:t>
      </w:r>
      <w:r w:rsidR="00E62E7A">
        <w:t xml:space="preserve">, </w:t>
      </w:r>
      <w:r w:rsidR="00E62E7A" w:rsidRPr="00E62E7A">
        <w:t xml:space="preserve">diarrhoea </w:t>
      </w:r>
      <w:r w:rsidR="00E62E7A">
        <w:t xml:space="preserve">occurred in </w:t>
      </w:r>
      <w:r w:rsidR="002337CF">
        <w:t>17.5</w:t>
      </w:r>
      <w:r w:rsidR="003D30EF">
        <w:t>% (</w:t>
      </w:r>
      <w:r w:rsidR="002337CF">
        <w:t>287</w:t>
      </w:r>
      <w:r w:rsidR="003D30EF">
        <w:t>/</w:t>
      </w:r>
      <w:r w:rsidR="002337CF" w:rsidRPr="002337CF">
        <w:t>1636</w:t>
      </w:r>
      <w:r w:rsidR="003D30EF">
        <w:t xml:space="preserve">) of </w:t>
      </w:r>
      <w:r w:rsidR="00E62E7A">
        <w:t xml:space="preserve">patients. </w:t>
      </w:r>
    </w:p>
    <w:p w14:paraId="613A3539" w14:textId="77777777" w:rsidR="00251192" w:rsidRPr="009D6881" w:rsidRDefault="00251192" w:rsidP="00FE6B92">
      <w:pPr>
        <w:pStyle w:val="Heading3"/>
      </w:pPr>
      <w:r w:rsidRPr="009D6881">
        <w:t>Immune-related endocrinopathies</w:t>
      </w:r>
    </w:p>
    <w:p w14:paraId="53FBBD0A" w14:textId="7BF709DA" w:rsidR="003611AF" w:rsidRDefault="00251192" w:rsidP="00251192">
      <w:r w:rsidRPr="009D6881">
        <w:t xml:space="preserve">Hypothyroidism occurred in </w:t>
      </w:r>
      <w:r w:rsidR="001B3C8D" w:rsidRPr="001B3C8D">
        <w:t>4.</w:t>
      </w:r>
      <w:r w:rsidR="002337CF">
        <w:t>6</w:t>
      </w:r>
      <w:r w:rsidR="001B3C8D" w:rsidRPr="001B3C8D">
        <w:t>% (</w:t>
      </w:r>
      <w:r w:rsidR="002337CF">
        <w:t>76</w:t>
      </w:r>
      <w:r w:rsidR="001B3C8D" w:rsidRPr="001B3C8D">
        <w:t>/</w:t>
      </w:r>
      <w:r w:rsidR="002337CF">
        <w:t>1</w:t>
      </w:r>
      <w:r w:rsidR="002337CF" w:rsidRPr="002337CF">
        <w:t>636</w:t>
      </w:r>
      <w:r w:rsidR="001B3C8D" w:rsidRPr="001B3C8D">
        <w:t>)</w:t>
      </w:r>
      <w:r w:rsidRPr="009D6881">
        <w:t xml:space="preserve"> of patients who received </w:t>
      </w:r>
      <w:r w:rsidR="008C70BA" w:rsidRPr="009D6881">
        <w:t>Tecentriq</w:t>
      </w:r>
      <w:r w:rsidRPr="009D6881">
        <w:t xml:space="preserve">. The median time to onset was </w:t>
      </w:r>
      <w:r w:rsidR="003E0017">
        <w:t>4.6</w:t>
      </w:r>
      <w:r w:rsidRPr="009D6881">
        <w:t xml:space="preserve"> months (range: 15 days to </w:t>
      </w:r>
      <w:r w:rsidR="001B3C8D">
        <w:t>31.3</w:t>
      </w:r>
      <w:r w:rsidRPr="009D6881">
        <w:t xml:space="preserve"> months). Hyperthyroidism occurred in </w:t>
      </w:r>
      <w:r w:rsidR="001B3C8D" w:rsidRPr="001B3C8D">
        <w:t>1.</w:t>
      </w:r>
      <w:r w:rsidR="003E0017">
        <w:t>8</w:t>
      </w:r>
      <w:r w:rsidR="001B3C8D" w:rsidRPr="001B3C8D">
        <w:t>% (</w:t>
      </w:r>
      <w:r w:rsidR="003E0017">
        <w:t>30</w:t>
      </w:r>
      <w:r w:rsidR="001B3C8D" w:rsidRPr="001B3C8D">
        <w:t>/</w:t>
      </w:r>
      <w:r w:rsidR="003E0017" w:rsidRPr="003E0017">
        <w:t>1636</w:t>
      </w:r>
      <w:r w:rsidR="001B3C8D" w:rsidRPr="001B3C8D">
        <w:t>)</w:t>
      </w:r>
      <w:r w:rsidRPr="009D6881">
        <w:t xml:space="preserve"> of patients who received </w:t>
      </w:r>
      <w:r w:rsidR="008C70BA" w:rsidRPr="009D6881">
        <w:t>Tecentriq</w:t>
      </w:r>
      <w:r w:rsidRPr="009D6881">
        <w:t>. The median time to onset was 3.</w:t>
      </w:r>
      <w:r w:rsidR="003E0017">
        <w:t>2</w:t>
      </w:r>
      <w:r w:rsidR="003E0017" w:rsidRPr="009D6881">
        <w:t xml:space="preserve"> </w:t>
      </w:r>
      <w:r w:rsidRPr="009D6881">
        <w:t xml:space="preserve">months (range: 21 days to </w:t>
      </w:r>
      <w:r w:rsidR="001B3C8D">
        <w:t>31.3</w:t>
      </w:r>
      <w:r w:rsidRPr="009D6881">
        <w:t xml:space="preserve"> months). </w:t>
      </w:r>
    </w:p>
    <w:p w14:paraId="646C5ECF" w14:textId="77777777" w:rsidR="003611AF" w:rsidRDefault="003611AF" w:rsidP="00251192"/>
    <w:p w14:paraId="1118BCDA" w14:textId="5E91B7CF" w:rsidR="00251192" w:rsidRPr="009D6881" w:rsidRDefault="00251192" w:rsidP="00251192">
      <w:r w:rsidRPr="009D6881">
        <w:t xml:space="preserve">Adrenal insufficiency occurred in </w:t>
      </w:r>
      <w:r w:rsidR="001B3C8D" w:rsidRPr="001B3C8D">
        <w:t>0.</w:t>
      </w:r>
      <w:r w:rsidR="003E0017">
        <w:t>4</w:t>
      </w:r>
      <w:r w:rsidR="001B3C8D" w:rsidRPr="001B3C8D">
        <w:t>% (</w:t>
      </w:r>
      <w:r w:rsidR="003E0017">
        <w:t>6</w:t>
      </w:r>
      <w:r w:rsidR="001B3C8D" w:rsidRPr="001B3C8D">
        <w:t>/</w:t>
      </w:r>
      <w:r w:rsidR="003E0017">
        <w:t>1636</w:t>
      </w:r>
      <w:r w:rsidR="001B3C8D" w:rsidRPr="001B3C8D">
        <w:t>)</w:t>
      </w:r>
      <w:r w:rsidRPr="009D6881">
        <w:t xml:space="preserve"> of patients who received </w:t>
      </w:r>
      <w:r w:rsidR="008C70BA" w:rsidRPr="009D6881">
        <w:t xml:space="preserve">Tecentriq </w:t>
      </w:r>
      <w:r w:rsidRPr="009D6881">
        <w:t xml:space="preserve">for. The </w:t>
      </w:r>
      <w:r w:rsidR="001B3C8D">
        <w:t xml:space="preserve">median </w:t>
      </w:r>
      <w:r w:rsidRPr="009D6881">
        <w:t xml:space="preserve">time to onset </w:t>
      </w:r>
      <w:r w:rsidR="001B3C8D" w:rsidRPr="001B3C8D">
        <w:t>was 5.</w:t>
      </w:r>
      <w:r w:rsidR="003E0017">
        <w:t>5</w:t>
      </w:r>
      <w:r w:rsidR="001B3C8D" w:rsidRPr="001B3C8D">
        <w:t xml:space="preserve"> months (range: 3 days to 19 months). Adrenal insufficiency requiring the use of corticosteroids occurred in 0.3% (</w:t>
      </w:r>
      <w:r w:rsidR="003E0017">
        <w:t>5</w:t>
      </w:r>
      <w:r w:rsidR="001B3C8D" w:rsidRPr="001B3C8D">
        <w:t>/</w:t>
      </w:r>
      <w:r w:rsidR="003E0017" w:rsidRPr="003E0017">
        <w:t>1636</w:t>
      </w:r>
      <w:r w:rsidR="001B3C8D" w:rsidRPr="001B3C8D">
        <w:t xml:space="preserve">) of patients receiving </w:t>
      </w:r>
      <w:r w:rsidR="00266F4D" w:rsidRPr="001B3C8D">
        <w:t>Tecentriq</w:t>
      </w:r>
      <w:r w:rsidR="001B3C8D" w:rsidRPr="001B3C8D">
        <w:t>.</w:t>
      </w:r>
      <w:r w:rsidRPr="007E4039">
        <w:t xml:space="preserve"> </w:t>
      </w:r>
      <w:r w:rsidR="00CA304A" w:rsidRPr="008D3F49">
        <w:lastRenderedPageBreak/>
        <w:t>Hypophysitis occurred in &lt; 0.1% (1/</w:t>
      </w:r>
      <w:r w:rsidR="004236B2">
        <w:t>1636</w:t>
      </w:r>
      <w:r w:rsidR="00CA304A" w:rsidRPr="008D3F49">
        <w:t xml:space="preserve">) of patients who received </w:t>
      </w:r>
      <w:r w:rsidR="008C70BA" w:rsidRPr="008D3F49">
        <w:t>Tecentriq</w:t>
      </w:r>
      <w:r w:rsidR="00CA304A" w:rsidRPr="008D3F49">
        <w:t>. The time to onset for this patient was 13.7 months.</w:t>
      </w:r>
      <w:r w:rsidR="00CA304A" w:rsidRPr="00CA304A">
        <w:t xml:space="preserve"> </w:t>
      </w:r>
    </w:p>
    <w:p w14:paraId="5F09F886" w14:textId="77777777" w:rsidR="00FE6B92" w:rsidRPr="009D6881" w:rsidRDefault="00FE6B92" w:rsidP="00251192"/>
    <w:p w14:paraId="7D11B54F" w14:textId="529E1857" w:rsidR="00251192" w:rsidRPr="009D6881" w:rsidRDefault="00251192" w:rsidP="00251192">
      <w:r w:rsidRPr="009D6881">
        <w:t xml:space="preserve">Diabetes mellitus occurred in 0.3% </w:t>
      </w:r>
      <w:r w:rsidR="001B3C8D" w:rsidRPr="001B3C8D">
        <w:t>(</w:t>
      </w:r>
      <w:r w:rsidR="00996283">
        <w:t>5</w:t>
      </w:r>
      <w:r w:rsidR="001B3C8D" w:rsidRPr="001B3C8D">
        <w:t>/</w:t>
      </w:r>
      <w:r w:rsidR="00996283">
        <w:t>1636</w:t>
      </w:r>
      <w:r w:rsidR="001B3C8D" w:rsidRPr="001B3C8D">
        <w:t>)</w:t>
      </w:r>
      <w:r w:rsidRPr="009D6881">
        <w:t xml:space="preserve"> of patients who received </w:t>
      </w:r>
      <w:r w:rsidR="008C70BA" w:rsidRPr="009D6881">
        <w:t>Tecentriq</w:t>
      </w:r>
      <w:r w:rsidRPr="009D6881">
        <w:t xml:space="preserve">. The time to onset ranged from </w:t>
      </w:r>
      <w:r w:rsidR="001B3C8D">
        <w:t>3 days</w:t>
      </w:r>
      <w:r w:rsidRPr="009D6881">
        <w:t xml:space="preserve"> to 6.5 months. Diabetes mellitus led to the discontinuation of </w:t>
      </w:r>
      <w:r w:rsidR="008C70BA" w:rsidRPr="009D6881">
        <w:t xml:space="preserve">Tecentriq </w:t>
      </w:r>
      <w:r w:rsidRPr="009D6881">
        <w:t>in 1 (&lt;</w:t>
      </w:r>
      <w:r w:rsidR="00FE6B92" w:rsidRPr="009D6881">
        <w:t xml:space="preserve"> </w:t>
      </w:r>
      <w:r w:rsidRPr="009D6881">
        <w:t>0.1%) patient.</w:t>
      </w:r>
    </w:p>
    <w:p w14:paraId="2B6587CB" w14:textId="77777777" w:rsidR="00251192" w:rsidRPr="009D6881" w:rsidRDefault="00251192" w:rsidP="00FE6B92">
      <w:pPr>
        <w:pStyle w:val="Heading3"/>
      </w:pPr>
      <w:r w:rsidRPr="009D6881">
        <w:t>Immune-related meningoencephalitis</w:t>
      </w:r>
    </w:p>
    <w:p w14:paraId="71174664" w14:textId="4EEACB42" w:rsidR="00251192" w:rsidRPr="009D6881" w:rsidRDefault="001B3C8D" w:rsidP="00251192">
      <w:r w:rsidRPr="001B3C8D">
        <w:t>Meningitis occurred in 0.</w:t>
      </w:r>
      <w:r w:rsidR="00EC5C9A">
        <w:t>2</w:t>
      </w:r>
      <w:r w:rsidRPr="001B3C8D">
        <w:t>% (3/</w:t>
      </w:r>
      <w:r w:rsidR="00EC5C9A" w:rsidRPr="00EC5C9A">
        <w:t>1636</w:t>
      </w:r>
      <w:r w:rsidRPr="001B3C8D">
        <w:t>)</w:t>
      </w:r>
      <w:r>
        <w:t xml:space="preserve"> </w:t>
      </w:r>
      <w:r w:rsidR="00251192" w:rsidRPr="009D6881">
        <w:t xml:space="preserve">of patients who received </w:t>
      </w:r>
      <w:r w:rsidR="008C70BA" w:rsidRPr="009D6881">
        <w:t>Tecentriq</w:t>
      </w:r>
      <w:r w:rsidR="00251192" w:rsidRPr="009D6881">
        <w:t xml:space="preserve">. </w:t>
      </w:r>
      <w:r w:rsidRPr="001B3C8D">
        <w:t xml:space="preserve">The time to onset ranged from 15 to 16 days. All three patients required the use of corticosteroids and discontinued </w:t>
      </w:r>
      <w:r w:rsidR="008C70BA" w:rsidRPr="001B3C8D">
        <w:t>Tecentriq</w:t>
      </w:r>
      <w:r w:rsidRPr="001B3C8D">
        <w:t>. Encephalitis occurred in 0.1% (2/</w:t>
      </w:r>
      <w:r w:rsidR="00EC5C9A" w:rsidRPr="00EC5C9A">
        <w:t>1636</w:t>
      </w:r>
      <w:r w:rsidRPr="001B3C8D">
        <w:t xml:space="preserve">) of patients.  The time to onset was 14 and 16 days. One of these patients required the use of corticosteroids. Encephalitis led to the discontinuation of </w:t>
      </w:r>
      <w:r w:rsidR="008C70BA" w:rsidRPr="001B3C8D">
        <w:t xml:space="preserve">Tecentriq </w:t>
      </w:r>
      <w:r w:rsidRPr="001B3C8D">
        <w:t>in 1 (&lt;</w:t>
      </w:r>
      <w:r>
        <w:t xml:space="preserve"> </w:t>
      </w:r>
      <w:r w:rsidRPr="001B3C8D">
        <w:t>0.1%) patient.</w:t>
      </w:r>
      <w:r>
        <w:t xml:space="preserve"> </w:t>
      </w:r>
    </w:p>
    <w:p w14:paraId="24F46DC1" w14:textId="77777777" w:rsidR="00251192" w:rsidRPr="009D6881" w:rsidRDefault="00251192" w:rsidP="00FE6B92">
      <w:pPr>
        <w:pStyle w:val="Heading3"/>
      </w:pPr>
      <w:r w:rsidRPr="009D6881">
        <w:t>Immune-related neuropathies</w:t>
      </w:r>
    </w:p>
    <w:p w14:paraId="50234F84" w14:textId="61148652" w:rsidR="00251192" w:rsidRPr="009D6881" w:rsidRDefault="001B3C8D" w:rsidP="00251192">
      <w:r w:rsidRPr="001B3C8D">
        <w:t xml:space="preserve">Neuropathies, including </w:t>
      </w:r>
      <w:r w:rsidR="00251192" w:rsidRPr="009D6881">
        <w:t xml:space="preserve">Guillain-Barré syndrome </w:t>
      </w:r>
      <w:r w:rsidRPr="001B3C8D">
        <w:t xml:space="preserve">and demyelinating polyneuropathy, </w:t>
      </w:r>
      <w:r w:rsidR="00251192" w:rsidRPr="009D6881">
        <w:t xml:space="preserve">occurred in </w:t>
      </w:r>
      <w:r w:rsidRPr="001B3C8D">
        <w:t>0.</w:t>
      </w:r>
      <w:r w:rsidR="00EC5C9A">
        <w:t>3</w:t>
      </w:r>
      <w:r w:rsidRPr="001B3C8D">
        <w:t>% (5/</w:t>
      </w:r>
      <w:r w:rsidR="00EC5C9A">
        <w:t>1636</w:t>
      </w:r>
      <w:r w:rsidRPr="001B3C8D">
        <w:t>)</w:t>
      </w:r>
      <w:r w:rsidR="00CA304A">
        <w:t xml:space="preserve"> </w:t>
      </w:r>
      <w:r w:rsidR="00251192" w:rsidRPr="009D6881">
        <w:t xml:space="preserve">of patients who received </w:t>
      </w:r>
      <w:r w:rsidR="008C70BA" w:rsidRPr="009D6881">
        <w:t>Tecentriq</w:t>
      </w:r>
      <w:r w:rsidR="00251192" w:rsidRPr="009D6881">
        <w:t xml:space="preserve">. The </w:t>
      </w:r>
      <w:r>
        <w:t xml:space="preserve">median </w:t>
      </w:r>
      <w:r w:rsidR="00251192" w:rsidRPr="009D6881">
        <w:t xml:space="preserve">time to onset </w:t>
      </w:r>
      <w:r w:rsidRPr="001B3C8D">
        <w:t>was 7 months (range: 18 days to 8.1 months). The median duration was 4.6 months (</w:t>
      </w:r>
      <w:r w:rsidR="00927DDD">
        <w:t>1</w:t>
      </w:r>
      <w:r w:rsidR="00927DDD" w:rsidRPr="001B3C8D">
        <w:t xml:space="preserve"> </w:t>
      </w:r>
      <w:r w:rsidRPr="001B3C8D">
        <w:t>day to 8.3</w:t>
      </w:r>
      <w:r w:rsidR="00DF0D5E">
        <w:t>*</w:t>
      </w:r>
      <w:r w:rsidR="00DF0D5E" w:rsidRPr="001B3C8D">
        <w:t xml:space="preserve"> </w:t>
      </w:r>
      <w:r w:rsidRPr="001B3C8D">
        <w:t xml:space="preserve">months; </w:t>
      </w:r>
      <w:r w:rsidR="00DF0D5E">
        <w:t xml:space="preserve">* </w:t>
      </w:r>
      <w:r w:rsidRPr="001B3C8D">
        <w:t xml:space="preserve">denotes a censored value). Guillain-Barré syndrome led to the discontinuation of </w:t>
      </w:r>
      <w:r w:rsidR="008C70BA" w:rsidRPr="001B3C8D">
        <w:t xml:space="preserve">Tecentriq </w:t>
      </w:r>
      <w:r w:rsidRPr="001B3C8D">
        <w:t>in 1 (&lt;</w:t>
      </w:r>
      <w:r w:rsidR="00E12ACD">
        <w:t xml:space="preserve"> </w:t>
      </w:r>
      <w:r w:rsidRPr="001B3C8D">
        <w:t>0.1%) patient. Guillain-Barré syndrome requiring the use of corticosteroids occurred in 0.1% (2/</w:t>
      </w:r>
      <w:r w:rsidR="00EC5C9A">
        <w:t>1636</w:t>
      </w:r>
      <w:r w:rsidRPr="001B3C8D">
        <w:t>) of patients.</w:t>
      </w:r>
      <w:r>
        <w:t xml:space="preserve"> </w:t>
      </w:r>
    </w:p>
    <w:p w14:paraId="75AE62F3" w14:textId="77777777" w:rsidR="00251192" w:rsidRPr="009D6881" w:rsidRDefault="00251192" w:rsidP="00FE6B92">
      <w:pPr>
        <w:pStyle w:val="Heading3"/>
      </w:pPr>
      <w:r w:rsidRPr="009D6881">
        <w:t>Immune-related pancreatitis</w:t>
      </w:r>
    </w:p>
    <w:p w14:paraId="7F918BA3" w14:textId="1257B542" w:rsidR="00EB2021" w:rsidRPr="009D6881" w:rsidRDefault="00251192" w:rsidP="00251192">
      <w:r w:rsidRPr="009D6881">
        <w:t xml:space="preserve">Pancreatitis, including amylase increased and lipase increased, occurred in 0.5% </w:t>
      </w:r>
      <w:r w:rsidR="001B3C8D" w:rsidRPr="001B3C8D">
        <w:t>(</w:t>
      </w:r>
      <w:r w:rsidR="00EC5C9A">
        <w:t>8</w:t>
      </w:r>
      <w:r w:rsidR="001B3C8D" w:rsidRPr="001B3C8D">
        <w:t>/</w:t>
      </w:r>
      <w:r w:rsidR="00EC5C9A" w:rsidRPr="00EC5C9A">
        <w:t>1636</w:t>
      </w:r>
      <w:r w:rsidR="001B3C8D" w:rsidRPr="001B3C8D">
        <w:t>)</w:t>
      </w:r>
      <w:r w:rsidRPr="009D6881">
        <w:t xml:space="preserve"> of patients who received </w:t>
      </w:r>
      <w:r w:rsidR="008C70BA" w:rsidRPr="009D6881">
        <w:t>Tecentriq</w:t>
      </w:r>
      <w:r w:rsidRPr="009D6881">
        <w:t xml:space="preserve">. The median time to onset was </w:t>
      </w:r>
      <w:r w:rsidR="00EC5C9A">
        <w:t>7.5</w:t>
      </w:r>
      <w:r w:rsidRPr="009D6881">
        <w:t xml:space="preserve"> months (range: </w:t>
      </w:r>
      <w:r w:rsidR="001B3C8D">
        <w:t>9</w:t>
      </w:r>
      <w:r w:rsidR="001B3C8D" w:rsidRPr="009D6881">
        <w:t xml:space="preserve"> </w:t>
      </w:r>
      <w:r w:rsidRPr="009D6881">
        <w:t xml:space="preserve">days to </w:t>
      </w:r>
      <w:r w:rsidR="001B3C8D">
        <w:t>16.9</w:t>
      </w:r>
      <w:r w:rsidRPr="009D6881">
        <w:t xml:space="preserve"> months). The median duration w</w:t>
      </w:r>
      <w:r w:rsidRPr="007E4039">
        <w:t xml:space="preserve">as </w:t>
      </w:r>
      <w:r w:rsidR="00EC5C9A">
        <w:t xml:space="preserve">10 </w:t>
      </w:r>
      <w:r w:rsidR="001B3C8D">
        <w:t>days</w:t>
      </w:r>
      <w:r w:rsidRPr="009D6881">
        <w:t xml:space="preserve"> (range 3 days to </w:t>
      </w:r>
      <w:r w:rsidR="001B3C8D">
        <w:t>11.2</w:t>
      </w:r>
      <w:r w:rsidR="00FE6B92" w:rsidRPr="009D6881">
        <w:t>*</w:t>
      </w:r>
      <w:r w:rsidRPr="009D6881">
        <w:t xml:space="preserve"> months; </w:t>
      </w:r>
      <w:r w:rsidR="00FE6B92" w:rsidRPr="009D6881">
        <w:t>where *</w:t>
      </w:r>
      <w:r w:rsidRPr="009D6881">
        <w:t xml:space="preserve"> denotes a </w:t>
      </w:r>
      <w:r w:rsidR="00FE6B92" w:rsidRPr="009D6881">
        <w:t>censored value).</w:t>
      </w:r>
      <w:r w:rsidR="001B3C8D">
        <w:t xml:space="preserve"> </w:t>
      </w:r>
      <w:r w:rsidR="001B3C8D" w:rsidRPr="001B3C8D">
        <w:t>Pancreatitis requiring the use of corticosteroids occurred in 0.1% (2/</w:t>
      </w:r>
      <w:r w:rsidR="00C839A7" w:rsidRPr="00C839A7">
        <w:t>1636</w:t>
      </w:r>
      <w:r w:rsidR="001B3C8D" w:rsidRPr="001B3C8D">
        <w:t xml:space="preserve">) of patients receiving </w:t>
      </w:r>
      <w:r w:rsidR="008C70BA" w:rsidRPr="001B3C8D">
        <w:t>Tecentriq</w:t>
      </w:r>
      <w:r w:rsidR="001B3C8D" w:rsidRPr="001B3C8D">
        <w:t>.</w:t>
      </w:r>
    </w:p>
    <w:p w14:paraId="2F25F647" w14:textId="0348F74E" w:rsidR="00FE6B92" w:rsidRPr="009D6881" w:rsidRDefault="00FE6B92" w:rsidP="00FE6B92">
      <w:pPr>
        <w:pStyle w:val="Heading2"/>
        <w:rPr>
          <w:rFonts w:hint="eastAsia"/>
        </w:rPr>
      </w:pPr>
      <w:r w:rsidRPr="009D6881">
        <w:t>Laboratory Abnormalities</w:t>
      </w:r>
    </w:p>
    <w:p w14:paraId="217C102B" w14:textId="49D16437" w:rsidR="00FE6B92" w:rsidRPr="009D6881" w:rsidRDefault="00FE6B92" w:rsidP="00FE6B92">
      <w:r w:rsidRPr="009D6881">
        <w:t>All identified laboratory abnormalities were reported as ADRs</w:t>
      </w:r>
      <w:r w:rsidR="00505E00" w:rsidRPr="009D6881">
        <w:t>,</w:t>
      </w:r>
      <w:r w:rsidRPr="009D6881">
        <w:t xml:space="preserve"> </w:t>
      </w:r>
      <w:r w:rsidR="00505E00" w:rsidRPr="009D6881">
        <w:t>r</w:t>
      </w:r>
      <w:r w:rsidRPr="009D6881">
        <w:t xml:space="preserve">efer to Table </w:t>
      </w:r>
      <w:r w:rsidR="00A070B9">
        <w:t>5</w:t>
      </w:r>
      <w:r w:rsidR="00505E00" w:rsidRPr="009D6881">
        <w:t>.</w:t>
      </w:r>
    </w:p>
    <w:p w14:paraId="3375B36E" w14:textId="77777777" w:rsidR="00D844B2" w:rsidRPr="009D6881" w:rsidRDefault="00D844B2" w:rsidP="00AE74F3">
      <w:pPr>
        <w:pStyle w:val="Heading1"/>
        <w:rPr>
          <w:rFonts w:hint="eastAsia"/>
        </w:rPr>
      </w:pPr>
      <w:r w:rsidRPr="009D6881">
        <w:t>Dosage and administration</w:t>
      </w:r>
    </w:p>
    <w:p w14:paraId="25CD21F7" w14:textId="77777777" w:rsidR="00761783" w:rsidRPr="009D6881" w:rsidRDefault="00761783" w:rsidP="00761783">
      <w:pPr>
        <w:pStyle w:val="Heading2"/>
        <w:rPr>
          <w:rFonts w:hint="eastAsia"/>
        </w:rPr>
      </w:pPr>
      <w:r w:rsidRPr="009D6881">
        <w:t xml:space="preserve">General </w:t>
      </w:r>
    </w:p>
    <w:p w14:paraId="499CBBA0" w14:textId="0F9B6A75" w:rsidR="00761783" w:rsidRPr="009D6881" w:rsidRDefault="008C70BA" w:rsidP="00761783">
      <w:r w:rsidRPr="009D6881">
        <w:t xml:space="preserve">Tecentriq </w:t>
      </w:r>
      <w:r w:rsidR="00761783" w:rsidRPr="009D6881">
        <w:t xml:space="preserve">must be administered as an </w:t>
      </w:r>
      <w:r w:rsidR="000C733A" w:rsidRPr="009D6881">
        <w:t>IV</w:t>
      </w:r>
      <w:r w:rsidR="00761783" w:rsidRPr="009D6881">
        <w:t xml:space="preserve"> infusion under the supervision of a qualified healthcare professional. Do not administer as an IV push or bolus.</w:t>
      </w:r>
    </w:p>
    <w:p w14:paraId="1F05CFF7" w14:textId="77777777" w:rsidR="00944DF1" w:rsidRPr="009D6881" w:rsidRDefault="00944DF1" w:rsidP="00761783"/>
    <w:p w14:paraId="7D1660E1" w14:textId="16061285" w:rsidR="00315710" w:rsidRPr="009D6881" w:rsidRDefault="00315710" w:rsidP="00315710">
      <w:r w:rsidRPr="009D6881">
        <w:t xml:space="preserve">The recommended dose is 1200 mg administered by IV infusion every three weeks. The initial dose of </w:t>
      </w:r>
      <w:r w:rsidR="008C70BA" w:rsidRPr="009D6881">
        <w:t xml:space="preserve">Tecentriq </w:t>
      </w:r>
      <w:r w:rsidRPr="009D6881">
        <w:t xml:space="preserve">must be administered over 60 minutes. If the first infusion is tolerated all subsequent infusions may be administered over 30 minutes. </w:t>
      </w:r>
    </w:p>
    <w:p w14:paraId="5E8FA580" w14:textId="77777777" w:rsidR="00315710" w:rsidRPr="009D6881" w:rsidRDefault="00315710" w:rsidP="00315710"/>
    <w:p w14:paraId="3F9A542F" w14:textId="77777777" w:rsidR="00FF420A" w:rsidRPr="009D6881" w:rsidRDefault="00FF420A" w:rsidP="00761783">
      <w:r w:rsidRPr="009D6881">
        <w:t xml:space="preserve">In order to improve the traceability of biological medicinal products, the trade name and the batch number of the administered product should be clearly recorded in the patient medical record. </w:t>
      </w:r>
    </w:p>
    <w:p w14:paraId="720CE3B1" w14:textId="77777777" w:rsidR="00FF420A" w:rsidRPr="009D6881" w:rsidRDefault="00FF420A" w:rsidP="00761783"/>
    <w:p w14:paraId="1CD6BA20" w14:textId="1E9C6CF6" w:rsidR="00761783" w:rsidRPr="009D6881" w:rsidRDefault="00761783" w:rsidP="00761783">
      <w:r w:rsidRPr="009D6881">
        <w:t>Substitution by any other biological medicinal product requires the consent of the prescribing physician.</w:t>
      </w:r>
    </w:p>
    <w:p w14:paraId="7D382CB5" w14:textId="77777777" w:rsidR="00761783" w:rsidRPr="009D6881" w:rsidRDefault="00761783" w:rsidP="00761783">
      <w:pPr>
        <w:pStyle w:val="Heading2"/>
        <w:rPr>
          <w:rFonts w:hint="eastAsia"/>
        </w:rPr>
      </w:pPr>
      <w:r w:rsidRPr="009D6881">
        <w:lastRenderedPageBreak/>
        <w:t>Duration of Treatment</w:t>
      </w:r>
    </w:p>
    <w:p w14:paraId="6F180A92" w14:textId="437CD3F4" w:rsidR="00761783" w:rsidRPr="009D6881" w:rsidRDefault="00761783" w:rsidP="00761783">
      <w:r w:rsidRPr="009D6881">
        <w:t xml:space="preserve">Patients are treated with </w:t>
      </w:r>
      <w:r w:rsidR="008C70BA" w:rsidRPr="009D6881">
        <w:t xml:space="preserve">Tecentriq </w:t>
      </w:r>
      <w:r w:rsidRPr="009D6881">
        <w:t xml:space="preserve">until loss of clinical benefit (see </w:t>
      </w:r>
      <w:r w:rsidRPr="009D6881">
        <w:rPr>
          <w:i/>
        </w:rPr>
        <w:t>CLINICAL TRIALS</w:t>
      </w:r>
      <w:r w:rsidRPr="009D6881">
        <w:t xml:space="preserve">) or unmanageable toxicity. </w:t>
      </w:r>
    </w:p>
    <w:p w14:paraId="085A75C2" w14:textId="77777777" w:rsidR="00761783" w:rsidRPr="009D6881" w:rsidRDefault="00761783" w:rsidP="00761783">
      <w:pPr>
        <w:pStyle w:val="Heading2"/>
        <w:rPr>
          <w:rFonts w:hint="eastAsia"/>
        </w:rPr>
      </w:pPr>
      <w:r w:rsidRPr="009D6881">
        <w:t>Delayed or Missed Doses</w:t>
      </w:r>
    </w:p>
    <w:p w14:paraId="11644A8D" w14:textId="2E3151F4" w:rsidR="00761783" w:rsidRPr="009D6881" w:rsidRDefault="00761783" w:rsidP="00761783">
      <w:r w:rsidRPr="009D6881">
        <w:t xml:space="preserve">If a planned dose of </w:t>
      </w:r>
      <w:r w:rsidR="008C70BA" w:rsidRPr="009D6881">
        <w:t xml:space="preserve">Tecentriq </w:t>
      </w:r>
      <w:r w:rsidRPr="009D6881">
        <w:t>is missed, it should be administered as soon as possible; do not wait until the next planned dose. The schedule of administration should be adjusted to maintain a 3-week interval between doses.</w:t>
      </w:r>
    </w:p>
    <w:p w14:paraId="4F8CCA1B" w14:textId="77777777" w:rsidR="00761783" w:rsidRPr="009D6881" w:rsidRDefault="00761783" w:rsidP="00761783">
      <w:pPr>
        <w:pStyle w:val="Heading2"/>
        <w:rPr>
          <w:rFonts w:hint="eastAsia"/>
        </w:rPr>
      </w:pPr>
      <w:r w:rsidRPr="009D6881">
        <w:t xml:space="preserve">Dose Modifications </w:t>
      </w:r>
    </w:p>
    <w:p w14:paraId="149EB136" w14:textId="6C76A77E" w:rsidR="00761783" w:rsidRPr="009D6881" w:rsidRDefault="00761783" w:rsidP="009D6881">
      <w:r w:rsidRPr="009D6881">
        <w:t xml:space="preserve">No dose reductions of </w:t>
      </w:r>
      <w:r w:rsidR="008C70BA" w:rsidRPr="009D6881">
        <w:t xml:space="preserve">Tecentriq </w:t>
      </w:r>
      <w:r w:rsidRPr="009D6881">
        <w:t xml:space="preserve">are recommended. </w:t>
      </w:r>
    </w:p>
    <w:p w14:paraId="20626F42" w14:textId="77777777" w:rsidR="00761783" w:rsidRPr="009D6881" w:rsidRDefault="00761783" w:rsidP="00761783"/>
    <w:p w14:paraId="27012FD9" w14:textId="00FE7783" w:rsidR="00761783" w:rsidRPr="009D6881" w:rsidRDefault="00761783" w:rsidP="00761783">
      <w:pPr>
        <w:rPr>
          <w:b/>
        </w:rPr>
      </w:pPr>
      <w:r w:rsidRPr="009D6881">
        <w:rPr>
          <w:b/>
        </w:rPr>
        <w:t xml:space="preserve">Table </w:t>
      </w:r>
      <w:r w:rsidR="00A070B9">
        <w:rPr>
          <w:b/>
        </w:rPr>
        <w:t>8</w:t>
      </w:r>
      <w:r w:rsidR="00315710" w:rsidRPr="009D6881">
        <w:rPr>
          <w:b/>
        </w:rPr>
        <w:t>.</w:t>
      </w:r>
      <w:r w:rsidRPr="009D6881">
        <w:rPr>
          <w:b/>
        </w:rPr>
        <w:t xml:space="preserve"> Dose modification advice for specified Adverse Drug Reactions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5104"/>
      </w:tblGrid>
      <w:tr w:rsidR="00551E7E" w:rsidRPr="009D6881" w14:paraId="4F04E248" w14:textId="77777777" w:rsidTr="002217EA">
        <w:trPr>
          <w:tblHeader/>
        </w:trPr>
        <w:tc>
          <w:tcPr>
            <w:tcW w:w="1236" w:type="pct"/>
            <w:tcBorders>
              <w:bottom w:val="single" w:sz="4" w:space="0" w:color="auto"/>
            </w:tcBorders>
            <w:shd w:val="clear" w:color="auto" w:fill="auto"/>
          </w:tcPr>
          <w:p w14:paraId="3EB917AC" w14:textId="77777777" w:rsidR="00761783" w:rsidRPr="009D6881" w:rsidRDefault="00761783" w:rsidP="009D6881">
            <w:pPr>
              <w:jc w:val="left"/>
              <w:rPr>
                <w:rFonts w:eastAsia="Times New Roman"/>
                <w:b/>
                <w:sz w:val="22"/>
              </w:rPr>
            </w:pPr>
            <w:r w:rsidRPr="009D6881">
              <w:rPr>
                <w:rFonts w:eastAsia="Times New Roman"/>
                <w:b/>
                <w:sz w:val="22"/>
              </w:rPr>
              <w:t>Adverse reaction</w:t>
            </w:r>
          </w:p>
        </w:tc>
        <w:tc>
          <w:tcPr>
            <w:tcW w:w="941" w:type="pct"/>
            <w:tcBorders>
              <w:bottom w:val="single" w:sz="4" w:space="0" w:color="auto"/>
            </w:tcBorders>
            <w:shd w:val="clear" w:color="auto" w:fill="auto"/>
          </w:tcPr>
          <w:p w14:paraId="5DCDE957" w14:textId="77777777" w:rsidR="00761783" w:rsidRPr="009D6881" w:rsidRDefault="00761783" w:rsidP="009D6881">
            <w:pPr>
              <w:jc w:val="left"/>
              <w:rPr>
                <w:rFonts w:eastAsia="Times New Roman"/>
                <w:b/>
                <w:sz w:val="22"/>
              </w:rPr>
            </w:pPr>
            <w:r w:rsidRPr="009D6881">
              <w:rPr>
                <w:rFonts w:eastAsia="Times New Roman"/>
                <w:b/>
                <w:sz w:val="22"/>
              </w:rPr>
              <w:t>Severity</w:t>
            </w:r>
          </w:p>
        </w:tc>
        <w:tc>
          <w:tcPr>
            <w:tcW w:w="2823" w:type="pct"/>
            <w:tcBorders>
              <w:bottom w:val="single" w:sz="4" w:space="0" w:color="auto"/>
            </w:tcBorders>
            <w:shd w:val="clear" w:color="auto" w:fill="auto"/>
          </w:tcPr>
          <w:p w14:paraId="3F7D8FDD" w14:textId="77777777" w:rsidR="00761783" w:rsidRPr="009D6881" w:rsidRDefault="00761783" w:rsidP="009D6881">
            <w:pPr>
              <w:jc w:val="left"/>
              <w:rPr>
                <w:rFonts w:eastAsia="Times New Roman"/>
                <w:b/>
                <w:sz w:val="22"/>
              </w:rPr>
            </w:pPr>
            <w:r w:rsidRPr="009D6881">
              <w:rPr>
                <w:rFonts w:eastAsia="Times New Roman"/>
                <w:b/>
                <w:sz w:val="22"/>
              </w:rPr>
              <w:t>Treatment modification</w:t>
            </w:r>
          </w:p>
        </w:tc>
      </w:tr>
      <w:tr w:rsidR="00551E7E" w:rsidRPr="009D6881" w14:paraId="5EF30BFE" w14:textId="77777777" w:rsidTr="009D6881">
        <w:tc>
          <w:tcPr>
            <w:tcW w:w="1236" w:type="pct"/>
            <w:tcBorders>
              <w:bottom w:val="nil"/>
            </w:tcBorders>
            <w:shd w:val="clear" w:color="auto" w:fill="auto"/>
          </w:tcPr>
          <w:p w14:paraId="0969CB90" w14:textId="77777777" w:rsidR="00761783" w:rsidRPr="009D6881" w:rsidRDefault="00761783" w:rsidP="009D6881">
            <w:pPr>
              <w:jc w:val="left"/>
              <w:rPr>
                <w:rFonts w:eastAsia="Times New Roman"/>
                <w:b/>
                <w:i/>
                <w:sz w:val="22"/>
              </w:rPr>
            </w:pPr>
            <w:r w:rsidRPr="009D6881">
              <w:rPr>
                <w:rFonts w:eastAsia="Times New Roman"/>
                <w:b/>
                <w:i/>
                <w:sz w:val="22"/>
              </w:rPr>
              <w:t>Infusion-related reactions</w:t>
            </w:r>
          </w:p>
          <w:p w14:paraId="3AB2F9E7" w14:textId="3C3E0FEA" w:rsidR="00761783" w:rsidRPr="009D6881" w:rsidRDefault="00761783" w:rsidP="009D6881">
            <w:pPr>
              <w:jc w:val="left"/>
              <w:rPr>
                <w:rFonts w:eastAsia="Times New Roman"/>
                <w:i/>
                <w:sz w:val="22"/>
              </w:rPr>
            </w:pPr>
            <w:r w:rsidRPr="009D6881">
              <w:rPr>
                <w:rFonts w:eastAsia="Times New Roman"/>
                <w:sz w:val="22"/>
              </w:rPr>
              <w:t xml:space="preserve">(see </w:t>
            </w:r>
            <w:r w:rsidR="00D561D7">
              <w:rPr>
                <w:rFonts w:eastAsia="Times New Roman"/>
                <w:sz w:val="22"/>
              </w:rPr>
              <w:t xml:space="preserve">also </w:t>
            </w:r>
            <w:r w:rsidR="00D561D7" w:rsidRPr="00D561D7">
              <w:rPr>
                <w:rFonts w:eastAsia="Times New Roman"/>
                <w:i/>
                <w:sz w:val="22"/>
              </w:rPr>
              <w:t>PRECAUTIONS</w:t>
            </w:r>
            <w:r w:rsidRPr="009D6881">
              <w:rPr>
                <w:rFonts w:eastAsia="Times New Roman"/>
                <w:sz w:val="22"/>
              </w:rPr>
              <w:t>)</w:t>
            </w:r>
          </w:p>
        </w:tc>
        <w:tc>
          <w:tcPr>
            <w:tcW w:w="941" w:type="pct"/>
            <w:shd w:val="clear" w:color="auto" w:fill="auto"/>
          </w:tcPr>
          <w:p w14:paraId="7F29DB4C" w14:textId="3A923C2C" w:rsidR="00761783" w:rsidRPr="009D6881" w:rsidRDefault="00761783" w:rsidP="009D6881">
            <w:pPr>
              <w:jc w:val="left"/>
              <w:rPr>
                <w:rFonts w:eastAsia="Times New Roman"/>
                <w:sz w:val="22"/>
              </w:rPr>
            </w:pPr>
            <w:r w:rsidRPr="009D6881">
              <w:rPr>
                <w:rFonts w:eastAsia="Times New Roman"/>
                <w:sz w:val="22"/>
              </w:rPr>
              <w:t>Grade 1</w:t>
            </w:r>
            <w:r w:rsidR="00B81324">
              <w:rPr>
                <w:rFonts w:eastAsia="Times New Roman"/>
                <w:sz w:val="22"/>
              </w:rPr>
              <w:t xml:space="preserve"> or 2</w:t>
            </w:r>
          </w:p>
        </w:tc>
        <w:tc>
          <w:tcPr>
            <w:tcW w:w="2823" w:type="pct"/>
            <w:shd w:val="clear" w:color="auto" w:fill="auto"/>
          </w:tcPr>
          <w:p w14:paraId="4E6A4C04" w14:textId="78E3D8BB" w:rsidR="00761783" w:rsidRPr="009D6881" w:rsidRDefault="00B81324" w:rsidP="009D6881">
            <w:pPr>
              <w:jc w:val="left"/>
              <w:rPr>
                <w:rFonts w:eastAsia="Times New Roman"/>
                <w:sz w:val="22"/>
              </w:rPr>
            </w:pPr>
            <w:r w:rsidRPr="00B81324">
              <w:rPr>
                <w:rFonts w:eastAsia="Times New Roman"/>
                <w:sz w:val="22"/>
              </w:rPr>
              <w:t>Reduce infusion rate or interrupt. Treatment may be resumed when the event is resolved</w:t>
            </w:r>
            <w:r>
              <w:rPr>
                <w:rFonts w:eastAsia="Times New Roman"/>
                <w:sz w:val="22"/>
              </w:rPr>
              <w:t>.</w:t>
            </w:r>
          </w:p>
        </w:tc>
      </w:tr>
      <w:tr w:rsidR="00551E7E" w:rsidRPr="009D6881" w14:paraId="2D3EE3AC" w14:textId="77777777" w:rsidTr="009D6881">
        <w:trPr>
          <w:trHeight w:val="329"/>
        </w:trPr>
        <w:tc>
          <w:tcPr>
            <w:tcW w:w="1236" w:type="pct"/>
            <w:tcBorders>
              <w:top w:val="nil"/>
            </w:tcBorders>
            <w:shd w:val="clear" w:color="auto" w:fill="auto"/>
          </w:tcPr>
          <w:p w14:paraId="6FEA2B7C" w14:textId="77777777" w:rsidR="00761783" w:rsidRPr="009D6881" w:rsidRDefault="00761783" w:rsidP="009D6881">
            <w:pPr>
              <w:jc w:val="left"/>
              <w:rPr>
                <w:rFonts w:eastAsia="Times New Roman"/>
                <w:i/>
                <w:sz w:val="22"/>
              </w:rPr>
            </w:pPr>
          </w:p>
        </w:tc>
        <w:tc>
          <w:tcPr>
            <w:tcW w:w="941" w:type="pct"/>
            <w:shd w:val="clear" w:color="auto" w:fill="auto"/>
          </w:tcPr>
          <w:p w14:paraId="05932F62" w14:textId="77777777" w:rsidR="00761783" w:rsidRPr="009D6881" w:rsidRDefault="00761783" w:rsidP="009D6881">
            <w:pPr>
              <w:jc w:val="left"/>
              <w:rPr>
                <w:rFonts w:eastAsia="Times New Roman"/>
                <w:sz w:val="22"/>
              </w:rPr>
            </w:pPr>
            <w:r w:rsidRPr="009D6881">
              <w:rPr>
                <w:rFonts w:eastAsia="Times New Roman"/>
                <w:sz w:val="22"/>
              </w:rPr>
              <w:t>Grade 3 or 4</w:t>
            </w:r>
          </w:p>
        </w:tc>
        <w:tc>
          <w:tcPr>
            <w:tcW w:w="2823" w:type="pct"/>
            <w:shd w:val="clear" w:color="auto" w:fill="auto"/>
          </w:tcPr>
          <w:p w14:paraId="1FDAF03C" w14:textId="17F5FBE2" w:rsidR="00761783" w:rsidRPr="009D6881" w:rsidRDefault="00761783" w:rsidP="009D6881">
            <w:pPr>
              <w:jc w:val="left"/>
              <w:rPr>
                <w:rFonts w:eastAsia="Times New Roman"/>
                <w:sz w:val="22"/>
              </w:rPr>
            </w:pPr>
            <w:r w:rsidRPr="009D6881">
              <w:rPr>
                <w:rFonts w:eastAsia="Times New Roman"/>
                <w:sz w:val="22"/>
              </w:rPr>
              <w:t xml:space="preserve">Permanently discontinue </w:t>
            </w:r>
            <w:r w:rsidR="008C70BA" w:rsidRPr="009D6881">
              <w:rPr>
                <w:rFonts w:eastAsia="Times New Roman"/>
                <w:sz w:val="22"/>
              </w:rPr>
              <w:t>Tecentriq</w:t>
            </w:r>
            <w:r w:rsidR="00D86DB4" w:rsidRPr="009D6881">
              <w:rPr>
                <w:rFonts w:eastAsia="Times New Roman"/>
                <w:sz w:val="22"/>
              </w:rPr>
              <w:t>.</w:t>
            </w:r>
          </w:p>
        </w:tc>
      </w:tr>
      <w:tr w:rsidR="00551E7E" w:rsidRPr="009D6881" w14:paraId="3C20693A" w14:textId="77777777" w:rsidTr="009D6881">
        <w:tc>
          <w:tcPr>
            <w:tcW w:w="1236" w:type="pct"/>
            <w:tcBorders>
              <w:bottom w:val="nil"/>
            </w:tcBorders>
            <w:shd w:val="clear" w:color="auto" w:fill="auto"/>
          </w:tcPr>
          <w:p w14:paraId="60B107F6" w14:textId="77777777" w:rsidR="00761783" w:rsidRPr="009D6881" w:rsidRDefault="00761783" w:rsidP="009D6881">
            <w:pPr>
              <w:jc w:val="left"/>
              <w:rPr>
                <w:rFonts w:eastAsia="Times New Roman"/>
                <w:b/>
                <w:i/>
                <w:sz w:val="22"/>
              </w:rPr>
            </w:pPr>
            <w:r w:rsidRPr="009D6881">
              <w:rPr>
                <w:rFonts w:eastAsia="Times New Roman"/>
                <w:b/>
                <w:i/>
                <w:sz w:val="22"/>
              </w:rPr>
              <w:t>Rash</w:t>
            </w:r>
          </w:p>
          <w:p w14:paraId="028B5757" w14:textId="2F930D99" w:rsidR="00761783" w:rsidRPr="009D6881" w:rsidRDefault="00761783" w:rsidP="009D6881">
            <w:pPr>
              <w:jc w:val="left"/>
              <w:rPr>
                <w:rFonts w:eastAsia="Times New Roman"/>
                <w:i/>
                <w:sz w:val="22"/>
              </w:rPr>
            </w:pPr>
            <w:r w:rsidRPr="009D6881">
              <w:rPr>
                <w:rFonts w:eastAsia="Times New Roman"/>
                <w:sz w:val="22"/>
              </w:rPr>
              <w:t xml:space="preserve">(see </w:t>
            </w:r>
            <w:r w:rsidR="00D561D7">
              <w:rPr>
                <w:rFonts w:eastAsia="Times New Roman"/>
                <w:sz w:val="22"/>
              </w:rPr>
              <w:t xml:space="preserve">also </w:t>
            </w:r>
            <w:r w:rsidR="00793677" w:rsidRPr="009D6881">
              <w:rPr>
                <w:rFonts w:eastAsia="Times New Roman"/>
                <w:i/>
                <w:sz w:val="22"/>
              </w:rPr>
              <w:t>ADVERSE EFFECTS</w:t>
            </w:r>
            <w:r w:rsidRPr="009D6881">
              <w:rPr>
                <w:rFonts w:eastAsia="Times New Roman"/>
                <w:sz w:val="22"/>
              </w:rPr>
              <w:t>)</w:t>
            </w:r>
          </w:p>
        </w:tc>
        <w:tc>
          <w:tcPr>
            <w:tcW w:w="941" w:type="pct"/>
            <w:shd w:val="clear" w:color="auto" w:fill="auto"/>
          </w:tcPr>
          <w:p w14:paraId="36A25875" w14:textId="77777777" w:rsidR="00761783" w:rsidRPr="009D6881" w:rsidRDefault="00761783" w:rsidP="009D6881">
            <w:pPr>
              <w:jc w:val="left"/>
              <w:rPr>
                <w:rFonts w:eastAsia="Times New Roman"/>
                <w:sz w:val="22"/>
              </w:rPr>
            </w:pPr>
            <w:r w:rsidRPr="009D6881">
              <w:rPr>
                <w:rFonts w:eastAsia="Times New Roman"/>
                <w:sz w:val="22"/>
              </w:rPr>
              <w:t>Grade 3</w:t>
            </w:r>
          </w:p>
        </w:tc>
        <w:tc>
          <w:tcPr>
            <w:tcW w:w="2823" w:type="pct"/>
            <w:shd w:val="clear" w:color="auto" w:fill="auto"/>
          </w:tcPr>
          <w:p w14:paraId="0D284EA9" w14:textId="29D59E93" w:rsidR="00761783" w:rsidRPr="009D6881" w:rsidRDefault="00761783" w:rsidP="009D6881">
            <w:pPr>
              <w:jc w:val="left"/>
              <w:rPr>
                <w:rFonts w:eastAsia="Times New Roman"/>
                <w:sz w:val="22"/>
              </w:rPr>
            </w:pPr>
            <w:r w:rsidRPr="009D6881">
              <w:rPr>
                <w:rFonts w:eastAsia="Times New Roman"/>
                <w:sz w:val="22"/>
              </w:rPr>
              <w:t xml:space="preserve">Withhold </w:t>
            </w:r>
            <w:r w:rsidR="008C70BA" w:rsidRPr="009D6881">
              <w:rPr>
                <w:rFonts w:eastAsia="Times New Roman"/>
                <w:sz w:val="22"/>
              </w:rPr>
              <w:t>Tecentriq</w:t>
            </w:r>
            <w:r w:rsidR="00D86DB4" w:rsidRPr="009D6881">
              <w:rPr>
                <w:rFonts w:eastAsia="Times New Roman"/>
                <w:sz w:val="22"/>
              </w:rPr>
              <w:t>.</w:t>
            </w:r>
          </w:p>
          <w:p w14:paraId="5E5E5ED1" w14:textId="77777777" w:rsidR="00761783" w:rsidRPr="009D6881" w:rsidRDefault="00761783" w:rsidP="009D6881">
            <w:pPr>
              <w:jc w:val="left"/>
              <w:rPr>
                <w:rFonts w:eastAsia="Times New Roman"/>
                <w:sz w:val="22"/>
              </w:rPr>
            </w:pPr>
          </w:p>
          <w:p w14:paraId="7103DC1E" w14:textId="7DC0D071" w:rsidR="00761783" w:rsidRPr="009D6881" w:rsidRDefault="00761783" w:rsidP="009D6881">
            <w:pPr>
              <w:jc w:val="left"/>
              <w:rPr>
                <w:rFonts w:eastAsia="Times New Roman"/>
                <w:sz w:val="22"/>
              </w:rPr>
            </w:pPr>
            <w:r w:rsidRPr="009D6881">
              <w:rPr>
                <w:rFonts w:eastAsia="Times New Roman"/>
                <w:sz w:val="22"/>
              </w:rPr>
              <w:t xml:space="preserve">Treatment may be resumed when rash is resolved and corticosteroids have been reduced to ≤ 10 mg oral prednisone </w:t>
            </w:r>
            <w:r w:rsidR="00D86DB4" w:rsidRPr="009D6881">
              <w:rPr>
                <w:rFonts w:eastAsia="Times New Roman"/>
                <w:sz w:val="22"/>
              </w:rPr>
              <w:t xml:space="preserve">or </w:t>
            </w:r>
            <w:r w:rsidRPr="009D6881">
              <w:rPr>
                <w:rFonts w:eastAsia="Times New Roman"/>
                <w:sz w:val="22"/>
              </w:rPr>
              <w:t>equivalent per day</w:t>
            </w:r>
            <w:r w:rsidR="00D86DB4" w:rsidRPr="009D6881">
              <w:rPr>
                <w:rFonts w:eastAsia="Times New Roman"/>
                <w:sz w:val="22"/>
              </w:rPr>
              <w:t>.</w:t>
            </w:r>
          </w:p>
        </w:tc>
      </w:tr>
      <w:tr w:rsidR="00551E7E" w:rsidRPr="009D6881" w14:paraId="29B5AB6B" w14:textId="77777777" w:rsidTr="009D6881">
        <w:tc>
          <w:tcPr>
            <w:tcW w:w="1236" w:type="pct"/>
            <w:tcBorders>
              <w:top w:val="nil"/>
              <w:bottom w:val="single" w:sz="4" w:space="0" w:color="auto"/>
            </w:tcBorders>
            <w:shd w:val="clear" w:color="auto" w:fill="auto"/>
          </w:tcPr>
          <w:p w14:paraId="4271B95A" w14:textId="77777777" w:rsidR="00761783" w:rsidRPr="009D6881" w:rsidRDefault="00761783" w:rsidP="009D6881">
            <w:pPr>
              <w:jc w:val="left"/>
              <w:rPr>
                <w:rFonts w:eastAsia="Times New Roman"/>
                <w:b/>
                <w:i/>
                <w:sz w:val="22"/>
              </w:rPr>
            </w:pPr>
          </w:p>
        </w:tc>
        <w:tc>
          <w:tcPr>
            <w:tcW w:w="941" w:type="pct"/>
            <w:tcBorders>
              <w:bottom w:val="single" w:sz="4" w:space="0" w:color="auto"/>
            </w:tcBorders>
            <w:shd w:val="clear" w:color="auto" w:fill="auto"/>
          </w:tcPr>
          <w:p w14:paraId="1FE07F06" w14:textId="77777777" w:rsidR="00761783" w:rsidRPr="009D6881" w:rsidRDefault="00761783" w:rsidP="009D6881">
            <w:pPr>
              <w:jc w:val="left"/>
              <w:rPr>
                <w:rFonts w:eastAsia="Times New Roman"/>
                <w:sz w:val="22"/>
              </w:rPr>
            </w:pPr>
            <w:r w:rsidRPr="009D6881">
              <w:rPr>
                <w:rFonts w:eastAsia="Times New Roman"/>
                <w:sz w:val="22"/>
              </w:rPr>
              <w:t>Grade 4</w:t>
            </w:r>
          </w:p>
        </w:tc>
        <w:tc>
          <w:tcPr>
            <w:tcW w:w="2823" w:type="pct"/>
            <w:tcBorders>
              <w:bottom w:val="single" w:sz="4" w:space="0" w:color="auto"/>
            </w:tcBorders>
            <w:shd w:val="clear" w:color="auto" w:fill="auto"/>
          </w:tcPr>
          <w:p w14:paraId="7C6E2CB2" w14:textId="10CF7838" w:rsidR="00761783" w:rsidRPr="009D6881" w:rsidRDefault="00761783" w:rsidP="009D6881">
            <w:pPr>
              <w:jc w:val="left"/>
              <w:rPr>
                <w:rFonts w:eastAsia="Times New Roman"/>
                <w:sz w:val="22"/>
              </w:rPr>
            </w:pPr>
            <w:r w:rsidRPr="009D6881">
              <w:rPr>
                <w:rFonts w:eastAsia="Times New Roman"/>
                <w:sz w:val="22"/>
              </w:rPr>
              <w:t xml:space="preserve">Permanently discontinue </w:t>
            </w:r>
            <w:r w:rsidR="008C70BA" w:rsidRPr="009D6881">
              <w:rPr>
                <w:rFonts w:eastAsia="Times New Roman"/>
                <w:sz w:val="22"/>
              </w:rPr>
              <w:t>Tecentriq</w:t>
            </w:r>
            <w:r w:rsidR="0087768E">
              <w:rPr>
                <w:rFonts w:eastAsia="Times New Roman"/>
                <w:sz w:val="22"/>
              </w:rPr>
              <w:t>.</w:t>
            </w:r>
          </w:p>
        </w:tc>
      </w:tr>
      <w:tr w:rsidR="001F2681" w:rsidRPr="009D6881" w14:paraId="1007CD28" w14:textId="5C660EA0" w:rsidTr="009D6881">
        <w:tc>
          <w:tcPr>
            <w:tcW w:w="1236" w:type="pct"/>
            <w:vMerge w:val="restart"/>
            <w:tcBorders>
              <w:top w:val="single" w:sz="4" w:space="0" w:color="auto"/>
            </w:tcBorders>
            <w:shd w:val="clear" w:color="auto" w:fill="auto"/>
          </w:tcPr>
          <w:p w14:paraId="3A32A676" w14:textId="77777777" w:rsidR="001F2681" w:rsidRPr="009D6881" w:rsidRDefault="001F2681" w:rsidP="009D6881">
            <w:pPr>
              <w:jc w:val="left"/>
              <w:rPr>
                <w:b/>
                <w:i/>
                <w:sz w:val="22"/>
                <w:lang w:val="en-GB"/>
              </w:rPr>
            </w:pPr>
            <w:r w:rsidRPr="009D6881">
              <w:rPr>
                <w:b/>
                <w:i/>
                <w:sz w:val="22"/>
                <w:lang w:val="en-GB"/>
              </w:rPr>
              <w:t>Pneumonitis</w:t>
            </w:r>
          </w:p>
          <w:p w14:paraId="6106C800" w14:textId="6CA76668" w:rsidR="00551E7E" w:rsidRPr="009D6881" w:rsidRDefault="00551E7E" w:rsidP="009D6881">
            <w:pPr>
              <w:jc w:val="left"/>
              <w:rPr>
                <w:sz w:val="22"/>
                <w:lang w:val="en-GB"/>
              </w:rPr>
            </w:pPr>
            <w:r w:rsidRPr="009D6881">
              <w:rPr>
                <w:sz w:val="22"/>
                <w:lang w:val="en-GB"/>
              </w:rPr>
              <w:t xml:space="preserve">(see also </w:t>
            </w:r>
            <w:r w:rsidRPr="009D6881">
              <w:rPr>
                <w:i/>
                <w:sz w:val="22"/>
                <w:lang w:val="en-GB"/>
              </w:rPr>
              <w:t>PRECAUTIONS</w:t>
            </w:r>
            <w:r w:rsidRPr="009D6881">
              <w:rPr>
                <w:sz w:val="22"/>
                <w:lang w:val="en-GB"/>
              </w:rPr>
              <w:t>)</w:t>
            </w:r>
          </w:p>
          <w:p w14:paraId="51FA7282" w14:textId="77777777" w:rsidR="001F2681" w:rsidRPr="009D6881" w:rsidRDefault="001F2681" w:rsidP="009D6881">
            <w:pPr>
              <w:jc w:val="left"/>
              <w:rPr>
                <w:rFonts w:eastAsia="Times New Roman"/>
                <w:i/>
                <w:sz w:val="22"/>
              </w:rPr>
            </w:pPr>
          </w:p>
        </w:tc>
        <w:tc>
          <w:tcPr>
            <w:tcW w:w="941" w:type="pct"/>
          </w:tcPr>
          <w:p w14:paraId="524BE4B8" w14:textId="4428D73B" w:rsidR="001F2681" w:rsidRPr="009D6881" w:rsidRDefault="001F2681" w:rsidP="00D97BEA">
            <w:pPr>
              <w:jc w:val="left"/>
              <w:rPr>
                <w:sz w:val="22"/>
              </w:rPr>
            </w:pPr>
            <w:r w:rsidRPr="009D6881">
              <w:rPr>
                <w:sz w:val="22"/>
                <w:lang w:val="en-GB"/>
              </w:rPr>
              <w:t>Grade 2</w:t>
            </w:r>
          </w:p>
        </w:tc>
        <w:tc>
          <w:tcPr>
            <w:tcW w:w="2823" w:type="pct"/>
          </w:tcPr>
          <w:p w14:paraId="6DD5CE85" w14:textId="6BBBFB6B" w:rsidR="001F2681" w:rsidRPr="009D6881" w:rsidRDefault="001F2681" w:rsidP="009D6881">
            <w:pPr>
              <w:jc w:val="left"/>
              <w:rPr>
                <w:sz w:val="22"/>
                <w:lang w:val="en-GB"/>
              </w:rPr>
            </w:pPr>
            <w:r w:rsidRPr="009D6881">
              <w:rPr>
                <w:sz w:val="22"/>
                <w:lang w:val="en-GB"/>
              </w:rPr>
              <w:t xml:space="preserve">Withhold </w:t>
            </w:r>
            <w:r w:rsidR="008C70BA" w:rsidRPr="009D6881">
              <w:rPr>
                <w:sz w:val="22"/>
                <w:lang w:val="en-GB"/>
              </w:rPr>
              <w:t>Tecentriq</w:t>
            </w:r>
            <w:r w:rsidR="00D86DB4" w:rsidRPr="009D6881">
              <w:rPr>
                <w:sz w:val="22"/>
                <w:lang w:val="en-GB"/>
              </w:rPr>
              <w:t>.</w:t>
            </w:r>
          </w:p>
          <w:p w14:paraId="3E60A739" w14:textId="77777777" w:rsidR="001F2681" w:rsidRPr="009D6881" w:rsidRDefault="001F2681" w:rsidP="009D6881">
            <w:pPr>
              <w:jc w:val="left"/>
              <w:rPr>
                <w:sz w:val="22"/>
                <w:lang w:val="en-GB"/>
              </w:rPr>
            </w:pPr>
          </w:p>
          <w:p w14:paraId="44924375" w14:textId="7D93C4FA" w:rsidR="001F2681" w:rsidRPr="009D6881" w:rsidRDefault="001F2681" w:rsidP="00D97BEA">
            <w:pPr>
              <w:jc w:val="left"/>
              <w:rPr>
                <w:sz w:val="22"/>
              </w:rPr>
            </w:pPr>
            <w:r w:rsidRPr="009D6881">
              <w:rPr>
                <w:sz w:val="22"/>
                <w:lang w:val="en-GB"/>
              </w:rPr>
              <w:t>Treatment may be resumed when the event improves to Grade 0 or Grade 1 within 12 weeks, and corticosteroids have been reduced to ≤ 10 mg oral prednisone equivalent per day</w:t>
            </w:r>
            <w:r w:rsidR="00D86DB4" w:rsidRPr="009D6881">
              <w:rPr>
                <w:sz w:val="22"/>
                <w:lang w:val="en-GB"/>
              </w:rPr>
              <w:t>.</w:t>
            </w:r>
          </w:p>
        </w:tc>
      </w:tr>
      <w:tr w:rsidR="001F2681" w:rsidRPr="009D6881" w14:paraId="06109932" w14:textId="77777777" w:rsidTr="009D6881">
        <w:tc>
          <w:tcPr>
            <w:tcW w:w="1236" w:type="pct"/>
            <w:vMerge/>
            <w:tcBorders>
              <w:bottom w:val="single" w:sz="4" w:space="0" w:color="auto"/>
            </w:tcBorders>
            <w:shd w:val="clear" w:color="auto" w:fill="auto"/>
          </w:tcPr>
          <w:p w14:paraId="70795FB6" w14:textId="77777777" w:rsidR="001F2681" w:rsidRPr="009D6881" w:rsidRDefault="001F2681" w:rsidP="009D6881">
            <w:pPr>
              <w:jc w:val="left"/>
              <w:rPr>
                <w:b/>
                <w:i/>
                <w:sz w:val="22"/>
                <w:lang w:val="en-GB"/>
              </w:rPr>
            </w:pPr>
          </w:p>
        </w:tc>
        <w:tc>
          <w:tcPr>
            <w:tcW w:w="941" w:type="pct"/>
          </w:tcPr>
          <w:p w14:paraId="7B59CCD6" w14:textId="45D1D39A" w:rsidR="001F2681" w:rsidRPr="009D6881" w:rsidRDefault="001F2681" w:rsidP="00D97BEA">
            <w:pPr>
              <w:jc w:val="left"/>
              <w:rPr>
                <w:sz w:val="22"/>
                <w:lang w:val="en-GB"/>
              </w:rPr>
            </w:pPr>
            <w:r w:rsidRPr="009D6881">
              <w:rPr>
                <w:sz w:val="22"/>
                <w:lang w:val="en-GB"/>
              </w:rPr>
              <w:t>Grade 3 or 4</w:t>
            </w:r>
          </w:p>
        </w:tc>
        <w:tc>
          <w:tcPr>
            <w:tcW w:w="2823" w:type="pct"/>
          </w:tcPr>
          <w:p w14:paraId="3F143A62" w14:textId="4E73DB1A" w:rsidR="001F2681" w:rsidRPr="009D6881" w:rsidRDefault="001F2681" w:rsidP="009D6881">
            <w:pPr>
              <w:jc w:val="left"/>
              <w:rPr>
                <w:sz w:val="22"/>
                <w:lang w:val="en-GB"/>
              </w:rPr>
            </w:pPr>
            <w:r w:rsidRPr="009D6881">
              <w:rPr>
                <w:sz w:val="22"/>
                <w:lang w:val="en-GB"/>
              </w:rPr>
              <w:t xml:space="preserve">Permanently discontinue </w:t>
            </w:r>
            <w:r w:rsidR="008C70BA" w:rsidRPr="009D6881">
              <w:rPr>
                <w:sz w:val="22"/>
                <w:lang w:val="en-GB"/>
              </w:rPr>
              <w:t>Tecentriq</w:t>
            </w:r>
            <w:r w:rsidR="00D86DB4" w:rsidRPr="009D6881">
              <w:rPr>
                <w:sz w:val="22"/>
                <w:lang w:val="en-GB"/>
              </w:rPr>
              <w:t>.</w:t>
            </w:r>
          </w:p>
        </w:tc>
      </w:tr>
      <w:tr w:rsidR="001F2681" w:rsidRPr="009D6881" w14:paraId="3EFF33F5" w14:textId="77777777" w:rsidTr="009D6881">
        <w:tc>
          <w:tcPr>
            <w:tcW w:w="1236" w:type="pct"/>
            <w:vMerge w:val="restart"/>
            <w:tcBorders>
              <w:top w:val="single" w:sz="4" w:space="0" w:color="auto"/>
            </w:tcBorders>
            <w:shd w:val="clear" w:color="auto" w:fill="auto"/>
          </w:tcPr>
          <w:p w14:paraId="5F7923E8" w14:textId="77777777" w:rsidR="001F2681" w:rsidRPr="009D6881" w:rsidRDefault="001F2681" w:rsidP="009D6881">
            <w:pPr>
              <w:jc w:val="left"/>
              <w:rPr>
                <w:b/>
                <w:i/>
                <w:sz w:val="22"/>
                <w:lang w:val="en-GB"/>
              </w:rPr>
            </w:pPr>
            <w:r w:rsidRPr="009D6881">
              <w:rPr>
                <w:b/>
                <w:i/>
                <w:sz w:val="22"/>
                <w:lang w:val="en-GB"/>
              </w:rPr>
              <w:t>Hepatitis</w:t>
            </w:r>
            <w:r w:rsidRPr="009D6881" w:rsidDel="00FF7414">
              <w:rPr>
                <w:b/>
                <w:i/>
                <w:sz w:val="22"/>
                <w:lang w:val="en-GB"/>
              </w:rPr>
              <w:t xml:space="preserve"> </w:t>
            </w:r>
          </w:p>
          <w:p w14:paraId="71456ADE" w14:textId="53AEB852" w:rsidR="00551E7E" w:rsidRPr="009D6881" w:rsidRDefault="00551E7E" w:rsidP="00551E7E">
            <w:pPr>
              <w:jc w:val="left"/>
              <w:rPr>
                <w:sz w:val="22"/>
                <w:lang w:val="en-GB"/>
              </w:rPr>
            </w:pPr>
            <w:r w:rsidRPr="009D6881">
              <w:rPr>
                <w:sz w:val="22"/>
                <w:lang w:val="en-GB"/>
              </w:rPr>
              <w:t xml:space="preserve">(see also </w:t>
            </w:r>
            <w:r w:rsidRPr="009D6881">
              <w:rPr>
                <w:i/>
                <w:sz w:val="22"/>
                <w:lang w:val="en-GB"/>
              </w:rPr>
              <w:t>PRECAUTIONS</w:t>
            </w:r>
            <w:r w:rsidRPr="009D6881">
              <w:rPr>
                <w:sz w:val="22"/>
                <w:lang w:val="en-GB"/>
              </w:rPr>
              <w:t>)</w:t>
            </w:r>
          </w:p>
          <w:p w14:paraId="23076185" w14:textId="77777777" w:rsidR="001F2681" w:rsidRPr="009D6881" w:rsidRDefault="001F2681" w:rsidP="009D6881">
            <w:pPr>
              <w:jc w:val="left"/>
              <w:rPr>
                <w:b/>
                <w:i/>
                <w:sz w:val="22"/>
                <w:lang w:val="en-GB"/>
              </w:rPr>
            </w:pPr>
          </w:p>
        </w:tc>
        <w:tc>
          <w:tcPr>
            <w:tcW w:w="941" w:type="pct"/>
          </w:tcPr>
          <w:p w14:paraId="45635652" w14:textId="77777777" w:rsidR="001F2681" w:rsidRPr="009D6881" w:rsidRDefault="001F2681" w:rsidP="009D6881">
            <w:pPr>
              <w:jc w:val="left"/>
              <w:rPr>
                <w:sz w:val="22"/>
                <w:lang w:val="en-GB"/>
              </w:rPr>
            </w:pPr>
            <w:r w:rsidRPr="009D6881">
              <w:rPr>
                <w:sz w:val="22"/>
                <w:lang w:val="en-GB"/>
              </w:rPr>
              <w:t>Grade 2:</w:t>
            </w:r>
          </w:p>
          <w:p w14:paraId="0EF355DE" w14:textId="6B4A7E0F" w:rsidR="001F2681" w:rsidRPr="009D6881" w:rsidRDefault="001F2681" w:rsidP="009D6881">
            <w:pPr>
              <w:jc w:val="left"/>
              <w:rPr>
                <w:sz w:val="22"/>
                <w:lang w:val="en-GB"/>
              </w:rPr>
            </w:pPr>
            <w:r w:rsidRPr="009D6881">
              <w:rPr>
                <w:sz w:val="22"/>
                <w:lang w:val="en-GB"/>
              </w:rPr>
              <w:t>(ALT or AST &gt;</w:t>
            </w:r>
            <w:r w:rsidR="00A32C29" w:rsidRPr="009D6881">
              <w:rPr>
                <w:sz w:val="22"/>
                <w:lang w:val="en-GB"/>
              </w:rPr>
              <w:t xml:space="preserve"> </w:t>
            </w:r>
            <w:r w:rsidRPr="009D6881">
              <w:rPr>
                <w:sz w:val="22"/>
                <w:lang w:val="en-GB"/>
              </w:rPr>
              <w:t>3</w:t>
            </w:r>
            <w:r w:rsidR="00A32C29" w:rsidRPr="009D6881">
              <w:rPr>
                <w:sz w:val="22"/>
                <w:lang w:val="en-GB"/>
              </w:rPr>
              <w:t xml:space="preserve"> x</w:t>
            </w:r>
            <w:r w:rsidRPr="009D6881">
              <w:rPr>
                <w:sz w:val="22"/>
                <w:lang w:val="en-GB"/>
              </w:rPr>
              <w:t xml:space="preserve"> </w:t>
            </w:r>
            <w:r w:rsidR="00A32C29" w:rsidRPr="009D6881">
              <w:rPr>
                <w:sz w:val="22"/>
                <w:lang w:val="en-GB"/>
              </w:rPr>
              <w:t>ULN</w:t>
            </w:r>
          </w:p>
          <w:p w14:paraId="1CF02074" w14:textId="77777777" w:rsidR="001F2681" w:rsidRPr="009D6881" w:rsidRDefault="001F2681" w:rsidP="009D6881">
            <w:pPr>
              <w:jc w:val="left"/>
              <w:rPr>
                <w:i/>
                <w:sz w:val="22"/>
                <w:lang w:val="en-GB"/>
              </w:rPr>
            </w:pPr>
            <w:r w:rsidRPr="009D6881">
              <w:rPr>
                <w:i/>
                <w:sz w:val="22"/>
                <w:lang w:val="en-GB"/>
              </w:rPr>
              <w:t>or</w:t>
            </w:r>
          </w:p>
          <w:p w14:paraId="6D34F2DF" w14:textId="6A797010" w:rsidR="001F2681" w:rsidRPr="009D6881" w:rsidRDefault="001F2681" w:rsidP="00D97BEA">
            <w:pPr>
              <w:jc w:val="left"/>
              <w:rPr>
                <w:sz w:val="22"/>
                <w:lang w:val="en-GB"/>
              </w:rPr>
            </w:pPr>
            <w:r w:rsidRPr="009D6881">
              <w:rPr>
                <w:sz w:val="22"/>
                <w:lang w:val="en-GB"/>
              </w:rPr>
              <w:t>blood</w:t>
            </w:r>
            <w:r w:rsidR="00A32C29" w:rsidRPr="009D6881">
              <w:rPr>
                <w:sz w:val="22"/>
                <w:lang w:val="en-GB"/>
              </w:rPr>
              <w:t xml:space="preserve"> </w:t>
            </w:r>
            <w:r w:rsidRPr="009D6881">
              <w:rPr>
                <w:sz w:val="22"/>
                <w:lang w:val="en-GB"/>
              </w:rPr>
              <w:t>bilirubin &gt;</w:t>
            </w:r>
            <w:r w:rsidR="00A32C29" w:rsidRPr="009D6881">
              <w:rPr>
                <w:sz w:val="22"/>
                <w:lang w:val="en-GB"/>
              </w:rPr>
              <w:t xml:space="preserve"> </w:t>
            </w:r>
            <w:r w:rsidRPr="009D6881">
              <w:rPr>
                <w:sz w:val="22"/>
                <w:lang w:val="en-GB"/>
              </w:rPr>
              <w:t>1.5</w:t>
            </w:r>
            <w:r w:rsidR="00A32C29" w:rsidRPr="009D6881">
              <w:rPr>
                <w:sz w:val="22"/>
                <w:lang w:val="en-GB"/>
              </w:rPr>
              <w:t xml:space="preserve"> </w:t>
            </w:r>
            <w:r w:rsidR="00D86DB4" w:rsidRPr="009D6881">
              <w:rPr>
                <w:sz w:val="22"/>
                <w:lang w:val="en-GB"/>
              </w:rPr>
              <w:t xml:space="preserve">x </w:t>
            </w:r>
            <w:r w:rsidRPr="009D6881">
              <w:rPr>
                <w:sz w:val="22"/>
                <w:lang w:val="en-GB"/>
              </w:rPr>
              <w:t>ULN)</w:t>
            </w:r>
          </w:p>
        </w:tc>
        <w:tc>
          <w:tcPr>
            <w:tcW w:w="2823" w:type="pct"/>
          </w:tcPr>
          <w:p w14:paraId="46168ABF" w14:textId="4365E282" w:rsidR="001F2681" w:rsidRPr="009D6881" w:rsidRDefault="001F2681" w:rsidP="009D6881">
            <w:pPr>
              <w:jc w:val="left"/>
              <w:rPr>
                <w:sz w:val="22"/>
                <w:lang w:val="en-GB"/>
              </w:rPr>
            </w:pPr>
            <w:r w:rsidRPr="009D6881">
              <w:rPr>
                <w:sz w:val="22"/>
                <w:lang w:val="en-GB"/>
              </w:rPr>
              <w:t>If persists &gt; 5</w:t>
            </w:r>
            <w:r w:rsidR="00A32C29" w:rsidRPr="009D6881">
              <w:rPr>
                <w:sz w:val="22"/>
                <w:lang w:val="en-GB"/>
              </w:rPr>
              <w:t xml:space="preserve"> </w:t>
            </w:r>
            <w:r w:rsidRPr="009D6881">
              <w:rPr>
                <w:sz w:val="22"/>
                <w:lang w:val="en-GB"/>
              </w:rPr>
              <w:t>-</w:t>
            </w:r>
            <w:r w:rsidR="00A32C29" w:rsidRPr="009D6881">
              <w:rPr>
                <w:sz w:val="22"/>
                <w:lang w:val="en-GB"/>
              </w:rPr>
              <w:t xml:space="preserve"> </w:t>
            </w:r>
            <w:r w:rsidRPr="009D6881">
              <w:rPr>
                <w:sz w:val="22"/>
                <w:lang w:val="en-GB"/>
              </w:rPr>
              <w:t xml:space="preserve">7 days, withhold </w:t>
            </w:r>
            <w:r w:rsidR="008C70BA" w:rsidRPr="009D6881">
              <w:rPr>
                <w:sz w:val="22"/>
                <w:lang w:val="en-GB"/>
              </w:rPr>
              <w:t>Tecentriq</w:t>
            </w:r>
            <w:r w:rsidR="00D86DB4" w:rsidRPr="009D6881">
              <w:rPr>
                <w:sz w:val="22"/>
                <w:lang w:val="en-GB"/>
              </w:rPr>
              <w:t>.</w:t>
            </w:r>
          </w:p>
          <w:p w14:paraId="69D588B7" w14:textId="77777777" w:rsidR="001F2681" w:rsidRPr="009D6881" w:rsidRDefault="001F2681" w:rsidP="009D6881">
            <w:pPr>
              <w:jc w:val="left"/>
              <w:rPr>
                <w:sz w:val="22"/>
                <w:lang w:val="en-GB"/>
              </w:rPr>
            </w:pPr>
          </w:p>
          <w:p w14:paraId="235640C3" w14:textId="2DF3D60C" w:rsidR="001F2681" w:rsidRPr="009D6881" w:rsidRDefault="001F2681" w:rsidP="009D6881">
            <w:pPr>
              <w:jc w:val="left"/>
              <w:rPr>
                <w:sz w:val="22"/>
                <w:lang w:val="en-GB"/>
              </w:rPr>
            </w:pPr>
            <w:r w:rsidRPr="009D6881">
              <w:rPr>
                <w:sz w:val="22"/>
                <w:lang w:val="en-GB"/>
              </w:rPr>
              <w:t>T</w:t>
            </w:r>
            <w:r w:rsidRPr="009D6881">
              <w:rPr>
                <w:sz w:val="22"/>
                <w:lang w:val="en-GB" w:eastAsia="ko-KR"/>
              </w:rPr>
              <w:t xml:space="preserve">reatment may be resumed </w:t>
            </w:r>
            <w:r w:rsidRPr="009D6881">
              <w:rPr>
                <w:sz w:val="22"/>
                <w:lang w:val="en-GB"/>
              </w:rPr>
              <w:t xml:space="preserve">when </w:t>
            </w:r>
            <w:r w:rsidRPr="009D6881">
              <w:rPr>
                <w:sz w:val="22"/>
                <w:lang w:val="en-GB" w:eastAsia="ko-KR"/>
              </w:rPr>
              <w:t>the event improves to Grade</w:t>
            </w:r>
            <w:r w:rsidRPr="009D6881">
              <w:rPr>
                <w:sz w:val="22"/>
                <w:lang w:val="en-GB"/>
              </w:rPr>
              <w:t xml:space="preserve"> 0 or Grade</w:t>
            </w:r>
            <w:r w:rsidRPr="009D6881">
              <w:rPr>
                <w:sz w:val="22"/>
                <w:lang w:val="en-GB" w:eastAsia="ko-KR"/>
              </w:rPr>
              <w:t xml:space="preserve"> 1 within 12 weeks and corticosteroids have been reduced to ≤ 10 mg oral prednisone or equivalent per day</w:t>
            </w:r>
            <w:r w:rsidR="00D86DB4" w:rsidRPr="009D6881">
              <w:rPr>
                <w:sz w:val="22"/>
                <w:lang w:val="en-GB" w:eastAsia="ko-KR"/>
              </w:rPr>
              <w:t>.</w:t>
            </w:r>
          </w:p>
        </w:tc>
      </w:tr>
      <w:tr w:rsidR="001F2681" w:rsidRPr="009D6881" w14:paraId="33E29BD7" w14:textId="77777777" w:rsidTr="009D6881">
        <w:tc>
          <w:tcPr>
            <w:tcW w:w="1236" w:type="pct"/>
            <w:vMerge/>
            <w:tcBorders>
              <w:bottom w:val="single" w:sz="4" w:space="0" w:color="auto"/>
            </w:tcBorders>
            <w:shd w:val="clear" w:color="auto" w:fill="auto"/>
          </w:tcPr>
          <w:p w14:paraId="16DCB3D0" w14:textId="77777777" w:rsidR="001F2681" w:rsidRPr="009D6881" w:rsidRDefault="001F2681" w:rsidP="009D6881">
            <w:pPr>
              <w:jc w:val="left"/>
              <w:rPr>
                <w:b/>
                <w:i/>
                <w:sz w:val="22"/>
                <w:lang w:val="en-GB"/>
              </w:rPr>
            </w:pPr>
          </w:p>
        </w:tc>
        <w:tc>
          <w:tcPr>
            <w:tcW w:w="941" w:type="pct"/>
          </w:tcPr>
          <w:p w14:paraId="17814693" w14:textId="77777777" w:rsidR="001F2681" w:rsidRPr="009D6881" w:rsidRDefault="001F2681" w:rsidP="009D6881">
            <w:pPr>
              <w:jc w:val="left"/>
              <w:rPr>
                <w:sz w:val="22"/>
                <w:lang w:val="en-GB"/>
              </w:rPr>
            </w:pPr>
            <w:r w:rsidRPr="009D6881">
              <w:rPr>
                <w:sz w:val="22"/>
                <w:lang w:val="en-GB"/>
              </w:rPr>
              <w:t>Grade 3 or 4:</w:t>
            </w:r>
          </w:p>
          <w:p w14:paraId="557D231C" w14:textId="3659D9C2" w:rsidR="001F2681" w:rsidRPr="009D6881" w:rsidRDefault="001F2681" w:rsidP="009D6881">
            <w:pPr>
              <w:jc w:val="left"/>
              <w:rPr>
                <w:sz w:val="22"/>
                <w:lang w:val="en-GB"/>
              </w:rPr>
            </w:pPr>
            <w:r w:rsidRPr="009D6881">
              <w:rPr>
                <w:sz w:val="22"/>
                <w:lang w:val="en-GB"/>
              </w:rPr>
              <w:t>(ALT or AST &gt;</w:t>
            </w:r>
            <w:r w:rsidR="00D86DB4" w:rsidRPr="009D6881">
              <w:rPr>
                <w:sz w:val="22"/>
                <w:lang w:val="en-GB"/>
              </w:rPr>
              <w:t xml:space="preserve"> </w:t>
            </w:r>
            <w:r w:rsidRPr="009D6881">
              <w:rPr>
                <w:sz w:val="22"/>
                <w:lang w:val="en-GB"/>
              </w:rPr>
              <w:t>5  x ULN</w:t>
            </w:r>
          </w:p>
          <w:p w14:paraId="15F8E8F5" w14:textId="77777777" w:rsidR="001F2681" w:rsidRPr="009D6881" w:rsidRDefault="001F2681" w:rsidP="009D6881">
            <w:pPr>
              <w:jc w:val="left"/>
              <w:rPr>
                <w:i/>
                <w:sz w:val="22"/>
                <w:lang w:val="en-GB"/>
              </w:rPr>
            </w:pPr>
            <w:r w:rsidRPr="009D6881">
              <w:rPr>
                <w:i/>
                <w:sz w:val="22"/>
                <w:lang w:val="en-GB"/>
              </w:rPr>
              <w:t>or</w:t>
            </w:r>
          </w:p>
          <w:p w14:paraId="2BEAEAC3" w14:textId="7B01AA48" w:rsidR="001F2681" w:rsidRPr="009D6881" w:rsidRDefault="001F2681" w:rsidP="009D6881">
            <w:pPr>
              <w:jc w:val="left"/>
              <w:rPr>
                <w:sz w:val="22"/>
                <w:lang w:val="en-GB"/>
              </w:rPr>
            </w:pPr>
            <w:r w:rsidRPr="009D6881">
              <w:rPr>
                <w:sz w:val="22"/>
                <w:lang w:val="en-GB"/>
              </w:rPr>
              <w:t>blood bilirubin &gt;</w:t>
            </w:r>
            <w:r w:rsidR="00D86DB4" w:rsidRPr="009D6881">
              <w:rPr>
                <w:sz w:val="22"/>
                <w:lang w:val="en-GB"/>
              </w:rPr>
              <w:t xml:space="preserve"> </w:t>
            </w:r>
            <w:r w:rsidRPr="009D6881">
              <w:rPr>
                <w:sz w:val="22"/>
                <w:lang w:val="en-GB"/>
              </w:rPr>
              <w:t>3</w:t>
            </w:r>
            <w:r w:rsidR="00D86DB4" w:rsidRPr="009D6881">
              <w:rPr>
                <w:sz w:val="22"/>
                <w:lang w:val="en-GB"/>
              </w:rPr>
              <w:t xml:space="preserve"> </w:t>
            </w:r>
            <w:r w:rsidRPr="009D6881">
              <w:rPr>
                <w:sz w:val="22"/>
                <w:lang w:val="en-GB"/>
              </w:rPr>
              <w:t>x</w:t>
            </w:r>
            <w:r w:rsidR="00D86DB4" w:rsidRPr="009D6881">
              <w:rPr>
                <w:sz w:val="22"/>
                <w:lang w:val="en-GB"/>
              </w:rPr>
              <w:t xml:space="preserve"> </w:t>
            </w:r>
            <w:r w:rsidRPr="009D6881">
              <w:rPr>
                <w:sz w:val="22"/>
                <w:lang w:val="en-GB"/>
              </w:rPr>
              <w:t>ULN)</w:t>
            </w:r>
          </w:p>
        </w:tc>
        <w:tc>
          <w:tcPr>
            <w:tcW w:w="2823" w:type="pct"/>
          </w:tcPr>
          <w:p w14:paraId="6E3CF728" w14:textId="0FB25B12" w:rsidR="001F2681" w:rsidRPr="009D6881" w:rsidRDefault="001F2681" w:rsidP="009D6881">
            <w:pPr>
              <w:jc w:val="left"/>
              <w:rPr>
                <w:sz w:val="22"/>
                <w:lang w:val="en-GB"/>
              </w:rPr>
            </w:pPr>
            <w:r w:rsidRPr="009D6881">
              <w:rPr>
                <w:sz w:val="22"/>
                <w:lang w:val="en-GB"/>
              </w:rPr>
              <w:t xml:space="preserve">Permanently discontinue </w:t>
            </w:r>
            <w:r w:rsidR="008C70BA" w:rsidRPr="009D6881">
              <w:rPr>
                <w:sz w:val="22"/>
                <w:lang w:val="en-GB"/>
              </w:rPr>
              <w:t>Tecentriq</w:t>
            </w:r>
            <w:r w:rsidR="00D86DB4" w:rsidRPr="009D6881">
              <w:rPr>
                <w:sz w:val="22"/>
                <w:lang w:val="en-GB"/>
              </w:rPr>
              <w:t>.</w:t>
            </w:r>
          </w:p>
        </w:tc>
      </w:tr>
      <w:tr w:rsidR="001F2681" w:rsidRPr="009D6881" w14:paraId="355DC573" w14:textId="77777777" w:rsidTr="009D6881">
        <w:tc>
          <w:tcPr>
            <w:tcW w:w="1236" w:type="pct"/>
            <w:vMerge w:val="restart"/>
            <w:tcBorders>
              <w:top w:val="single" w:sz="4" w:space="0" w:color="auto"/>
            </w:tcBorders>
            <w:shd w:val="clear" w:color="auto" w:fill="auto"/>
          </w:tcPr>
          <w:p w14:paraId="696C9AED" w14:textId="77777777" w:rsidR="001F2681" w:rsidRPr="009D6881" w:rsidRDefault="001F2681" w:rsidP="009D6881">
            <w:pPr>
              <w:keepNext/>
              <w:keepLines/>
              <w:jc w:val="left"/>
              <w:rPr>
                <w:b/>
                <w:i/>
                <w:sz w:val="22"/>
                <w:lang w:val="en-GB"/>
              </w:rPr>
            </w:pPr>
            <w:r w:rsidRPr="009D6881">
              <w:rPr>
                <w:b/>
                <w:i/>
                <w:sz w:val="22"/>
                <w:lang w:val="en-GB"/>
              </w:rPr>
              <w:lastRenderedPageBreak/>
              <w:t>Colitis</w:t>
            </w:r>
          </w:p>
          <w:p w14:paraId="3EB3DA3E" w14:textId="0F49411E" w:rsidR="00551E7E" w:rsidRPr="009D6881" w:rsidRDefault="00551E7E" w:rsidP="00551E7E">
            <w:pPr>
              <w:jc w:val="left"/>
              <w:rPr>
                <w:sz w:val="22"/>
                <w:lang w:val="en-GB"/>
              </w:rPr>
            </w:pPr>
            <w:r w:rsidRPr="009D6881">
              <w:rPr>
                <w:sz w:val="22"/>
                <w:lang w:val="en-GB"/>
              </w:rPr>
              <w:t xml:space="preserve">(see also </w:t>
            </w:r>
            <w:r w:rsidRPr="009D6881">
              <w:rPr>
                <w:i/>
                <w:sz w:val="22"/>
                <w:lang w:val="en-GB"/>
              </w:rPr>
              <w:t>PRECAUTIONS</w:t>
            </w:r>
            <w:r w:rsidRPr="009D6881">
              <w:rPr>
                <w:sz w:val="22"/>
                <w:lang w:val="en-GB"/>
              </w:rPr>
              <w:t>)</w:t>
            </w:r>
          </w:p>
          <w:p w14:paraId="7A1BB222" w14:textId="77777777" w:rsidR="001F2681" w:rsidRPr="009D6881" w:rsidRDefault="001F2681" w:rsidP="009D6881">
            <w:pPr>
              <w:jc w:val="left"/>
              <w:rPr>
                <w:b/>
                <w:i/>
                <w:sz w:val="22"/>
                <w:lang w:val="en-GB"/>
              </w:rPr>
            </w:pPr>
          </w:p>
        </w:tc>
        <w:tc>
          <w:tcPr>
            <w:tcW w:w="941" w:type="pct"/>
          </w:tcPr>
          <w:p w14:paraId="06806140" w14:textId="4195BD38" w:rsidR="001F2681" w:rsidRPr="009D6881" w:rsidRDefault="001F2681" w:rsidP="009D6881">
            <w:pPr>
              <w:keepNext/>
              <w:keepLines/>
              <w:jc w:val="left"/>
              <w:rPr>
                <w:sz w:val="22"/>
                <w:lang w:val="en-GB"/>
              </w:rPr>
            </w:pPr>
            <w:r w:rsidRPr="009D6881">
              <w:rPr>
                <w:sz w:val="22"/>
                <w:lang w:val="en-GB"/>
              </w:rPr>
              <w:t xml:space="preserve">Grade 2 or 3 </w:t>
            </w:r>
            <w:r w:rsidR="00D86DB4" w:rsidRPr="009D6881">
              <w:rPr>
                <w:sz w:val="22"/>
                <w:lang w:val="en-GB"/>
              </w:rPr>
              <w:t>d</w:t>
            </w:r>
            <w:r w:rsidRPr="009D6881">
              <w:rPr>
                <w:sz w:val="22"/>
                <w:lang w:val="en-GB"/>
              </w:rPr>
              <w:t>iarrhoea (increase of ≥</w:t>
            </w:r>
            <w:r w:rsidR="00D86DB4" w:rsidRPr="009D6881">
              <w:rPr>
                <w:sz w:val="22"/>
                <w:lang w:val="en-GB"/>
              </w:rPr>
              <w:t xml:space="preserve"> </w:t>
            </w:r>
            <w:r w:rsidRPr="009D6881">
              <w:rPr>
                <w:sz w:val="22"/>
                <w:lang w:val="en-GB"/>
              </w:rPr>
              <w:t>4 stools/day over baseline)</w:t>
            </w:r>
          </w:p>
          <w:p w14:paraId="01310D0F" w14:textId="77777777" w:rsidR="001F2681" w:rsidRPr="009D6881" w:rsidRDefault="001F2681" w:rsidP="009D6881">
            <w:pPr>
              <w:keepNext/>
              <w:keepLines/>
              <w:jc w:val="left"/>
              <w:rPr>
                <w:i/>
                <w:sz w:val="22"/>
                <w:lang w:val="en-GB"/>
              </w:rPr>
            </w:pPr>
            <w:r w:rsidRPr="009D6881">
              <w:rPr>
                <w:i/>
                <w:sz w:val="22"/>
                <w:lang w:val="en-GB"/>
              </w:rPr>
              <w:t>or</w:t>
            </w:r>
          </w:p>
          <w:p w14:paraId="138DB405" w14:textId="36178342" w:rsidR="001F2681" w:rsidRPr="009D6881" w:rsidRDefault="001F2681" w:rsidP="009D6881">
            <w:pPr>
              <w:jc w:val="left"/>
              <w:rPr>
                <w:sz w:val="22"/>
                <w:lang w:val="en-GB"/>
              </w:rPr>
            </w:pPr>
            <w:r w:rsidRPr="009D6881">
              <w:rPr>
                <w:sz w:val="22"/>
                <w:lang w:val="en-GB"/>
              </w:rPr>
              <w:t xml:space="preserve">Symptomatic </w:t>
            </w:r>
            <w:r w:rsidR="00D86DB4" w:rsidRPr="009D6881">
              <w:rPr>
                <w:sz w:val="22"/>
                <w:lang w:val="en-GB"/>
              </w:rPr>
              <w:t>c</w:t>
            </w:r>
            <w:r w:rsidRPr="009D6881">
              <w:rPr>
                <w:sz w:val="22"/>
                <w:lang w:val="en-GB"/>
              </w:rPr>
              <w:t>olitis</w:t>
            </w:r>
          </w:p>
        </w:tc>
        <w:tc>
          <w:tcPr>
            <w:tcW w:w="2823" w:type="pct"/>
          </w:tcPr>
          <w:p w14:paraId="3640A10B" w14:textId="4916459F" w:rsidR="001F2681" w:rsidRPr="009D6881" w:rsidRDefault="001F2681" w:rsidP="009D6881">
            <w:pPr>
              <w:keepNext/>
              <w:keepLines/>
              <w:jc w:val="left"/>
              <w:rPr>
                <w:sz w:val="22"/>
                <w:lang w:val="en-GB"/>
              </w:rPr>
            </w:pPr>
            <w:r w:rsidRPr="009D6881">
              <w:rPr>
                <w:sz w:val="22"/>
                <w:lang w:val="en-GB"/>
              </w:rPr>
              <w:t xml:space="preserve">Withhold </w:t>
            </w:r>
            <w:r w:rsidR="008C70BA" w:rsidRPr="009D6881">
              <w:rPr>
                <w:sz w:val="22"/>
                <w:lang w:val="en-GB"/>
              </w:rPr>
              <w:t>Tecentriq</w:t>
            </w:r>
            <w:r w:rsidR="00D86DB4" w:rsidRPr="009D6881">
              <w:rPr>
                <w:sz w:val="22"/>
                <w:lang w:val="en-GB"/>
              </w:rPr>
              <w:t>.</w:t>
            </w:r>
          </w:p>
          <w:p w14:paraId="686F0693" w14:textId="77777777" w:rsidR="001F2681" w:rsidRPr="009D6881" w:rsidRDefault="001F2681" w:rsidP="009D6881">
            <w:pPr>
              <w:keepNext/>
              <w:keepLines/>
              <w:jc w:val="left"/>
              <w:rPr>
                <w:sz w:val="22"/>
                <w:lang w:val="en-GB"/>
              </w:rPr>
            </w:pPr>
          </w:p>
          <w:p w14:paraId="3E3FEC6C" w14:textId="2EC0F33B" w:rsidR="001F2681" w:rsidRPr="009D6881" w:rsidRDefault="001F2681" w:rsidP="009D6881">
            <w:pPr>
              <w:keepNext/>
              <w:keepLines/>
              <w:jc w:val="left"/>
              <w:rPr>
                <w:sz w:val="22"/>
                <w:lang w:val="en-GB"/>
              </w:rPr>
            </w:pPr>
            <w:r w:rsidRPr="009D6881">
              <w:rPr>
                <w:sz w:val="22"/>
                <w:lang w:val="en-GB"/>
              </w:rPr>
              <w:t xml:space="preserve">Treatment may be resumed when the event improves to Grade 0 or Grade 1 within 12 weeks and corticosteroids have been reduced to ≤ 10 mg oral prednisone </w:t>
            </w:r>
            <w:r w:rsidR="00D97BEA" w:rsidRPr="009D6881">
              <w:rPr>
                <w:sz w:val="22"/>
                <w:lang w:val="en-GB"/>
              </w:rPr>
              <w:t xml:space="preserve">or </w:t>
            </w:r>
            <w:r w:rsidRPr="009D6881">
              <w:rPr>
                <w:sz w:val="22"/>
                <w:lang w:val="en-GB"/>
              </w:rPr>
              <w:t>equivalent per day</w:t>
            </w:r>
            <w:r w:rsidR="00D86DB4" w:rsidRPr="009D6881">
              <w:rPr>
                <w:sz w:val="22"/>
                <w:lang w:val="en-GB"/>
              </w:rPr>
              <w:t>.</w:t>
            </w:r>
          </w:p>
        </w:tc>
      </w:tr>
      <w:tr w:rsidR="001F2681" w:rsidRPr="009D6881" w14:paraId="3C8399D6" w14:textId="77777777" w:rsidTr="009D6881">
        <w:tc>
          <w:tcPr>
            <w:tcW w:w="1236" w:type="pct"/>
            <w:vMerge/>
            <w:tcBorders>
              <w:bottom w:val="single" w:sz="4" w:space="0" w:color="auto"/>
            </w:tcBorders>
            <w:shd w:val="clear" w:color="auto" w:fill="auto"/>
          </w:tcPr>
          <w:p w14:paraId="79CCAFCE" w14:textId="77777777" w:rsidR="001F2681" w:rsidRPr="009D6881" w:rsidRDefault="001F2681" w:rsidP="009D6881">
            <w:pPr>
              <w:keepNext/>
              <w:keepLines/>
              <w:jc w:val="left"/>
              <w:rPr>
                <w:b/>
                <w:i/>
                <w:sz w:val="22"/>
                <w:lang w:val="en-GB"/>
              </w:rPr>
            </w:pPr>
          </w:p>
        </w:tc>
        <w:tc>
          <w:tcPr>
            <w:tcW w:w="941" w:type="pct"/>
          </w:tcPr>
          <w:p w14:paraId="3C815B43" w14:textId="5A782F83" w:rsidR="001F2681" w:rsidRPr="009D6881" w:rsidRDefault="001F2681" w:rsidP="009D6881">
            <w:pPr>
              <w:keepNext/>
              <w:keepLines/>
              <w:jc w:val="left"/>
              <w:rPr>
                <w:sz w:val="22"/>
                <w:lang w:val="en-GB"/>
              </w:rPr>
            </w:pPr>
            <w:r w:rsidRPr="009D6881">
              <w:rPr>
                <w:sz w:val="22"/>
                <w:lang w:val="en-GB"/>
              </w:rPr>
              <w:t>Grade 4</w:t>
            </w:r>
            <w:r w:rsidR="00D97BEA" w:rsidRPr="009D6881">
              <w:rPr>
                <w:sz w:val="22"/>
                <w:lang w:val="en-GB"/>
              </w:rPr>
              <w:t xml:space="preserve"> (life threatening; urgent intervention indicated)</w:t>
            </w:r>
            <w:r w:rsidRPr="009D6881">
              <w:rPr>
                <w:sz w:val="22"/>
                <w:lang w:val="en-GB"/>
              </w:rPr>
              <w:t xml:space="preserve"> </w:t>
            </w:r>
            <w:r w:rsidR="00D97BEA" w:rsidRPr="009D6881">
              <w:rPr>
                <w:sz w:val="22"/>
                <w:lang w:val="en-GB"/>
              </w:rPr>
              <w:t>d</w:t>
            </w:r>
            <w:r w:rsidRPr="009D6881">
              <w:rPr>
                <w:sz w:val="22"/>
                <w:lang w:val="en-GB"/>
              </w:rPr>
              <w:t>iarrhoea</w:t>
            </w:r>
            <w:r w:rsidR="00D97BEA" w:rsidRPr="009D6881">
              <w:rPr>
                <w:sz w:val="22"/>
                <w:lang w:val="en-GB"/>
              </w:rPr>
              <w:t xml:space="preserve"> </w:t>
            </w:r>
            <w:r w:rsidRPr="009D6881">
              <w:rPr>
                <w:i/>
                <w:sz w:val="22"/>
                <w:lang w:val="en-GB"/>
              </w:rPr>
              <w:t>or</w:t>
            </w:r>
            <w:r w:rsidRPr="009D6881">
              <w:rPr>
                <w:sz w:val="22"/>
                <w:lang w:val="en-GB"/>
              </w:rPr>
              <w:t xml:space="preserve"> </w:t>
            </w:r>
            <w:r w:rsidR="00D97BEA" w:rsidRPr="009D6881">
              <w:rPr>
                <w:sz w:val="22"/>
                <w:lang w:val="en-GB"/>
              </w:rPr>
              <w:t>c</w:t>
            </w:r>
            <w:r w:rsidRPr="009D6881">
              <w:rPr>
                <w:sz w:val="22"/>
                <w:lang w:val="en-GB"/>
              </w:rPr>
              <w:t xml:space="preserve">olitis </w:t>
            </w:r>
          </w:p>
        </w:tc>
        <w:tc>
          <w:tcPr>
            <w:tcW w:w="2823" w:type="pct"/>
          </w:tcPr>
          <w:p w14:paraId="4996E2B2" w14:textId="7C9F2166" w:rsidR="001F2681" w:rsidRPr="009D6881" w:rsidRDefault="001F2681" w:rsidP="009D6881">
            <w:pPr>
              <w:keepNext/>
              <w:keepLines/>
              <w:jc w:val="left"/>
              <w:rPr>
                <w:sz w:val="22"/>
                <w:lang w:val="en-GB"/>
              </w:rPr>
            </w:pPr>
            <w:r w:rsidRPr="009D6881">
              <w:rPr>
                <w:sz w:val="22"/>
                <w:lang w:val="en-GB"/>
              </w:rPr>
              <w:t xml:space="preserve">Permanently discontinue </w:t>
            </w:r>
            <w:r w:rsidR="008C70BA" w:rsidRPr="009D6881">
              <w:rPr>
                <w:sz w:val="22"/>
                <w:lang w:val="en-GB"/>
              </w:rPr>
              <w:t>Tecentriq</w:t>
            </w:r>
            <w:r w:rsidR="00D97BEA" w:rsidRPr="009D6881">
              <w:rPr>
                <w:sz w:val="22"/>
                <w:lang w:val="en-GB"/>
              </w:rPr>
              <w:t>.</w:t>
            </w:r>
          </w:p>
        </w:tc>
      </w:tr>
      <w:tr w:rsidR="001F2681" w:rsidRPr="009D6881" w14:paraId="31F77843" w14:textId="77777777" w:rsidTr="009D6881">
        <w:tc>
          <w:tcPr>
            <w:tcW w:w="1236" w:type="pct"/>
            <w:tcBorders>
              <w:top w:val="single" w:sz="4" w:space="0" w:color="auto"/>
              <w:bottom w:val="single" w:sz="4" w:space="0" w:color="auto"/>
            </w:tcBorders>
            <w:shd w:val="clear" w:color="auto" w:fill="auto"/>
          </w:tcPr>
          <w:p w14:paraId="7DCD615A" w14:textId="77777777" w:rsidR="001F2681" w:rsidRPr="009D6881" w:rsidRDefault="001F2681" w:rsidP="009D6881">
            <w:pPr>
              <w:jc w:val="left"/>
              <w:rPr>
                <w:b/>
                <w:i/>
                <w:sz w:val="22"/>
                <w:lang w:val="en-GB"/>
              </w:rPr>
            </w:pPr>
            <w:r w:rsidRPr="009D6881">
              <w:rPr>
                <w:b/>
                <w:i/>
                <w:sz w:val="22"/>
                <w:lang w:val="en-GB"/>
              </w:rPr>
              <w:t>Hypothyroidism or hyperthyroidism</w:t>
            </w:r>
          </w:p>
          <w:p w14:paraId="27BD60AE" w14:textId="4133BC1D" w:rsidR="00551E7E" w:rsidRPr="009D6881" w:rsidRDefault="00551E7E" w:rsidP="00551E7E">
            <w:pPr>
              <w:jc w:val="left"/>
              <w:rPr>
                <w:sz w:val="22"/>
                <w:lang w:val="en-GB"/>
              </w:rPr>
            </w:pPr>
            <w:r w:rsidRPr="009D6881">
              <w:rPr>
                <w:sz w:val="22"/>
                <w:lang w:val="en-GB"/>
              </w:rPr>
              <w:t xml:space="preserve">(see also </w:t>
            </w:r>
            <w:r w:rsidRPr="009D6881">
              <w:rPr>
                <w:i/>
                <w:sz w:val="22"/>
                <w:lang w:val="en-GB"/>
              </w:rPr>
              <w:t>PRECAUTIONS</w:t>
            </w:r>
            <w:r w:rsidRPr="009D6881">
              <w:rPr>
                <w:sz w:val="22"/>
                <w:lang w:val="en-GB"/>
              </w:rPr>
              <w:t>)</w:t>
            </w:r>
          </w:p>
          <w:p w14:paraId="5A2B20FC" w14:textId="77777777" w:rsidR="001F2681" w:rsidRPr="009D6881" w:rsidRDefault="001F2681" w:rsidP="009D6881">
            <w:pPr>
              <w:keepNext/>
              <w:keepLines/>
              <w:jc w:val="left"/>
              <w:rPr>
                <w:b/>
                <w:i/>
                <w:sz w:val="22"/>
                <w:lang w:val="en-GB"/>
              </w:rPr>
            </w:pPr>
          </w:p>
        </w:tc>
        <w:tc>
          <w:tcPr>
            <w:tcW w:w="941" w:type="pct"/>
          </w:tcPr>
          <w:p w14:paraId="439D5909" w14:textId="4B1CB0AE" w:rsidR="001F2681" w:rsidRPr="009D6881" w:rsidRDefault="001F2681" w:rsidP="009D6881">
            <w:pPr>
              <w:keepNext/>
              <w:keepLines/>
              <w:jc w:val="left"/>
              <w:rPr>
                <w:sz w:val="22"/>
                <w:lang w:val="en-GB"/>
              </w:rPr>
            </w:pPr>
            <w:r w:rsidRPr="009D6881">
              <w:rPr>
                <w:sz w:val="22"/>
                <w:lang w:val="en-GB"/>
              </w:rPr>
              <w:t>Symptomatic</w:t>
            </w:r>
          </w:p>
        </w:tc>
        <w:tc>
          <w:tcPr>
            <w:tcW w:w="2823" w:type="pct"/>
          </w:tcPr>
          <w:p w14:paraId="26B2EE23" w14:textId="7B80ABD6" w:rsidR="001F2681" w:rsidRPr="009D6881" w:rsidRDefault="001F2681" w:rsidP="009D6881">
            <w:pPr>
              <w:jc w:val="left"/>
              <w:rPr>
                <w:sz w:val="22"/>
                <w:lang w:val="en-GB"/>
              </w:rPr>
            </w:pPr>
            <w:r w:rsidRPr="009D6881">
              <w:rPr>
                <w:sz w:val="22"/>
                <w:lang w:val="en-GB"/>
              </w:rPr>
              <w:t xml:space="preserve">Withhold </w:t>
            </w:r>
            <w:r w:rsidR="008C70BA" w:rsidRPr="009D6881">
              <w:rPr>
                <w:sz w:val="22"/>
                <w:lang w:val="en-GB"/>
              </w:rPr>
              <w:t>Tecentriq</w:t>
            </w:r>
            <w:r w:rsidR="00551E7E" w:rsidRPr="009D6881">
              <w:rPr>
                <w:sz w:val="22"/>
                <w:lang w:val="en-GB"/>
              </w:rPr>
              <w:t>.</w:t>
            </w:r>
          </w:p>
          <w:p w14:paraId="39666FE9" w14:textId="77777777" w:rsidR="001F2681" w:rsidRPr="009D6881" w:rsidRDefault="001F2681" w:rsidP="009D6881">
            <w:pPr>
              <w:jc w:val="left"/>
              <w:rPr>
                <w:sz w:val="22"/>
                <w:lang w:val="en-GB"/>
              </w:rPr>
            </w:pPr>
          </w:p>
          <w:p w14:paraId="29E00427" w14:textId="77777777" w:rsidR="001F2681" w:rsidRPr="009D6881" w:rsidRDefault="001F2681" w:rsidP="009D6881">
            <w:pPr>
              <w:jc w:val="left"/>
              <w:rPr>
                <w:i/>
                <w:sz w:val="22"/>
                <w:u w:val="single"/>
                <w:lang w:val="en-GB"/>
              </w:rPr>
            </w:pPr>
            <w:r w:rsidRPr="009D6881">
              <w:rPr>
                <w:i/>
                <w:sz w:val="22"/>
                <w:u w:val="single"/>
                <w:lang w:val="en-GB"/>
              </w:rPr>
              <w:t>Hypothyroidism:</w:t>
            </w:r>
          </w:p>
          <w:p w14:paraId="120C2317" w14:textId="007139B0" w:rsidR="001F2681" w:rsidRPr="009D6881" w:rsidRDefault="001F2681" w:rsidP="009D6881">
            <w:pPr>
              <w:jc w:val="left"/>
              <w:rPr>
                <w:sz w:val="22"/>
                <w:lang w:val="en-GB"/>
              </w:rPr>
            </w:pPr>
            <w:r w:rsidRPr="009D6881">
              <w:rPr>
                <w:sz w:val="22"/>
                <w:lang w:val="en-GB"/>
              </w:rPr>
              <w:t xml:space="preserve">Treatment may be resumed when symptoms are controlled by thyroid replacement therapy </w:t>
            </w:r>
            <w:r w:rsidR="00551E7E" w:rsidRPr="009D6881">
              <w:rPr>
                <w:sz w:val="22"/>
                <w:lang w:val="en-GB"/>
              </w:rPr>
              <w:t>and thyroid function is improving.</w:t>
            </w:r>
          </w:p>
          <w:p w14:paraId="76AAD170" w14:textId="77777777" w:rsidR="001F2681" w:rsidRPr="009D6881" w:rsidRDefault="001F2681" w:rsidP="009D6881">
            <w:pPr>
              <w:jc w:val="left"/>
              <w:rPr>
                <w:sz w:val="22"/>
                <w:lang w:val="en-GB"/>
              </w:rPr>
            </w:pPr>
          </w:p>
          <w:p w14:paraId="1231BCB6" w14:textId="77777777" w:rsidR="001F2681" w:rsidRPr="009D6881" w:rsidRDefault="001F2681" w:rsidP="009D6881">
            <w:pPr>
              <w:jc w:val="left"/>
              <w:rPr>
                <w:i/>
                <w:sz w:val="22"/>
                <w:u w:val="single"/>
                <w:lang w:val="en-GB"/>
              </w:rPr>
            </w:pPr>
            <w:r w:rsidRPr="009D6881">
              <w:rPr>
                <w:i/>
                <w:sz w:val="22"/>
                <w:u w:val="single"/>
                <w:lang w:val="en-GB"/>
              </w:rPr>
              <w:t>Hyperthyroidism:</w:t>
            </w:r>
          </w:p>
          <w:p w14:paraId="066D80EB" w14:textId="73A13BDD" w:rsidR="001F2681" w:rsidRPr="009D6881" w:rsidRDefault="001F2681" w:rsidP="009D6881">
            <w:pPr>
              <w:jc w:val="left"/>
              <w:rPr>
                <w:sz w:val="22"/>
                <w:lang w:val="en-GB"/>
              </w:rPr>
            </w:pPr>
            <w:r w:rsidRPr="009D6881">
              <w:rPr>
                <w:sz w:val="22"/>
                <w:lang w:val="en-GB"/>
              </w:rPr>
              <w:t xml:space="preserve">Treatment may be resumed when symptoms are controlled by </w:t>
            </w:r>
            <w:r w:rsidR="00551E7E" w:rsidRPr="009D6881">
              <w:rPr>
                <w:sz w:val="22"/>
                <w:lang w:val="en-GB"/>
              </w:rPr>
              <w:t xml:space="preserve">an anti-thyroid drug </w:t>
            </w:r>
            <w:r w:rsidRPr="009D6881">
              <w:rPr>
                <w:sz w:val="22"/>
                <w:lang w:val="en-GB"/>
              </w:rPr>
              <w:t>and thyroid function is improving</w:t>
            </w:r>
            <w:r w:rsidR="00551E7E" w:rsidRPr="009D6881">
              <w:rPr>
                <w:sz w:val="22"/>
                <w:lang w:val="en-GB"/>
              </w:rPr>
              <w:t>.</w:t>
            </w:r>
            <w:r w:rsidRPr="009D6881">
              <w:rPr>
                <w:sz w:val="22"/>
                <w:lang w:val="en-GB"/>
              </w:rPr>
              <w:t xml:space="preserve"> </w:t>
            </w:r>
          </w:p>
        </w:tc>
      </w:tr>
      <w:tr w:rsidR="001F2681" w:rsidRPr="009D6881" w14:paraId="53513444" w14:textId="77777777" w:rsidTr="009D6881">
        <w:tc>
          <w:tcPr>
            <w:tcW w:w="1236" w:type="pct"/>
            <w:tcBorders>
              <w:top w:val="single" w:sz="4" w:space="0" w:color="auto"/>
              <w:bottom w:val="single" w:sz="4" w:space="0" w:color="auto"/>
            </w:tcBorders>
            <w:shd w:val="clear" w:color="auto" w:fill="auto"/>
          </w:tcPr>
          <w:p w14:paraId="6D4EF4E9" w14:textId="77777777" w:rsidR="001F2681" w:rsidRPr="009D6881" w:rsidRDefault="001F2681" w:rsidP="009D6881">
            <w:pPr>
              <w:jc w:val="left"/>
              <w:rPr>
                <w:b/>
                <w:i/>
                <w:sz w:val="22"/>
                <w:lang w:val="en-GB"/>
              </w:rPr>
            </w:pPr>
            <w:r w:rsidRPr="009D6881">
              <w:rPr>
                <w:b/>
                <w:i/>
                <w:sz w:val="22"/>
                <w:lang w:val="en-GB"/>
              </w:rPr>
              <w:t>Adrenal insufficiency</w:t>
            </w:r>
          </w:p>
          <w:p w14:paraId="0A42496C" w14:textId="4C4FEBC9" w:rsidR="00551E7E" w:rsidRPr="009D6881" w:rsidRDefault="00551E7E" w:rsidP="00551E7E">
            <w:pPr>
              <w:jc w:val="left"/>
              <w:rPr>
                <w:sz w:val="22"/>
                <w:lang w:val="en-GB"/>
              </w:rPr>
            </w:pPr>
            <w:r w:rsidRPr="009D6881">
              <w:rPr>
                <w:sz w:val="22"/>
                <w:lang w:val="en-GB"/>
              </w:rPr>
              <w:t xml:space="preserve">(see also </w:t>
            </w:r>
            <w:r w:rsidRPr="009D6881">
              <w:rPr>
                <w:i/>
                <w:sz w:val="22"/>
                <w:lang w:val="en-GB"/>
              </w:rPr>
              <w:t>PRECAUTIONS</w:t>
            </w:r>
            <w:r w:rsidRPr="009D6881">
              <w:rPr>
                <w:sz w:val="22"/>
                <w:lang w:val="en-GB"/>
              </w:rPr>
              <w:t>)</w:t>
            </w:r>
          </w:p>
          <w:p w14:paraId="464B5991" w14:textId="77777777" w:rsidR="001F2681" w:rsidRPr="009D6881" w:rsidRDefault="001F2681" w:rsidP="009D6881">
            <w:pPr>
              <w:jc w:val="left"/>
              <w:rPr>
                <w:b/>
                <w:i/>
                <w:sz w:val="22"/>
                <w:lang w:val="en-GB"/>
              </w:rPr>
            </w:pPr>
          </w:p>
        </w:tc>
        <w:tc>
          <w:tcPr>
            <w:tcW w:w="941" w:type="pct"/>
          </w:tcPr>
          <w:p w14:paraId="0916712E" w14:textId="77777777" w:rsidR="001F2681" w:rsidRPr="009D6881" w:rsidRDefault="001F2681" w:rsidP="009D6881">
            <w:pPr>
              <w:jc w:val="left"/>
              <w:rPr>
                <w:sz w:val="22"/>
                <w:lang w:val="en-GB"/>
              </w:rPr>
            </w:pPr>
            <w:r w:rsidRPr="009D6881">
              <w:rPr>
                <w:sz w:val="22"/>
                <w:lang w:val="en-GB"/>
              </w:rPr>
              <w:t>Symptomatic</w:t>
            </w:r>
          </w:p>
          <w:p w14:paraId="53B7ED1C" w14:textId="77777777" w:rsidR="001F2681" w:rsidRPr="009D6881" w:rsidRDefault="001F2681" w:rsidP="009D6881">
            <w:pPr>
              <w:keepNext/>
              <w:keepLines/>
              <w:jc w:val="left"/>
              <w:rPr>
                <w:sz w:val="22"/>
                <w:lang w:val="en-GB"/>
              </w:rPr>
            </w:pPr>
          </w:p>
        </w:tc>
        <w:tc>
          <w:tcPr>
            <w:tcW w:w="2823" w:type="pct"/>
          </w:tcPr>
          <w:p w14:paraId="3D009FCB" w14:textId="1C8044F8" w:rsidR="001F2681" w:rsidRPr="009D6881" w:rsidRDefault="001F2681" w:rsidP="009D6881">
            <w:pPr>
              <w:jc w:val="left"/>
              <w:rPr>
                <w:sz w:val="22"/>
                <w:lang w:val="en-GB"/>
              </w:rPr>
            </w:pPr>
            <w:r w:rsidRPr="009D6881">
              <w:rPr>
                <w:sz w:val="22"/>
                <w:lang w:val="en-GB"/>
              </w:rPr>
              <w:t xml:space="preserve">Withhold </w:t>
            </w:r>
            <w:r w:rsidR="008C70BA" w:rsidRPr="009D6881">
              <w:rPr>
                <w:sz w:val="22"/>
                <w:lang w:val="en-GB"/>
              </w:rPr>
              <w:t>Tecentriq</w:t>
            </w:r>
            <w:r w:rsidR="00551E7E" w:rsidRPr="009D6881">
              <w:rPr>
                <w:sz w:val="22"/>
                <w:lang w:val="en-GB"/>
              </w:rPr>
              <w:t>.</w:t>
            </w:r>
          </w:p>
          <w:p w14:paraId="5BFEFD6B" w14:textId="77777777" w:rsidR="001F2681" w:rsidRPr="009D6881" w:rsidRDefault="001F2681" w:rsidP="009D6881">
            <w:pPr>
              <w:jc w:val="left"/>
              <w:rPr>
                <w:sz w:val="22"/>
                <w:lang w:val="en-GB"/>
              </w:rPr>
            </w:pPr>
          </w:p>
          <w:p w14:paraId="5210386B" w14:textId="13032FA7" w:rsidR="001F2681" w:rsidRPr="009D6881" w:rsidRDefault="001F2681" w:rsidP="009D6881">
            <w:pPr>
              <w:jc w:val="left"/>
              <w:rPr>
                <w:sz w:val="22"/>
                <w:lang w:val="en-GB"/>
              </w:rPr>
            </w:pPr>
            <w:r w:rsidRPr="009D6881">
              <w:rPr>
                <w:sz w:val="22"/>
                <w:lang w:val="en-GB"/>
              </w:rPr>
              <w:t>Treatment may be resumed when the symptoms improve to Grade 0 or Grade 1</w:t>
            </w:r>
            <w:r w:rsidR="00551E7E" w:rsidRPr="009D6881">
              <w:rPr>
                <w:sz w:val="22"/>
                <w:lang w:val="en-GB"/>
              </w:rPr>
              <w:t xml:space="preserve"> </w:t>
            </w:r>
            <w:r w:rsidRPr="009D6881">
              <w:rPr>
                <w:sz w:val="22"/>
                <w:lang w:val="en-GB"/>
              </w:rPr>
              <w:t>within 12 weeks and corticosteroids have been reduced to the equivalent of ≤ 10 mg oral prednisone or equivalent per day and patient is stable on replacement therapy</w:t>
            </w:r>
            <w:r w:rsidR="00261935" w:rsidRPr="009D6881">
              <w:rPr>
                <w:sz w:val="22"/>
                <w:lang w:val="en-GB"/>
              </w:rPr>
              <w:t xml:space="preserve"> (if required).</w:t>
            </w:r>
          </w:p>
        </w:tc>
      </w:tr>
      <w:tr w:rsidR="007C038F" w:rsidRPr="009D6881" w14:paraId="5DFABFA8" w14:textId="77777777" w:rsidTr="007C038F">
        <w:tc>
          <w:tcPr>
            <w:tcW w:w="1236" w:type="pct"/>
            <w:vMerge w:val="restart"/>
            <w:tcBorders>
              <w:top w:val="single" w:sz="4" w:space="0" w:color="auto"/>
            </w:tcBorders>
            <w:shd w:val="clear" w:color="auto" w:fill="auto"/>
          </w:tcPr>
          <w:p w14:paraId="537673ED" w14:textId="6F4DA8A0" w:rsidR="007C038F" w:rsidRPr="00FF39A8" w:rsidRDefault="007C038F" w:rsidP="00FF39A8">
            <w:pPr>
              <w:jc w:val="left"/>
              <w:rPr>
                <w:b/>
                <w:i/>
                <w:sz w:val="22"/>
                <w:lang w:val="en-GB"/>
              </w:rPr>
            </w:pPr>
            <w:r>
              <w:rPr>
                <w:b/>
                <w:i/>
                <w:sz w:val="22"/>
                <w:lang w:val="en-GB"/>
              </w:rPr>
              <w:t>H</w:t>
            </w:r>
            <w:r w:rsidRPr="00FF39A8">
              <w:rPr>
                <w:b/>
                <w:i/>
                <w:sz w:val="22"/>
                <w:lang w:val="en-GB"/>
              </w:rPr>
              <w:t xml:space="preserve">ypophysitis </w:t>
            </w:r>
            <w:r w:rsidRPr="008D3F49">
              <w:rPr>
                <w:i/>
                <w:sz w:val="22"/>
                <w:lang w:val="en-GB"/>
              </w:rPr>
              <w:t>(see also PRECAUTIONS)</w:t>
            </w:r>
          </w:p>
          <w:p w14:paraId="09490C95" w14:textId="77777777" w:rsidR="007C038F" w:rsidRPr="009D6881" w:rsidRDefault="007C038F" w:rsidP="009D6881">
            <w:pPr>
              <w:jc w:val="left"/>
              <w:rPr>
                <w:b/>
                <w:i/>
                <w:sz w:val="22"/>
                <w:lang w:val="en-GB"/>
              </w:rPr>
            </w:pPr>
          </w:p>
        </w:tc>
        <w:tc>
          <w:tcPr>
            <w:tcW w:w="941" w:type="pct"/>
          </w:tcPr>
          <w:p w14:paraId="52747091" w14:textId="4F925358" w:rsidR="007C038F" w:rsidRPr="009D6881" w:rsidRDefault="007C038F">
            <w:pPr>
              <w:jc w:val="left"/>
              <w:rPr>
                <w:sz w:val="22"/>
                <w:lang w:val="en-GB"/>
              </w:rPr>
            </w:pPr>
            <w:r>
              <w:rPr>
                <w:sz w:val="22"/>
                <w:lang w:val="en-GB"/>
              </w:rPr>
              <w:t>Grade 2 or 3</w:t>
            </w:r>
          </w:p>
        </w:tc>
        <w:tc>
          <w:tcPr>
            <w:tcW w:w="2823" w:type="pct"/>
          </w:tcPr>
          <w:p w14:paraId="4BEFE70D" w14:textId="77777777" w:rsidR="007C038F" w:rsidRPr="009D6881" w:rsidRDefault="007C038F" w:rsidP="00FF39A8">
            <w:pPr>
              <w:jc w:val="left"/>
              <w:rPr>
                <w:sz w:val="22"/>
                <w:lang w:val="en-GB"/>
              </w:rPr>
            </w:pPr>
            <w:r w:rsidRPr="009D6881">
              <w:rPr>
                <w:sz w:val="22"/>
                <w:lang w:val="en-GB"/>
              </w:rPr>
              <w:t>Withhold Tecentriq.</w:t>
            </w:r>
          </w:p>
          <w:p w14:paraId="750CFD65" w14:textId="77777777" w:rsidR="007C038F" w:rsidRDefault="007C038F" w:rsidP="008D3F49">
            <w:pPr>
              <w:jc w:val="left"/>
              <w:rPr>
                <w:sz w:val="22"/>
                <w:lang w:val="en-GB"/>
              </w:rPr>
            </w:pPr>
          </w:p>
          <w:p w14:paraId="580F4C9B" w14:textId="2F7F0875" w:rsidR="007C038F" w:rsidRPr="009D6881" w:rsidRDefault="007C038F" w:rsidP="00FF39A8">
            <w:pPr>
              <w:jc w:val="left"/>
              <w:rPr>
                <w:sz w:val="22"/>
                <w:lang w:val="en-GB"/>
              </w:rPr>
            </w:pPr>
            <w:r w:rsidRPr="00FF39A8">
              <w:rPr>
                <w:sz w:val="22"/>
                <w:lang w:val="en-GB"/>
              </w:rPr>
              <w:t xml:space="preserve">Treatment may be resumed if the event improves to ≤ Grade 1 within 12 weeks and corticosteroids have been reduced to ≤ 10 mg per day of oral prednisone or equivalent and patient is stable on replacement therapy (if required). </w:t>
            </w:r>
          </w:p>
        </w:tc>
      </w:tr>
      <w:tr w:rsidR="007C038F" w:rsidRPr="009D6881" w14:paraId="4D8E73F2" w14:textId="77777777" w:rsidTr="007C038F">
        <w:tc>
          <w:tcPr>
            <w:tcW w:w="1236" w:type="pct"/>
            <w:vMerge/>
            <w:tcBorders>
              <w:bottom w:val="single" w:sz="4" w:space="0" w:color="auto"/>
            </w:tcBorders>
            <w:shd w:val="clear" w:color="auto" w:fill="auto"/>
          </w:tcPr>
          <w:p w14:paraId="46126079" w14:textId="77777777" w:rsidR="007C038F" w:rsidRDefault="007C038F" w:rsidP="00FF39A8">
            <w:pPr>
              <w:jc w:val="left"/>
              <w:rPr>
                <w:b/>
                <w:i/>
                <w:sz w:val="22"/>
                <w:lang w:val="en-GB"/>
              </w:rPr>
            </w:pPr>
          </w:p>
        </w:tc>
        <w:tc>
          <w:tcPr>
            <w:tcW w:w="941" w:type="pct"/>
          </w:tcPr>
          <w:p w14:paraId="4A0BCE29" w14:textId="0F1EF968" w:rsidR="007C038F" w:rsidRDefault="007C038F">
            <w:pPr>
              <w:jc w:val="left"/>
              <w:rPr>
                <w:sz w:val="22"/>
                <w:lang w:val="en-GB"/>
              </w:rPr>
            </w:pPr>
            <w:r w:rsidRPr="00FF39A8">
              <w:rPr>
                <w:sz w:val="22"/>
                <w:lang w:val="en-GB"/>
              </w:rPr>
              <w:t>Grade 4</w:t>
            </w:r>
          </w:p>
        </w:tc>
        <w:tc>
          <w:tcPr>
            <w:tcW w:w="2823" w:type="pct"/>
          </w:tcPr>
          <w:p w14:paraId="41F0CA52" w14:textId="37E61564" w:rsidR="007C038F" w:rsidRPr="009D6881" w:rsidRDefault="007C038F" w:rsidP="00FF39A8">
            <w:pPr>
              <w:jc w:val="left"/>
              <w:rPr>
                <w:sz w:val="22"/>
                <w:lang w:val="en-GB"/>
              </w:rPr>
            </w:pPr>
            <w:r w:rsidRPr="00FF39A8">
              <w:rPr>
                <w:sz w:val="22"/>
                <w:lang w:val="en-GB"/>
              </w:rPr>
              <w:t>Permanently discontinue Tecentriq</w:t>
            </w:r>
            <w:r w:rsidR="0087768E">
              <w:rPr>
                <w:sz w:val="22"/>
                <w:lang w:val="en-GB"/>
              </w:rPr>
              <w:t>.</w:t>
            </w:r>
          </w:p>
        </w:tc>
      </w:tr>
      <w:tr w:rsidR="001F2681" w:rsidRPr="009D6881" w14:paraId="17D9DE54" w14:textId="77777777" w:rsidTr="009D6881">
        <w:tc>
          <w:tcPr>
            <w:tcW w:w="1236" w:type="pct"/>
            <w:tcBorders>
              <w:top w:val="single" w:sz="4" w:space="0" w:color="auto"/>
              <w:bottom w:val="single" w:sz="4" w:space="0" w:color="auto"/>
            </w:tcBorders>
            <w:shd w:val="clear" w:color="auto" w:fill="auto"/>
          </w:tcPr>
          <w:p w14:paraId="133F2C3B" w14:textId="77777777" w:rsidR="001F2681" w:rsidRPr="009D6881" w:rsidRDefault="001F2681" w:rsidP="009D6881">
            <w:pPr>
              <w:jc w:val="left"/>
              <w:rPr>
                <w:b/>
                <w:i/>
                <w:sz w:val="22"/>
                <w:lang w:val="en-GB"/>
              </w:rPr>
            </w:pPr>
            <w:r w:rsidRPr="009D6881">
              <w:rPr>
                <w:b/>
                <w:i/>
                <w:sz w:val="22"/>
                <w:lang w:val="en-GB"/>
              </w:rPr>
              <w:t>Type 1 diabetes mellitus</w:t>
            </w:r>
          </w:p>
          <w:p w14:paraId="3B482411" w14:textId="5A050F25" w:rsidR="00551E7E" w:rsidRPr="009D6881" w:rsidRDefault="00551E7E" w:rsidP="009D6881">
            <w:pPr>
              <w:jc w:val="left"/>
              <w:rPr>
                <w:sz w:val="22"/>
                <w:lang w:val="en-GB"/>
              </w:rPr>
            </w:pPr>
            <w:r w:rsidRPr="009D6881">
              <w:rPr>
                <w:sz w:val="22"/>
                <w:lang w:val="en-GB"/>
              </w:rPr>
              <w:t xml:space="preserve">(see also </w:t>
            </w:r>
            <w:r w:rsidRPr="009D6881">
              <w:rPr>
                <w:i/>
                <w:sz w:val="22"/>
                <w:lang w:val="en-GB"/>
              </w:rPr>
              <w:t>PRECAUTIONS</w:t>
            </w:r>
            <w:r w:rsidRPr="009D6881">
              <w:rPr>
                <w:sz w:val="22"/>
                <w:lang w:val="en-GB"/>
              </w:rPr>
              <w:t>)</w:t>
            </w:r>
          </w:p>
        </w:tc>
        <w:tc>
          <w:tcPr>
            <w:tcW w:w="941" w:type="pct"/>
          </w:tcPr>
          <w:p w14:paraId="599C7452" w14:textId="57FE75F8" w:rsidR="001F2681" w:rsidRPr="009D6881" w:rsidRDefault="001F2681">
            <w:pPr>
              <w:jc w:val="left"/>
              <w:rPr>
                <w:sz w:val="22"/>
                <w:lang w:val="en-GB"/>
              </w:rPr>
            </w:pPr>
            <w:r w:rsidRPr="009D6881">
              <w:rPr>
                <w:sz w:val="22"/>
                <w:lang w:val="en-GB"/>
              </w:rPr>
              <w:t xml:space="preserve">Grade 3 or 4 hyperglycaemia (fasting glucose </w:t>
            </w:r>
            <w:r w:rsidR="00597C87" w:rsidRPr="00597C87">
              <w:rPr>
                <w:sz w:val="22"/>
                <w:lang w:val="en-GB"/>
              </w:rPr>
              <w:t>greater than 13.9</w:t>
            </w:r>
            <w:r w:rsidR="00597C87">
              <w:rPr>
                <w:sz w:val="22"/>
                <w:lang w:val="en-GB"/>
              </w:rPr>
              <w:t xml:space="preserve"> </w:t>
            </w:r>
            <w:r w:rsidR="00597C87" w:rsidRPr="00597C87">
              <w:rPr>
                <w:sz w:val="22"/>
                <w:lang w:val="en-GB"/>
              </w:rPr>
              <w:t xml:space="preserve"> mmol/L</w:t>
            </w:r>
            <w:r w:rsidRPr="009D6881">
              <w:rPr>
                <w:sz w:val="22"/>
                <w:lang w:val="en-GB"/>
              </w:rPr>
              <w:t>)</w:t>
            </w:r>
          </w:p>
        </w:tc>
        <w:tc>
          <w:tcPr>
            <w:tcW w:w="2823" w:type="pct"/>
          </w:tcPr>
          <w:p w14:paraId="192926E6" w14:textId="7E090B92" w:rsidR="001F2681" w:rsidRPr="009D6881" w:rsidRDefault="001F2681" w:rsidP="009D6881">
            <w:pPr>
              <w:jc w:val="left"/>
              <w:rPr>
                <w:sz w:val="22"/>
                <w:lang w:val="en-GB"/>
              </w:rPr>
            </w:pPr>
            <w:r w:rsidRPr="009D6881">
              <w:rPr>
                <w:sz w:val="22"/>
                <w:lang w:val="en-GB"/>
              </w:rPr>
              <w:t xml:space="preserve">Withhold </w:t>
            </w:r>
            <w:r w:rsidR="008C70BA" w:rsidRPr="009D6881">
              <w:rPr>
                <w:sz w:val="22"/>
                <w:lang w:val="en-GB"/>
              </w:rPr>
              <w:t>Tecentriq</w:t>
            </w:r>
            <w:r w:rsidR="00261935" w:rsidRPr="009D6881">
              <w:rPr>
                <w:sz w:val="22"/>
                <w:lang w:val="en-GB"/>
              </w:rPr>
              <w:t>.</w:t>
            </w:r>
          </w:p>
          <w:p w14:paraId="5AC61594" w14:textId="77777777" w:rsidR="001F2681" w:rsidRPr="009D6881" w:rsidRDefault="001F2681" w:rsidP="009D6881">
            <w:pPr>
              <w:jc w:val="left"/>
              <w:rPr>
                <w:sz w:val="22"/>
                <w:lang w:val="en-GB"/>
              </w:rPr>
            </w:pPr>
          </w:p>
          <w:p w14:paraId="7C36A84D" w14:textId="3CE69657" w:rsidR="001F2681" w:rsidRPr="009D6881" w:rsidRDefault="001F2681" w:rsidP="009D6881">
            <w:pPr>
              <w:jc w:val="left"/>
              <w:rPr>
                <w:sz w:val="22"/>
                <w:lang w:val="en-GB"/>
              </w:rPr>
            </w:pPr>
            <w:r w:rsidRPr="009D6881">
              <w:rPr>
                <w:sz w:val="22"/>
                <w:lang w:val="en-GB"/>
              </w:rPr>
              <w:t>Treatment may be resumed when metabolic control is achieved on insulin replacement therapy</w:t>
            </w:r>
            <w:r w:rsidR="00261935" w:rsidRPr="009D6881">
              <w:rPr>
                <w:sz w:val="22"/>
                <w:lang w:val="en-GB"/>
              </w:rPr>
              <w:t>.</w:t>
            </w:r>
          </w:p>
          <w:p w14:paraId="622746F4" w14:textId="77777777" w:rsidR="001F2681" w:rsidRPr="009D6881" w:rsidRDefault="001F2681" w:rsidP="009D6881">
            <w:pPr>
              <w:jc w:val="left"/>
              <w:rPr>
                <w:sz w:val="22"/>
                <w:lang w:val="en-GB"/>
              </w:rPr>
            </w:pPr>
          </w:p>
        </w:tc>
      </w:tr>
      <w:tr w:rsidR="001F2681" w:rsidRPr="009D6881" w14:paraId="64C666B2" w14:textId="77777777" w:rsidTr="009D6881">
        <w:tc>
          <w:tcPr>
            <w:tcW w:w="1236" w:type="pct"/>
            <w:tcBorders>
              <w:top w:val="single" w:sz="4" w:space="0" w:color="auto"/>
              <w:bottom w:val="single" w:sz="4" w:space="0" w:color="auto"/>
            </w:tcBorders>
            <w:shd w:val="clear" w:color="auto" w:fill="auto"/>
          </w:tcPr>
          <w:p w14:paraId="2D289BB3" w14:textId="77777777" w:rsidR="001F2681" w:rsidRPr="00075523" w:rsidRDefault="001F2681" w:rsidP="009D6881">
            <w:pPr>
              <w:jc w:val="left"/>
              <w:rPr>
                <w:b/>
                <w:i/>
                <w:sz w:val="22"/>
                <w:lang w:val="en-GB"/>
              </w:rPr>
            </w:pPr>
            <w:r w:rsidRPr="00075523">
              <w:rPr>
                <w:b/>
                <w:i/>
                <w:sz w:val="22"/>
                <w:lang w:val="en-GB"/>
              </w:rPr>
              <w:t>Myasthenic Syndrome/myasthenia gravis, Guillain-Barré syndrome and Meningoencephalitis</w:t>
            </w:r>
          </w:p>
          <w:p w14:paraId="4AD143F8" w14:textId="22E83760" w:rsidR="00551E7E" w:rsidRPr="00075523" w:rsidRDefault="00551E7E" w:rsidP="009D6881">
            <w:pPr>
              <w:jc w:val="left"/>
              <w:rPr>
                <w:b/>
                <w:i/>
                <w:sz w:val="22"/>
                <w:lang w:val="en-GB"/>
              </w:rPr>
            </w:pPr>
            <w:r w:rsidRPr="00075523">
              <w:rPr>
                <w:sz w:val="22"/>
                <w:lang w:val="en-GB"/>
              </w:rPr>
              <w:t xml:space="preserve">(see also </w:t>
            </w:r>
            <w:r w:rsidRPr="00075523">
              <w:rPr>
                <w:i/>
                <w:sz w:val="22"/>
                <w:lang w:val="en-GB"/>
              </w:rPr>
              <w:lastRenderedPageBreak/>
              <w:t>PRECAUTIONS</w:t>
            </w:r>
            <w:r w:rsidRPr="00075523">
              <w:rPr>
                <w:sz w:val="22"/>
                <w:lang w:val="en-GB"/>
              </w:rPr>
              <w:t>)</w:t>
            </w:r>
          </w:p>
        </w:tc>
        <w:tc>
          <w:tcPr>
            <w:tcW w:w="941" w:type="pct"/>
          </w:tcPr>
          <w:p w14:paraId="592958C2" w14:textId="3953C64B" w:rsidR="001F2681" w:rsidRPr="00075523" w:rsidRDefault="00261935" w:rsidP="009D6881">
            <w:pPr>
              <w:jc w:val="left"/>
              <w:rPr>
                <w:sz w:val="22"/>
                <w:lang w:val="en-GB"/>
              </w:rPr>
            </w:pPr>
            <w:r w:rsidRPr="00075523">
              <w:rPr>
                <w:sz w:val="22"/>
                <w:lang w:val="en-GB"/>
              </w:rPr>
              <w:lastRenderedPageBreak/>
              <w:t>Any</w:t>
            </w:r>
            <w:r w:rsidR="001F2681" w:rsidRPr="00075523">
              <w:rPr>
                <w:sz w:val="22"/>
                <w:lang w:val="en-GB"/>
              </w:rPr>
              <w:t xml:space="preserve"> </w:t>
            </w:r>
            <w:r w:rsidRPr="00075523">
              <w:rPr>
                <w:sz w:val="22"/>
                <w:lang w:val="en-GB"/>
              </w:rPr>
              <w:t>g</w:t>
            </w:r>
            <w:r w:rsidR="001F2681" w:rsidRPr="00075523">
              <w:rPr>
                <w:sz w:val="22"/>
                <w:lang w:val="en-GB"/>
              </w:rPr>
              <w:t>rade</w:t>
            </w:r>
          </w:p>
        </w:tc>
        <w:tc>
          <w:tcPr>
            <w:tcW w:w="2823" w:type="pct"/>
          </w:tcPr>
          <w:p w14:paraId="223EF840" w14:textId="743888D4" w:rsidR="001F2681" w:rsidRPr="00075523" w:rsidRDefault="001F2681" w:rsidP="009D6881">
            <w:pPr>
              <w:jc w:val="left"/>
              <w:rPr>
                <w:sz w:val="22"/>
                <w:lang w:val="en-GB"/>
              </w:rPr>
            </w:pPr>
            <w:r w:rsidRPr="00075523">
              <w:rPr>
                <w:sz w:val="22"/>
                <w:lang w:val="en-GB"/>
              </w:rPr>
              <w:t>Permanently discontinue Tecentriq</w:t>
            </w:r>
            <w:r w:rsidR="0087768E">
              <w:rPr>
                <w:sz w:val="22"/>
                <w:lang w:val="en-GB"/>
              </w:rPr>
              <w:t>.</w:t>
            </w:r>
          </w:p>
        </w:tc>
      </w:tr>
      <w:tr w:rsidR="00EB2021" w:rsidRPr="009D6881" w14:paraId="27FC3B93" w14:textId="77777777" w:rsidTr="009D6881">
        <w:tc>
          <w:tcPr>
            <w:tcW w:w="1236" w:type="pct"/>
            <w:vMerge w:val="restart"/>
            <w:tcBorders>
              <w:top w:val="single" w:sz="4" w:space="0" w:color="auto"/>
            </w:tcBorders>
            <w:shd w:val="clear" w:color="auto" w:fill="auto"/>
          </w:tcPr>
          <w:p w14:paraId="0A1117A7" w14:textId="77777777" w:rsidR="00EB2021" w:rsidRPr="00075523" w:rsidRDefault="00EB2021" w:rsidP="009D6881">
            <w:pPr>
              <w:jc w:val="left"/>
              <w:rPr>
                <w:rFonts w:eastAsia="SimSun"/>
                <w:b/>
                <w:i/>
                <w:sz w:val="22"/>
                <w:lang w:val="en-GB" w:eastAsia="zh-CN"/>
              </w:rPr>
            </w:pPr>
            <w:r w:rsidRPr="000823AB">
              <w:rPr>
                <w:rFonts w:eastAsia="SimSun"/>
                <w:b/>
                <w:i/>
                <w:sz w:val="22"/>
                <w:lang w:val="en-GB" w:eastAsia="zh-CN"/>
              </w:rPr>
              <w:lastRenderedPageBreak/>
              <w:t>Myocarditis</w:t>
            </w:r>
          </w:p>
          <w:p w14:paraId="4B1968AE" w14:textId="6DF6D80A" w:rsidR="00EB2021" w:rsidRPr="00075523" w:rsidRDefault="0087768E" w:rsidP="009D6881">
            <w:pPr>
              <w:jc w:val="left"/>
              <w:rPr>
                <w:b/>
                <w:i/>
                <w:sz w:val="22"/>
                <w:lang w:val="en-GB"/>
              </w:rPr>
            </w:pPr>
            <w:r>
              <w:rPr>
                <w:sz w:val="22"/>
                <w:lang w:val="en-GB"/>
              </w:rPr>
              <w:t>(</w:t>
            </w:r>
            <w:r w:rsidR="00EB2021" w:rsidRPr="00075523">
              <w:rPr>
                <w:sz w:val="22"/>
                <w:lang w:val="en-GB"/>
              </w:rPr>
              <w:t xml:space="preserve">see also </w:t>
            </w:r>
            <w:r w:rsidR="00EB2021" w:rsidRPr="00075523">
              <w:rPr>
                <w:i/>
                <w:sz w:val="22"/>
                <w:lang w:val="en-GB"/>
              </w:rPr>
              <w:t>PRECAUTIONS</w:t>
            </w:r>
            <w:r w:rsidR="00EB2021" w:rsidRPr="00075523">
              <w:rPr>
                <w:sz w:val="22"/>
                <w:lang w:val="en-GB"/>
              </w:rPr>
              <w:t>)</w:t>
            </w:r>
          </w:p>
        </w:tc>
        <w:tc>
          <w:tcPr>
            <w:tcW w:w="941" w:type="pct"/>
          </w:tcPr>
          <w:p w14:paraId="28D1C529" w14:textId="35D7959B" w:rsidR="00EB2021" w:rsidRPr="00075523" w:rsidRDefault="00EB2021" w:rsidP="009D6881">
            <w:pPr>
              <w:keepNext/>
              <w:keepLines/>
              <w:jc w:val="left"/>
              <w:rPr>
                <w:sz w:val="22"/>
                <w:lang w:val="en-GB"/>
              </w:rPr>
            </w:pPr>
            <w:r w:rsidRPr="00075523">
              <w:rPr>
                <w:rFonts w:eastAsia="SimSun"/>
                <w:sz w:val="22"/>
                <w:lang w:val="en-GB" w:eastAsia="zh-CN"/>
              </w:rPr>
              <w:t>Grade 2</w:t>
            </w:r>
          </w:p>
        </w:tc>
        <w:tc>
          <w:tcPr>
            <w:tcW w:w="2823" w:type="pct"/>
          </w:tcPr>
          <w:p w14:paraId="23EC4628" w14:textId="77777777" w:rsidR="001017B5" w:rsidRDefault="00EB2021" w:rsidP="00EB2021">
            <w:pPr>
              <w:rPr>
                <w:sz w:val="22"/>
                <w:lang w:val="en-GB"/>
              </w:rPr>
            </w:pPr>
            <w:r w:rsidRPr="00075523">
              <w:rPr>
                <w:sz w:val="22"/>
                <w:lang w:val="en-GB"/>
              </w:rPr>
              <w:t>Withhold Tecentriq</w:t>
            </w:r>
            <w:r w:rsidR="0087768E">
              <w:rPr>
                <w:sz w:val="22"/>
                <w:lang w:val="en-GB"/>
              </w:rPr>
              <w:t>.</w:t>
            </w:r>
            <w:r w:rsidRPr="00075523">
              <w:rPr>
                <w:sz w:val="22"/>
                <w:lang w:val="en-GB"/>
              </w:rPr>
              <w:t xml:space="preserve"> </w:t>
            </w:r>
          </w:p>
          <w:p w14:paraId="15B3FB8E" w14:textId="77777777" w:rsidR="001017B5" w:rsidRDefault="001017B5" w:rsidP="00EB2021">
            <w:pPr>
              <w:rPr>
                <w:sz w:val="22"/>
                <w:lang w:val="en-GB"/>
              </w:rPr>
            </w:pPr>
          </w:p>
          <w:p w14:paraId="12858998" w14:textId="4FF736BB" w:rsidR="00EB2021" w:rsidRPr="00075523" w:rsidRDefault="001017B5" w:rsidP="00C668D0">
            <w:pPr>
              <w:rPr>
                <w:sz w:val="22"/>
                <w:lang w:val="en-GB"/>
              </w:rPr>
            </w:pPr>
            <w:r w:rsidRPr="00323485">
              <w:rPr>
                <w:sz w:val="22"/>
                <w:lang w:val="en-GB"/>
              </w:rPr>
              <w:t>Consider initiation of treatment with systemic corticosteroids.</w:t>
            </w:r>
          </w:p>
        </w:tc>
      </w:tr>
      <w:tr w:rsidR="00EB2021" w:rsidRPr="009D6881" w14:paraId="6C7EBC3F" w14:textId="77777777" w:rsidTr="00EB2021">
        <w:tc>
          <w:tcPr>
            <w:tcW w:w="1236" w:type="pct"/>
            <w:vMerge/>
            <w:shd w:val="clear" w:color="auto" w:fill="auto"/>
          </w:tcPr>
          <w:p w14:paraId="432B3FF2" w14:textId="77777777" w:rsidR="00EB2021" w:rsidRPr="00075523" w:rsidRDefault="00EB2021" w:rsidP="009D6881">
            <w:pPr>
              <w:jc w:val="left"/>
              <w:rPr>
                <w:rFonts w:eastAsia="SimSun"/>
                <w:b/>
                <w:sz w:val="22"/>
                <w:lang w:val="en-GB" w:eastAsia="zh-CN"/>
              </w:rPr>
            </w:pPr>
          </w:p>
        </w:tc>
        <w:tc>
          <w:tcPr>
            <w:tcW w:w="941" w:type="pct"/>
          </w:tcPr>
          <w:p w14:paraId="6D41003A" w14:textId="76A54901" w:rsidR="00EB2021" w:rsidRPr="00075523" w:rsidRDefault="00EB2021" w:rsidP="009D6881">
            <w:pPr>
              <w:keepNext/>
              <w:keepLines/>
              <w:jc w:val="left"/>
              <w:rPr>
                <w:rFonts w:eastAsia="SimSun"/>
                <w:sz w:val="22"/>
                <w:lang w:val="en-GB" w:eastAsia="zh-CN"/>
              </w:rPr>
            </w:pPr>
            <w:r w:rsidRPr="00075523">
              <w:rPr>
                <w:rFonts w:eastAsia="SimSun"/>
                <w:sz w:val="22"/>
                <w:lang w:val="en-GB" w:eastAsia="zh-CN"/>
              </w:rPr>
              <w:t>Grade 3 or 4</w:t>
            </w:r>
          </w:p>
        </w:tc>
        <w:tc>
          <w:tcPr>
            <w:tcW w:w="2823" w:type="pct"/>
          </w:tcPr>
          <w:p w14:paraId="71B29EB0" w14:textId="0C06E085" w:rsidR="00EB2021" w:rsidRPr="00075523" w:rsidRDefault="00EB2021" w:rsidP="00EB2021">
            <w:pPr>
              <w:rPr>
                <w:sz w:val="22"/>
                <w:lang w:val="en-GB"/>
              </w:rPr>
            </w:pPr>
            <w:r w:rsidRPr="00075523">
              <w:rPr>
                <w:sz w:val="22"/>
                <w:lang w:val="en-GB"/>
              </w:rPr>
              <w:t>Permanently discontinue Tecentriq</w:t>
            </w:r>
            <w:r w:rsidR="0087768E">
              <w:rPr>
                <w:sz w:val="22"/>
                <w:lang w:val="en-GB"/>
              </w:rPr>
              <w:t>.</w:t>
            </w:r>
          </w:p>
        </w:tc>
      </w:tr>
      <w:tr w:rsidR="00EB2021" w:rsidRPr="009D6881" w14:paraId="2328D44A" w14:textId="77777777" w:rsidTr="009D6881">
        <w:tc>
          <w:tcPr>
            <w:tcW w:w="1236" w:type="pct"/>
            <w:vMerge w:val="restart"/>
            <w:tcBorders>
              <w:top w:val="single" w:sz="4" w:space="0" w:color="auto"/>
            </w:tcBorders>
            <w:shd w:val="clear" w:color="auto" w:fill="auto"/>
          </w:tcPr>
          <w:p w14:paraId="303EB963" w14:textId="77777777" w:rsidR="00EB2021" w:rsidRPr="00075523" w:rsidRDefault="00EB2021" w:rsidP="009D6881">
            <w:pPr>
              <w:jc w:val="left"/>
              <w:rPr>
                <w:b/>
                <w:i/>
                <w:sz w:val="22"/>
                <w:lang w:val="en-GB"/>
              </w:rPr>
            </w:pPr>
            <w:r w:rsidRPr="00075523">
              <w:rPr>
                <w:b/>
                <w:i/>
                <w:sz w:val="22"/>
                <w:lang w:val="en-GB"/>
              </w:rPr>
              <w:t>Pancreatitis</w:t>
            </w:r>
          </w:p>
          <w:p w14:paraId="38C33611" w14:textId="69998049" w:rsidR="00EB2021" w:rsidRPr="00075523" w:rsidRDefault="00EB2021" w:rsidP="009D6881">
            <w:pPr>
              <w:jc w:val="left"/>
              <w:rPr>
                <w:b/>
                <w:i/>
                <w:sz w:val="22"/>
                <w:lang w:val="en-GB"/>
              </w:rPr>
            </w:pPr>
            <w:r w:rsidRPr="00075523">
              <w:rPr>
                <w:sz w:val="22"/>
                <w:lang w:val="en-GB"/>
              </w:rPr>
              <w:t xml:space="preserve">(see also </w:t>
            </w:r>
            <w:r w:rsidRPr="00075523">
              <w:rPr>
                <w:i/>
                <w:sz w:val="22"/>
                <w:lang w:val="en-GB"/>
              </w:rPr>
              <w:t>PRECAUTIONS</w:t>
            </w:r>
            <w:r w:rsidRPr="00075523">
              <w:rPr>
                <w:sz w:val="22"/>
                <w:lang w:val="en-GB"/>
              </w:rPr>
              <w:t>)</w:t>
            </w:r>
          </w:p>
        </w:tc>
        <w:tc>
          <w:tcPr>
            <w:tcW w:w="941" w:type="pct"/>
          </w:tcPr>
          <w:p w14:paraId="69586E0B" w14:textId="7BC5805E" w:rsidR="00EB2021" w:rsidRPr="00075523" w:rsidRDefault="00EB2021" w:rsidP="009D6881">
            <w:pPr>
              <w:keepNext/>
              <w:keepLines/>
              <w:jc w:val="left"/>
              <w:rPr>
                <w:sz w:val="22"/>
                <w:lang w:val="en-GB"/>
              </w:rPr>
            </w:pPr>
            <w:r w:rsidRPr="00075523">
              <w:rPr>
                <w:sz w:val="22"/>
                <w:lang w:val="en-GB"/>
              </w:rPr>
              <w:t>Grade 3 or 4 serum amylase or lipase levels increased (&gt; 2.0 x ULN)</w:t>
            </w:r>
          </w:p>
          <w:p w14:paraId="33FDF362" w14:textId="06B791B7" w:rsidR="00EB2021" w:rsidRPr="00075523" w:rsidRDefault="00EB2021" w:rsidP="009D6881">
            <w:pPr>
              <w:keepNext/>
              <w:keepLines/>
              <w:jc w:val="left"/>
              <w:rPr>
                <w:sz w:val="22"/>
                <w:lang w:val="en-GB"/>
              </w:rPr>
            </w:pPr>
            <w:r w:rsidRPr="00075523">
              <w:rPr>
                <w:sz w:val="22"/>
                <w:lang w:val="en-GB"/>
              </w:rPr>
              <w:t>or Grade 2 or 3 pancreatitis</w:t>
            </w:r>
          </w:p>
        </w:tc>
        <w:tc>
          <w:tcPr>
            <w:tcW w:w="2823" w:type="pct"/>
          </w:tcPr>
          <w:p w14:paraId="2CFCEA38" w14:textId="786E6F95" w:rsidR="00EB2021" w:rsidRPr="00075523" w:rsidRDefault="00EB2021" w:rsidP="009D6881">
            <w:pPr>
              <w:keepNext/>
              <w:keepLines/>
              <w:jc w:val="left"/>
              <w:rPr>
                <w:sz w:val="22"/>
                <w:lang w:val="en-GB"/>
              </w:rPr>
            </w:pPr>
            <w:r w:rsidRPr="00075523">
              <w:rPr>
                <w:sz w:val="22"/>
                <w:lang w:val="en-GB"/>
              </w:rPr>
              <w:t>Withhold Tecentriq.</w:t>
            </w:r>
          </w:p>
          <w:p w14:paraId="7DB232B2" w14:textId="77777777" w:rsidR="00EB2021" w:rsidRPr="00075523" w:rsidRDefault="00EB2021" w:rsidP="009D6881">
            <w:pPr>
              <w:keepNext/>
              <w:keepLines/>
              <w:jc w:val="left"/>
              <w:rPr>
                <w:sz w:val="22"/>
                <w:lang w:val="en-GB"/>
              </w:rPr>
            </w:pPr>
          </w:p>
          <w:p w14:paraId="306EBBD6" w14:textId="7EE00BFB" w:rsidR="00EB2021" w:rsidRPr="00075523" w:rsidRDefault="00EB2021" w:rsidP="009D6881">
            <w:pPr>
              <w:keepNext/>
              <w:keepLines/>
              <w:jc w:val="left"/>
              <w:rPr>
                <w:sz w:val="22"/>
                <w:lang w:val="en-GB"/>
              </w:rPr>
            </w:pPr>
            <w:r w:rsidRPr="00075523">
              <w:rPr>
                <w:sz w:val="22"/>
                <w:lang w:val="en-GB"/>
              </w:rPr>
              <w:t>Treatment with Tecentriq may be resumed when serum amylase and lipase levels improve to Grade 0 or Grade 1 within 12 weeks, or symptoms of pancreatitis have resolved, and corticosteroids have been reduced to ≤ 10 mg oral prednisone or equivalent per day</w:t>
            </w:r>
            <w:r w:rsidR="0087768E">
              <w:rPr>
                <w:sz w:val="22"/>
                <w:lang w:val="en-GB"/>
              </w:rPr>
              <w:t>.</w:t>
            </w:r>
          </w:p>
        </w:tc>
      </w:tr>
      <w:tr w:rsidR="00EB2021" w:rsidRPr="009D6881" w14:paraId="440F166D" w14:textId="77777777" w:rsidTr="009D6881">
        <w:tc>
          <w:tcPr>
            <w:tcW w:w="1236" w:type="pct"/>
            <w:vMerge/>
            <w:tcBorders>
              <w:bottom w:val="single" w:sz="4" w:space="0" w:color="auto"/>
            </w:tcBorders>
            <w:shd w:val="clear" w:color="auto" w:fill="auto"/>
          </w:tcPr>
          <w:p w14:paraId="04A624AE" w14:textId="77777777" w:rsidR="00EB2021" w:rsidRPr="009D6881" w:rsidRDefault="00EB2021" w:rsidP="009D6881">
            <w:pPr>
              <w:jc w:val="left"/>
              <w:rPr>
                <w:b/>
                <w:sz w:val="22"/>
                <w:lang w:val="en-GB"/>
              </w:rPr>
            </w:pPr>
          </w:p>
        </w:tc>
        <w:tc>
          <w:tcPr>
            <w:tcW w:w="941" w:type="pct"/>
          </w:tcPr>
          <w:p w14:paraId="74D9CAB9" w14:textId="771C8779" w:rsidR="00EB2021" w:rsidRPr="009D6881" w:rsidRDefault="00EB2021" w:rsidP="009D6881">
            <w:pPr>
              <w:keepNext/>
              <w:keepLines/>
              <w:jc w:val="left"/>
              <w:rPr>
                <w:sz w:val="22"/>
                <w:lang w:val="en-GB"/>
              </w:rPr>
            </w:pPr>
            <w:r w:rsidRPr="009D6881">
              <w:rPr>
                <w:sz w:val="22"/>
                <w:lang w:val="en-GB"/>
              </w:rPr>
              <w:t>Grade 4 or any grade of recurrent pancreatitis</w:t>
            </w:r>
          </w:p>
        </w:tc>
        <w:tc>
          <w:tcPr>
            <w:tcW w:w="2823" w:type="pct"/>
          </w:tcPr>
          <w:p w14:paraId="62431F27" w14:textId="0EE36B2C" w:rsidR="00EB2021" w:rsidRPr="009D6881" w:rsidRDefault="00EB2021" w:rsidP="009D6881">
            <w:pPr>
              <w:keepNext/>
              <w:keepLines/>
              <w:jc w:val="left"/>
              <w:rPr>
                <w:sz w:val="22"/>
                <w:lang w:val="en-GB"/>
              </w:rPr>
            </w:pPr>
            <w:r w:rsidRPr="009D6881">
              <w:rPr>
                <w:sz w:val="22"/>
                <w:lang w:val="en-GB"/>
              </w:rPr>
              <w:t>Permanently discontinue Tecentriq.</w:t>
            </w:r>
          </w:p>
        </w:tc>
      </w:tr>
    </w:tbl>
    <w:p w14:paraId="66E6E1CB" w14:textId="65FADB48" w:rsidR="00793677" w:rsidRPr="009D6881" w:rsidRDefault="00793677" w:rsidP="00793677">
      <w:pPr>
        <w:pStyle w:val="Heading2"/>
        <w:rPr>
          <w:rFonts w:hint="eastAsia"/>
        </w:rPr>
      </w:pPr>
      <w:r w:rsidRPr="009D6881">
        <w:t xml:space="preserve">Special Dosage Instructions </w:t>
      </w:r>
    </w:p>
    <w:p w14:paraId="427115B1" w14:textId="77777777" w:rsidR="00793677" w:rsidRPr="009D6881" w:rsidRDefault="00793677" w:rsidP="00793677">
      <w:pPr>
        <w:pStyle w:val="Heading3"/>
      </w:pPr>
      <w:r w:rsidRPr="009D6881">
        <w:t>Children</w:t>
      </w:r>
    </w:p>
    <w:p w14:paraId="075A0531" w14:textId="1B551F7E" w:rsidR="00793677" w:rsidRPr="009D6881" w:rsidRDefault="00793677" w:rsidP="00793677">
      <w:r w:rsidRPr="009D6881">
        <w:t xml:space="preserve">The safety and efficacy of </w:t>
      </w:r>
      <w:r w:rsidR="008C70BA" w:rsidRPr="009D6881">
        <w:t xml:space="preserve">Tecentriq </w:t>
      </w:r>
      <w:r w:rsidRPr="009D6881">
        <w:t xml:space="preserve">in children and adolescents below 18 years of age have not been established. </w:t>
      </w:r>
    </w:p>
    <w:p w14:paraId="2385CCC5" w14:textId="77777777" w:rsidR="00793677" w:rsidRPr="009D6881" w:rsidRDefault="00793677" w:rsidP="00793677">
      <w:pPr>
        <w:pStyle w:val="Heading3"/>
      </w:pPr>
      <w:r w:rsidRPr="009D6881">
        <w:t xml:space="preserve">Elderly </w:t>
      </w:r>
    </w:p>
    <w:p w14:paraId="5F0D5C3C" w14:textId="3B070657" w:rsidR="00793677" w:rsidRPr="009D6881" w:rsidRDefault="00793677" w:rsidP="00793677">
      <w:r w:rsidRPr="009D6881">
        <w:t xml:space="preserve">Based on a population pharmacokinetic analysis, no dose adjustment of </w:t>
      </w:r>
      <w:r w:rsidR="008C70BA" w:rsidRPr="009D6881">
        <w:t xml:space="preserve">Tecentriq </w:t>
      </w:r>
      <w:r w:rsidRPr="009D6881">
        <w:t xml:space="preserve">is required in patients ≥ 65 years of age (see </w:t>
      </w:r>
      <w:r w:rsidR="00315710" w:rsidRPr="009D6881">
        <w:rPr>
          <w:i/>
        </w:rPr>
        <w:t>PRECAUTIONS</w:t>
      </w:r>
      <w:r w:rsidR="00315710" w:rsidRPr="009D6881">
        <w:t xml:space="preserve"> and </w:t>
      </w:r>
      <w:r w:rsidR="00315710" w:rsidRPr="009D6881">
        <w:rPr>
          <w:i/>
        </w:rPr>
        <w:t>PHARMACOLOGY</w:t>
      </w:r>
      <w:r w:rsidRPr="009D6881">
        <w:t xml:space="preserve">). </w:t>
      </w:r>
    </w:p>
    <w:p w14:paraId="1E984C41" w14:textId="77777777" w:rsidR="00793677" w:rsidRPr="009D6881" w:rsidRDefault="00793677" w:rsidP="00793677">
      <w:pPr>
        <w:pStyle w:val="Heading3"/>
      </w:pPr>
      <w:r w:rsidRPr="009D6881">
        <w:t xml:space="preserve">Renal Impairment </w:t>
      </w:r>
    </w:p>
    <w:p w14:paraId="53B22703" w14:textId="2F04BA44" w:rsidR="00793677" w:rsidRPr="009D6881" w:rsidRDefault="00793677" w:rsidP="00793677">
      <w:r w:rsidRPr="009D6881">
        <w:t xml:space="preserve">Based on a population pharmacokinetic analysis, no dose adjustment is required in patients with renal impairment </w:t>
      </w:r>
      <w:r w:rsidR="00315710" w:rsidRPr="009D6881">
        <w:t xml:space="preserve">(see </w:t>
      </w:r>
      <w:r w:rsidR="00315710" w:rsidRPr="009D6881">
        <w:rPr>
          <w:i/>
        </w:rPr>
        <w:t>PRECAUTIONS</w:t>
      </w:r>
      <w:r w:rsidR="00315710" w:rsidRPr="009D6881">
        <w:t xml:space="preserve"> and </w:t>
      </w:r>
      <w:r w:rsidR="00315710" w:rsidRPr="009D6881">
        <w:rPr>
          <w:i/>
        </w:rPr>
        <w:t>PHARMACOLOGY</w:t>
      </w:r>
      <w:r w:rsidR="00315710" w:rsidRPr="009D6881">
        <w:t>)</w:t>
      </w:r>
      <w:r w:rsidRPr="009D6881">
        <w:t>.</w:t>
      </w:r>
    </w:p>
    <w:p w14:paraId="748F9047" w14:textId="77777777" w:rsidR="00793677" w:rsidRPr="009D6881" w:rsidRDefault="00793677" w:rsidP="00793677">
      <w:pPr>
        <w:pStyle w:val="Heading3"/>
      </w:pPr>
      <w:r w:rsidRPr="009D6881">
        <w:t xml:space="preserve">Hepatic impairment </w:t>
      </w:r>
    </w:p>
    <w:p w14:paraId="524D8586" w14:textId="07C62B34" w:rsidR="00761783" w:rsidRPr="009D6881" w:rsidRDefault="00793677" w:rsidP="00793677">
      <w:r w:rsidRPr="009D6881">
        <w:t>Based on a population pharmacokinetic analysis, no dose adjustment is required for patients with mild hepatic impairment. There are no data in patients with moderate or severe hepatic impairment</w:t>
      </w:r>
      <w:r w:rsidR="00315710" w:rsidRPr="009D6881">
        <w:t xml:space="preserve"> </w:t>
      </w:r>
      <w:r w:rsidRPr="009D6881">
        <w:t xml:space="preserve"> </w:t>
      </w:r>
      <w:r w:rsidR="00315710" w:rsidRPr="009D6881">
        <w:t xml:space="preserve">(see </w:t>
      </w:r>
      <w:r w:rsidR="00315710" w:rsidRPr="009D6881">
        <w:rPr>
          <w:i/>
        </w:rPr>
        <w:t>PRECAUTIONS</w:t>
      </w:r>
      <w:r w:rsidR="00315710" w:rsidRPr="009D6881">
        <w:t xml:space="preserve"> and </w:t>
      </w:r>
      <w:r w:rsidR="00315710" w:rsidRPr="009D6881">
        <w:rPr>
          <w:i/>
        </w:rPr>
        <w:t>PHARMACOLOGY</w:t>
      </w:r>
      <w:r w:rsidR="00315710" w:rsidRPr="009D6881">
        <w:t>)</w:t>
      </w:r>
      <w:r w:rsidRPr="009D6881">
        <w:t xml:space="preserve">. </w:t>
      </w:r>
    </w:p>
    <w:p w14:paraId="593ACC86" w14:textId="0ACD783D" w:rsidR="006C7055" w:rsidRPr="009D6881" w:rsidRDefault="006C7055" w:rsidP="006C7055">
      <w:pPr>
        <w:pStyle w:val="Heading2"/>
        <w:rPr>
          <w:rFonts w:hint="eastAsia"/>
        </w:rPr>
      </w:pPr>
      <w:r w:rsidRPr="009D6881">
        <w:t xml:space="preserve">Instructions for dilution </w:t>
      </w:r>
    </w:p>
    <w:p w14:paraId="488A6B97" w14:textId="3DCCBA83" w:rsidR="00D8007B" w:rsidRPr="009D6881" w:rsidRDefault="008C70BA" w:rsidP="006C7055">
      <w:r w:rsidRPr="009D6881">
        <w:t xml:space="preserve">Tecentriq </w:t>
      </w:r>
      <w:r w:rsidR="00D8007B" w:rsidRPr="009D6881">
        <w:t>does not contain any antimicrobial preservative and should be prepared by a healthcare professional using aseptic technique.</w:t>
      </w:r>
    </w:p>
    <w:p w14:paraId="03586D81" w14:textId="77777777" w:rsidR="00D8007B" w:rsidRPr="009D6881" w:rsidRDefault="00D8007B" w:rsidP="006C7055"/>
    <w:p w14:paraId="680C6BED" w14:textId="5D62A228" w:rsidR="00D8007B" w:rsidRPr="009D6881" w:rsidRDefault="00321196" w:rsidP="00D8007B">
      <w:r w:rsidRPr="009D6881">
        <w:t>Withdraw 20</w:t>
      </w:r>
      <w:r w:rsidR="00D8007B" w:rsidRPr="009D6881">
        <w:t xml:space="preserve"> mL of </w:t>
      </w:r>
      <w:r w:rsidR="008C70BA" w:rsidRPr="009D6881">
        <w:t xml:space="preserve">Tecentriq </w:t>
      </w:r>
      <w:r w:rsidR="00D8007B" w:rsidRPr="009D6881">
        <w:t>concentrate from the vial and dilute into a 250 mL PVC, polyethylene (PE) or polyolefin infusion bag containing sodium chloride 9 mg/mL (0.9%) solution for injection. After dilution, one mL of solution should contain appro</w:t>
      </w:r>
      <w:r w:rsidRPr="009D6881">
        <w:t xml:space="preserve">ximately 4.4 mg of </w:t>
      </w:r>
      <w:r w:rsidR="008C70BA" w:rsidRPr="009D6881">
        <w:t xml:space="preserve">Tecentriq </w:t>
      </w:r>
      <w:r w:rsidRPr="009D6881">
        <w:t>(1</w:t>
      </w:r>
      <w:r w:rsidR="00D8007B" w:rsidRPr="009D6881">
        <w:t xml:space="preserve">200 mg/270 mL). The bag should be gently inverted to mix the solution in order to avoid foaming. </w:t>
      </w:r>
    </w:p>
    <w:p w14:paraId="3F955896" w14:textId="4835D851" w:rsidR="00D8007B" w:rsidRPr="009D6881" w:rsidRDefault="00321196" w:rsidP="00321196">
      <w:pPr>
        <w:pStyle w:val="Heading2"/>
        <w:rPr>
          <w:rFonts w:hint="eastAsia"/>
        </w:rPr>
      </w:pPr>
      <w:r w:rsidRPr="009D6881">
        <w:t>Instructions for administration</w:t>
      </w:r>
    </w:p>
    <w:p w14:paraId="726D8E9B" w14:textId="5F74509A" w:rsidR="00D8007B" w:rsidRPr="009D6881" w:rsidRDefault="00D8007B" w:rsidP="00D8007B">
      <w:r w:rsidRPr="009D6881">
        <w:lastRenderedPageBreak/>
        <w:t>Parenteral medicinal products should be inspected visually for particulates and discolouration prior to administration. If particulates or discoloration are observed, the solution should not be used.</w:t>
      </w:r>
    </w:p>
    <w:p w14:paraId="014E4AF0" w14:textId="77777777" w:rsidR="00D8007B" w:rsidRPr="009D6881" w:rsidRDefault="00D8007B" w:rsidP="006C7055"/>
    <w:p w14:paraId="0456EBD2" w14:textId="7051B6ED" w:rsidR="006C7055" w:rsidRPr="009D6881" w:rsidRDefault="00321196" w:rsidP="006C7055">
      <w:r w:rsidRPr="009D6881">
        <w:t xml:space="preserve">The product is for single use in one patient only. Discard any residue.  </w:t>
      </w:r>
      <w:r w:rsidR="006C7055" w:rsidRPr="009D6881">
        <w:t xml:space="preserve"> </w:t>
      </w:r>
    </w:p>
    <w:p w14:paraId="15A1909D" w14:textId="078A8153" w:rsidR="006C7055" w:rsidRPr="009D6881" w:rsidRDefault="006C7055" w:rsidP="006C7055">
      <w:pPr>
        <w:pStyle w:val="Heading2"/>
        <w:rPr>
          <w:rFonts w:hint="eastAsia"/>
        </w:rPr>
      </w:pPr>
      <w:r w:rsidRPr="009D6881">
        <w:t>Incompatibilities</w:t>
      </w:r>
    </w:p>
    <w:p w14:paraId="25032E6D" w14:textId="53343733" w:rsidR="006C7055" w:rsidRPr="009D6881" w:rsidRDefault="006C7055" w:rsidP="006C7055">
      <w:r w:rsidRPr="009D6881">
        <w:t xml:space="preserve">No incompatibilities have been observed between </w:t>
      </w:r>
      <w:r w:rsidR="008C70BA" w:rsidRPr="009D6881">
        <w:t xml:space="preserve">Tecentriq </w:t>
      </w:r>
      <w:r w:rsidRPr="009D6881">
        <w:t>and IV bags with product-contacting surfaces of polyvinyl chloride (PVC), polyethylene (PE) or polyolefin. In addition, no incompatibilities have been observed with in-line filter membranes composed of polyethersulfone or polysulfone, and infusion sets and other infusion aids composed of PVC, PE, polybutadiene, or polyetherurethane.</w:t>
      </w:r>
    </w:p>
    <w:p w14:paraId="3375B379" w14:textId="77777777" w:rsidR="00D844B2" w:rsidRPr="009D6881" w:rsidRDefault="00D844B2" w:rsidP="00AE74F3">
      <w:pPr>
        <w:pStyle w:val="Heading1"/>
        <w:rPr>
          <w:rFonts w:hint="eastAsia"/>
        </w:rPr>
      </w:pPr>
      <w:r w:rsidRPr="009D6881">
        <w:t>Overdosage</w:t>
      </w:r>
    </w:p>
    <w:p w14:paraId="0103B3F8" w14:textId="3F57D7E3" w:rsidR="00505E00" w:rsidRPr="009D6881" w:rsidRDefault="00505E00" w:rsidP="00D844B2">
      <w:r w:rsidRPr="009D6881">
        <w:t xml:space="preserve">There is no information on overdose with </w:t>
      </w:r>
      <w:r w:rsidR="008C70BA" w:rsidRPr="009D6881">
        <w:t>Tecentriq</w:t>
      </w:r>
      <w:r w:rsidRPr="009D6881">
        <w:t>.</w:t>
      </w:r>
    </w:p>
    <w:p w14:paraId="7408EA25" w14:textId="77777777" w:rsidR="00505E00" w:rsidRPr="009D6881" w:rsidRDefault="00505E00" w:rsidP="00D844B2"/>
    <w:p w14:paraId="3375B37E" w14:textId="31C7C5B4" w:rsidR="00D844B2" w:rsidRPr="009D6881" w:rsidRDefault="00DD2ED4" w:rsidP="00D844B2">
      <w:r w:rsidRPr="009D6881">
        <w:t>For information on the management of overdose, contact the Poisons Information Centre (call 13 11 26).</w:t>
      </w:r>
    </w:p>
    <w:p w14:paraId="3375B38D" w14:textId="77777777" w:rsidR="00D844B2" w:rsidRPr="009D6881" w:rsidRDefault="00D844B2" w:rsidP="00AE74F3">
      <w:pPr>
        <w:pStyle w:val="Heading1"/>
        <w:rPr>
          <w:rFonts w:hint="eastAsia"/>
        </w:rPr>
      </w:pPr>
      <w:r w:rsidRPr="009D6881">
        <w:t>Presentation and storage conditions</w:t>
      </w:r>
    </w:p>
    <w:p w14:paraId="518158A3" w14:textId="4D2D6FE6" w:rsidR="00DD2ED4" w:rsidRPr="009D6881" w:rsidRDefault="00DD2ED4" w:rsidP="006C7055">
      <w:r w:rsidRPr="009D6881">
        <w:t xml:space="preserve">Available in a single-use glass vial containing 1200 mg of </w:t>
      </w:r>
      <w:r w:rsidR="008C70BA" w:rsidRPr="009D6881">
        <w:t xml:space="preserve">Tecentriq </w:t>
      </w:r>
      <w:r w:rsidR="000C733A" w:rsidRPr="009D6881">
        <w:t xml:space="preserve">in a 20 mL </w:t>
      </w:r>
      <w:r w:rsidRPr="009D6881">
        <w:t xml:space="preserve">concentrated solution for intravenous infusion. </w:t>
      </w:r>
    </w:p>
    <w:p w14:paraId="0E4EC970" w14:textId="6A324D70" w:rsidR="006C7055" w:rsidRPr="009D6881" w:rsidRDefault="006C7055" w:rsidP="006C7055">
      <w:r w:rsidRPr="009D6881">
        <w:t xml:space="preserve"> </w:t>
      </w:r>
    </w:p>
    <w:p w14:paraId="7F9281C2" w14:textId="3E2F15E1" w:rsidR="006C7055" w:rsidRPr="009D6881" w:rsidRDefault="006C7055" w:rsidP="006C7055">
      <w:r w:rsidRPr="009D6881">
        <w:t>Store</w:t>
      </w:r>
      <w:r w:rsidR="00DD2ED4" w:rsidRPr="009D6881">
        <w:t xml:space="preserve"> the vials</w:t>
      </w:r>
      <w:r w:rsidRPr="009D6881">
        <w:t xml:space="preserve"> at 2</w:t>
      </w:r>
      <w:r w:rsidR="002217EA">
        <w:t xml:space="preserve"> </w:t>
      </w:r>
      <w:r w:rsidRPr="009D6881">
        <w:t xml:space="preserve">°C </w:t>
      </w:r>
      <w:r w:rsidR="00DD2ED4" w:rsidRPr="009D6881">
        <w:t xml:space="preserve">to </w:t>
      </w:r>
      <w:r w:rsidRPr="009D6881">
        <w:t>8</w:t>
      </w:r>
      <w:r w:rsidR="002217EA">
        <w:t xml:space="preserve"> </w:t>
      </w:r>
      <w:r w:rsidRPr="009D6881">
        <w:t xml:space="preserve">°C. </w:t>
      </w:r>
      <w:r w:rsidR="00DD2ED4" w:rsidRPr="009D6881">
        <w:t>Do not freeze.</w:t>
      </w:r>
    </w:p>
    <w:p w14:paraId="7594BAD7" w14:textId="77777777" w:rsidR="00DD2ED4" w:rsidRPr="009D6881" w:rsidRDefault="00DD2ED4" w:rsidP="006C7055"/>
    <w:p w14:paraId="05B810F7" w14:textId="01546C3D" w:rsidR="00DD2ED4" w:rsidRPr="009D6881" w:rsidRDefault="00266F4D" w:rsidP="00DD2ED4">
      <w:r w:rsidRPr="009D6881">
        <w:t xml:space="preserve">Tecentriq </w:t>
      </w:r>
      <w:r w:rsidR="006C7055" w:rsidRPr="009D6881">
        <w:t xml:space="preserve">should be protected from light. </w:t>
      </w:r>
      <w:r w:rsidR="00DD2ED4" w:rsidRPr="009D6881">
        <w:t>Do not shake.</w:t>
      </w:r>
    </w:p>
    <w:p w14:paraId="06AA9E3A" w14:textId="77777777" w:rsidR="006C7055" w:rsidRPr="009D6881" w:rsidRDefault="006C7055" w:rsidP="006C7055"/>
    <w:p w14:paraId="46967824" w14:textId="77777777" w:rsidR="006C7055" w:rsidRPr="009D6881" w:rsidRDefault="006C7055" w:rsidP="006C7055">
      <w:r w:rsidRPr="009D6881">
        <w:t>This medicine should not be used after the expiry date (EXP) shown on the pack.</w:t>
      </w:r>
    </w:p>
    <w:p w14:paraId="5A84B9FC" w14:textId="77777777" w:rsidR="006C7055" w:rsidRPr="009D6881" w:rsidRDefault="006C7055" w:rsidP="006C7055"/>
    <w:p w14:paraId="3375B38E" w14:textId="138D0F32" w:rsidR="00093012" w:rsidRPr="009D6881" w:rsidRDefault="006C7055" w:rsidP="006C7055">
      <w:r w:rsidRPr="009D6881">
        <w:t>The diluted solution for infusion should be used immediately. If the solution is not used immediately, it can be stored for up to 24 hours at 2</w:t>
      </w:r>
      <w:r w:rsidR="002217EA">
        <w:t xml:space="preserve"> </w:t>
      </w:r>
      <w:r w:rsidRPr="009D6881">
        <w:t>°C</w:t>
      </w:r>
      <w:r w:rsidR="00D8007B" w:rsidRPr="009D6881">
        <w:t xml:space="preserve"> to</w:t>
      </w:r>
      <w:r w:rsidRPr="009D6881">
        <w:t xml:space="preserve"> 8</w:t>
      </w:r>
      <w:r w:rsidR="002217EA">
        <w:t xml:space="preserve"> </w:t>
      </w:r>
      <w:r w:rsidRPr="009D6881">
        <w:t>°C, or 8 hours at ambient temperature (≤ 30</w:t>
      </w:r>
      <w:r w:rsidR="002217EA">
        <w:t xml:space="preserve"> </w:t>
      </w:r>
      <w:r w:rsidRPr="009D6881">
        <w:t>°C).</w:t>
      </w:r>
    </w:p>
    <w:p w14:paraId="3375B39D" w14:textId="77777777" w:rsidR="00093012" w:rsidRPr="009D6881" w:rsidRDefault="00093012" w:rsidP="00C668D0">
      <w:pPr>
        <w:pStyle w:val="Heading2"/>
        <w:rPr>
          <w:rFonts w:hint="eastAsia"/>
        </w:rPr>
      </w:pPr>
      <w:r w:rsidRPr="009D6881">
        <w:t xml:space="preserve">Disposal of Medicines </w:t>
      </w:r>
    </w:p>
    <w:p w14:paraId="3375B39F" w14:textId="77777777" w:rsidR="00093012" w:rsidRPr="009D6881" w:rsidRDefault="00093012" w:rsidP="00F42704">
      <w:r w:rsidRPr="009D6881">
        <w:t>The release of medicines into the e</w:t>
      </w:r>
      <w:r w:rsidR="00F42704" w:rsidRPr="009D6881">
        <w:t>nvironment should be minimised.</w:t>
      </w:r>
      <w:r w:rsidRPr="009D6881">
        <w:t xml:space="preserve"> Medicines should no</w:t>
      </w:r>
      <w:r w:rsidR="00F42704" w:rsidRPr="009D6881">
        <w:t xml:space="preserve">t be disposed of via wastewater </w:t>
      </w:r>
      <w:r w:rsidRPr="009D6881">
        <w:t>and disposal through household waste should be avoided. Unused or expired</w:t>
      </w:r>
      <w:r w:rsidR="00F42704" w:rsidRPr="009D6881">
        <w:t xml:space="preserve"> medicine should be returned to </w:t>
      </w:r>
      <w:r w:rsidRPr="009D6881">
        <w:t xml:space="preserve">a pharmacy for disposal. </w:t>
      </w:r>
    </w:p>
    <w:p w14:paraId="3375B3A0" w14:textId="77777777" w:rsidR="00D844B2" w:rsidRPr="009D6881" w:rsidRDefault="00D844B2" w:rsidP="00AE74F3">
      <w:pPr>
        <w:pStyle w:val="Heading1"/>
        <w:rPr>
          <w:rFonts w:hint="eastAsia"/>
        </w:rPr>
      </w:pPr>
      <w:r w:rsidRPr="009D6881">
        <w:t>Name and address of the sponsor</w:t>
      </w:r>
    </w:p>
    <w:p w14:paraId="5B8C0777" w14:textId="57F851CC" w:rsidR="000C733A" w:rsidRPr="009D6881" w:rsidRDefault="000C733A" w:rsidP="000C733A">
      <w:pPr>
        <w:rPr>
          <w:color w:val="000000"/>
          <w:lang w:val="en-GB"/>
        </w:rPr>
      </w:pPr>
      <w:r w:rsidRPr="009D6881">
        <w:rPr>
          <w:color w:val="000000"/>
          <w:lang w:val="en-GB"/>
        </w:rPr>
        <w:t>Distributed by:</w:t>
      </w:r>
    </w:p>
    <w:p w14:paraId="26073760" w14:textId="77777777" w:rsidR="000C733A" w:rsidRPr="009D6881" w:rsidRDefault="000C733A" w:rsidP="000C733A">
      <w:pPr>
        <w:rPr>
          <w:color w:val="000000"/>
          <w:lang w:val="en-GB"/>
        </w:rPr>
      </w:pPr>
      <w:r w:rsidRPr="009D6881">
        <w:rPr>
          <w:color w:val="000000"/>
          <w:lang w:val="en-GB"/>
        </w:rPr>
        <w:t>Roche Products Pty Limited</w:t>
      </w:r>
    </w:p>
    <w:p w14:paraId="7DE41ADD" w14:textId="77777777" w:rsidR="000C733A" w:rsidRPr="009D6881" w:rsidRDefault="000C733A" w:rsidP="000C733A">
      <w:pPr>
        <w:rPr>
          <w:color w:val="000000"/>
          <w:lang w:val="en-GB"/>
        </w:rPr>
      </w:pPr>
      <w:r w:rsidRPr="009D6881">
        <w:rPr>
          <w:color w:val="000000"/>
          <w:lang w:val="en-GB"/>
        </w:rPr>
        <w:t>ABN 70 000 132 865</w:t>
      </w:r>
    </w:p>
    <w:p w14:paraId="32E78AF2" w14:textId="77777777" w:rsidR="000C733A" w:rsidRPr="009D6881" w:rsidRDefault="000C733A" w:rsidP="000C733A">
      <w:pPr>
        <w:rPr>
          <w:color w:val="000000"/>
          <w:lang w:val="en-GB"/>
        </w:rPr>
      </w:pPr>
      <w:r w:rsidRPr="009D6881">
        <w:rPr>
          <w:color w:val="000000"/>
          <w:lang w:val="en-GB"/>
        </w:rPr>
        <w:t>4-10 Inman Road</w:t>
      </w:r>
    </w:p>
    <w:p w14:paraId="77CA26B9" w14:textId="77777777" w:rsidR="000C733A" w:rsidRPr="009D6881" w:rsidRDefault="000C733A" w:rsidP="000C733A">
      <w:pPr>
        <w:rPr>
          <w:color w:val="000000"/>
          <w:lang w:val="en-GB"/>
        </w:rPr>
      </w:pPr>
      <w:r w:rsidRPr="009D6881">
        <w:rPr>
          <w:color w:val="000000"/>
          <w:lang w:val="en-GB"/>
        </w:rPr>
        <w:t>Dee Why NSW 2099</w:t>
      </w:r>
    </w:p>
    <w:p w14:paraId="213C8BFB" w14:textId="77777777" w:rsidR="000C733A" w:rsidRPr="009D6881" w:rsidRDefault="000C733A" w:rsidP="000C733A">
      <w:pPr>
        <w:rPr>
          <w:color w:val="000000"/>
          <w:lang w:val="en-GB"/>
        </w:rPr>
      </w:pPr>
      <w:r w:rsidRPr="009D6881">
        <w:rPr>
          <w:color w:val="000000"/>
          <w:lang w:val="en-GB"/>
        </w:rPr>
        <w:t>AUSTRALIA</w:t>
      </w:r>
    </w:p>
    <w:p w14:paraId="2AD2F0EE" w14:textId="77777777" w:rsidR="000C733A" w:rsidRPr="009D6881" w:rsidRDefault="000C733A" w:rsidP="000C733A">
      <w:pPr>
        <w:rPr>
          <w:color w:val="000000"/>
          <w:lang w:val="en-GB"/>
        </w:rPr>
      </w:pPr>
      <w:r w:rsidRPr="009D6881">
        <w:rPr>
          <w:color w:val="000000"/>
          <w:lang w:val="en-GB"/>
        </w:rPr>
        <w:t>Medical enquiries: 1800 233 950</w:t>
      </w:r>
    </w:p>
    <w:p w14:paraId="3375B3B1" w14:textId="77777777" w:rsidR="00D844B2" w:rsidRPr="009D6881" w:rsidRDefault="00D844B2" w:rsidP="00AE74F3">
      <w:pPr>
        <w:pStyle w:val="Heading1"/>
        <w:rPr>
          <w:rFonts w:hint="eastAsia"/>
        </w:rPr>
      </w:pPr>
      <w:r w:rsidRPr="009D6881">
        <w:lastRenderedPageBreak/>
        <w:t>Poison Schedule of the medicine</w:t>
      </w:r>
    </w:p>
    <w:p w14:paraId="3375B3B2" w14:textId="6C66DCEB" w:rsidR="009B5E75" w:rsidRPr="009D6881" w:rsidRDefault="000C733A" w:rsidP="000C733A">
      <w:r w:rsidRPr="009D6881">
        <w:t xml:space="preserve">Schedule 4 – Prescription Only Medicine. </w:t>
      </w:r>
    </w:p>
    <w:p w14:paraId="3375B3B4" w14:textId="77777777" w:rsidR="00D844B2" w:rsidRPr="009D6881" w:rsidRDefault="00D844B2" w:rsidP="00AE74F3">
      <w:pPr>
        <w:pStyle w:val="Heading1"/>
        <w:rPr>
          <w:rFonts w:hint="eastAsia"/>
        </w:rPr>
      </w:pPr>
      <w:r w:rsidRPr="009D6881">
        <w:t>Date of first inclusion in the Australian Register of Therapeutic Goods (the ARTG)</w:t>
      </w:r>
    </w:p>
    <w:p w14:paraId="3375B3BC" w14:textId="435F7056" w:rsidR="00AA2523" w:rsidRPr="008763A3" w:rsidRDefault="002C383D" w:rsidP="00D844B2">
      <w:r>
        <w:t>27 July</w:t>
      </w:r>
      <w:r w:rsidR="002C086E">
        <w:t xml:space="preserve"> </w:t>
      </w:r>
      <w:r w:rsidR="000411A9" w:rsidRPr="009D6881">
        <w:t>2017</w:t>
      </w:r>
    </w:p>
    <w:sectPr w:rsidR="00AA2523" w:rsidRPr="008763A3" w:rsidSect="004A60B2">
      <w:headerReference w:type="default" r:id="rId16"/>
      <w:footerReference w:type="default" r:id="rId17"/>
      <w:pgSz w:w="11907" w:h="16839" w:code="9"/>
      <w:pgMar w:top="1418" w:right="1418" w:bottom="1418" w:left="1418"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5BD28" w14:textId="77777777" w:rsidR="00323485" w:rsidRDefault="00323485" w:rsidP="000471CA">
      <w:r>
        <w:separator/>
      </w:r>
    </w:p>
  </w:endnote>
  <w:endnote w:type="continuationSeparator" w:id="0">
    <w:p w14:paraId="256C613E" w14:textId="77777777" w:rsidR="00323485" w:rsidRDefault="00323485" w:rsidP="0004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inion">
    <w:altName w:val="Minion Pro"/>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5B3C2" w14:textId="335C0480" w:rsidR="00323485" w:rsidRDefault="00323485" w:rsidP="00DA1628">
    <w:pPr>
      <w:pStyle w:val="Footer"/>
      <w:pBdr>
        <w:top w:val="single" w:sz="4" w:space="1" w:color="auto"/>
      </w:pBdr>
      <w:tabs>
        <w:tab w:val="clear" w:pos="4513"/>
        <w:tab w:val="clear" w:pos="9026"/>
        <w:tab w:val="right" w:pos="9072"/>
      </w:tabs>
      <w:rPr>
        <w:color w:val="000000"/>
        <w:sz w:val="16"/>
        <w:szCs w:val="16"/>
      </w:rPr>
    </w:pPr>
    <w:r>
      <w:rPr>
        <w:color w:val="000000"/>
        <w:sz w:val="16"/>
        <w:szCs w:val="16"/>
      </w:rPr>
      <w:t>Tecentriq</w:t>
    </w:r>
    <w:r w:rsidRPr="00DA1628">
      <w:rPr>
        <w:color w:val="000000"/>
        <w:sz w:val="16"/>
        <w:szCs w:val="16"/>
        <w:vertAlign w:val="superscript"/>
      </w:rPr>
      <w:sym w:font="Symbol" w:char="F0D2"/>
    </w:r>
    <w:r w:rsidRPr="00DA1628">
      <w:rPr>
        <w:color w:val="000000"/>
        <w:sz w:val="16"/>
        <w:szCs w:val="16"/>
      </w:rPr>
      <w:t xml:space="preserve"> </w:t>
    </w:r>
    <w:r w:rsidR="00810F00">
      <w:rPr>
        <w:color w:val="000000"/>
        <w:sz w:val="16"/>
        <w:szCs w:val="16"/>
      </w:rPr>
      <w:t>170724</w:t>
    </w:r>
    <w:r w:rsidRPr="00DA1628">
      <w:rPr>
        <w:color w:val="000000"/>
        <w:sz w:val="16"/>
        <w:szCs w:val="16"/>
      </w:rPr>
      <w:tab/>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843AB6">
      <w:rPr>
        <w:noProof/>
        <w:color w:val="000000"/>
        <w:sz w:val="16"/>
        <w:szCs w:val="16"/>
      </w:rPr>
      <w:t>17</w:t>
    </w:r>
    <w:r w:rsidRPr="00DA1628">
      <w:rPr>
        <w:color w:val="000000"/>
        <w:sz w:val="16"/>
        <w:szCs w:val="16"/>
      </w:rPr>
      <w:fldChar w:fldCharType="end"/>
    </w:r>
  </w:p>
  <w:p w14:paraId="3375B3C3" w14:textId="77777777" w:rsidR="00323485" w:rsidRPr="00DA1628" w:rsidRDefault="00323485" w:rsidP="00DA1628">
    <w:pPr>
      <w:pStyle w:val="Footer"/>
      <w:pBdr>
        <w:top w:val="single" w:sz="4" w:space="1" w:color="auto"/>
      </w:pBdr>
      <w:tabs>
        <w:tab w:val="clear" w:pos="4513"/>
        <w:tab w:val="clear" w:pos="9026"/>
        <w:tab w:val="right" w:pos="9072"/>
      </w:tabs>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F7F47B" w14:textId="77777777" w:rsidR="00323485" w:rsidRDefault="00323485" w:rsidP="000471CA">
      <w:r>
        <w:separator/>
      </w:r>
    </w:p>
  </w:footnote>
  <w:footnote w:type="continuationSeparator" w:id="0">
    <w:p w14:paraId="06DBDD91" w14:textId="77777777" w:rsidR="00323485" w:rsidRDefault="00323485" w:rsidP="0004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843AB6" w:rsidRPr="002E7F61" w14:paraId="1EB05F75" w14:textId="77777777" w:rsidTr="00FC498E">
      <w:trPr>
        <w:trHeight w:val="602"/>
      </w:trPr>
      <w:tc>
        <w:tcPr>
          <w:tcW w:w="8720" w:type="dxa"/>
          <w:shd w:val="clear" w:color="auto" w:fill="E4F2E0"/>
        </w:tcPr>
        <w:p w14:paraId="3FB835A5" w14:textId="77777777" w:rsidR="00843AB6" w:rsidRPr="00241A6A" w:rsidRDefault="00843AB6" w:rsidP="00FC498E">
          <w:pPr>
            <w:pStyle w:val="Footer"/>
            <w:rPr>
              <w:b/>
              <w:sz w:val="18"/>
              <w:szCs w:val="18"/>
            </w:rPr>
          </w:pPr>
          <w:r w:rsidRPr="002E7F61">
            <w:rPr>
              <w:b/>
              <w:sz w:val="18"/>
              <w:szCs w:val="18"/>
            </w:rPr>
            <w:t xml:space="preserve">Attachment 1: Product information for </w:t>
          </w:r>
          <w:r w:rsidRPr="00241A6A">
            <w:rPr>
              <w:b/>
              <w:sz w:val="18"/>
              <w:szCs w:val="18"/>
            </w:rPr>
            <w:t>AusPAR Tecentriq Roche Products Pty Ltd PM-2016-02087-1-4</w:t>
          </w:r>
        </w:p>
        <w:p w14:paraId="18EEDD66" w14:textId="77777777" w:rsidR="00843AB6" w:rsidRPr="002E7F61" w:rsidRDefault="00843AB6" w:rsidP="00FC498E">
          <w:pPr>
            <w:pStyle w:val="Footer"/>
            <w:rPr>
              <w:b/>
              <w:sz w:val="18"/>
              <w:szCs w:val="18"/>
            </w:rPr>
          </w:pPr>
          <w:r w:rsidRPr="00241A6A">
            <w:rPr>
              <w:b/>
              <w:sz w:val="18"/>
              <w:szCs w:val="18"/>
            </w:rPr>
            <w:t>Final 3 September 2018</w:t>
          </w:r>
          <w:r w:rsidRPr="002E7F61">
            <w:rPr>
              <w:b/>
              <w:sz w:val="18"/>
              <w:szCs w:val="18"/>
            </w:rPr>
            <w:t>. This Product information was approved at the time this AusPAR was published.</w:t>
          </w:r>
        </w:p>
      </w:tc>
    </w:tr>
  </w:tbl>
  <w:p w14:paraId="3375B3C1" w14:textId="506563AC" w:rsidR="00323485" w:rsidRPr="000471CA" w:rsidRDefault="00323485" w:rsidP="000471CA">
    <w:pPr>
      <w:pStyle w:val="Header"/>
      <w:jc w:val="right"/>
      <w:rPr>
        <w:sz w:val="52"/>
        <w:szCs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6F4EE6"/>
    <w:multiLevelType w:val="hybridMultilevel"/>
    <w:tmpl w:val="364454C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D02695"/>
    <w:multiLevelType w:val="hybridMultilevel"/>
    <w:tmpl w:val="C6D80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31759D"/>
    <w:multiLevelType w:val="hybridMultilevel"/>
    <w:tmpl w:val="39A2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9C67C3E"/>
    <w:multiLevelType w:val="hybridMultilevel"/>
    <w:tmpl w:val="CF6AB2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634936"/>
    <w:multiLevelType w:val="hybridMultilevel"/>
    <w:tmpl w:val="AF6A0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5DA1D10"/>
    <w:multiLevelType w:val="hybridMultilevel"/>
    <w:tmpl w:val="3A682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767E7A"/>
    <w:multiLevelType w:val="hybridMultilevel"/>
    <w:tmpl w:val="C806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73F7F0B"/>
    <w:multiLevelType w:val="hybridMultilevel"/>
    <w:tmpl w:val="186A0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B176C4C"/>
    <w:multiLevelType w:val="hybridMultilevel"/>
    <w:tmpl w:val="1914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E98673C"/>
    <w:multiLevelType w:val="hybridMultilevel"/>
    <w:tmpl w:val="98B28E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2850546"/>
    <w:multiLevelType w:val="hybridMultilevel"/>
    <w:tmpl w:val="1874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1124AA"/>
    <w:multiLevelType w:val="hybridMultilevel"/>
    <w:tmpl w:val="DB6A26B8"/>
    <w:lvl w:ilvl="0" w:tplc="D9CABD1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6C4557C"/>
    <w:multiLevelType w:val="hybridMultilevel"/>
    <w:tmpl w:val="575AA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9536DF"/>
    <w:multiLevelType w:val="hybridMultilevel"/>
    <w:tmpl w:val="407C3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989245C"/>
    <w:multiLevelType w:val="hybridMultilevel"/>
    <w:tmpl w:val="0A8282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99208EB"/>
    <w:multiLevelType w:val="hybridMultilevel"/>
    <w:tmpl w:val="820201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C4050C0"/>
    <w:multiLevelType w:val="hybridMultilevel"/>
    <w:tmpl w:val="4B36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C1342F"/>
    <w:multiLevelType w:val="hybridMultilevel"/>
    <w:tmpl w:val="49C0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5517558"/>
    <w:multiLevelType w:val="hybridMultilevel"/>
    <w:tmpl w:val="5A82A5A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B52399F"/>
    <w:multiLevelType w:val="hybridMultilevel"/>
    <w:tmpl w:val="74F67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D115B1A"/>
    <w:multiLevelType w:val="hybridMultilevel"/>
    <w:tmpl w:val="74EE6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5"/>
  </w:num>
  <w:num w:numId="4">
    <w:abstractNumId w:val="11"/>
  </w:num>
  <w:num w:numId="5">
    <w:abstractNumId w:val="8"/>
  </w:num>
  <w:num w:numId="6">
    <w:abstractNumId w:val="19"/>
  </w:num>
  <w:num w:numId="7">
    <w:abstractNumId w:val="31"/>
  </w:num>
  <w:num w:numId="8">
    <w:abstractNumId w:val="0"/>
  </w:num>
  <w:num w:numId="9">
    <w:abstractNumId w:val="26"/>
  </w:num>
  <w:num w:numId="10">
    <w:abstractNumId w:val="7"/>
  </w:num>
  <w:num w:numId="11">
    <w:abstractNumId w:val="12"/>
  </w:num>
  <w:num w:numId="12">
    <w:abstractNumId w:val="6"/>
  </w:num>
  <w:num w:numId="13">
    <w:abstractNumId w:val="16"/>
  </w:num>
  <w:num w:numId="14">
    <w:abstractNumId w:val="28"/>
  </w:num>
  <w:num w:numId="15">
    <w:abstractNumId w:val="14"/>
  </w:num>
  <w:num w:numId="16">
    <w:abstractNumId w:val="22"/>
  </w:num>
  <w:num w:numId="17">
    <w:abstractNumId w:val="10"/>
  </w:num>
  <w:num w:numId="18">
    <w:abstractNumId w:val="4"/>
  </w:num>
  <w:num w:numId="19">
    <w:abstractNumId w:val="17"/>
  </w:num>
  <w:num w:numId="20">
    <w:abstractNumId w:val="27"/>
  </w:num>
  <w:num w:numId="21">
    <w:abstractNumId w:val="2"/>
  </w:num>
  <w:num w:numId="22">
    <w:abstractNumId w:val="9"/>
  </w:num>
  <w:num w:numId="23">
    <w:abstractNumId w:val="30"/>
  </w:num>
  <w:num w:numId="24">
    <w:abstractNumId w:val="18"/>
  </w:num>
  <w:num w:numId="25">
    <w:abstractNumId w:val="20"/>
  </w:num>
  <w:num w:numId="26">
    <w:abstractNumId w:val="21"/>
  </w:num>
  <w:num w:numId="27">
    <w:abstractNumId w:val="5"/>
  </w:num>
  <w:num w:numId="28">
    <w:abstractNumId w:val="13"/>
  </w:num>
  <w:num w:numId="29">
    <w:abstractNumId w:val="23"/>
  </w:num>
  <w:num w:numId="30">
    <w:abstractNumId w:val="29"/>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D1"/>
    <w:rsid w:val="00001819"/>
    <w:rsid w:val="00006290"/>
    <w:rsid w:val="00011A92"/>
    <w:rsid w:val="00014093"/>
    <w:rsid w:val="00016089"/>
    <w:rsid w:val="00016A38"/>
    <w:rsid w:val="00016B64"/>
    <w:rsid w:val="00021CD9"/>
    <w:rsid w:val="00025CD9"/>
    <w:rsid w:val="00030023"/>
    <w:rsid w:val="00034CAB"/>
    <w:rsid w:val="000411A9"/>
    <w:rsid w:val="000471CA"/>
    <w:rsid w:val="00050810"/>
    <w:rsid w:val="000555D2"/>
    <w:rsid w:val="00057A1E"/>
    <w:rsid w:val="0006081E"/>
    <w:rsid w:val="0006099C"/>
    <w:rsid w:val="00060A09"/>
    <w:rsid w:val="000639EF"/>
    <w:rsid w:val="00075523"/>
    <w:rsid w:val="00075D74"/>
    <w:rsid w:val="000801FC"/>
    <w:rsid w:val="00081A9E"/>
    <w:rsid w:val="000823AB"/>
    <w:rsid w:val="00091632"/>
    <w:rsid w:val="00091CCE"/>
    <w:rsid w:val="00093012"/>
    <w:rsid w:val="000A590E"/>
    <w:rsid w:val="000B118C"/>
    <w:rsid w:val="000C1668"/>
    <w:rsid w:val="000C733A"/>
    <w:rsid w:val="000E4C61"/>
    <w:rsid w:val="000E7845"/>
    <w:rsid w:val="000F14F0"/>
    <w:rsid w:val="000F489A"/>
    <w:rsid w:val="000F4F4D"/>
    <w:rsid w:val="000F570B"/>
    <w:rsid w:val="001017B5"/>
    <w:rsid w:val="00103365"/>
    <w:rsid w:val="0011064F"/>
    <w:rsid w:val="00111014"/>
    <w:rsid w:val="001323D6"/>
    <w:rsid w:val="00133094"/>
    <w:rsid w:val="00133874"/>
    <w:rsid w:val="001467C3"/>
    <w:rsid w:val="00151FA9"/>
    <w:rsid w:val="001568CD"/>
    <w:rsid w:val="00156EAB"/>
    <w:rsid w:val="001570D6"/>
    <w:rsid w:val="00166394"/>
    <w:rsid w:val="00173738"/>
    <w:rsid w:val="001743DF"/>
    <w:rsid w:val="00196327"/>
    <w:rsid w:val="001A0AFD"/>
    <w:rsid w:val="001A2A2E"/>
    <w:rsid w:val="001B3C8D"/>
    <w:rsid w:val="001B79FD"/>
    <w:rsid w:val="001C00FE"/>
    <w:rsid w:val="001C077E"/>
    <w:rsid w:val="001D20DA"/>
    <w:rsid w:val="001D6D19"/>
    <w:rsid w:val="001D7191"/>
    <w:rsid w:val="001E003D"/>
    <w:rsid w:val="001E3F18"/>
    <w:rsid w:val="001F2681"/>
    <w:rsid w:val="00202A1D"/>
    <w:rsid w:val="00214C55"/>
    <w:rsid w:val="00216FC4"/>
    <w:rsid w:val="00217798"/>
    <w:rsid w:val="002217EA"/>
    <w:rsid w:val="002337CF"/>
    <w:rsid w:val="00234B37"/>
    <w:rsid w:val="00237C72"/>
    <w:rsid w:val="00241723"/>
    <w:rsid w:val="00243283"/>
    <w:rsid w:val="00251192"/>
    <w:rsid w:val="002527B3"/>
    <w:rsid w:val="00257AE3"/>
    <w:rsid w:val="00261935"/>
    <w:rsid w:val="00266F4D"/>
    <w:rsid w:val="00280E74"/>
    <w:rsid w:val="00290A73"/>
    <w:rsid w:val="002941AD"/>
    <w:rsid w:val="00295A75"/>
    <w:rsid w:val="002977B2"/>
    <w:rsid w:val="002A7E07"/>
    <w:rsid w:val="002B5C8D"/>
    <w:rsid w:val="002C086E"/>
    <w:rsid w:val="002C371B"/>
    <w:rsid w:val="002C383D"/>
    <w:rsid w:val="002C7EA8"/>
    <w:rsid w:val="002D79FB"/>
    <w:rsid w:val="002E0E86"/>
    <w:rsid w:val="002E4C14"/>
    <w:rsid w:val="002E5520"/>
    <w:rsid w:val="002F5744"/>
    <w:rsid w:val="002F709C"/>
    <w:rsid w:val="003073BE"/>
    <w:rsid w:val="003116AA"/>
    <w:rsid w:val="0031230D"/>
    <w:rsid w:val="00312E44"/>
    <w:rsid w:val="003146C3"/>
    <w:rsid w:val="00315710"/>
    <w:rsid w:val="0031734C"/>
    <w:rsid w:val="00321196"/>
    <w:rsid w:val="00323485"/>
    <w:rsid w:val="003239B6"/>
    <w:rsid w:val="003427AF"/>
    <w:rsid w:val="00346F9C"/>
    <w:rsid w:val="003500D2"/>
    <w:rsid w:val="00355E56"/>
    <w:rsid w:val="003604FE"/>
    <w:rsid w:val="00360A8C"/>
    <w:rsid w:val="003611AF"/>
    <w:rsid w:val="00365CED"/>
    <w:rsid w:val="00367839"/>
    <w:rsid w:val="00370474"/>
    <w:rsid w:val="0037355E"/>
    <w:rsid w:val="003756E1"/>
    <w:rsid w:val="00375C61"/>
    <w:rsid w:val="00377A7E"/>
    <w:rsid w:val="00382276"/>
    <w:rsid w:val="003823F2"/>
    <w:rsid w:val="003830A3"/>
    <w:rsid w:val="00385F31"/>
    <w:rsid w:val="0039291E"/>
    <w:rsid w:val="003A2476"/>
    <w:rsid w:val="003A543B"/>
    <w:rsid w:val="003B2F5D"/>
    <w:rsid w:val="003B439B"/>
    <w:rsid w:val="003C120F"/>
    <w:rsid w:val="003C54BE"/>
    <w:rsid w:val="003D30EF"/>
    <w:rsid w:val="003E0017"/>
    <w:rsid w:val="003E0103"/>
    <w:rsid w:val="003E0209"/>
    <w:rsid w:val="003E2212"/>
    <w:rsid w:val="003E2F6C"/>
    <w:rsid w:val="003E320C"/>
    <w:rsid w:val="003F3C82"/>
    <w:rsid w:val="003F645B"/>
    <w:rsid w:val="00420F9A"/>
    <w:rsid w:val="004236B2"/>
    <w:rsid w:val="004239CC"/>
    <w:rsid w:val="00441397"/>
    <w:rsid w:val="0044613F"/>
    <w:rsid w:val="0044709B"/>
    <w:rsid w:val="00452D58"/>
    <w:rsid w:val="00456C12"/>
    <w:rsid w:val="00457C32"/>
    <w:rsid w:val="00460B7A"/>
    <w:rsid w:val="00461F7F"/>
    <w:rsid w:val="00464A63"/>
    <w:rsid w:val="004734F3"/>
    <w:rsid w:val="00493F64"/>
    <w:rsid w:val="00495928"/>
    <w:rsid w:val="00497437"/>
    <w:rsid w:val="004A0020"/>
    <w:rsid w:val="004A46F6"/>
    <w:rsid w:val="004A60B2"/>
    <w:rsid w:val="004A7B8A"/>
    <w:rsid w:val="004C03E2"/>
    <w:rsid w:val="004C69E1"/>
    <w:rsid w:val="004C6F15"/>
    <w:rsid w:val="004D0048"/>
    <w:rsid w:val="004D36F7"/>
    <w:rsid w:val="004E3035"/>
    <w:rsid w:val="004E58A5"/>
    <w:rsid w:val="004F06F8"/>
    <w:rsid w:val="004F0793"/>
    <w:rsid w:val="004F2A9B"/>
    <w:rsid w:val="004F44E3"/>
    <w:rsid w:val="004F45AA"/>
    <w:rsid w:val="00504053"/>
    <w:rsid w:val="00505E00"/>
    <w:rsid w:val="00506798"/>
    <w:rsid w:val="005071B6"/>
    <w:rsid w:val="00510D75"/>
    <w:rsid w:val="00513E82"/>
    <w:rsid w:val="0052165C"/>
    <w:rsid w:val="005270A8"/>
    <w:rsid w:val="005315BB"/>
    <w:rsid w:val="00544A93"/>
    <w:rsid w:val="005469A1"/>
    <w:rsid w:val="005512E8"/>
    <w:rsid w:val="00551E7E"/>
    <w:rsid w:val="00553CE7"/>
    <w:rsid w:val="00561047"/>
    <w:rsid w:val="00567D6F"/>
    <w:rsid w:val="005709D4"/>
    <w:rsid w:val="00593FB8"/>
    <w:rsid w:val="005942FC"/>
    <w:rsid w:val="0059476A"/>
    <w:rsid w:val="005971FA"/>
    <w:rsid w:val="00597C87"/>
    <w:rsid w:val="00597F39"/>
    <w:rsid w:val="005A3F14"/>
    <w:rsid w:val="005B6021"/>
    <w:rsid w:val="005D2E80"/>
    <w:rsid w:val="005E6502"/>
    <w:rsid w:val="005E6A93"/>
    <w:rsid w:val="005E6CDE"/>
    <w:rsid w:val="005F686B"/>
    <w:rsid w:val="005F7F62"/>
    <w:rsid w:val="00600320"/>
    <w:rsid w:val="00607169"/>
    <w:rsid w:val="006127B9"/>
    <w:rsid w:val="0061350B"/>
    <w:rsid w:val="00613DB5"/>
    <w:rsid w:val="0061432A"/>
    <w:rsid w:val="00636006"/>
    <w:rsid w:val="006437DB"/>
    <w:rsid w:val="00651C35"/>
    <w:rsid w:val="00655A25"/>
    <w:rsid w:val="00676ECC"/>
    <w:rsid w:val="00677666"/>
    <w:rsid w:val="00680977"/>
    <w:rsid w:val="006816CB"/>
    <w:rsid w:val="00687074"/>
    <w:rsid w:val="00687181"/>
    <w:rsid w:val="006902FD"/>
    <w:rsid w:val="006A0D1C"/>
    <w:rsid w:val="006A1664"/>
    <w:rsid w:val="006A51BA"/>
    <w:rsid w:val="006B7E1B"/>
    <w:rsid w:val="006C37A3"/>
    <w:rsid w:val="006C3EBB"/>
    <w:rsid w:val="006C5002"/>
    <w:rsid w:val="006C5768"/>
    <w:rsid w:val="006C7055"/>
    <w:rsid w:val="006D0C31"/>
    <w:rsid w:val="006D264D"/>
    <w:rsid w:val="006D40FF"/>
    <w:rsid w:val="006E0A55"/>
    <w:rsid w:val="006E4BDA"/>
    <w:rsid w:val="006F06BE"/>
    <w:rsid w:val="006F3108"/>
    <w:rsid w:val="00701443"/>
    <w:rsid w:val="007055F7"/>
    <w:rsid w:val="007103AF"/>
    <w:rsid w:val="00710BDD"/>
    <w:rsid w:val="00720925"/>
    <w:rsid w:val="00726AA6"/>
    <w:rsid w:val="00733592"/>
    <w:rsid w:val="00737921"/>
    <w:rsid w:val="00740CC5"/>
    <w:rsid w:val="00745326"/>
    <w:rsid w:val="00757057"/>
    <w:rsid w:val="007577C1"/>
    <w:rsid w:val="00757E2A"/>
    <w:rsid w:val="0076068B"/>
    <w:rsid w:val="00761783"/>
    <w:rsid w:val="007641AE"/>
    <w:rsid w:val="00773976"/>
    <w:rsid w:val="00773E18"/>
    <w:rsid w:val="007920E3"/>
    <w:rsid w:val="00793677"/>
    <w:rsid w:val="00794B40"/>
    <w:rsid w:val="00797140"/>
    <w:rsid w:val="007A15DC"/>
    <w:rsid w:val="007A3D55"/>
    <w:rsid w:val="007A481C"/>
    <w:rsid w:val="007A6128"/>
    <w:rsid w:val="007B06C7"/>
    <w:rsid w:val="007B46D6"/>
    <w:rsid w:val="007C038F"/>
    <w:rsid w:val="007D58DB"/>
    <w:rsid w:val="007E4039"/>
    <w:rsid w:val="007E7871"/>
    <w:rsid w:val="007F6DA6"/>
    <w:rsid w:val="00806CAB"/>
    <w:rsid w:val="00807F0B"/>
    <w:rsid w:val="00810F00"/>
    <w:rsid w:val="008135CD"/>
    <w:rsid w:val="00813F84"/>
    <w:rsid w:val="00815E47"/>
    <w:rsid w:val="00825F66"/>
    <w:rsid w:val="00831695"/>
    <w:rsid w:val="00832E6D"/>
    <w:rsid w:val="00835628"/>
    <w:rsid w:val="0084037B"/>
    <w:rsid w:val="00840DC0"/>
    <w:rsid w:val="008419B4"/>
    <w:rsid w:val="008421D9"/>
    <w:rsid w:val="00843AB6"/>
    <w:rsid w:val="00846667"/>
    <w:rsid w:val="0084792F"/>
    <w:rsid w:val="0085198F"/>
    <w:rsid w:val="008524BA"/>
    <w:rsid w:val="008526BE"/>
    <w:rsid w:val="00856811"/>
    <w:rsid w:val="0086266B"/>
    <w:rsid w:val="0086541B"/>
    <w:rsid w:val="00874AB1"/>
    <w:rsid w:val="00874F31"/>
    <w:rsid w:val="0087768E"/>
    <w:rsid w:val="008863CE"/>
    <w:rsid w:val="008906E9"/>
    <w:rsid w:val="00891E05"/>
    <w:rsid w:val="00892643"/>
    <w:rsid w:val="008962E2"/>
    <w:rsid w:val="008A77BA"/>
    <w:rsid w:val="008B5E13"/>
    <w:rsid w:val="008C1E5E"/>
    <w:rsid w:val="008C4322"/>
    <w:rsid w:val="008C453A"/>
    <w:rsid w:val="008C51D1"/>
    <w:rsid w:val="008C70BA"/>
    <w:rsid w:val="008D067A"/>
    <w:rsid w:val="008D3F49"/>
    <w:rsid w:val="008D4411"/>
    <w:rsid w:val="008E307C"/>
    <w:rsid w:val="008E3CDD"/>
    <w:rsid w:val="008E64D2"/>
    <w:rsid w:val="008E74A1"/>
    <w:rsid w:val="008E75B2"/>
    <w:rsid w:val="008F536E"/>
    <w:rsid w:val="00905CF1"/>
    <w:rsid w:val="00917B5D"/>
    <w:rsid w:val="00927DDD"/>
    <w:rsid w:val="00940101"/>
    <w:rsid w:val="00941973"/>
    <w:rsid w:val="00944DF1"/>
    <w:rsid w:val="009504AA"/>
    <w:rsid w:val="009739C4"/>
    <w:rsid w:val="00983638"/>
    <w:rsid w:val="0099290D"/>
    <w:rsid w:val="00993858"/>
    <w:rsid w:val="00996283"/>
    <w:rsid w:val="00997FE2"/>
    <w:rsid w:val="009A6048"/>
    <w:rsid w:val="009B2A96"/>
    <w:rsid w:val="009B34B8"/>
    <w:rsid w:val="009B36A0"/>
    <w:rsid w:val="009B5E75"/>
    <w:rsid w:val="009D015F"/>
    <w:rsid w:val="009D073C"/>
    <w:rsid w:val="009D56A2"/>
    <w:rsid w:val="009D6881"/>
    <w:rsid w:val="009D6DE6"/>
    <w:rsid w:val="009D7888"/>
    <w:rsid w:val="009E18BE"/>
    <w:rsid w:val="009E228E"/>
    <w:rsid w:val="009E27E0"/>
    <w:rsid w:val="009F0601"/>
    <w:rsid w:val="009F79C3"/>
    <w:rsid w:val="00A02280"/>
    <w:rsid w:val="00A02B00"/>
    <w:rsid w:val="00A03144"/>
    <w:rsid w:val="00A070B9"/>
    <w:rsid w:val="00A22836"/>
    <w:rsid w:val="00A26B22"/>
    <w:rsid w:val="00A27264"/>
    <w:rsid w:val="00A31B99"/>
    <w:rsid w:val="00A32C29"/>
    <w:rsid w:val="00A367A4"/>
    <w:rsid w:val="00A4073A"/>
    <w:rsid w:val="00A4553E"/>
    <w:rsid w:val="00A45DEB"/>
    <w:rsid w:val="00A613AE"/>
    <w:rsid w:val="00A62FB2"/>
    <w:rsid w:val="00A65B53"/>
    <w:rsid w:val="00A66928"/>
    <w:rsid w:val="00A8763A"/>
    <w:rsid w:val="00A94356"/>
    <w:rsid w:val="00A97309"/>
    <w:rsid w:val="00AA134F"/>
    <w:rsid w:val="00AA2523"/>
    <w:rsid w:val="00AA32FF"/>
    <w:rsid w:val="00AB073C"/>
    <w:rsid w:val="00AB540A"/>
    <w:rsid w:val="00AB6960"/>
    <w:rsid w:val="00AC080A"/>
    <w:rsid w:val="00AC5083"/>
    <w:rsid w:val="00AC54C4"/>
    <w:rsid w:val="00AD0EEC"/>
    <w:rsid w:val="00AD52E8"/>
    <w:rsid w:val="00AD5F99"/>
    <w:rsid w:val="00AD7229"/>
    <w:rsid w:val="00AE3B22"/>
    <w:rsid w:val="00AE495D"/>
    <w:rsid w:val="00AE5426"/>
    <w:rsid w:val="00AE74F3"/>
    <w:rsid w:val="00AF3699"/>
    <w:rsid w:val="00AF6272"/>
    <w:rsid w:val="00B06309"/>
    <w:rsid w:val="00B134A2"/>
    <w:rsid w:val="00B22810"/>
    <w:rsid w:val="00B22919"/>
    <w:rsid w:val="00B33FF7"/>
    <w:rsid w:val="00B43745"/>
    <w:rsid w:val="00B458B7"/>
    <w:rsid w:val="00B475FA"/>
    <w:rsid w:val="00B47A80"/>
    <w:rsid w:val="00B54B42"/>
    <w:rsid w:val="00B64CAA"/>
    <w:rsid w:val="00B74041"/>
    <w:rsid w:val="00B76DF4"/>
    <w:rsid w:val="00B8044C"/>
    <w:rsid w:val="00B808CF"/>
    <w:rsid w:val="00B80CB9"/>
    <w:rsid w:val="00B81324"/>
    <w:rsid w:val="00B8229D"/>
    <w:rsid w:val="00B92A59"/>
    <w:rsid w:val="00BA746B"/>
    <w:rsid w:val="00BB049F"/>
    <w:rsid w:val="00BB05D8"/>
    <w:rsid w:val="00BB25EF"/>
    <w:rsid w:val="00BB392E"/>
    <w:rsid w:val="00BB6C0A"/>
    <w:rsid w:val="00BC2268"/>
    <w:rsid w:val="00BC2FBC"/>
    <w:rsid w:val="00BC7235"/>
    <w:rsid w:val="00BD5C80"/>
    <w:rsid w:val="00BD7248"/>
    <w:rsid w:val="00BF17F8"/>
    <w:rsid w:val="00BF5CF3"/>
    <w:rsid w:val="00C0520A"/>
    <w:rsid w:val="00C1027E"/>
    <w:rsid w:val="00C10E0A"/>
    <w:rsid w:val="00C14A24"/>
    <w:rsid w:val="00C17DDB"/>
    <w:rsid w:val="00C20111"/>
    <w:rsid w:val="00C26231"/>
    <w:rsid w:val="00C334E4"/>
    <w:rsid w:val="00C42428"/>
    <w:rsid w:val="00C5295D"/>
    <w:rsid w:val="00C565C7"/>
    <w:rsid w:val="00C64192"/>
    <w:rsid w:val="00C64903"/>
    <w:rsid w:val="00C64B35"/>
    <w:rsid w:val="00C65572"/>
    <w:rsid w:val="00C668D0"/>
    <w:rsid w:val="00C75385"/>
    <w:rsid w:val="00C75DF3"/>
    <w:rsid w:val="00C8257B"/>
    <w:rsid w:val="00C839A7"/>
    <w:rsid w:val="00C90201"/>
    <w:rsid w:val="00C92402"/>
    <w:rsid w:val="00CA304A"/>
    <w:rsid w:val="00CA3B0A"/>
    <w:rsid w:val="00CA7F69"/>
    <w:rsid w:val="00CC279E"/>
    <w:rsid w:val="00CC5853"/>
    <w:rsid w:val="00CD7154"/>
    <w:rsid w:val="00CE1EC7"/>
    <w:rsid w:val="00CF3480"/>
    <w:rsid w:val="00CF6097"/>
    <w:rsid w:val="00CF63C2"/>
    <w:rsid w:val="00D066A9"/>
    <w:rsid w:val="00D06712"/>
    <w:rsid w:val="00D25AC3"/>
    <w:rsid w:val="00D2712A"/>
    <w:rsid w:val="00D27178"/>
    <w:rsid w:val="00D27F0E"/>
    <w:rsid w:val="00D326E5"/>
    <w:rsid w:val="00D33ABF"/>
    <w:rsid w:val="00D35CBB"/>
    <w:rsid w:val="00D40F38"/>
    <w:rsid w:val="00D4196C"/>
    <w:rsid w:val="00D41C56"/>
    <w:rsid w:val="00D52D3C"/>
    <w:rsid w:val="00D5529F"/>
    <w:rsid w:val="00D561D7"/>
    <w:rsid w:val="00D67005"/>
    <w:rsid w:val="00D70E82"/>
    <w:rsid w:val="00D71F87"/>
    <w:rsid w:val="00D72B47"/>
    <w:rsid w:val="00D7335A"/>
    <w:rsid w:val="00D73E28"/>
    <w:rsid w:val="00D74142"/>
    <w:rsid w:val="00D8007B"/>
    <w:rsid w:val="00D81795"/>
    <w:rsid w:val="00D82134"/>
    <w:rsid w:val="00D844B2"/>
    <w:rsid w:val="00D86DB4"/>
    <w:rsid w:val="00D91814"/>
    <w:rsid w:val="00D96D49"/>
    <w:rsid w:val="00D97BEA"/>
    <w:rsid w:val="00DA09F3"/>
    <w:rsid w:val="00DA1628"/>
    <w:rsid w:val="00DA2C8F"/>
    <w:rsid w:val="00DB5BCD"/>
    <w:rsid w:val="00DB7AD8"/>
    <w:rsid w:val="00DC07B0"/>
    <w:rsid w:val="00DD0662"/>
    <w:rsid w:val="00DD2ED4"/>
    <w:rsid w:val="00DD684E"/>
    <w:rsid w:val="00DF0D5E"/>
    <w:rsid w:val="00DF0E9E"/>
    <w:rsid w:val="00DF1B94"/>
    <w:rsid w:val="00DF2E3E"/>
    <w:rsid w:val="00DF4804"/>
    <w:rsid w:val="00DF573D"/>
    <w:rsid w:val="00E02B4D"/>
    <w:rsid w:val="00E105E4"/>
    <w:rsid w:val="00E12A6C"/>
    <w:rsid w:val="00E12ACD"/>
    <w:rsid w:val="00E15513"/>
    <w:rsid w:val="00E167D1"/>
    <w:rsid w:val="00E22E50"/>
    <w:rsid w:val="00E238C5"/>
    <w:rsid w:val="00E2461C"/>
    <w:rsid w:val="00E375B7"/>
    <w:rsid w:val="00E446E4"/>
    <w:rsid w:val="00E50955"/>
    <w:rsid w:val="00E558C7"/>
    <w:rsid w:val="00E61D05"/>
    <w:rsid w:val="00E62E7A"/>
    <w:rsid w:val="00E656C9"/>
    <w:rsid w:val="00E66CEA"/>
    <w:rsid w:val="00E71CB0"/>
    <w:rsid w:val="00E77967"/>
    <w:rsid w:val="00E958F1"/>
    <w:rsid w:val="00EA294F"/>
    <w:rsid w:val="00EB1593"/>
    <w:rsid w:val="00EB2021"/>
    <w:rsid w:val="00EC33E9"/>
    <w:rsid w:val="00EC5C9A"/>
    <w:rsid w:val="00ED1FFD"/>
    <w:rsid w:val="00ED2266"/>
    <w:rsid w:val="00ED3AA5"/>
    <w:rsid w:val="00ED43CF"/>
    <w:rsid w:val="00EE2008"/>
    <w:rsid w:val="00EE2499"/>
    <w:rsid w:val="00F00713"/>
    <w:rsid w:val="00F03BF3"/>
    <w:rsid w:val="00F14714"/>
    <w:rsid w:val="00F243FB"/>
    <w:rsid w:val="00F25168"/>
    <w:rsid w:val="00F252E7"/>
    <w:rsid w:val="00F42704"/>
    <w:rsid w:val="00F50C16"/>
    <w:rsid w:val="00F530D3"/>
    <w:rsid w:val="00F57A49"/>
    <w:rsid w:val="00F60578"/>
    <w:rsid w:val="00F72466"/>
    <w:rsid w:val="00F75B3E"/>
    <w:rsid w:val="00F75D15"/>
    <w:rsid w:val="00F85B1C"/>
    <w:rsid w:val="00F95FFB"/>
    <w:rsid w:val="00FA09EB"/>
    <w:rsid w:val="00FA18F5"/>
    <w:rsid w:val="00FA743C"/>
    <w:rsid w:val="00FA7E8D"/>
    <w:rsid w:val="00FB1725"/>
    <w:rsid w:val="00FC6B8C"/>
    <w:rsid w:val="00FD1166"/>
    <w:rsid w:val="00FD2E00"/>
    <w:rsid w:val="00FD5820"/>
    <w:rsid w:val="00FD7A5B"/>
    <w:rsid w:val="00FE059F"/>
    <w:rsid w:val="00FE6B92"/>
    <w:rsid w:val="00FE78EF"/>
    <w:rsid w:val="00FF39A8"/>
    <w:rsid w:val="00FF42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37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016089"/>
    <w:p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016089"/>
    <w:p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016089"/>
    <w:pPr>
      <w:keepNext/>
      <w:keepLines/>
      <w:spacing w:before="240" w:after="60"/>
      <w:jc w:val="left"/>
      <w:outlineLvl w:val="2"/>
    </w:pPr>
    <w:rPr>
      <w:bCs/>
      <w:u w:val="single"/>
    </w:rPr>
  </w:style>
  <w:style w:type="paragraph" w:styleId="Heading4">
    <w:name w:val="heading 4"/>
    <w:basedOn w:val="Normal"/>
    <w:next w:val="Normal"/>
    <w:link w:val="Heading4Char"/>
    <w:uiPriority w:val="9"/>
    <w:unhideWhenUsed/>
    <w:qFormat/>
    <w:rsid w:val="003A543B"/>
    <w:pPr>
      <w:keepNext/>
      <w:keepLines/>
      <w:spacing w:before="240" w:after="60"/>
      <w:jc w:val="left"/>
      <w:outlineLvl w:val="3"/>
    </w:pPr>
    <w:rPr>
      <w:bCs/>
      <w:i/>
      <w:iCs/>
    </w:rPr>
  </w:style>
  <w:style w:type="paragraph" w:styleId="Heading5">
    <w:name w:val="heading 5"/>
    <w:basedOn w:val="Normal"/>
    <w:next w:val="Normal"/>
    <w:link w:val="Heading5Char"/>
    <w:uiPriority w:val="9"/>
    <w:unhideWhenUsed/>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016089"/>
    <w:rPr>
      <w:rFonts w:ascii="Times New Roman Bold" w:hAnsi="Times New Roman Bold"/>
      <w:b/>
      <w:bCs/>
      <w:caps/>
      <w:sz w:val="26"/>
      <w:szCs w:val="26"/>
      <w:lang w:val="en-GB"/>
    </w:rPr>
  </w:style>
  <w:style w:type="character" w:customStyle="1" w:styleId="Heading2Char">
    <w:name w:val="Heading 2 Char"/>
    <w:link w:val="Heading2"/>
    <w:uiPriority w:val="9"/>
    <w:rsid w:val="00016089"/>
    <w:rPr>
      <w:rFonts w:ascii="Times New Roman Bold" w:hAnsi="Times New Roman Bold"/>
      <w:b/>
      <w:bCs/>
      <w:i/>
      <w:sz w:val="24"/>
      <w:szCs w:val="22"/>
    </w:rPr>
  </w:style>
  <w:style w:type="character" w:customStyle="1" w:styleId="Heading3Char">
    <w:name w:val="Heading 3 Char"/>
    <w:link w:val="Heading3"/>
    <w:uiPriority w:val="9"/>
    <w:rsid w:val="00016089"/>
    <w:rPr>
      <w:rFonts w:ascii="Times New Roman" w:hAnsi="Times New Roman"/>
      <w:bCs/>
      <w:sz w:val="24"/>
      <w:szCs w:val="22"/>
      <w:u w:val="single"/>
    </w:rPr>
  </w:style>
  <w:style w:type="character" w:customStyle="1" w:styleId="Heading4Char">
    <w:name w:val="Heading 4 Char"/>
    <w:link w:val="Heading4"/>
    <w:uiPriority w:val="9"/>
    <w:rsid w:val="003A543B"/>
    <w:rPr>
      <w:rFonts w:ascii="Times New Roman" w:hAnsi="Times New Roman"/>
      <w:bCs/>
      <w:i/>
      <w:iCs/>
      <w:sz w:val="24"/>
      <w:szCs w:val="22"/>
      <w:lang w:eastAsia="zh-TW"/>
    </w:rPr>
  </w:style>
  <w:style w:type="character" w:customStyle="1" w:styleId="Heading5Char">
    <w:name w:val="Heading 5 Char"/>
    <w:link w:val="Heading5"/>
    <w:uiPriority w:val="9"/>
    <w:rsid w:val="00DD684E"/>
    <w:rPr>
      <w:rFonts w:ascii="Cambria" w:eastAsia="PMingLiU" w:hAnsi="Cambria" w:cs="Times New Roman"/>
      <w:color w:val="243F60"/>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nhideWhenUsed/>
    <w:rsid w:val="000471CA"/>
    <w:pPr>
      <w:tabs>
        <w:tab w:val="center" w:pos="4513"/>
        <w:tab w:val="right" w:pos="9026"/>
      </w:tabs>
    </w:pPr>
  </w:style>
  <w:style w:type="character" w:customStyle="1" w:styleId="FooterChar">
    <w:name w:val="Footer Char"/>
    <w:link w:val="Footer"/>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character" w:styleId="CommentReference">
    <w:name w:val="annotation reference"/>
    <w:unhideWhenUsed/>
    <w:rsid w:val="00AA134F"/>
    <w:rPr>
      <w:sz w:val="16"/>
      <w:szCs w:val="16"/>
    </w:rPr>
  </w:style>
  <w:style w:type="paragraph" w:styleId="CommentText">
    <w:name w:val="annotation text"/>
    <w:basedOn w:val="Normal"/>
    <w:link w:val="CommentTextChar"/>
    <w:uiPriority w:val="99"/>
    <w:unhideWhenUsed/>
    <w:rsid w:val="00AA134F"/>
    <w:rPr>
      <w:sz w:val="20"/>
      <w:szCs w:val="20"/>
    </w:rPr>
  </w:style>
  <w:style w:type="character" w:customStyle="1" w:styleId="CommentTextChar">
    <w:name w:val="Comment Text Char"/>
    <w:link w:val="CommentText"/>
    <w:uiPriority w:val="99"/>
    <w:rsid w:val="00AA134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134F"/>
    <w:rPr>
      <w:b/>
      <w:bCs/>
    </w:rPr>
  </w:style>
  <w:style w:type="character" w:customStyle="1" w:styleId="CommentSubjectChar">
    <w:name w:val="Comment Subject Char"/>
    <w:link w:val="CommentSubject"/>
    <w:uiPriority w:val="99"/>
    <w:semiHidden/>
    <w:rsid w:val="00AA134F"/>
    <w:rPr>
      <w:rFonts w:ascii="Times New Roman" w:hAnsi="Times New Roman"/>
      <w:b/>
      <w:bCs/>
    </w:rPr>
  </w:style>
  <w:style w:type="paragraph" w:styleId="Revision">
    <w:name w:val="Revision"/>
    <w:hidden/>
    <w:uiPriority w:val="99"/>
    <w:semiHidden/>
    <w:rsid w:val="000411A9"/>
    <w:rPr>
      <w:rFonts w:ascii="Times New Roman" w:hAnsi="Times New Roman"/>
      <w:sz w:val="24"/>
      <w:szCs w:val="22"/>
      <w:lang w:eastAsia="zh-TW"/>
    </w:rPr>
  </w:style>
  <w:style w:type="paragraph" w:customStyle="1" w:styleId="TableCell10Center">
    <w:name w:val="Table Cell 10 Center"/>
    <w:basedOn w:val="TableCell10Left"/>
    <w:link w:val="TableCell10CenterChar"/>
    <w:rsid w:val="009A6048"/>
    <w:pPr>
      <w:jc w:val="center"/>
    </w:pPr>
  </w:style>
  <w:style w:type="paragraph" w:customStyle="1" w:styleId="TableCell10Left">
    <w:name w:val="Table Cell 10 Left"/>
    <w:basedOn w:val="Normal"/>
    <w:link w:val="TableCell10LeftChar"/>
    <w:rsid w:val="009A6048"/>
    <w:pPr>
      <w:keepNext/>
      <w:keepLines/>
      <w:spacing w:before="50" w:after="50" w:line="240" w:lineRule="exact"/>
      <w:jc w:val="left"/>
    </w:pPr>
    <w:rPr>
      <w:rFonts w:ascii="Arial" w:eastAsia="SimSun" w:hAnsi="Arial"/>
      <w:sz w:val="20"/>
      <w:szCs w:val="24"/>
      <w:lang w:val="en-US" w:eastAsia="en-US"/>
    </w:rPr>
  </w:style>
  <w:style w:type="paragraph" w:customStyle="1" w:styleId="TabFigFooter">
    <w:name w:val="TabFig Footer"/>
    <w:basedOn w:val="Normal"/>
    <w:rsid w:val="009A6048"/>
    <w:pPr>
      <w:keepNext/>
      <w:keepLines/>
      <w:spacing w:before="40" w:line="240" w:lineRule="exact"/>
      <w:ind w:left="245" w:hanging="216"/>
      <w:jc w:val="left"/>
    </w:pPr>
    <w:rPr>
      <w:rFonts w:ascii="Arial" w:eastAsia="SimSun" w:hAnsi="Arial"/>
      <w:sz w:val="20"/>
      <w:szCs w:val="24"/>
      <w:lang w:val="en-US" w:eastAsia="en-US"/>
    </w:rPr>
  </w:style>
  <w:style w:type="character" w:customStyle="1" w:styleId="TableCell10LeftChar">
    <w:name w:val="Table Cell 10 Left Char"/>
    <w:link w:val="TableCell10Left"/>
    <w:rsid w:val="009A6048"/>
    <w:rPr>
      <w:rFonts w:ascii="Arial" w:eastAsia="SimSun" w:hAnsi="Arial"/>
      <w:szCs w:val="24"/>
      <w:lang w:val="en-US" w:eastAsia="en-US"/>
    </w:rPr>
  </w:style>
  <w:style w:type="character" w:customStyle="1" w:styleId="TableCell10CenterChar">
    <w:name w:val="Table Cell 10 Center Char"/>
    <w:link w:val="TableCell10Center"/>
    <w:locked/>
    <w:rsid w:val="009A6048"/>
    <w:rPr>
      <w:rFonts w:ascii="Arial" w:eastAsia="SimSun" w:hAnsi="Arial"/>
      <w:szCs w:val="24"/>
      <w:lang w:val="en-US" w:eastAsia="en-US"/>
    </w:rPr>
  </w:style>
  <w:style w:type="paragraph" w:customStyle="1" w:styleId="TableCellLeft">
    <w:name w:val="Table Cell Left"/>
    <w:basedOn w:val="Normal"/>
    <w:link w:val="TableCellLeftChar"/>
    <w:rsid w:val="009A6048"/>
    <w:pPr>
      <w:keepNext/>
      <w:keepLines/>
      <w:spacing w:before="50" w:after="50" w:line="240" w:lineRule="exact"/>
      <w:jc w:val="left"/>
    </w:pPr>
    <w:rPr>
      <w:rFonts w:ascii="Arial" w:eastAsia="Times New Roman" w:hAnsi="Arial"/>
      <w:sz w:val="20"/>
      <w:szCs w:val="20"/>
      <w:lang w:val="en-US" w:eastAsia="en-US"/>
    </w:rPr>
  </w:style>
  <w:style w:type="character" w:customStyle="1" w:styleId="TableCellLeftChar">
    <w:name w:val="Table Cell Left Char"/>
    <w:link w:val="TableCellLeft"/>
    <w:rsid w:val="009A6048"/>
    <w:rPr>
      <w:rFonts w:ascii="Arial" w:eastAsia="Times New Roman" w:hAnsi="Arial"/>
      <w:lang w:val="en-US" w:eastAsia="en-US"/>
    </w:rPr>
  </w:style>
  <w:style w:type="paragraph" w:customStyle="1" w:styleId="Paragraph">
    <w:name w:val="Paragraph"/>
    <w:basedOn w:val="Normal"/>
    <w:link w:val="ParagraphChar"/>
    <w:qFormat/>
    <w:rsid w:val="009A6048"/>
    <w:pPr>
      <w:spacing w:after="250" w:line="300" w:lineRule="atLeast"/>
      <w:jc w:val="left"/>
    </w:pPr>
    <w:rPr>
      <w:rFonts w:ascii="Arial" w:eastAsia="SimSun" w:hAnsi="Arial"/>
      <w:sz w:val="22"/>
      <w:szCs w:val="24"/>
      <w:lang w:val="en-US" w:eastAsia="en-US"/>
    </w:rPr>
  </w:style>
  <w:style w:type="character" w:customStyle="1" w:styleId="ParagraphChar">
    <w:name w:val="Paragraph Char"/>
    <w:link w:val="Paragraph"/>
    <w:rsid w:val="009A6048"/>
    <w:rPr>
      <w:rFonts w:ascii="Arial" w:eastAsia="SimSun" w:hAnsi="Arial"/>
      <w:sz w:val="22"/>
      <w:szCs w:val="24"/>
      <w:lang w:val="en-US" w:eastAsia="en-US"/>
    </w:rPr>
  </w:style>
  <w:style w:type="character" w:styleId="Strong">
    <w:name w:val="Strong"/>
    <w:qFormat/>
    <w:rsid w:val="0086266B"/>
    <w:rPr>
      <w:b/>
      <w:bCs/>
    </w:rPr>
  </w:style>
  <w:style w:type="paragraph" w:styleId="NormalWeb">
    <w:name w:val="Normal (Web)"/>
    <w:basedOn w:val="Normal"/>
    <w:uiPriority w:val="99"/>
    <w:unhideWhenUsed/>
    <w:rsid w:val="00295A75"/>
    <w:pPr>
      <w:spacing w:before="100" w:beforeAutospacing="1" w:after="100" w:afterAutospacing="1"/>
      <w:jc w:val="left"/>
    </w:pPr>
    <w:rPr>
      <w:rFonts w:eastAsia="Times New Roman"/>
      <w:szCs w:val="24"/>
      <w:lang w:val="en-US" w:eastAsia="en-US"/>
    </w:rPr>
  </w:style>
  <w:style w:type="table" w:styleId="TableGrid">
    <w:name w:val="Table Grid"/>
    <w:basedOn w:val="TableNormal"/>
    <w:uiPriority w:val="59"/>
    <w:rsid w:val="00843AB6"/>
    <w:rPr>
      <w:rFonts w:ascii="Times New Roman" w:eastAsiaTheme="minorHAnsi" w:hAnsi="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173738"/>
    <w:pPr>
      <w:jc w:val="both"/>
    </w:pPr>
    <w:rPr>
      <w:rFonts w:ascii="Times New Roman" w:hAnsi="Times New Roman"/>
      <w:sz w:val="24"/>
      <w:szCs w:val="22"/>
      <w:lang w:eastAsia="zh-TW"/>
    </w:rPr>
  </w:style>
  <w:style w:type="paragraph" w:styleId="Heading1">
    <w:name w:val="heading 1"/>
    <w:next w:val="Normal"/>
    <w:link w:val="Heading1Char"/>
    <w:uiPriority w:val="9"/>
    <w:qFormat/>
    <w:rsid w:val="00016089"/>
    <w:pPr>
      <w:spacing w:before="360" w:after="60"/>
      <w:outlineLvl w:val="0"/>
    </w:pPr>
    <w:rPr>
      <w:rFonts w:ascii="Times New Roman Bold" w:hAnsi="Times New Roman Bold"/>
      <w:b/>
      <w:bCs/>
      <w:caps/>
      <w:sz w:val="26"/>
      <w:szCs w:val="26"/>
      <w:lang w:val="en-GB" w:eastAsia="zh-TW"/>
    </w:rPr>
  </w:style>
  <w:style w:type="paragraph" w:styleId="Heading2">
    <w:name w:val="heading 2"/>
    <w:next w:val="Normal"/>
    <w:link w:val="Heading2Char"/>
    <w:uiPriority w:val="9"/>
    <w:unhideWhenUsed/>
    <w:qFormat/>
    <w:rsid w:val="00016089"/>
    <w:pPr>
      <w:spacing w:before="240" w:after="120"/>
      <w:outlineLvl w:val="1"/>
    </w:pPr>
    <w:rPr>
      <w:rFonts w:ascii="Times New Roman Bold" w:hAnsi="Times New Roman Bold"/>
      <w:b/>
      <w:bCs/>
      <w:i/>
      <w:sz w:val="24"/>
      <w:szCs w:val="22"/>
      <w:lang w:eastAsia="zh-TW"/>
    </w:rPr>
  </w:style>
  <w:style w:type="paragraph" w:styleId="Heading3">
    <w:name w:val="heading 3"/>
    <w:basedOn w:val="Normal"/>
    <w:next w:val="Normal"/>
    <w:link w:val="Heading3Char"/>
    <w:uiPriority w:val="9"/>
    <w:unhideWhenUsed/>
    <w:qFormat/>
    <w:rsid w:val="00016089"/>
    <w:pPr>
      <w:keepNext/>
      <w:keepLines/>
      <w:spacing w:before="240" w:after="60"/>
      <w:jc w:val="left"/>
      <w:outlineLvl w:val="2"/>
    </w:pPr>
    <w:rPr>
      <w:bCs/>
      <w:u w:val="single"/>
    </w:rPr>
  </w:style>
  <w:style w:type="paragraph" w:styleId="Heading4">
    <w:name w:val="heading 4"/>
    <w:basedOn w:val="Normal"/>
    <w:next w:val="Normal"/>
    <w:link w:val="Heading4Char"/>
    <w:uiPriority w:val="9"/>
    <w:unhideWhenUsed/>
    <w:qFormat/>
    <w:rsid w:val="003A543B"/>
    <w:pPr>
      <w:keepNext/>
      <w:keepLines/>
      <w:spacing w:before="240" w:after="60"/>
      <w:jc w:val="left"/>
      <w:outlineLvl w:val="3"/>
    </w:pPr>
    <w:rPr>
      <w:bCs/>
      <w:i/>
      <w:iCs/>
    </w:rPr>
  </w:style>
  <w:style w:type="paragraph" w:styleId="Heading5">
    <w:name w:val="heading 5"/>
    <w:basedOn w:val="Normal"/>
    <w:next w:val="Normal"/>
    <w:link w:val="Heading5Char"/>
    <w:uiPriority w:val="9"/>
    <w:unhideWhenUsed/>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spacing w:after="120"/>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before="120"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016089"/>
    <w:rPr>
      <w:rFonts w:ascii="Times New Roman Bold" w:hAnsi="Times New Roman Bold"/>
      <w:b/>
      <w:bCs/>
      <w:caps/>
      <w:sz w:val="26"/>
      <w:szCs w:val="26"/>
      <w:lang w:val="en-GB"/>
    </w:rPr>
  </w:style>
  <w:style w:type="character" w:customStyle="1" w:styleId="Heading2Char">
    <w:name w:val="Heading 2 Char"/>
    <w:link w:val="Heading2"/>
    <w:uiPriority w:val="9"/>
    <w:rsid w:val="00016089"/>
    <w:rPr>
      <w:rFonts w:ascii="Times New Roman Bold" w:hAnsi="Times New Roman Bold"/>
      <w:b/>
      <w:bCs/>
      <w:i/>
      <w:sz w:val="24"/>
      <w:szCs w:val="22"/>
    </w:rPr>
  </w:style>
  <w:style w:type="character" w:customStyle="1" w:styleId="Heading3Char">
    <w:name w:val="Heading 3 Char"/>
    <w:link w:val="Heading3"/>
    <w:uiPriority w:val="9"/>
    <w:rsid w:val="00016089"/>
    <w:rPr>
      <w:rFonts w:ascii="Times New Roman" w:hAnsi="Times New Roman"/>
      <w:bCs/>
      <w:sz w:val="24"/>
      <w:szCs w:val="22"/>
      <w:u w:val="single"/>
    </w:rPr>
  </w:style>
  <w:style w:type="character" w:customStyle="1" w:styleId="Heading4Char">
    <w:name w:val="Heading 4 Char"/>
    <w:link w:val="Heading4"/>
    <w:uiPriority w:val="9"/>
    <w:rsid w:val="003A543B"/>
    <w:rPr>
      <w:rFonts w:ascii="Times New Roman" w:hAnsi="Times New Roman"/>
      <w:bCs/>
      <w:i/>
      <w:iCs/>
      <w:sz w:val="24"/>
      <w:szCs w:val="22"/>
      <w:lang w:eastAsia="zh-TW"/>
    </w:rPr>
  </w:style>
  <w:style w:type="character" w:customStyle="1" w:styleId="Heading5Char">
    <w:name w:val="Heading 5 Char"/>
    <w:link w:val="Heading5"/>
    <w:uiPriority w:val="9"/>
    <w:rsid w:val="00DD684E"/>
    <w:rPr>
      <w:rFonts w:ascii="Cambria" w:eastAsia="PMingLiU" w:hAnsi="Cambria" w:cs="Times New Roman"/>
      <w:color w:val="243F60"/>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D68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DD684E"/>
    <w:rPr>
      <w:rFonts w:ascii="Cambria" w:eastAsia="PMingLiU" w:hAnsi="Cambria" w:cs="Times New Roman"/>
      <w:color w:val="17365D"/>
      <w:spacing w:val="5"/>
      <w:kern w:val="28"/>
      <w:sz w:val="52"/>
      <w:szCs w:val="52"/>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nhideWhenUsed/>
    <w:rsid w:val="000471CA"/>
    <w:pPr>
      <w:tabs>
        <w:tab w:val="center" w:pos="4513"/>
        <w:tab w:val="right" w:pos="9026"/>
      </w:tabs>
    </w:pPr>
  </w:style>
  <w:style w:type="character" w:customStyle="1" w:styleId="FooterChar">
    <w:name w:val="Footer Char"/>
    <w:link w:val="Footer"/>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jc w:val="lef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pPr>
      <w:spacing w:after="120"/>
      <w:jc w:val="left"/>
    </w:pPr>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after="120"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character" w:styleId="CommentReference">
    <w:name w:val="annotation reference"/>
    <w:unhideWhenUsed/>
    <w:rsid w:val="00AA134F"/>
    <w:rPr>
      <w:sz w:val="16"/>
      <w:szCs w:val="16"/>
    </w:rPr>
  </w:style>
  <w:style w:type="paragraph" w:styleId="CommentText">
    <w:name w:val="annotation text"/>
    <w:basedOn w:val="Normal"/>
    <w:link w:val="CommentTextChar"/>
    <w:uiPriority w:val="99"/>
    <w:unhideWhenUsed/>
    <w:rsid w:val="00AA134F"/>
    <w:rPr>
      <w:sz w:val="20"/>
      <w:szCs w:val="20"/>
    </w:rPr>
  </w:style>
  <w:style w:type="character" w:customStyle="1" w:styleId="CommentTextChar">
    <w:name w:val="Comment Text Char"/>
    <w:link w:val="CommentText"/>
    <w:uiPriority w:val="99"/>
    <w:rsid w:val="00AA134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134F"/>
    <w:rPr>
      <w:b/>
      <w:bCs/>
    </w:rPr>
  </w:style>
  <w:style w:type="character" w:customStyle="1" w:styleId="CommentSubjectChar">
    <w:name w:val="Comment Subject Char"/>
    <w:link w:val="CommentSubject"/>
    <w:uiPriority w:val="99"/>
    <w:semiHidden/>
    <w:rsid w:val="00AA134F"/>
    <w:rPr>
      <w:rFonts w:ascii="Times New Roman" w:hAnsi="Times New Roman"/>
      <w:b/>
      <w:bCs/>
    </w:rPr>
  </w:style>
  <w:style w:type="paragraph" w:styleId="Revision">
    <w:name w:val="Revision"/>
    <w:hidden/>
    <w:uiPriority w:val="99"/>
    <w:semiHidden/>
    <w:rsid w:val="000411A9"/>
    <w:rPr>
      <w:rFonts w:ascii="Times New Roman" w:hAnsi="Times New Roman"/>
      <w:sz w:val="24"/>
      <w:szCs w:val="22"/>
      <w:lang w:eastAsia="zh-TW"/>
    </w:rPr>
  </w:style>
  <w:style w:type="paragraph" w:customStyle="1" w:styleId="TableCell10Center">
    <w:name w:val="Table Cell 10 Center"/>
    <w:basedOn w:val="TableCell10Left"/>
    <w:link w:val="TableCell10CenterChar"/>
    <w:rsid w:val="009A6048"/>
    <w:pPr>
      <w:jc w:val="center"/>
    </w:pPr>
  </w:style>
  <w:style w:type="paragraph" w:customStyle="1" w:styleId="TableCell10Left">
    <w:name w:val="Table Cell 10 Left"/>
    <w:basedOn w:val="Normal"/>
    <w:link w:val="TableCell10LeftChar"/>
    <w:rsid w:val="009A6048"/>
    <w:pPr>
      <w:keepNext/>
      <w:keepLines/>
      <w:spacing w:before="50" w:after="50" w:line="240" w:lineRule="exact"/>
      <w:jc w:val="left"/>
    </w:pPr>
    <w:rPr>
      <w:rFonts w:ascii="Arial" w:eastAsia="SimSun" w:hAnsi="Arial"/>
      <w:sz w:val="20"/>
      <w:szCs w:val="24"/>
      <w:lang w:val="en-US" w:eastAsia="en-US"/>
    </w:rPr>
  </w:style>
  <w:style w:type="paragraph" w:customStyle="1" w:styleId="TabFigFooter">
    <w:name w:val="TabFig Footer"/>
    <w:basedOn w:val="Normal"/>
    <w:rsid w:val="009A6048"/>
    <w:pPr>
      <w:keepNext/>
      <w:keepLines/>
      <w:spacing w:before="40" w:line="240" w:lineRule="exact"/>
      <w:ind w:left="245" w:hanging="216"/>
      <w:jc w:val="left"/>
    </w:pPr>
    <w:rPr>
      <w:rFonts w:ascii="Arial" w:eastAsia="SimSun" w:hAnsi="Arial"/>
      <w:sz w:val="20"/>
      <w:szCs w:val="24"/>
      <w:lang w:val="en-US" w:eastAsia="en-US"/>
    </w:rPr>
  </w:style>
  <w:style w:type="character" w:customStyle="1" w:styleId="TableCell10LeftChar">
    <w:name w:val="Table Cell 10 Left Char"/>
    <w:link w:val="TableCell10Left"/>
    <w:rsid w:val="009A6048"/>
    <w:rPr>
      <w:rFonts w:ascii="Arial" w:eastAsia="SimSun" w:hAnsi="Arial"/>
      <w:szCs w:val="24"/>
      <w:lang w:val="en-US" w:eastAsia="en-US"/>
    </w:rPr>
  </w:style>
  <w:style w:type="character" w:customStyle="1" w:styleId="TableCell10CenterChar">
    <w:name w:val="Table Cell 10 Center Char"/>
    <w:link w:val="TableCell10Center"/>
    <w:locked/>
    <w:rsid w:val="009A6048"/>
    <w:rPr>
      <w:rFonts w:ascii="Arial" w:eastAsia="SimSun" w:hAnsi="Arial"/>
      <w:szCs w:val="24"/>
      <w:lang w:val="en-US" w:eastAsia="en-US"/>
    </w:rPr>
  </w:style>
  <w:style w:type="paragraph" w:customStyle="1" w:styleId="TableCellLeft">
    <w:name w:val="Table Cell Left"/>
    <w:basedOn w:val="Normal"/>
    <w:link w:val="TableCellLeftChar"/>
    <w:rsid w:val="009A6048"/>
    <w:pPr>
      <w:keepNext/>
      <w:keepLines/>
      <w:spacing w:before="50" w:after="50" w:line="240" w:lineRule="exact"/>
      <w:jc w:val="left"/>
    </w:pPr>
    <w:rPr>
      <w:rFonts w:ascii="Arial" w:eastAsia="Times New Roman" w:hAnsi="Arial"/>
      <w:sz w:val="20"/>
      <w:szCs w:val="20"/>
      <w:lang w:val="en-US" w:eastAsia="en-US"/>
    </w:rPr>
  </w:style>
  <w:style w:type="character" w:customStyle="1" w:styleId="TableCellLeftChar">
    <w:name w:val="Table Cell Left Char"/>
    <w:link w:val="TableCellLeft"/>
    <w:rsid w:val="009A6048"/>
    <w:rPr>
      <w:rFonts w:ascii="Arial" w:eastAsia="Times New Roman" w:hAnsi="Arial"/>
      <w:lang w:val="en-US" w:eastAsia="en-US"/>
    </w:rPr>
  </w:style>
  <w:style w:type="paragraph" w:customStyle="1" w:styleId="Paragraph">
    <w:name w:val="Paragraph"/>
    <w:basedOn w:val="Normal"/>
    <w:link w:val="ParagraphChar"/>
    <w:qFormat/>
    <w:rsid w:val="009A6048"/>
    <w:pPr>
      <w:spacing w:after="250" w:line="300" w:lineRule="atLeast"/>
      <w:jc w:val="left"/>
    </w:pPr>
    <w:rPr>
      <w:rFonts w:ascii="Arial" w:eastAsia="SimSun" w:hAnsi="Arial"/>
      <w:sz w:val="22"/>
      <w:szCs w:val="24"/>
      <w:lang w:val="en-US" w:eastAsia="en-US"/>
    </w:rPr>
  </w:style>
  <w:style w:type="character" w:customStyle="1" w:styleId="ParagraphChar">
    <w:name w:val="Paragraph Char"/>
    <w:link w:val="Paragraph"/>
    <w:rsid w:val="009A6048"/>
    <w:rPr>
      <w:rFonts w:ascii="Arial" w:eastAsia="SimSun" w:hAnsi="Arial"/>
      <w:sz w:val="22"/>
      <w:szCs w:val="24"/>
      <w:lang w:val="en-US" w:eastAsia="en-US"/>
    </w:rPr>
  </w:style>
  <w:style w:type="character" w:styleId="Strong">
    <w:name w:val="Strong"/>
    <w:qFormat/>
    <w:rsid w:val="0086266B"/>
    <w:rPr>
      <w:b/>
      <w:bCs/>
    </w:rPr>
  </w:style>
  <w:style w:type="paragraph" w:styleId="NormalWeb">
    <w:name w:val="Normal (Web)"/>
    <w:basedOn w:val="Normal"/>
    <w:uiPriority w:val="99"/>
    <w:unhideWhenUsed/>
    <w:rsid w:val="00295A75"/>
    <w:pPr>
      <w:spacing w:before="100" w:beforeAutospacing="1" w:after="100" w:afterAutospacing="1"/>
      <w:jc w:val="left"/>
    </w:pPr>
    <w:rPr>
      <w:rFonts w:eastAsia="Times New Roman"/>
      <w:szCs w:val="24"/>
      <w:lang w:val="en-US" w:eastAsia="en-US"/>
    </w:rPr>
  </w:style>
  <w:style w:type="table" w:styleId="TableGrid">
    <w:name w:val="Table Grid"/>
    <w:basedOn w:val="TableNormal"/>
    <w:uiPriority w:val="59"/>
    <w:rsid w:val="00843AB6"/>
    <w:rPr>
      <w:rFonts w:ascii="Times New Roman" w:eastAsiaTheme="minorHAnsi" w:hAnsi="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4080">
      <w:bodyDiv w:val="1"/>
      <w:marLeft w:val="0"/>
      <w:marRight w:val="0"/>
      <w:marTop w:val="0"/>
      <w:marBottom w:val="0"/>
      <w:divBdr>
        <w:top w:val="none" w:sz="0" w:space="0" w:color="auto"/>
        <w:left w:val="none" w:sz="0" w:space="0" w:color="auto"/>
        <w:bottom w:val="none" w:sz="0" w:space="0" w:color="auto"/>
        <w:right w:val="none" w:sz="0" w:space="0" w:color="auto"/>
      </w:divBdr>
    </w:div>
    <w:div w:id="612441109">
      <w:bodyDiv w:val="1"/>
      <w:marLeft w:val="0"/>
      <w:marRight w:val="0"/>
      <w:marTop w:val="0"/>
      <w:marBottom w:val="0"/>
      <w:divBdr>
        <w:top w:val="none" w:sz="0" w:space="0" w:color="auto"/>
        <w:left w:val="none" w:sz="0" w:space="0" w:color="auto"/>
        <w:bottom w:val="none" w:sz="0" w:space="0" w:color="auto"/>
        <w:right w:val="none" w:sz="0" w:space="0" w:color="auto"/>
      </w:divBdr>
    </w:div>
    <w:div w:id="983395317">
      <w:bodyDiv w:val="1"/>
      <w:marLeft w:val="0"/>
      <w:marRight w:val="0"/>
      <w:marTop w:val="0"/>
      <w:marBottom w:val="0"/>
      <w:divBdr>
        <w:top w:val="none" w:sz="0" w:space="0" w:color="auto"/>
        <w:left w:val="none" w:sz="0" w:space="0" w:color="auto"/>
        <w:bottom w:val="none" w:sz="0" w:space="0" w:color="auto"/>
        <w:right w:val="none" w:sz="0" w:space="0" w:color="auto"/>
      </w:divBdr>
    </w:div>
    <w:div w:id="1167398877">
      <w:bodyDiv w:val="1"/>
      <w:marLeft w:val="0"/>
      <w:marRight w:val="0"/>
      <w:marTop w:val="0"/>
      <w:marBottom w:val="0"/>
      <w:divBdr>
        <w:top w:val="none" w:sz="0" w:space="0" w:color="auto"/>
        <w:left w:val="none" w:sz="0" w:space="0" w:color="auto"/>
        <w:bottom w:val="none" w:sz="0" w:space="0" w:color="auto"/>
        <w:right w:val="none" w:sz="0" w:space="0" w:color="auto"/>
      </w:divBdr>
      <w:divsChild>
        <w:div w:id="1180197621">
          <w:marLeft w:val="0"/>
          <w:marRight w:val="0"/>
          <w:marTop w:val="0"/>
          <w:marBottom w:val="0"/>
          <w:divBdr>
            <w:top w:val="none" w:sz="0" w:space="0" w:color="auto"/>
            <w:left w:val="none" w:sz="0" w:space="0" w:color="auto"/>
            <w:bottom w:val="none" w:sz="0" w:space="0" w:color="auto"/>
            <w:right w:val="none" w:sz="0" w:space="0" w:color="auto"/>
          </w:divBdr>
        </w:div>
        <w:div w:id="1942033753">
          <w:marLeft w:val="0"/>
          <w:marRight w:val="0"/>
          <w:marTop w:val="0"/>
          <w:marBottom w:val="0"/>
          <w:divBdr>
            <w:top w:val="none" w:sz="0" w:space="0" w:color="auto"/>
            <w:left w:val="none" w:sz="0" w:space="0" w:color="auto"/>
            <w:bottom w:val="none" w:sz="0" w:space="0" w:color="auto"/>
            <w:right w:val="none" w:sz="0" w:space="0" w:color="auto"/>
          </w:divBdr>
        </w:div>
        <w:div w:id="2117017419">
          <w:marLeft w:val="0"/>
          <w:marRight w:val="0"/>
          <w:marTop w:val="0"/>
          <w:marBottom w:val="0"/>
          <w:divBdr>
            <w:top w:val="none" w:sz="0" w:space="0" w:color="auto"/>
            <w:left w:val="none" w:sz="0" w:space="0" w:color="auto"/>
            <w:bottom w:val="none" w:sz="0" w:space="0" w:color="auto"/>
            <w:right w:val="none" w:sz="0" w:space="0" w:color="auto"/>
          </w:divBdr>
        </w:div>
        <w:div w:id="575437224">
          <w:marLeft w:val="0"/>
          <w:marRight w:val="0"/>
          <w:marTop w:val="0"/>
          <w:marBottom w:val="0"/>
          <w:divBdr>
            <w:top w:val="none" w:sz="0" w:space="0" w:color="auto"/>
            <w:left w:val="none" w:sz="0" w:space="0" w:color="auto"/>
            <w:bottom w:val="none" w:sz="0" w:space="0" w:color="auto"/>
            <w:right w:val="none" w:sz="0" w:space="0" w:color="auto"/>
          </w:divBdr>
        </w:div>
        <w:div w:id="1439640855">
          <w:marLeft w:val="0"/>
          <w:marRight w:val="0"/>
          <w:marTop w:val="0"/>
          <w:marBottom w:val="0"/>
          <w:divBdr>
            <w:top w:val="none" w:sz="0" w:space="0" w:color="auto"/>
            <w:left w:val="none" w:sz="0" w:space="0" w:color="auto"/>
            <w:bottom w:val="none" w:sz="0" w:space="0" w:color="auto"/>
            <w:right w:val="none" w:sz="0" w:space="0" w:color="auto"/>
          </w:divBdr>
        </w:div>
        <w:div w:id="1937126552">
          <w:marLeft w:val="0"/>
          <w:marRight w:val="0"/>
          <w:marTop w:val="0"/>
          <w:marBottom w:val="0"/>
          <w:divBdr>
            <w:top w:val="none" w:sz="0" w:space="0" w:color="auto"/>
            <w:left w:val="none" w:sz="0" w:space="0" w:color="auto"/>
            <w:bottom w:val="none" w:sz="0" w:space="0" w:color="auto"/>
            <w:right w:val="none" w:sz="0" w:space="0" w:color="auto"/>
          </w:divBdr>
        </w:div>
        <w:div w:id="1247349156">
          <w:marLeft w:val="0"/>
          <w:marRight w:val="0"/>
          <w:marTop w:val="0"/>
          <w:marBottom w:val="0"/>
          <w:divBdr>
            <w:top w:val="none" w:sz="0" w:space="0" w:color="auto"/>
            <w:left w:val="none" w:sz="0" w:space="0" w:color="auto"/>
            <w:bottom w:val="none" w:sz="0" w:space="0" w:color="auto"/>
            <w:right w:val="none" w:sz="0" w:space="0" w:color="auto"/>
          </w:divBdr>
        </w:div>
        <w:div w:id="1446078951">
          <w:marLeft w:val="0"/>
          <w:marRight w:val="0"/>
          <w:marTop w:val="0"/>
          <w:marBottom w:val="0"/>
          <w:divBdr>
            <w:top w:val="none" w:sz="0" w:space="0" w:color="auto"/>
            <w:left w:val="none" w:sz="0" w:space="0" w:color="auto"/>
            <w:bottom w:val="none" w:sz="0" w:space="0" w:color="auto"/>
            <w:right w:val="none" w:sz="0" w:space="0" w:color="auto"/>
          </w:divBdr>
        </w:div>
        <w:div w:id="1510096975">
          <w:marLeft w:val="0"/>
          <w:marRight w:val="0"/>
          <w:marTop w:val="0"/>
          <w:marBottom w:val="0"/>
          <w:divBdr>
            <w:top w:val="none" w:sz="0" w:space="0" w:color="auto"/>
            <w:left w:val="none" w:sz="0" w:space="0" w:color="auto"/>
            <w:bottom w:val="none" w:sz="0" w:space="0" w:color="auto"/>
            <w:right w:val="none" w:sz="0" w:space="0" w:color="auto"/>
          </w:divBdr>
        </w:div>
        <w:div w:id="537737705">
          <w:marLeft w:val="0"/>
          <w:marRight w:val="0"/>
          <w:marTop w:val="0"/>
          <w:marBottom w:val="0"/>
          <w:divBdr>
            <w:top w:val="none" w:sz="0" w:space="0" w:color="auto"/>
            <w:left w:val="none" w:sz="0" w:space="0" w:color="auto"/>
            <w:bottom w:val="none" w:sz="0" w:space="0" w:color="auto"/>
            <w:right w:val="none" w:sz="0" w:space="0" w:color="auto"/>
          </w:divBdr>
        </w:div>
        <w:div w:id="857044041">
          <w:marLeft w:val="0"/>
          <w:marRight w:val="0"/>
          <w:marTop w:val="0"/>
          <w:marBottom w:val="0"/>
          <w:divBdr>
            <w:top w:val="none" w:sz="0" w:space="0" w:color="auto"/>
            <w:left w:val="none" w:sz="0" w:space="0" w:color="auto"/>
            <w:bottom w:val="none" w:sz="0" w:space="0" w:color="auto"/>
            <w:right w:val="none" w:sz="0" w:space="0" w:color="auto"/>
          </w:divBdr>
        </w:div>
        <w:div w:id="1165437938">
          <w:marLeft w:val="0"/>
          <w:marRight w:val="0"/>
          <w:marTop w:val="0"/>
          <w:marBottom w:val="0"/>
          <w:divBdr>
            <w:top w:val="none" w:sz="0" w:space="0" w:color="auto"/>
            <w:left w:val="none" w:sz="0" w:space="0" w:color="auto"/>
            <w:bottom w:val="none" w:sz="0" w:space="0" w:color="auto"/>
            <w:right w:val="none" w:sz="0" w:space="0" w:color="auto"/>
          </w:divBdr>
        </w:div>
        <w:div w:id="120265877">
          <w:marLeft w:val="0"/>
          <w:marRight w:val="0"/>
          <w:marTop w:val="0"/>
          <w:marBottom w:val="0"/>
          <w:divBdr>
            <w:top w:val="none" w:sz="0" w:space="0" w:color="auto"/>
            <w:left w:val="none" w:sz="0" w:space="0" w:color="auto"/>
            <w:bottom w:val="none" w:sz="0" w:space="0" w:color="auto"/>
            <w:right w:val="none" w:sz="0" w:space="0" w:color="auto"/>
          </w:divBdr>
        </w:div>
        <w:div w:id="341469424">
          <w:marLeft w:val="0"/>
          <w:marRight w:val="0"/>
          <w:marTop w:val="0"/>
          <w:marBottom w:val="0"/>
          <w:divBdr>
            <w:top w:val="none" w:sz="0" w:space="0" w:color="auto"/>
            <w:left w:val="none" w:sz="0" w:space="0" w:color="auto"/>
            <w:bottom w:val="none" w:sz="0" w:space="0" w:color="auto"/>
            <w:right w:val="none" w:sz="0" w:space="0" w:color="auto"/>
          </w:divBdr>
        </w:div>
        <w:div w:id="1954169027">
          <w:marLeft w:val="0"/>
          <w:marRight w:val="0"/>
          <w:marTop w:val="0"/>
          <w:marBottom w:val="0"/>
          <w:divBdr>
            <w:top w:val="none" w:sz="0" w:space="0" w:color="auto"/>
            <w:left w:val="none" w:sz="0" w:space="0" w:color="auto"/>
            <w:bottom w:val="none" w:sz="0" w:space="0" w:color="auto"/>
            <w:right w:val="none" w:sz="0" w:space="0" w:color="auto"/>
          </w:divBdr>
        </w:div>
        <w:div w:id="266280525">
          <w:marLeft w:val="0"/>
          <w:marRight w:val="0"/>
          <w:marTop w:val="0"/>
          <w:marBottom w:val="0"/>
          <w:divBdr>
            <w:top w:val="none" w:sz="0" w:space="0" w:color="auto"/>
            <w:left w:val="none" w:sz="0" w:space="0" w:color="auto"/>
            <w:bottom w:val="none" w:sz="0" w:space="0" w:color="auto"/>
            <w:right w:val="none" w:sz="0" w:space="0" w:color="auto"/>
          </w:divBdr>
        </w:div>
        <w:div w:id="176385017">
          <w:marLeft w:val="0"/>
          <w:marRight w:val="0"/>
          <w:marTop w:val="0"/>
          <w:marBottom w:val="0"/>
          <w:divBdr>
            <w:top w:val="none" w:sz="0" w:space="0" w:color="auto"/>
            <w:left w:val="none" w:sz="0" w:space="0" w:color="auto"/>
            <w:bottom w:val="none" w:sz="0" w:space="0" w:color="auto"/>
            <w:right w:val="none" w:sz="0" w:space="0" w:color="auto"/>
          </w:divBdr>
        </w:div>
        <w:div w:id="1165322749">
          <w:marLeft w:val="0"/>
          <w:marRight w:val="0"/>
          <w:marTop w:val="0"/>
          <w:marBottom w:val="0"/>
          <w:divBdr>
            <w:top w:val="none" w:sz="0" w:space="0" w:color="auto"/>
            <w:left w:val="none" w:sz="0" w:space="0" w:color="auto"/>
            <w:bottom w:val="none" w:sz="0" w:space="0" w:color="auto"/>
            <w:right w:val="none" w:sz="0" w:space="0" w:color="auto"/>
          </w:divBdr>
        </w:div>
        <w:div w:id="974914930">
          <w:marLeft w:val="0"/>
          <w:marRight w:val="0"/>
          <w:marTop w:val="0"/>
          <w:marBottom w:val="0"/>
          <w:divBdr>
            <w:top w:val="none" w:sz="0" w:space="0" w:color="auto"/>
            <w:left w:val="none" w:sz="0" w:space="0" w:color="auto"/>
            <w:bottom w:val="none" w:sz="0" w:space="0" w:color="auto"/>
            <w:right w:val="none" w:sz="0" w:space="0" w:color="auto"/>
          </w:divBdr>
        </w:div>
        <w:div w:id="1691646109">
          <w:marLeft w:val="0"/>
          <w:marRight w:val="0"/>
          <w:marTop w:val="0"/>
          <w:marBottom w:val="0"/>
          <w:divBdr>
            <w:top w:val="none" w:sz="0" w:space="0" w:color="auto"/>
            <w:left w:val="none" w:sz="0" w:space="0" w:color="auto"/>
            <w:bottom w:val="none" w:sz="0" w:space="0" w:color="auto"/>
            <w:right w:val="none" w:sz="0" w:space="0" w:color="auto"/>
          </w:divBdr>
        </w:div>
        <w:div w:id="1087460616">
          <w:marLeft w:val="0"/>
          <w:marRight w:val="0"/>
          <w:marTop w:val="0"/>
          <w:marBottom w:val="0"/>
          <w:divBdr>
            <w:top w:val="none" w:sz="0" w:space="0" w:color="auto"/>
            <w:left w:val="none" w:sz="0" w:space="0" w:color="auto"/>
            <w:bottom w:val="none" w:sz="0" w:space="0" w:color="auto"/>
            <w:right w:val="none" w:sz="0" w:space="0" w:color="auto"/>
          </w:divBdr>
        </w:div>
        <w:div w:id="817301489">
          <w:marLeft w:val="0"/>
          <w:marRight w:val="0"/>
          <w:marTop w:val="0"/>
          <w:marBottom w:val="0"/>
          <w:divBdr>
            <w:top w:val="none" w:sz="0" w:space="0" w:color="auto"/>
            <w:left w:val="none" w:sz="0" w:space="0" w:color="auto"/>
            <w:bottom w:val="none" w:sz="0" w:space="0" w:color="auto"/>
            <w:right w:val="none" w:sz="0" w:space="0" w:color="auto"/>
          </w:divBdr>
        </w:div>
      </w:divsChild>
    </w:div>
    <w:div w:id="161718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0C436FDFD4D40B649BC59ACCD72F8" ma:contentTypeVersion="" ma:contentTypeDescription="Create a new document." ma:contentTypeScope="" ma:versionID="3871e328edb7980fd4a7d2fd36dc0bc0">
  <xsd:schema xmlns:xsd="http://www.w3.org/2001/XMLSchema" xmlns:xs="http://www.w3.org/2001/XMLSchema" xmlns:p="http://schemas.microsoft.com/office/2006/metadata/properties" xmlns:ns1="http://schemas.microsoft.com/sharepoint/v3" xmlns:ns2="1bfe694b-201f-4c79-9ac9-b4f3b293447d" xmlns:ns3="f191ad30-9ade-4f0c-b78e-cf30469879ae" targetNamespace="http://schemas.microsoft.com/office/2006/metadata/properties" ma:root="true" ma:fieldsID="d27a08968d28d2b4444b6af3532c7e6d" ns1:_="" ns2:_="" ns3:_="">
    <xsd:import namespace="http://schemas.microsoft.com/sharepoint/v3"/>
    <xsd:import namespace="1bfe694b-201f-4c79-9ac9-b4f3b293447d"/>
    <xsd:import namespace="f191ad30-9ade-4f0c-b78e-cf30469879ae"/>
    <xsd:element name="properties">
      <xsd:complexType>
        <xsd:sequence>
          <xsd:element name="documentManagement">
            <xsd:complexType>
              <xsd:all>
                <xsd:element ref="ns1:AverageRating" minOccurs="0"/>
                <xsd:element ref="ns1:RatingCount" minOccurs="0"/>
                <xsd:element ref="ns2:TaxKeywordTaxHTField" minOccurs="0"/>
                <xsd:element ref="ns3:TaxCatchAll" minOccurs="0"/>
                <xsd:element ref="ns1:_dlc_ExpireDateSaved" minOccurs="0"/>
                <xsd:element ref="ns1:_dlc_ExpireDate" minOccurs="0"/>
                <xsd:element ref="ns1:_dlc_Exempt" minOccurs="0"/>
                <xsd:element ref="ns1:PublishingStartDate" minOccurs="0"/>
                <xsd:element ref="ns1:PublishingExpirationDate"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element name="_dlc_ExpireDateSaved" ma:index="13" nillable="true" ma:displayName="Original Expiration Date" ma:description=""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fe694b-201f-4c79-9ac9-b4f3b293447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0fa84d-e8d2-4e41-bf2f-57a7873a81ab}" ma:internalName="TaxCatchAll" ma:showField="CatchAllData" ma:web="1bfe694b-201f-4c79-9ac9-b4f3b2934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191ad30-9ade-4f0c-b78e-cf30469879ae"/>
    <TaxKeywordTaxHTField xmlns="1bfe694b-201f-4c79-9ac9-b4f3b293447d">
      <Terms xmlns="http://schemas.microsoft.com/office/infopath/2007/PartnerControls">
        <TermInfo xmlns="http://schemas.microsoft.com/office/infopath/2007/PartnerControls">
          <TermName xmlns="http://schemas.microsoft.com/office/infopath/2007/PartnerControls">AusPARs</TermName>
          <TermId xmlns="http://schemas.microsoft.com/office/infopath/2007/PartnerControls">11111111-1111-1111-1111-111111111111</TermId>
        </TermInfo>
      </Terms>
    </TaxKeywordTaxHTField>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2020-05-11T06:16:07+00:00</_dlc_ExpireDate>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80DE-A42E-4942-B981-8D0EF8D7092B}">
  <ds:schemaRefs>
    <ds:schemaRef ds:uri="http://schemas.microsoft.com/sharepoint/v3/contenttype/forms"/>
  </ds:schemaRefs>
</ds:datastoreItem>
</file>

<file path=customXml/itemProps2.xml><?xml version="1.0" encoding="utf-8"?>
<ds:datastoreItem xmlns:ds="http://schemas.openxmlformats.org/officeDocument/2006/customXml" ds:itemID="{8BB5089C-D9A9-44F8-8AA8-AC23822F6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fe694b-201f-4c79-9ac9-b4f3b293447d"/>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465B7-16FF-41BD-AD8A-10508F8939B7}">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schemas.microsoft.com/sharepoint/v3"/>
    <ds:schemaRef ds:uri="http://purl.org/dc/dcmitype/"/>
    <ds:schemaRef ds:uri="http://schemas.microsoft.com/office/2006/documentManagement/types"/>
    <ds:schemaRef ds:uri="http://purl.org/dc/terms/"/>
    <ds:schemaRef ds:uri="f191ad30-9ade-4f0c-b78e-cf30469879ae"/>
    <ds:schemaRef ds:uri="1bfe694b-201f-4c79-9ac9-b4f3b293447d"/>
  </ds:schemaRefs>
</ds:datastoreItem>
</file>

<file path=customXml/itemProps4.xml><?xml version="1.0" encoding="utf-8"?>
<ds:datastoreItem xmlns:ds="http://schemas.openxmlformats.org/officeDocument/2006/customXml" ds:itemID="{70D52443-302B-4901-B1D2-30065933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8473</Words>
  <Characters>45929</Characters>
  <Application>Microsoft Office Word</Application>
  <DocSecurity>0</DocSecurity>
  <Lines>740</Lines>
  <Paragraphs>251</Paragraphs>
  <ScaleCrop>false</ScaleCrop>
  <HeadingPairs>
    <vt:vector size="2" baseType="variant">
      <vt:variant>
        <vt:lpstr>Title</vt:lpstr>
      </vt:variant>
      <vt:variant>
        <vt:i4>1</vt:i4>
      </vt:variant>
    </vt:vector>
  </HeadingPairs>
  <TitlesOfParts>
    <vt:vector size="1" baseType="lpstr">
      <vt:lpstr>Product Information - Aus</vt:lpstr>
    </vt:vector>
  </TitlesOfParts>
  <Company>F. Hoffmann-La Roche, Ltd.</Company>
  <LinksUpToDate>false</LinksUpToDate>
  <CharactersWithSpaces>54151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Atezolizumab</dc:title>
  <dc:subject>prescription medisines</dc:subject>
  <dc:creator>Kylee Alma</dc:creator>
  <cp:keywords>AusPARs</cp:keywords>
  <cp:lastPrinted>2017-05-14T23:44:00Z</cp:lastPrinted>
  <dcterms:created xsi:type="dcterms:W3CDTF">2018-10-02T07:28:00Z</dcterms:created>
  <dcterms:modified xsi:type="dcterms:W3CDTF">2018-10-02T07:30:00Z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0x0101001480C436FDFD4D40B649BC59ACCD72F8</vt:lpwstr>
  </property>
  <property fmtid="{D5CDD505-2E9C-101B-9397-08002B2CF9AE}" pid="3" name="Platypus_REG Status">
    <vt:lpwstr>1</vt:lpwstr>
  </property>
  <property fmtid="{D5CDD505-2E9C-101B-9397-08002B2CF9AE}" pid="4" name="Platypus_REG Country">
    <vt:lpwstr>2</vt:lpwstr>
  </property>
  <property fmtid="{D5CDD505-2E9C-101B-9397-08002B2CF9AE}" pid="5" name="REG_Team_Members">
    <vt:lpwstr/>
  </property>
  <property fmtid="{D5CDD505-2E9C-101B-9397-08002B2CF9AE}" pid="6" name="Platypus_REG Primary Group">
    <vt:lpwstr>3</vt:lpwstr>
  </property>
  <property fmtid="{D5CDD505-2E9C-101B-9397-08002B2CF9AE}" pid="7" name="Platypus_REG NON_CONDOR Process Type">
    <vt:lpwstr>2</vt:lpwstr>
  </property>
  <property fmtid="{D5CDD505-2E9C-101B-9397-08002B2CF9AE}" pid="8" name="Platypus_REG Category">
    <vt:lpwstr>3</vt:lpwstr>
  </property>
  <property fmtid="{D5CDD505-2E9C-101B-9397-08002B2CF9AE}" pid="9" name="Platypus_REG NON-CONDOR Process Type">
    <vt:lpwstr>2</vt:lpwstr>
  </property>
  <property fmtid="{D5CDD505-2E9C-101B-9397-08002B2CF9AE}" pid="10" name="Platypus_REG Registration Activities">
    <vt:lpwstr>8</vt:lpwstr>
  </property>
  <property fmtid="{D5CDD505-2E9C-101B-9397-08002B2CF9AE}" pid="11" name="_dlc_policyId">
    <vt:lpwstr>/team/20124036/Documents</vt:lpwstr>
  </property>
  <property fmtid="{D5CDD505-2E9C-101B-9397-08002B2CF9AE}" pid="12" name="ItemRetentionFormula">
    <vt:lpwstr>&lt;formula id="Roche.Common.Coremap.ExpirationFormula" /&gt;</vt:lpwstr>
  </property>
  <property fmtid="{D5CDD505-2E9C-101B-9397-08002B2CF9AE}" pid="13" name="Enterprise Keywords">
    <vt:lpwstr>;#</vt:lpwstr>
  </property>
</Properties>
</file>