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F9323D" w:rsidP="00090750">
            <w:pPr>
              <w:rPr>
                <w:rFonts w:ascii="Arial" w:hAnsi="Arial" w:cs="Arial"/>
                <w:b/>
                <w:color w:val="002C47"/>
                <w:sz w:val="36"/>
                <w:szCs w:val="36"/>
              </w:rPr>
            </w:pPr>
            <w:r>
              <w:rPr>
                <w:rFonts w:ascii="Arial" w:hAnsi="Arial" w:cs="Arial"/>
                <w:b/>
                <w:color w:val="002C47"/>
                <w:sz w:val="36"/>
                <w:szCs w:val="36"/>
              </w:rPr>
              <w:t>December</w:t>
            </w:r>
            <w:r w:rsidR="00090750">
              <w:rPr>
                <w:rFonts w:ascii="Arial" w:hAnsi="Arial" w:cs="Arial"/>
                <w:b/>
                <w:color w:val="002C47"/>
                <w:sz w:val="36"/>
                <w:szCs w:val="36"/>
              </w:rPr>
              <w:t xml:space="preserve"> 2015</w:t>
            </w:r>
          </w:p>
        </w:tc>
      </w:tr>
    </w:tbl>
    <w:p w:rsidR="0082690C" w:rsidRPr="0082690C" w:rsidRDefault="0082690C" w:rsidP="0082690C">
      <w:pPr>
        <w:spacing w:before="0" w:after="0"/>
        <w:rPr>
          <w:vanish/>
        </w:rPr>
      </w:pPr>
    </w:p>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DF3309" w:rsidRDefault="0032583B" w:rsidP="00C60B78">
            <w:pPr>
              <w:pStyle w:val="Title"/>
              <w:framePr w:hSpace="0" w:wrap="auto" w:vAnchor="margin" w:yAlign="inline"/>
            </w:pPr>
            <w:r w:rsidRPr="00DF3309">
              <w:t xml:space="preserve">Australian Public Assessment Report for </w:t>
            </w:r>
            <w:proofErr w:type="spellStart"/>
            <w:r w:rsidR="000D4D9B">
              <w:t>a</w:t>
            </w:r>
            <w:r w:rsidR="00DF3309" w:rsidRPr="00DF3309">
              <w:t>sunaprevir</w:t>
            </w:r>
            <w:proofErr w:type="spellEnd"/>
          </w:p>
        </w:tc>
      </w:tr>
      <w:tr w:rsidR="0032583B" w:rsidRPr="00B64760" w:rsidTr="0032583B">
        <w:tc>
          <w:tcPr>
            <w:tcW w:w="9079" w:type="dxa"/>
          </w:tcPr>
          <w:p w:rsidR="0032583B" w:rsidRPr="00DF3309" w:rsidRDefault="0032583B" w:rsidP="00C60B78">
            <w:pPr>
              <w:pStyle w:val="Subtitle"/>
              <w:framePr w:hSpace="0" w:wrap="auto" w:vAnchor="margin" w:yAlign="inline"/>
            </w:pPr>
            <w:r w:rsidRPr="00DF3309">
              <w:t xml:space="preserve">Proprietary Product Name: </w:t>
            </w:r>
            <w:proofErr w:type="spellStart"/>
            <w:r w:rsidR="00DF3309" w:rsidRPr="00DF3309">
              <w:t>Sunvepra</w:t>
            </w:r>
            <w:proofErr w:type="spellEnd"/>
            <w:r w:rsidR="00DF3309" w:rsidRPr="00DF3309">
              <w:t xml:space="preserve"> </w:t>
            </w:r>
            <w:r w:rsidRPr="00DF3309">
              <w:t xml:space="preserve"> </w:t>
            </w:r>
          </w:p>
        </w:tc>
      </w:tr>
      <w:tr w:rsidR="0032583B" w:rsidRPr="00B64760" w:rsidTr="0032583B">
        <w:trPr>
          <w:trHeight w:val="486"/>
        </w:trPr>
        <w:tc>
          <w:tcPr>
            <w:tcW w:w="9079" w:type="dxa"/>
          </w:tcPr>
          <w:p w:rsidR="0032583B" w:rsidRPr="00DF3309" w:rsidRDefault="0032583B" w:rsidP="00C60B78">
            <w:pPr>
              <w:pStyle w:val="Subtitle"/>
              <w:framePr w:hSpace="0" w:wrap="auto" w:vAnchor="margin" w:yAlign="inline"/>
            </w:pPr>
            <w:r w:rsidRPr="00DF3309">
              <w:t xml:space="preserve">Sponsor: </w:t>
            </w:r>
            <w:r w:rsidR="00DF3309" w:rsidRPr="00DF3309">
              <w:t xml:space="preserve">Bristol-Myers Squibb Australia Pty Ltd </w:t>
            </w:r>
            <w:r w:rsidRPr="00DF3309">
              <w:t xml:space="preserve"> </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3E4216">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3E4216">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3E4216">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3E4216">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3E4216">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4F47D6">
          <w:rPr>
            <w:rStyle w:val="Hyperlink"/>
          </w:rPr>
          <w:t>https://www.tga.gov.au</w:t>
        </w:r>
      </w:hyperlink>
      <w:r w:rsidR="00112F56">
        <w:t>&gt;</w:t>
      </w:r>
      <w:r>
        <w:t>.</w:t>
      </w:r>
    </w:p>
    <w:p w:rsidR="008E7846" w:rsidRDefault="008E7846" w:rsidP="008E7846">
      <w:pPr>
        <w:pStyle w:val="NonTOCHeading2"/>
      </w:pPr>
      <w:r>
        <w:t xml:space="preserve">About </w:t>
      </w:r>
      <w:proofErr w:type="spellStart"/>
      <w:r>
        <w:t>AusPARs</w:t>
      </w:r>
      <w:proofErr w:type="spellEnd"/>
    </w:p>
    <w:p w:rsidR="00C60B78" w:rsidRDefault="008E7846" w:rsidP="003E4216">
      <w:pPr>
        <w:pStyle w:val="ListBullet"/>
        <w:numPr>
          <w:ilvl w:val="0"/>
          <w:numId w:val="1"/>
        </w:numPr>
        <w:ind w:left="357" w:hanging="357"/>
      </w:pPr>
      <w:r>
        <w:t>An Australian Public Assessment Record (</w:t>
      </w:r>
      <w:proofErr w:type="spellStart"/>
      <w:r>
        <w:t>AusPAR</w:t>
      </w:r>
      <w:proofErr w:type="spellEnd"/>
      <w:r>
        <w:t>) provides information about the evaluation of a prescription medicine and the considerations that led the TGA to approve or not approve a prescription medicine submission.</w:t>
      </w:r>
    </w:p>
    <w:p w:rsidR="008E7846" w:rsidRDefault="008E7846" w:rsidP="003E4216">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3E4216">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3E4216">
      <w:pPr>
        <w:pStyle w:val="ListBullet"/>
        <w:numPr>
          <w:ilvl w:val="0"/>
          <w:numId w:val="1"/>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3E4216">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950915">
      <w:pPr>
        <w:pStyle w:val="LegalSubheading"/>
        <w:spacing w:before="25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p w:rsidR="0089635C" w:rsidRPr="0089635C" w:rsidRDefault="0089635C" w:rsidP="0010788A">
      <w:pPr>
        <w:pStyle w:val="Contents"/>
      </w:pPr>
      <w:bookmarkStart w:id="0" w:name="_Toc247691501"/>
      <w:bookmarkStart w:id="1" w:name="_Toc196046425"/>
      <w:r w:rsidRPr="0010788A">
        <w:lastRenderedPageBreak/>
        <w:t>Con</w:t>
      </w:r>
      <w:bookmarkStart w:id="2" w:name="_GoBack"/>
      <w:bookmarkEnd w:id="2"/>
      <w:r w:rsidRPr="0010788A">
        <w:t>tents</w:t>
      </w:r>
    </w:p>
    <w:p w:rsidR="009A6908" w:rsidRDefault="00E62510">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38125687" w:history="1">
        <w:r w:rsidR="009A6908" w:rsidRPr="009661C6">
          <w:rPr>
            <w:rStyle w:val="Hyperlink"/>
            <w:noProof/>
          </w:rPr>
          <w:t>Most common abbreviations used in this AusPAR</w:t>
        </w:r>
        <w:r w:rsidR="009A6908">
          <w:rPr>
            <w:noProof/>
            <w:webHidden/>
          </w:rPr>
          <w:tab/>
        </w:r>
        <w:r w:rsidR="009A6908">
          <w:rPr>
            <w:noProof/>
            <w:webHidden/>
          </w:rPr>
          <w:fldChar w:fldCharType="begin"/>
        </w:r>
        <w:r w:rsidR="009A6908">
          <w:rPr>
            <w:noProof/>
            <w:webHidden/>
          </w:rPr>
          <w:instrText xml:space="preserve"> PAGEREF _Toc438125687 \h </w:instrText>
        </w:r>
        <w:r w:rsidR="009A6908">
          <w:rPr>
            <w:noProof/>
            <w:webHidden/>
          </w:rPr>
        </w:r>
        <w:r w:rsidR="009A6908">
          <w:rPr>
            <w:noProof/>
            <w:webHidden/>
          </w:rPr>
          <w:fldChar w:fldCharType="separate"/>
        </w:r>
        <w:r w:rsidR="009A6908">
          <w:rPr>
            <w:noProof/>
            <w:webHidden/>
          </w:rPr>
          <w:t>5</w:t>
        </w:r>
        <w:r w:rsidR="009A6908">
          <w:rPr>
            <w:noProof/>
            <w:webHidden/>
          </w:rPr>
          <w:fldChar w:fldCharType="end"/>
        </w:r>
      </w:hyperlink>
    </w:p>
    <w:p w:rsidR="009A6908" w:rsidRDefault="009A6908">
      <w:pPr>
        <w:pStyle w:val="TOC2"/>
        <w:rPr>
          <w:rFonts w:asciiTheme="minorHAnsi" w:eastAsiaTheme="minorEastAsia" w:hAnsiTheme="minorHAnsi" w:cstheme="minorBidi"/>
          <w:b w:val="0"/>
          <w:noProof/>
          <w:sz w:val="22"/>
          <w:lang w:eastAsia="en-AU"/>
        </w:rPr>
      </w:pPr>
      <w:hyperlink w:anchor="_Toc438125688" w:history="1">
        <w:r w:rsidRPr="009661C6">
          <w:rPr>
            <w:rStyle w:val="Hyperlink"/>
            <w:noProof/>
          </w:rPr>
          <w:t>I. Introduction to product submission</w:t>
        </w:r>
        <w:r>
          <w:rPr>
            <w:noProof/>
            <w:webHidden/>
          </w:rPr>
          <w:tab/>
        </w:r>
        <w:r>
          <w:rPr>
            <w:noProof/>
            <w:webHidden/>
          </w:rPr>
          <w:fldChar w:fldCharType="begin"/>
        </w:r>
        <w:r>
          <w:rPr>
            <w:noProof/>
            <w:webHidden/>
          </w:rPr>
          <w:instrText xml:space="preserve"> PAGEREF _Toc438125688 \h </w:instrText>
        </w:r>
        <w:r>
          <w:rPr>
            <w:noProof/>
            <w:webHidden/>
          </w:rPr>
        </w:r>
        <w:r>
          <w:rPr>
            <w:noProof/>
            <w:webHidden/>
          </w:rPr>
          <w:fldChar w:fldCharType="separate"/>
        </w:r>
        <w:r>
          <w:rPr>
            <w:noProof/>
            <w:webHidden/>
          </w:rPr>
          <w:t>8</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689" w:history="1">
        <w:r w:rsidRPr="009661C6">
          <w:rPr>
            <w:rStyle w:val="Hyperlink"/>
            <w:noProof/>
            <w:lang w:eastAsia="en-AU"/>
          </w:rPr>
          <w:t>Submission details</w:t>
        </w:r>
        <w:r>
          <w:rPr>
            <w:noProof/>
            <w:webHidden/>
          </w:rPr>
          <w:tab/>
        </w:r>
        <w:r>
          <w:rPr>
            <w:noProof/>
            <w:webHidden/>
          </w:rPr>
          <w:fldChar w:fldCharType="begin"/>
        </w:r>
        <w:r>
          <w:rPr>
            <w:noProof/>
            <w:webHidden/>
          </w:rPr>
          <w:instrText xml:space="preserve"> PAGEREF _Toc438125689 \h </w:instrText>
        </w:r>
        <w:r>
          <w:rPr>
            <w:noProof/>
            <w:webHidden/>
          </w:rPr>
        </w:r>
        <w:r>
          <w:rPr>
            <w:noProof/>
            <w:webHidden/>
          </w:rPr>
          <w:fldChar w:fldCharType="separate"/>
        </w:r>
        <w:r>
          <w:rPr>
            <w:noProof/>
            <w:webHidden/>
          </w:rPr>
          <w:t>8</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690" w:history="1">
        <w:r w:rsidRPr="009661C6">
          <w:rPr>
            <w:rStyle w:val="Hyperlink"/>
            <w:noProof/>
          </w:rPr>
          <w:t>Product background</w:t>
        </w:r>
        <w:r>
          <w:rPr>
            <w:noProof/>
            <w:webHidden/>
          </w:rPr>
          <w:tab/>
        </w:r>
        <w:r>
          <w:rPr>
            <w:noProof/>
            <w:webHidden/>
          </w:rPr>
          <w:fldChar w:fldCharType="begin"/>
        </w:r>
        <w:r>
          <w:rPr>
            <w:noProof/>
            <w:webHidden/>
          </w:rPr>
          <w:instrText xml:space="preserve"> PAGEREF _Toc438125690 \h </w:instrText>
        </w:r>
        <w:r>
          <w:rPr>
            <w:noProof/>
            <w:webHidden/>
          </w:rPr>
        </w:r>
        <w:r>
          <w:rPr>
            <w:noProof/>
            <w:webHidden/>
          </w:rPr>
          <w:fldChar w:fldCharType="separate"/>
        </w:r>
        <w:r>
          <w:rPr>
            <w:noProof/>
            <w:webHidden/>
          </w:rPr>
          <w:t>9</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691" w:history="1">
        <w:r w:rsidRPr="009661C6">
          <w:rPr>
            <w:rStyle w:val="Hyperlink"/>
            <w:noProof/>
          </w:rPr>
          <w:t>Regulatory status</w:t>
        </w:r>
        <w:r>
          <w:rPr>
            <w:noProof/>
            <w:webHidden/>
          </w:rPr>
          <w:tab/>
        </w:r>
        <w:r>
          <w:rPr>
            <w:noProof/>
            <w:webHidden/>
          </w:rPr>
          <w:fldChar w:fldCharType="begin"/>
        </w:r>
        <w:r>
          <w:rPr>
            <w:noProof/>
            <w:webHidden/>
          </w:rPr>
          <w:instrText xml:space="preserve"> PAGEREF _Toc438125691 \h </w:instrText>
        </w:r>
        <w:r>
          <w:rPr>
            <w:noProof/>
            <w:webHidden/>
          </w:rPr>
        </w:r>
        <w:r>
          <w:rPr>
            <w:noProof/>
            <w:webHidden/>
          </w:rPr>
          <w:fldChar w:fldCharType="separate"/>
        </w:r>
        <w:r>
          <w:rPr>
            <w:noProof/>
            <w:webHidden/>
          </w:rPr>
          <w:t>10</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692" w:history="1">
        <w:r w:rsidRPr="009661C6">
          <w:rPr>
            <w:rStyle w:val="Hyperlink"/>
            <w:noProof/>
          </w:rPr>
          <w:t>Product Information</w:t>
        </w:r>
        <w:r>
          <w:rPr>
            <w:noProof/>
            <w:webHidden/>
          </w:rPr>
          <w:tab/>
        </w:r>
        <w:r>
          <w:rPr>
            <w:noProof/>
            <w:webHidden/>
          </w:rPr>
          <w:fldChar w:fldCharType="begin"/>
        </w:r>
        <w:r>
          <w:rPr>
            <w:noProof/>
            <w:webHidden/>
          </w:rPr>
          <w:instrText xml:space="preserve"> PAGEREF _Toc438125692 \h </w:instrText>
        </w:r>
        <w:r>
          <w:rPr>
            <w:noProof/>
            <w:webHidden/>
          </w:rPr>
        </w:r>
        <w:r>
          <w:rPr>
            <w:noProof/>
            <w:webHidden/>
          </w:rPr>
          <w:fldChar w:fldCharType="separate"/>
        </w:r>
        <w:r>
          <w:rPr>
            <w:noProof/>
            <w:webHidden/>
          </w:rPr>
          <w:t>11</w:t>
        </w:r>
        <w:r>
          <w:rPr>
            <w:noProof/>
            <w:webHidden/>
          </w:rPr>
          <w:fldChar w:fldCharType="end"/>
        </w:r>
      </w:hyperlink>
    </w:p>
    <w:p w:rsidR="009A6908" w:rsidRDefault="009A6908">
      <w:pPr>
        <w:pStyle w:val="TOC2"/>
        <w:rPr>
          <w:rFonts w:asciiTheme="minorHAnsi" w:eastAsiaTheme="minorEastAsia" w:hAnsiTheme="minorHAnsi" w:cstheme="minorBidi"/>
          <w:b w:val="0"/>
          <w:noProof/>
          <w:sz w:val="22"/>
          <w:lang w:eastAsia="en-AU"/>
        </w:rPr>
      </w:pPr>
      <w:hyperlink w:anchor="_Toc438125693" w:history="1">
        <w:r w:rsidRPr="009661C6">
          <w:rPr>
            <w:rStyle w:val="Hyperlink"/>
            <w:noProof/>
          </w:rPr>
          <w:t>II. Quality findings</w:t>
        </w:r>
        <w:r>
          <w:rPr>
            <w:noProof/>
            <w:webHidden/>
          </w:rPr>
          <w:tab/>
        </w:r>
        <w:r>
          <w:rPr>
            <w:noProof/>
            <w:webHidden/>
          </w:rPr>
          <w:fldChar w:fldCharType="begin"/>
        </w:r>
        <w:r>
          <w:rPr>
            <w:noProof/>
            <w:webHidden/>
          </w:rPr>
          <w:instrText xml:space="preserve"> PAGEREF _Toc438125693 \h </w:instrText>
        </w:r>
        <w:r>
          <w:rPr>
            <w:noProof/>
            <w:webHidden/>
          </w:rPr>
        </w:r>
        <w:r>
          <w:rPr>
            <w:noProof/>
            <w:webHidden/>
          </w:rPr>
          <w:fldChar w:fldCharType="separate"/>
        </w:r>
        <w:r>
          <w:rPr>
            <w:noProof/>
            <w:webHidden/>
          </w:rPr>
          <w:t>11</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694" w:history="1">
        <w:r w:rsidRPr="009661C6">
          <w:rPr>
            <w:rStyle w:val="Hyperlink"/>
            <w:noProof/>
          </w:rPr>
          <w:t>Introduction</w:t>
        </w:r>
        <w:r>
          <w:rPr>
            <w:noProof/>
            <w:webHidden/>
          </w:rPr>
          <w:tab/>
        </w:r>
        <w:r>
          <w:rPr>
            <w:noProof/>
            <w:webHidden/>
          </w:rPr>
          <w:fldChar w:fldCharType="begin"/>
        </w:r>
        <w:r>
          <w:rPr>
            <w:noProof/>
            <w:webHidden/>
          </w:rPr>
          <w:instrText xml:space="preserve"> PAGEREF _Toc438125694 \h </w:instrText>
        </w:r>
        <w:r>
          <w:rPr>
            <w:noProof/>
            <w:webHidden/>
          </w:rPr>
        </w:r>
        <w:r>
          <w:rPr>
            <w:noProof/>
            <w:webHidden/>
          </w:rPr>
          <w:fldChar w:fldCharType="separate"/>
        </w:r>
        <w:r>
          <w:rPr>
            <w:noProof/>
            <w:webHidden/>
          </w:rPr>
          <w:t>11</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695" w:history="1">
        <w:r w:rsidRPr="009661C6">
          <w:rPr>
            <w:rStyle w:val="Hyperlink"/>
            <w:noProof/>
          </w:rPr>
          <w:t>Drug substance (active ingredient)</w:t>
        </w:r>
        <w:r>
          <w:rPr>
            <w:noProof/>
            <w:webHidden/>
          </w:rPr>
          <w:tab/>
        </w:r>
        <w:r>
          <w:rPr>
            <w:noProof/>
            <w:webHidden/>
          </w:rPr>
          <w:fldChar w:fldCharType="begin"/>
        </w:r>
        <w:r>
          <w:rPr>
            <w:noProof/>
            <w:webHidden/>
          </w:rPr>
          <w:instrText xml:space="preserve"> PAGEREF _Toc438125695 \h </w:instrText>
        </w:r>
        <w:r>
          <w:rPr>
            <w:noProof/>
            <w:webHidden/>
          </w:rPr>
        </w:r>
        <w:r>
          <w:rPr>
            <w:noProof/>
            <w:webHidden/>
          </w:rPr>
          <w:fldChar w:fldCharType="separate"/>
        </w:r>
        <w:r>
          <w:rPr>
            <w:noProof/>
            <w:webHidden/>
          </w:rPr>
          <w:t>11</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696" w:history="1">
        <w:r w:rsidRPr="009661C6">
          <w:rPr>
            <w:rStyle w:val="Hyperlink"/>
            <w:noProof/>
          </w:rPr>
          <w:t>Drug product</w:t>
        </w:r>
        <w:r>
          <w:rPr>
            <w:noProof/>
            <w:webHidden/>
          </w:rPr>
          <w:tab/>
        </w:r>
        <w:r>
          <w:rPr>
            <w:noProof/>
            <w:webHidden/>
          </w:rPr>
          <w:fldChar w:fldCharType="begin"/>
        </w:r>
        <w:r>
          <w:rPr>
            <w:noProof/>
            <w:webHidden/>
          </w:rPr>
          <w:instrText xml:space="preserve"> PAGEREF _Toc438125696 \h </w:instrText>
        </w:r>
        <w:r>
          <w:rPr>
            <w:noProof/>
            <w:webHidden/>
          </w:rPr>
        </w:r>
        <w:r>
          <w:rPr>
            <w:noProof/>
            <w:webHidden/>
          </w:rPr>
          <w:fldChar w:fldCharType="separate"/>
        </w:r>
        <w:r>
          <w:rPr>
            <w:noProof/>
            <w:webHidden/>
          </w:rPr>
          <w:t>12</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697" w:history="1">
        <w:r w:rsidRPr="009661C6">
          <w:rPr>
            <w:rStyle w:val="Hyperlink"/>
            <w:noProof/>
          </w:rPr>
          <w:t>Biopharmaceutics</w:t>
        </w:r>
        <w:r>
          <w:rPr>
            <w:noProof/>
            <w:webHidden/>
          </w:rPr>
          <w:tab/>
        </w:r>
        <w:r>
          <w:rPr>
            <w:noProof/>
            <w:webHidden/>
          </w:rPr>
          <w:fldChar w:fldCharType="begin"/>
        </w:r>
        <w:r>
          <w:rPr>
            <w:noProof/>
            <w:webHidden/>
          </w:rPr>
          <w:instrText xml:space="preserve"> PAGEREF _Toc438125697 \h </w:instrText>
        </w:r>
        <w:r>
          <w:rPr>
            <w:noProof/>
            <w:webHidden/>
          </w:rPr>
        </w:r>
        <w:r>
          <w:rPr>
            <w:noProof/>
            <w:webHidden/>
          </w:rPr>
          <w:fldChar w:fldCharType="separate"/>
        </w:r>
        <w:r>
          <w:rPr>
            <w:noProof/>
            <w:webHidden/>
          </w:rPr>
          <w:t>13</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698" w:history="1">
        <w:r w:rsidRPr="009661C6">
          <w:rPr>
            <w:rStyle w:val="Hyperlink"/>
            <w:noProof/>
          </w:rPr>
          <w:t>Quality summary and conclusions</w:t>
        </w:r>
        <w:r>
          <w:rPr>
            <w:noProof/>
            <w:webHidden/>
          </w:rPr>
          <w:tab/>
        </w:r>
        <w:r>
          <w:rPr>
            <w:noProof/>
            <w:webHidden/>
          </w:rPr>
          <w:fldChar w:fldCharType="begin"/>
        </w:r>
        <w:r>
          <w:rPr>
            <w:noProof/>
            <w:webHidden/>
          </w:rPr>
          <w:instrText xml:space="preserve"> PAGEREF _Toc438125698 \h </w:instrText>
        </w:r>
        <w:r>
          <w:rPr>
            <w:noProof/>
            <w:webHidden/>
          </w:rPr>
        </w:r>
        <w:r>
          <w:rPr>
            <w:noProof/>
            <w:webHidden/>
          </w:rPr>
          <w:fldChar w:fldCharType="separate"/>
        </w:r>
        <w:r>
          <w:rPr>
            <w:noProof/>
            <w:webHidden/>
          </w:rPr>
          <w:t>14</w:t>
        </w:r>
        <w:r>
          <w:rPr>
            <w:noProof/>
            <w:webHidden/>
          </w:rPr>
          <w:fldChar w:fldCharType="end"/>
        </w:r>
      </w:hyperlink>
    </w:p>
    <w:p w:rsidR="009A6908" w:rsidRDefault="009A6908">
      <w:pPr>
        <w:pStyle w:val="TOC2"/>
        <w:rPr>
          <w:rFonts w:asciiTheme="minorHAnsi" w:eastAsiaTheme="minorEastAsia" w:hAnsiTheme="minorHAnsi" w:cstheme="minorBidi"/>
          <w:b w:val="0"/>
          <w:noProof/>
          <w:sz w:val="22"/>
          <w:lang w:eastAsia="en-AU"/>
        </w:rPr>
      </w:pPr>
      <w:hyperlink w:anchor="_Toc438125699" w:history="1">
        <w:r w:rsidRPr="009661C6">
          <w:rPr>
            <w:rStyle w:val="Hyperlink"/>
            <w:noProof/>
          </w:rPr>
          <w:t>III. Nonclinical findings</w:t>
        </w:r>
        <w:r>
          <w:rPr>
            <w:noProof/>
            <w:webHidden/>
          </w:rPr>
          <w:tab/>
        </w:r>
        <w:r>
          <w:rPr>
            <w:noProof/>
            <w:webHidden/>
          </w:rPr>
          <w:fldChar w:fldCharType="begin"/>
        </w:r>
        <w:r>
          <w:rPr>
            <w:noProof/>
            <w:webHidden/>
          </w:rPr>
          <w:instrText xml:space="preserve"> PAGEREF _Toc438125699 \h </w:instrText>
        </w:r>
        <w:r>
          <w:rPr>
            <w:noProof/>
            <w:webHidden/>
          </w:rPr>
        </w:r>
        <w:r>
          <w:rPr>
            <w:noProof/>
            <w:webHidden/>
          </w:rPr>
          <w:fldChar w:fldCharType="separate"/>
        </w:r>
        <w:r>
          <w:rPr>
            <w:noProof/>
            <w:webHidden/>
          </w:rPr>
          <w:t>14</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00" w:history="1">
        <w:r w:rsidRPr="009661C6">
          <w:rPr>
            <w:rStyle w:val="Hyperlink"/>
            <w:noProof/>
          </w:rPr>
          <w:t>Introduction</w:t>
        </w:r>
        <w:r>
          <w:rPr>
            <w:noProof/>
            <w:webHidden/>
          </w:rPr>
          <w:tab/>
        </w:r>
        <w:r>
          <w:rPr>
            <w:noProof/>
            <w:webHidden/>
          </w:rPr>
          <w:fldChar w:fldCharType="begin"/>
        </w:r>
        <w:r>
          <w:rPr>
            <w:noProof/>
            <w:webHidden/>
          </w:rPr>
          <w:instrText xml:space="preserve"> PAGEREF _Toc438125700 \h </w:instrText>
        </w:r>
        <w:r>
          <w:rPr>
            <w:noProof/>
            <w:webHidden/>
          </w:rPr>
        </w:r>
        <w:r>
          <w:rPr>
            <w:noProof/>
            <w:webHidden/>
          </w:rPr>
          <w:fldChar w:fldCharType="separate"/>
        </w:r>
        <w:r>
          <w:rPr>
            <w:noProof/>
            <w:webHidden/>
          </w:rPr>
          <w:t>14</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01" w:history="1">
        <w:r w:rsidRPr="009661C6">
          <w:rPr>
            <w:rStyle w:val="Hyperlink"/>
            <w:noProof/>
          </w:rPr>
          <w:t>Pharmacology</w:t>
        </w:r>
        <w:r>
          <w:rPr>
            <w:noProof/>
            <w:webHidden/>
          </w:rPr>
          <w:tab/>
        </w:r>
        <w:r>
          <w:rPr>
            <w:noProof/>
            <w:webHidden/>
          </w:rPr>
          <w:fldChar w:fldCharType="begin"/>
        </w:r>
        <w:r>
          <w:rPr>
            <w:noProof/>
            <w:webHidden/>
          </w:rPr>
          <w:instrText xml:space="preserve"> PAGEREF _Toc438125701 \h </w:instrText>
        </w:r>
        <w:r>
          <w:rPr>
            <w:noProof/>
            <w:webHidden/>
          </w:rPr>
        </w:r>
        <w:r>
          <w:rPr>
            <w:noProof/>
            <w:webHidden/>
          </w:rPr>
          <w:fldChar w:fldCharType="separate"/>
        </w:r>
        <w:r>
          <w:rPr>
            <w:noProof/>
            <w:webHidden/>
          </w:rPr>
          <w:t>14</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02" w:history="1">
        <w:r w:rsidRPr="009661C6">
          <w:rPr>
            <w:rStyle w:val="Hyperlink"/>
            <w:noProof/>
          </w:rPr>
          <w:t>Safety pharmacology</w:t>
        </w:r>
        <w:r>
          <w:rPr>
            <w:noProof/>
            <w:webHidden/>
          </w:rPr>
          <w:tab/>
        </w:r>
        <w:r>
          <w:rPr>
            <w:noProof/>
            <w:webHidden/>
          </w:rPr>
          <w:fldChar w:fldCharType="begin"/>
        </w:r>
        <w:r>
          <w:rPr>
            <w:noProof/>
            <w:webHidden/>
          </w:rPr>
          <w:instrText xml:space="preserve"> PAGEREF _Toc438125702 \h </w:instrText>
        </w:r>
        <w:r>
          <w:rPr>
            <w:noProof/>
            <w:webHidden/>
          </w:rPr>
        </w:r>
        <w:r>
          <w:rPr>
            <w:noProof/>
            <w:webHidden/>
          </w:rPr>
          <w:fldChar w:fldCharType="separate"/>
        </w:r>
        <w:r>
          <w:rPr>
            <w:noProof/>
            <w:webHidden/>
          </w:rPr>
          <w:t>17</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03" w:history="1">
        <w:r w:rsidRPr="009661C6">
          <w:rPr>
            <w:rStyle w:val="Hyperlink"/>
            <w:noProof/>
          </w:rPr>
          <w:t>Pharmacokinetics</w:t>
        </w:r>
        <w:r>
          <w:rPr>
            <w:noProof/>
            <w:webHidden/>
          </w:rPr>
          <w:tab/>
        </w:r>
        <w:r>
          <w:rPr>
            <w:noProof/>
            <w:webHidden/>
          </w:rPr>
          <w:fldChar w:fldCharType="begin"/>
        </w:r>
        <w:r>
          <w:rPr>
            <w:noProof/>
            <w:webHidden/>
          </w:rPr>
          <w:instrText xml:space="preserve"> PAGEREF _Toc438125703 \h </w:instrText>
        </w:r>
        <w:r>
          <w:rPr>
            <w:noProof/>
            <w:webHidden/>
          </w:rPr>
        </w:r>
        <w:r>
          <w:rPr>
            <w:noProof/>
            <w:webHidden/>
          </w:rPr>
          <w:fldChar w:fldCharType="separate"/>
        </w:r>
        <w:r>
          <w:rPr>
            <w:noProof/>
            <w:webHidden/>
          </w:rPr>
          <w:t>17</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04" w:history="1">
        <w:r w:rsidRPr="009661C6">
          <w:rPr>
            <w:rStyle w:val="Hyperlink"/>
            <w:noProof/>
            <w:kern w:val="2"/>
          </w:rPr>
          <w:t>Pharmacokinetic drug interactions</w:t>
        </w:r>
        <w:r>
          <w:rPr>
            <w:noProof/>
            <w:webHidden/>
          </w:rPr>
          <w:tab/>
        </w:r>
        <w:r>
          <w:rPr>
            <w:noProof/>
            <w:webHidden/>
          </w:rPr>
          <w:fldChar w:fldCharType="begin"/>
        </w:r>
        <w:r>
          <w:rPr>
            <w:noProof/>
            <w:webHidden/>
          </w:rPr>
          <w:instrText xml:space="preserve"> PAGEREF _Toc438125704 \h </w:instrText>
        </w:r>
        <w:r>
          <w:rPr>
            <w:noProof/>
            <w:webHidden/>
          </w:rPr>
        </w:r>
        <w:r>
          <w:rPr>
            <w:noProof/>
            <w:webHidden/>
          </w:rPr>
          <w:fldChar w:fldCharType="separate"/>
        </w:r>
        <w:r>
          <w:rPr>
            <w:noProof/>
            <w:webHidden/>
          </w:rPr>
          <w:t>19</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05" w:history="1">
        <w:r w:rsidRPr="009661C6">
          <w:rPr>
            <w:rStyle w:val="Hyperlink"/>
            <w:noProof/>
          </w:rPr>
          <w:t>Toxicology</w:t>
        </w:r>
        <w:r>
          <w:rPr>
            <w:noProof/>
            <w:webHidden/>
          </w:rPr>
          <w:tab/>
        </w:r>
        <w:r>
          <w:rPr>
            <w:noProof/>
            <w:webHidden/>
          </w:rPr>
          <w:fldChar w:fldCharType="begin"/>
        </w:r>
        <w:r>
          <w:rPr>
            <w:noProof/>
            <w:webHidden/>
          </w:rPr>
          <w:instrText xml:space="preserve"> PAGEREF _Toc438125705 \h </w:instrText>
        </w:r>
        <w:r>
          <w:rPr>
            <w:noProof/>
            <w:webHidden/>
          </w:rPr>
        </w:r>
        <w:r>
          <w:rPr>
            <w:noProof/>
            <w:webHidden/>
          </w:rPr>
          <w:fldChar w:fldCharType="separate"/>
        </w:r>
        <w:r>
          <w:rPr>
            <w:noProof/>
            <w:webHidden/>
          </w:rPr>
          <w:t>20</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06" w:history="1">
        <w:r w:rsidRPr="009661C6">
          <w:rPr>
            <w:rStyle w:val="Hyperlink"/>
            <w:noProof/>
          </w:rPr>
          <w:t>Nonclinical summary and conclusions</w:t>
        </w:r>
        <w:r>
          <w:rPr>
            <w:noProof/>
            <w:webHidden/>
          </w:rPr>
          <w:tab/>
        </w:r>
        <w:r>
          <w:rPr>
            <w:noProof/>
            <w:webHidden/>
          </w:rPr>
          <w:fldChar w:fldCharType="begin"/>
        </w:r>
        <w:r>
          <w:rPr>
            <w:noProof/>
            <w:webHidden/>
          </w:rPr>
          <w:instrText xml:space="preserve"> PAGEREF _Toc438125706 \h </w:instrText>
        </w:r>
        <w:r>
          <w:rPr>
            <w:noProof/>
            <w:webHidden/>
          </w:rPr>
        </w:r>
        <w:r>
          <w:rPr>
            <w:noProof/>
            <w:webHidden/>
          </w:rPr>
          <w:fldChar w:fldCharType="separate"/>
        </w:r>
        <w:r>
          <w:rPr>
            <w:noProof/>
            <w:webHidden/>
          </w:rPr>
          <w:t>30</w:t>
        </w:r>
        <w:r>
          <w:rPr>
            <w:noProof/>
            <w:webHidden/>
          </w:rPr>
          <w:fldChar w:fldCharType="end"/>
        </w:r>
      </w:hyperlink>
    </w:p>
    <w:p w:rsidR="009A6908" w:rsidRDefault="009A6908">
      <w:pPr>
        <w:pStyle w:val="TOC2"/>
        <w:rPr>
          <w:rFonts w:asciiTheme="minorHAnsi" w:eastAsiaTheme="minorEastAsia" w:hAnsiTheme="minorHAnsi" w:cstheme="minorBidi"/>
          <w:b w:val="0"/>
          <w:noProof/>
          <w:sz w:val="22"/>
          <w:lang w:eastAsia="en-AU"/>
        </w:rPr>
      </w:pPr>
      <w:hyperlink w:anchor="_Toc438125707" w:history="1">
        <w:r w:rsidRPr="009661C6">
          <w:rPr>
            <w:rStyle w:val="Hyperlink"/>
            <w:noProof/>
          </w:rPr>
          <w:t>IV. Clinical findings</w:t>
        </w:r>
        <w:r>
          <w:rPr>
            <w:noProof/>
            <w:webHidden/>
          </w:rPr>
          <w:tab/>
        </w:r>
        <w:r>
          <w:rPr>
            <w:noProof/>
            <w:webHidden/>
          </w:rPr>
          <w:fldChar w:fldCharType="begin"/>
        </w:r>
        <w:r>
          <w:rPr>
            <w:noProof/>
            <w:webHidden/>
          </w:rPr>
          <w:instrText xml:space="preserve"> PAGEREF _Toc438125707 \h </w:instrText>
        </w:r>
        <w:r>
          <w:rPr>
            <w:noProof/>
            <w:webHidden/>
          </w:rPr>
        </w:r>
        <w:r>
          <w:rPr>
            <w:noProof/>
            <w:webHidden/>
          </w:rPr>
          <w:fldChar w:fldCharType="separate"/>
        </w:r>
        <w:r>
          <w:rPr>
            <w:noProof/>
            <w:webHidden/>
          </w:rPr>
          <w:t>33</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08" w:history="1">
        <w:r w:rsidRPr="009661C6">
          <w:rPr>
            <w:rStyle w:val="Hyperlink"/>
            <w:noProof/>
          </w:rPr>
          <w:t>Introduction</w:t>
        </w:r>
        <w:r>
          <w:rPr>
            <w:noProof/>
            <w:webHidden/>
          </w:rPr>
          <w:tab/>
        </w:r>
        <w:r>
          <w:rPr>
            <w:noProof/>
            <w:webHidden/>
          </w:rPr>
          <w:fldChar w:fldCharType="begin"/>
        </w:r>
        <w:r>
          <w:rPr>
            <w:noProof/>
            <w:webHidden/>
          </w:rPr>
          <w:instrText xml:space="preserve"> PAGEREF _Toc438125708 \h </w:instrText>
        </w:r>
        <w:r>
          <w:rPr>
            <w:noProof/>
            <w:webHidden/>
          </w:rPr>
        </w:r>
        <w:r>
          <w:rPr>
            <w:noProof/>
            <w:webHidden/>
          </w:rPr>
          <w:fldChar w:fldCharType="separate"/>
        </w:r>
        <w:r>
          <w:rPr>
            <w:noProof/>
            <w:webHidden/>
          </w:rPr>
          <w:t>33</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09" w:history="1">
        <w:r w:rsidRPr="009661C6">
          <w:rPr>
            <w:rStyle w:val="Hyperlink"/>
            <w:noProof/>
          </w:rPr>
          <w:t>Contents of the clinical dossier</w:t>
        </w:r>
        <w:r>
          <w:rPr>
            <w:noProof/>
            <w:webHidden/>
          </w:rPr>
          <w:tab/>
        </w:r>
        <w:r>
          <w:rPr>
            <w:noProof/>
            <w:webHidden/>
          </w:rPr>
          <w:fldChar w:fldCharType="begin"/>
        </w:r>
        <w:r>
          <w:rPr>
            <w:noProof/>
            <w:webHidden/>
          </w:rPr>
          <w:instrText xml:space="preserve"> PAGEREF _Toc438125709 \h </w:instrText>
        </w:r>
        <w:r>
          <w:rPr>
            <w:noProof/>
            <w:webHidden/>
          </w:rPr>
        </w:r>
        <w:r>
          <w:rPr>
            <w:noProof/>
            <w:webHidden/>
          </w:rPr>
          <w:fldChar w:fldCharType="separate"/>
        </w:r>
        <w:r>
          <w:rPr>
            <w:noProof/>
            <w:webHidden/>
          </w:rPr>
          <w:t>34</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10" w:history="1">
        <w:r w:rsidRPr="009661C6">
          <w:rPr>
            <w:rStyle w:val="Hyperlink"/>
            <w:noProof/>
          </w:rPr>
          <w:t>Pharmacokinetics</w:t>
        </w:r>
        <w:r>
          <w:rPr>
            <w:noProof/>
            <w:webHidden/>
          </w:rPr>
          <w:tab/>
        </w:r>
        <w:r>
          <w:rPr>
            <w:noProof/>
            <w:webHidden/>
          </w:rPr>
          <w:fldChar w:fldCharType="begin"/>
        </w:r>
        <w:r>
          <w:rPr>
            <w:noProof/>
            <w:webHidden/>
          </w:rPr>
          <w:instrText xml:space="preserve"> PAGEREF _Toc438125710 \h </w:instrText>
        </w:r>
        <w:r>
          <w:rPr>
            <w:noProof/>
            <w:webHidden/>
          </w:rPr>
        </w:r>
        <w:r>
          <w:rPr>
            <w:noProof/>
            <w:webHidden/>
          </w:rPr>
          <w:fldChar w:fldCharType="separate"/>
        </w:r>
        <w:r>
          <w:rPr>
            <w:noProof/>
            <w:webHidden/>
          </w:rPr>
          <w:t>35</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11" w:history="1">
        <w:r w:rsidRPr="009661C6">
          <w:rPr>
            <w:rStyle w:val="Hyperlink"/>
            <w:noProof/>
          </w:rPr>
          <w:t>Pharmacodynamics</w:t>
        </w:r>
        <w:r>
          <w:rPr>
            <w:noProof/>
            <w:webHidden/>
          </w:rPr>
          <w:tab/>
        </w:r>
        <w:r>
          <w:rPr>
            <w:noProof/>
            <w:webHidden/>
          </w:rPr>
          <w:fldChar w:fldCharType="begin"/>
        </w:r>
        <w:r>
          <w:rPr>
            <w:noProof/>
            <w:webHidden/>
          </w:rPr>
          <w:instrText xml:space="preserve"> PAGEREF _Toc438125711 \h </w:instrText>
        </w:r>
        <w:r>
          <w:rPr>
            <w:noProof/>
            <w:webHidden/>
          </w:rPr>
        </w:r>
        <w:r>
          <w:rPr>
            <w:noProof/>
            <w:webHidden/>
          </w:rPr>
          <w:fldChar w:fldCharType="separate"/>
        </w:r>
        <w:r>
          <w:rPr>
            <w:noProof/>
            <w:webHidden/>
          </w:rPr>
          <w:t>38</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12" w:history="1">
        <w:r w:rsidRPr="009661C6">
          <w:rPr>
            <w:rStyle w:val="Hyperlink"/>
            <w:noProof/>
          </w:rPr>
          <w:t>Dosage selection for the pivotal studies</w:t>
        </w:r>
        <w:r>
          <w:rPr>
            <w:noProof/>
            <w:webHidden/>
          </w:rPr>
          <w:tab/>
        </w:r>
        <w:r>
          <w:rPr>
            <w:noProof/>
            <w:webHidden/>
          </w:rPr>
          <w:fldChar w:fldCharType="begin"/>
        </w:r>
        <w:r>
          <w:rPr>
            <w:noProof/>
            <w:webHidden/>
          </w:rPr>
          <w:instrText xml:space="preserve"> PAGEREF _Toc438125712 \h </w:instrText>
        </w:r>
        <w:r>
          <w:rPr>
            <w:noProof/>
            <w:webHidden/>
          </w:rPr>
        </w:r>
        <w:r>
          <w:rPr>
            <w:noProof/>
            <w:webHidden/>
          </w:rPr>
          <w:fldChar w:fldCharType="separate"/>
        </w:r>
        <w:r>
          <w:rPr>
            <w:noProof/>
            <w:webHidden/>
          </w:rPr>
          <w:t>38</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13" w:history="1">
        <w:r w:rsidRPr="009661C6">
          <w:rPr>
            <w:rStyle w:val="Hyperlink"/>
            <w:noProof/>
          </w:rPr>
          <w:t>Efficacy</w:t>
        </w:r>
        <w:r>
          <w:rPr>
            <w:noProof/>
            <w:webHidden/>
          </w:rPr>
          <w:tab/>
        </w:r>
        <w:r>
          <w:rPr>
            <w:noProof/>
            <w:webHidden/>
          </w:rPr>
          <w:fldChar w:fldCharType="begin"/>
        </w:r>
        <w:r>
          <w:rPr>
            <w:noProof/>
            <w:webHidden/>
          </w:rPr>
          <w:instrText xml:space="preserve"> PAGEREF _Toc438125713 \h </w:instrText>
        </w:r>
        <w:r>
          <w:rPr>
            <w:noProof/>
            <w:webHidden/>
          </w:rPr>
        </w:r>
        <w:r>
          <w:rPr>
            <w:noProof/>
            <w:webHidden/>
          </w:rPr>
          <w:fldChar w:fldCharType="separate"/>
        </w:r>
        <w:r>
          <w:rPr>
            <w:noProof/>
            <w:webHidden/>
          </w:rPr>
          <w:t>39</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14" w:history="1">
        <w:r w:rsidRPr="009661C6">
          <w:rPr>
            <w:rStyle w:val="Hyperlink"/>
            <w:noProof/>
          </w:rPr>
          <w:t>Safety</w:t>
        </w:r>
        <w:r>
          <w:rPr>
            <w:noProof/>
            <w:webHidden/>
          </w:rPr>
          <w:tab/>
        </w:r>
        <w:r>
          <w:rPr>
            <w:noProof/>
            <w:webHidden/>
          </w:rPr>
          <w:fldChar w:fldCharType="begin"/>
        </w:r>
        <w:r>
          <w:rPr>
            <w:noProof/>
            <w:webHidden/>
          </w:rPr>
          <w:instrText xml:space="preserve"> PAGEREF _Toc438125714 \h </w:instrText>
        </w:r>
        <w:r>
          <w:rPr>
            <w:noProof/>
            <w:webHidden/>
          </w:rPr>
        </w:r>
        <w:r>
          <w:rPr>
            <w:noProof/>
            <w:webHidden/>
          </w:rPr>
          <w:fldChar w:fldCharType="separate"/>
        </w:r>
        <w:r>
          <w:rPr>
            <w:noProof/>
            <w:webHidden/>
          </w:rPr>
          <w:t>40</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15" w:history="1">
        <w:r w:rsidRPr="009661C6">
          <w:rPr>
            <w:rStyle w:val="Hyperlink"/>
            <w:noProof/>
          </w:rPr>
          <w:t>First round benefit-risk assessment</w:t>
        </w:r>
        <w:r>
          <w:rPr>
            <w:noProof/>
            <w:webHidden/>
          </w:rPr>
          <w:tab/>
        </w:r>
        <w:r>
          <w:rPr>
            <w:noProof/>
            <w:webHidden/>
          </w:rPr>
          <w:fldChar w:fldCharType="begin"/>
        </w:r>
        <w:r>
          <w:rPr>
            <w:noProof/>
            <w:webHidden/>
          </w:rPr>
          <w:instrText xml:space="preserve"> PAGEREF _Toc438125715 \h </w:instrText>
        </w:r>
        <w:r>
          <w:rPr>
            <w:noProof/>
            <w:webHidden/>
          </w:rPr>
        </w:r>
        <w:r>
          <w:rPr>
            <w:noProof/>
            <w:webHidden/>
          </w:rPr>
          <w:fldChar w:fldCharType="separate"/>
        </w:r>
        <w:r>
          <w:rPr>
            <w:noProof/>
            <w:webHidden/>
          </w:rPr>
          <w:t>43</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16" w:history="1">
        <w:r w:rsidRPr="009661C6">
          <w:rPr>
            <w:rStyle w:val="Hyperlink"/>
            <w:noProof/>
          </w:rPr>
          <w:t>Clinical questions</w:t>
        </w:r>
        <w:r>
          <w:rPr>
            <w:noProof/>
            <w:webHidden/>
          </w:rPr>
          <w:tab/>
        </w:r>
        <w:r>
          <w:rPr>
            <w:noProof/>
            <w:webHidden/>
          </w:rPr>
          <w:fldChar w:fldCharType="begin"/>
        </w:r>
        <w:r>
          <w:rPr>
            <w:noProof/>
            <w:webHidden/>
          </w:rPr>
          <w:instrText xml:space="preserve"> PAGEREF _Toc438125716 \h </w:instrText>
        </w:r>
        <w:r>
          <w:rPr>
            <w:noProof/>
            <w:webHidden/>
          </w:rPr>
        </w:r>
        <w:r>
          <w:rPr>
            <w:noProof/>
            <w:webHidden/>
          </w:rPr>
          <w:fldChar w:fldCharType="separate"/>
        </w:r>
        <w:r>
          <w:rPr>
            <w:noProof/>
            <w:webHidden/>
          </w:rPr>
          <w:t>44</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17" w:history="1">
        <w:r w:rsidRPr="009661C6">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_Toc438125717 \h </w:instrText>
        </w:r>
        <w:r>
          <w:rPr>
            <w:noProof/>
            <w:webHidden/>
          </w:rPr>
        </w:r>
        <w:r>
          <w:rPr>
            <w:noProof/>
            <w:webHidden/>
          </w:rPr>
          <w:fldChar w:fldCharType="separate"/>
        </w:r>
        <w:r>
          <w:rPr>
            <w:noProof/>
            <w:webHidden/>
          </w:rPr>
          <w:t>44</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18" w:history="1">
        <w:r w:rsidRPr="009661C6">
          <w:rPr>
            <w:rStyle w:val="Hyperlink"/>
            <w:noProof/>
          </w:rPr>
          <w:t>Second round benefit-risk assessment</w:t>
        </w:r>
        <w:r>
          <w:rPr>
            <w:noProof/>
            <w:webHidden/>
          </w:rPr>
          <w:tab/>
        </w:r>
        <w:r>
          <w:rPr>
            <w:noProof/>
            <w:webHidden/>
          </w:rPr>
          <w:fldChar w:fldCharType="begin"/>
        </w:r>
        <w:r>
          <w:rPr>
            <w:noProof/>
            <w:webHidden/>
          </w:rPr>
          <w:instrText xml:space="preserve"> PAGEREF _Toc438125718 \h </w:instrText>
        </w:r>
        <w:r>
          <w:rPr>
            <w:noProof/>
            <w:webHidden/>
          </w:rPr>
        </w:r>
        <w:r>
          <w:rPr>
            <w:noProof/>
            <w:webHidden/>
          </w:rPr>
          <w:fldChar w:fldCharType="separate"/>
        </w:r>
        <w:r>
          <w:rPr>
            <w:noProof/>
            <w:webHidden/>
          </w:rPr>
          <w:t>47</w:t>
        </w:r>
        <w:r>
          <w:rPr>
            <w:noProof/>
            <w:webHidden/>
          </w:rPr>
          <w:fldChar w:fldCharType="end"/>
        </w:r>
      </w:hyperlink>
    </w:p>
    <w:p w:rsidR="009A6908" w:rsidRDefault="009A6908">
      <w:pPr>
        <w:pStyle w:val="TOC2"/>
        <w:rPr>
          <w:rFonts w:asciiTheme="minorHAnsi" w:eastAsiaTheme="minorEastAsia" w:hAnsiTheme="minorHAnsi" w:cstheme="minorBidi"/>
          <w:b w:val="0"/>
          <w:noProof/>
          <w:sz w:val="22"/>
          <w:lang w:eastAsia="en-AU"/>
        </w:rPr>
      </w:pPr>
      <w:hyperlink w:anchor="_Toc438125719" w:history="1">
        <w:r w:rsidRPr="009661C6">
          <w:rPr>
            <w:rStyle w:val="Hyperlink"/>
            <w:noProof/>
          </w:rPr>
          <w:t>V. Pharmacovigilance findings</w:t>
        </w:r>
        <w:r>
          <w:rPr>
            <w:noProof/>
            <w:webHidden/>
          </w:rPr>
          <w:tab/>
        </w:r>
        <w:r>
          <w:rPr>
            <w:noProof/>
            <w:webHidden/>
          </w:rPr>
          <w:fldChar w:fldCharType="begin"/>
        </w:r>
        <w:r>
          <w:rPr>
            <w:noProof/>
            <w:webHidden/>
          </w:rPr>
          <w:instrText xml:space="preserve"> PAGEREF _Toc438125719 \h </w:instrText>
        </w:r>
        <w:r>
          <w:rPr>
            <w:noProof/>
            <w:webHidden/>
          </w:rPr>
        </w:r>
        <w:r>
          <w:rPr>
            <w:noProof/>
            <w:webHidden/>
          </w:rPr>
          <w:fldChar w:fldCharType="separate"/>
        </w:r>
        <w:r>
          <w:rPr>
            <w:noProof/>
            <w:webHidden/>
          </w:rPr>
          <w:t>47</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20" w:history="1">
        <w:r w:rsidRPr="009661C6">
          <w:rPr>
            <w:rStyle w:val="Hyperlink"/>
            <w:noProof/>
            <w:lang w:eastAsia="en-AU"/>
          </w:rPr>
          <w:t>Risk management plan</w:t>
        </w:r>
        <w:r>
          <w:rPr>
            <w:noProof/>
            <w:webHidden/>
          </w:rPr>
          <w:tab/>
        </w:r>
        <w:r>
          <w:rPr>
            <w:noProof/>
            <w:webHidden/>
          </w:rPr>
          <w:fldChar w:fldCharType="begin"/>
        </w:r>
        <w:r>
          <w:rPr>
            <w:noProof/>
            <w:webHidden/>
          </w:rPr>
          <w:instrText xml:space="preserve"> PAGEREF _Toc438125720 \h </w:instrText>
        </w:r>
        <w:r>
          <w:rPr>
            <w:noProof/>
            <w:webHidden/>
          </w:rPr>
        </w:r>
        <w:r>
          <w:rPr>
            <w:noProof/>
            <w:webHidden/>
          </w:rPr>
          <w:fldChar w:fldCharType="separate"/>
        </w:r>
        <w:r>
          <w:rPr>
            <w:noProof/>
            <w:webHidden/>
          </w:rPr>
          <w:t>47</w:t>
        </w:r>
        <w:r>
          <w:rPr>
            <w:noProof/>
            <w:webHidden/>
          </w:rPr>
          <w:fldChar w:fldCharType="end"/>
        </w:r>
      </w:hyperlink>
    </w:p>
    <w:p w:rsidR="009A6908" w:rsidRDefault="009A6908">
      <w:pPr>
        <w:pStyle w:val="TOC2"/>
        <w:rPr>
          <w:rFonts w:asciiTheme="minorHAnsi" w:eastAsiaTheme="minorEastAsia" w:hAnsiTheme="minorHAnsi" w:cstheme="minorBidi"/>
          <w:b w:val="0"/>
          <w:noProof/>
          <w:sz w:val="22"/>
          <w:lang w:eastAsia="en-AU"/>
        </w:rPr>
      </w:pPr>
      <w:hyperlink w:anchor="_Toc438125721" w:history="1">
        <w:r w:rsidRPr="009661C6">
          <w:rPr>
            <w:rStyle w:val="Hyperlink"/>
            <w:noProof/>
          </w:rPr>
          <w:t>VI. Overall conclusion and risk/benefit assessment</w:t>
        </w:r>
        <w:r>
          <w:rPr>
            <w:noProof/>
            <w:webHidden/>
          </w:rPr>
          <w:tab/>
        </w:r>
        <w:r>
          <w:rPr>
            <w:noProof/>
            <w:webHidden/>
          </w:rPr>
          <w:fldChar w:fldCharType="begin"/>
        </w:r>
        <w:r>
          <w:rPr>
            <w:noProof/>
            <w:webHidden/>
          </w:rPr>
          <w:instrText xml:space="preserve"> PAGEREF _Toc438125721 \h </w:instrText>
        </w:r>
        <w:r>
          <w:rPr>
            <w:noProof/>
            <w:webHidden/>
          </w:rPr>
        </w:r>
        <w:r>
          <w:rPr>
            <w:noProof/>
            <w:webHidden/>
          </w:rPr>
          <w:fldChar w:fldCharType="separate"/>
        </w:r>
        <w:r>
          <w:rPr>
            <w:noProof/>
            <w:webHidden/>
          </w:rPr>
          <w:t>56</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22" w:history="1">
        <w:r w:rsidRPr="009661C6">
          <w:rPr>
            <w:rStyle w:val="Hyperlink"/>
            <w:noProof/>
          </w:rPr>
          <w:t>Quality</w:t>
        </w:r>
        <w:r>
          <w:rPr>
            <w:noProof/>
            <w:webHidden/>
          </w:rPr>
          <w:tab/>
        </w:r>
        <w:r>
          <w:rPr>
            <w:noProof/>
            <w:webHidden/>
          </w:rPr>
          <w:fldChar w:fldCharType="begin"/>
        </w:r>
        <w:r>
          <w:rPr>
            <w:noProof/>
            <w:webHidden/>
          </w:rPr>
          <w:instrText xml:space="preserve"> PAGEREF _Toc438125722 \h </w:instrText>
        </w:r>
        <w:r>
          <w:rPr>
            <w:noProof/>
            <w:webHidden/>
          </w:rPr>
        </w:r>
        <w:r>
          <w:rPr>
            <w:noProof/>
            <w:webHidden/>
          </w:rPr>
          <w:fldChar w:fldCharType="separate"/>
        </w:r>
        <w:r>
          <w:rPr>
            <w:noProof/>
            <w:webHidden/>
          </w:rPr>
          <w:t>56</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23" w:history="1">
        <w:r w:rsidRPr="009661C6">
          <w:rPr>
            <w:rStyle w:val="Hyperlink"/>
            <w:noProof/>
          </w:rPr>
          <w:t>Nonclinical</w:t>
        </w:r>
        <w:r>
          <w:rPr>
            <w:noProof/>
            <w:webHidden/>
          </w:rPr>
          <w:tab/>
        </w:r>
        <w:r>
          <w:rPr>
            <w:noProof/>
            <w:webHidden/>
          </w:rPr>
          <w:fldChar w:fldCharType="begin"/>
        </w:r>
        <w:r>
          <w:rPr>
            <w:noProof/>
            <w:webHidden/>
          </w:rPr>
          <w:instrText xml:space="preserve"> PAGEREF _Toc438125723 \h </w:instrText>
        </w:r>
        <w:r>
          <w:rPr>
            <w:noProof/>
            <w:webHidden/>
          </w:rPr>
        </w:r>
        <w:r>
          <w:rPr>
            <w:noProof/>
            <w:webHidden/>
          </w:rPr>
          <w:fldChar w:fldCharType="separate"/>
        </w:r>
        <w:r>
          <w:rPr>
            <w:noProof/>
            <w:webHidden/>
          </w:rPr>
          <w:t>56</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24" w:history="1">
        <w:r w:rsidRPr="009661C6">
          <w:rPr>
            <w:rStyle w:val="Hyperlink"/>
            <w:noProof/>
          </w:rPr>
          <w:t>Clinical</w:t>
        </w:r>
        <w:r>
          <w:rPr>
            <w:noProof/>
            <w:webHidden/>
          </w:rPr>
          <w:tab/>
        </w:r>
        <w:r>
          <w:rPr>
            <w:noProof/>
            <w:webHidden/>
          </w:rPr>
          <w:fldChar w:fldCharType="begin"/>
        </w:r>
        <w:r>
          <w:rPr>
            <w:noProof/>
            <w:webHidden/>
          </w:rPr>
          <w:instrText xml:space="preserve"> PAGEREF _Toc438125724 \h </w:instrText>
        </w:r>
        <w:r>
          <w:rPr>
            <w:noProof/>
            <w:webHidden/>
          </w:rPr>
        </w:r>
        <w:r>
          <w:rPr>
            <w:noProof/>
            <w:webHidden/>
          </w:rPr>
          <w:fldChar w:fldCharType="separate"/>
        </w:r>
        <w:r>
          <w:rPr>
            <w:noProof/>
            <w:webHidden/>
          </w:rPr>
          <w:t>57</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25" w:history="1">
        <w:r w:rsidRPr="009661C6">
          <w:rPr>
            <w:rStyle w:val="Hyperlink"/>
            <w:noProof/>
            <w:lang w:eastAsia="en-AU"/>
          </w:rPr>
          <w:t>Risk management plan</w:t>
        </w:r>
        <w:r>
          <w:rPr>
            <w:noProof/>
            <w:webHidden/>
          </w:rPr>
          <w:tab/>
        </w:r>
        <w:r>
          <w:rPr>
            <w:noProof/>
            <w:webHidden/>
          </w:rPr>
          <w:fldChar w:fldCharType="begin"/>
        </w:r>
        <w:r>
          <w:rPr>
            <w:noProof/>
            <w:webHidden/>
          </w:rPr>
          <w:instrText xml:space="preserve"> PAGEREF _Toc438125725 \h </w:instrText>
        </w:r>
        <w:r>
          <w:rPr>
            <w:noProof/>
            <w:webHidden/>
          </w:rPr>
        </w:r>
        <w:r>
          <w:rPr>
            <w:noProof/>
            <w:webHidden/>
          </w:rPr>
          <w:fldChar w:fldCharType="separate"/>
        </w:r>
        <w:r>
          <w:rPr>
            <w:noProof/>
            <w:webHidden/>
          </w:rPr>
          <w:t>63</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26" w:history="1">
        <w:r w:rsidRPr="009661C6">
          <w:rPr>
            <w:rStyle w:val="Hyperlink"/>
            <w:noProof/>
          </w:rPr>
          <w:t>Risk-benefit analysis</w:t>
        </w:r>
        <w:r>
          <w:rPr>
            <w:noProof/>
            <w:webHidden/>
          </w:rPr>
          <w:tab/>
        </w:r>
        <w:r>
          <w:rPr>
            <w:noProof/>
            <w:webHidden/>
          </w:rPr>
          <w:fldChar w:fldCharType="begin"/>
        </w:r>
        <w:r>
          <w:rPr>
            <w:noProof/>
            <w:webHidden/>
          </w:rPr>
          <w:instrText xml:space="preserve"> PAGEREF _Toc438125726 \h </w:instrText>
        </w:r>
        <w:r>
          <w:rPr>
            <w:noProof/>
            <w:webHidden/>
          </w:rPr>
        </w:r>
        <w:r>
          <w:rPr>
            <w:noProof/>
            <w:webHidden/>
          </w:rPr>
          <w:fldChar w:fldCharType="separate"/>
        </w:r>
        <w:r>
          <w:rPr>
            <w:noProof/>
            <w:webHidden/>
          </w:rPr>
          <w:t>64</w:t>
        </w:r>
        <w:r>
          <w:rPr>
            <w:noProof/>
            <w:webHidden/>
          </w:rPr>
          <w:fldChar w:fldCharType="end"/>
        </w:r>
      </w:hyperlink>
    </w:p>
    <w:p w:rsidR="009A6908" w:rsidRDefault="009A6908">
      <w:pPr>
        <w:pStyle w:val="TOC3"/>
        <w:rPr>
          <w:rFonts w:asciiTheme="minorHAnsi" w:eastAsiaTheme="minorEastAsia" w:hAnsiTheme="minorHAnsi" w:cstheme="minorBidi"/>
          <w:noProof/>
          <w:lang w:eastAsia="en-AU"/>
        </w:rPr>
      </w:pPr>
      <w:hyperlink w:anchor="_Toc438125727" w:history="1">
        <w:r w:rsidRPr="009661C6">
          <w:rPr>
            <w:rStyle w:val="Hyperlink"/>
            <w:noProof/>
          </w:rPr>
          <w:t>Outcome</w:t>
        </w:r>
        <w:r>
          <w:rPr>
            <w:noProof/>
            <w:webHidden/>
          </w:rPr>
          <w:tab/>
        </w:r>
        <w:r>
          <w:rPr>
            <w:noProof/>
            <w:webHidden/>
          </w:rPr>
          <w:fldChar w:fldCharType="begin"/>
        </w:r>
        <w:r>
          <w:rPr>
            <w:noProof/>
            <w:webHidden/>
          </w:rPr>
          <w:instrText xml:space="preserve"> PAGEREF _Toc438125727 \h </w:instrText>
        </w:r>
        <w:r>
          <w:rPr>
            <w:noProof/>
            <w:webHidden/>
          </w:rPr>
        </w:r>
        <w:r>
          <w:rPr>
            <w:noProof/>
            <w:webHidden/>
          </w:rPr>
          <w:fldChar w:fldCharType="separate"/>
        </w:r>
        <w:r>
          <w:rPr>
            <w:noProof/>
            <w:webHidden/>
          </w:rPr>
          <w:t>70</w:t>
        </w:r>
        <w:r>
          <w:rPr>
            <w:noProof/>
            <w:webHidden/>
          </w:rPr>
          <w:fldChar w:fldCharType="end"/>
        </w:r>
      </w:hyperlink>
    </w:p>
    <w:p w:rsidR="009A6908" w:rsidRDefault="009A6908">
      <w:pPr>
        <w:pStyle w:val="TOC2"/>
        <w:rPr>
          <w:rFonts w:asciiTheme="minorHAnsi" w:eastAsiaTheme="minorEastAsia" w:hAnsiTheme="minorHAnsi" w:cstheme="minorBidi"/>
          <w:b w:val="0"/>
          <w:noProof/>
          <w:sz w:val="22"/>
          <w:lang w:eastAsia="en-AU"/>
        </w:rPr>
      </w:pPr>
      <w:hyperlink w:anchor="_Toc438125728" w:history="1">
        <w:r w:rsidRPr="009661C6">
          <w:rPr>
            <w:rStyle w:val="Hyperlink"/>
            <w:noProof/>
          </w:rPr>
          <w:t>Attachment 1. Product Information</w:t>
        </w:r>
        <w:r>
          <w:rPr>
            <w:noProof/>
            <w:webHidden/>
          </w:rPr>
          <w:tab/>
        </w:r>
        <w:r>
          <w:rPr>
            <w:noProof/>
            <w:webHidden/>
          </w:rPr>
          <w:fldChar w:fldCharType="begin"/>
        </w:r>
        <w:r>
          <w:rPr>
            <w:noProof/>
            <w:webHidden/>
          </w:rPr>
          <w:instrText xml:space="preserve"> PAGEREF _Toc438125728 \h </w:instrText>
        </w:r>
        <w:r>
          <w:rPr>
            <w:noProof/>
            <w:webHidden/>
          </w:rPr>
        </w:r>
        <w:r>
          <w:rPr>
            <w:noProof/>
            <w:webHidden/>
          </w:rPr>
          <w:fldChar w:fldCharType="separate"/>
        </w:r>
        <w:r>
          <w:rPr>
            <w:noProof/>
            <w:webHidden/>
          </w:rPr>
          <w:t>70</w:t>
        </w:r>
        <w:r>
          <w:rPr>
            <w:noProof/>
            <w:webHidden/>
          </w:rPr>
          <w:fldChar w:fldCharType="end"/>
        </w:r>
      </w:hyperlink>
    </w:p>
    <w:p w:rsidR="009A6908" w:rsidRDefault="009A6908">
      <w:pPr>
        <w:pStyle w:val="TOC2"/>
        <w:rPr>
          <w:rFonts w:asciiTheme="minorHAnsi" w:eastAsiaTheme="minorEastAsia" w:hAnsiTheme="minorHAnsi" w:cstheme="minorBidi"/>
          <w:b w:val="0"/>
          <w:noProof/>
          <w:sz w:val="22"/>
          <w:lang w:eastAsia="en-AU"/>
        </w:rPr>
      </w:pPr>
      <w:hyperlink w:anchor="_Toc438125729" w:history="1">
        <w:r w:rsidRPr="009661C6">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_Toc438125729 \h </w:instrText>
        </w:r>
        <w:r>
          <w:rPr>
            <w:noProof/>
            <w:webHidden/>
          </w:rPr>
        </w:r>
        <w:r>
          <w:rPr>
            <w:noProof/>
            <w:webHidden/>
          </w:rPr>
          <w:fldChar w:fldCharType="separate"/>
        </w:r>
        <w:r>
          <w:rPr>
            <w:noProof/>
            <w:webHidden/>
          </w:rPr>
          <w:t>70</w:t>
        </w:r>
        <w:r>
          <w:rPr>
            <w:noProof/>
            <w:webHidden/>
          </w:rPr>
          <w:fldChar w:fldCharType="end"/>
        </w:r>
      </w:hyperlink>
    </w:p>
    <w:p w:rsidR="003A7F6C" w:rsidRPr="00B811C6" w:rsidRDefault="00E62510" w:rsidP="00B811C6">
      <w:pPr>
        <w:pStyle w:val="TOC2"/>
      </w:pPr>
      <w:r>
        <w:fldChar w:fldCharType="end"/>
      </w:r>
      <w:bookmarkStart w:id="3" w:name="_Toc314842482"/>
    </w:p>
    <w:p w:rsidR="00FD119B" w:rsidRDefault="00FD119B">
      <w:pPr>
        <w:spacing w:before="0" w:after="200" w:line="0" w:lineRule="auto"/>
      </w:pPr>
      <w:r>
        <w:br w:type="page"/>
      </w:r>
    </w:p>
    <w:p w:rsidR="00FD119B" w:rsidRDefault="00E8193F" w:rsidP="004F0C4A">
      <w:pPr>
        <w:pStyle w:val="Heading2"/>
      </w:pPr>
      <w:bookmarkStart w:id="4" w:name="_Toc351716269"/>
      <w:bookmarkStart w:id="5" w:name="_Toc351718881"/>
      <w:bookmarkStart w:id="6" w:name="_Toc355338616"/>
      <w:bookmarkStart w:id="7" w:name="_Toc356306144"/>
      <w:bookmarkStart w:id="8" w:name="_Toc438125687"/>
      <w:r>
        <w:lastRenderedPageBreak/>
        <w:t>M</w:t>
      </w:r>
      <w:r w:rsidR="00FD119B" w:rsidRPr="00FD119B">
        <w:t>ost common abbreviations</w:t>
      </w:r>
      <w:bookmarkEnd w:id="4"/>
      <w:bookmarkEnd w:id="5"/>
      <w:bookmarkEnd w:id="6"/>
      <w:bookmarkEnd w:id="7"/>
      <w:r w:rsidR="00FD119B" w:rsidRPr="00FD119B">
        <w:t xml:space="preserve"> used in this </w:t>
      </w:r>
      <w:proofErr w:type="spellStart"/>
      <w:r w:rsidR="00FD119B" w:rsidRPr="004F0C4A">
        <w:t>AusPAR</w:t>
      </w:r>
      <w:bookmarkEnd w:id="8"/>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518"/>
        <w:gridCol w:w="6202"/>
      </w:tblGrid>
      <w:tr w:rsidR="00E8193F" w:rsidTr="00BA1372">
        <w:trPr>
          <w:tblHeader/>
        </w:trPr>
        <w:tc>
          <w:tcPr>
            <w:tcW w:w="2518" w:type="dxa"/>
            <w:tcBorders>
              <w:top w:val="single" w:sz="8" w:space="0" w:color="000000"/>
              <w:left w:val="single" w:sz="8" w:space="0" w:color="000000"/>
              <w:bottom w:val="single" w:sz="8" w:space="0" w:color="000000"/>
              <w:right w:val="nil"/>
              <w:tl2br w:val="nil"/>
              <w:tr2bl w:val="nil"/>
            </w:tcBorders>
            <w:shd w:val="clear" w:color="auto" w:fill="006DA7"/>
          </w:tcPr>
          <w:p w:rsidR="00E8193F" w:rsidRPr="00BA1372" w:rsidRDefault="00E8193F" w:rsidP="00190D26">
            <w:pPr>
              <w:rPr>
                <w:b/>
                <w:color w:val="FFFFFF"/>
              </w:rPr>
            </w:pPr>
            <w:r w:rsidRPr="00BA1372">
              <w:rPr>
                <w:b/>
                <w:color w:val="FFFFFF"/>
              </w:rPr>
              <w:t>Abbreviation</w:t>
            </w:r>
          </w:p>
        </w:tc>
        <w:tc>
          <w:tcPr>
            <w:tcW w:w="6202" w:type="dxa"/>
            <w:tcBorders>
              <w:top w:val="single" w:sz="8" w:space="0" w:color="000000"/>
              <w:left w:val="nil"/>
              <w:bottom w:val="single" w:sz="8" w:space="0" w:color="000000"/>
              <w:right w:val="single" w:sz="8" w:space="0" w:color="000000"/>
              <w:tl2br w:val="nil"/>
              <w:tr2bl w:val="nil"/>
            </w:tcBorders>
            <w:shd w:val="clear" w:color="auto" w:fill="006DA7"/>
          </w:tcPr>
          <w:p w:rsidR="00E8193F" w:rsidRPr="00BA1372" w:rsidRDefault="00E8193F" w:rsidP="00190D26">
            <w:pPr>
              <w:rPr>
                <w:b/>
                <w:color w:val="FFFFFF"/>
              </w:rPr>
            </w:pPr>
            <w:r w:rsidRPr="00BA1372">
              <w:rPr>
                <w:b/>
                <w:color w:val="FFFFFF"/>
              </w:rPr>
              <w:t>Meaning</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AE</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adverse event</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ALT</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alanine aminotransferase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AST</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aspartate aminotransferase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ASV</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asunaprevir</w:t>
            </w:r>
            <w:proofErr w:type="spellEnd"/>
            <w:r w:rsidRPr="00BA1372">
              <w:rPr>
                <w:rFonts w:eastAsia="TimesNewRoman" w:cs="TimesNewRoman"/>
                <w:color w:val="000000"/>
                <w:sz w:val="20"/>
                <w:szCs w:val="20"/>
                <w:lang w:eastAsia="en-AU"/>
              </w:rPr>
              <w:t xml:space="preserve"> (BMS-650032)</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AUC</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area under the plasma concentration-time curve</w:t>
            </w:r>
          </w:p>
        </w:tc>
      </w:tr>
      <w:tr w:rsidR="00E8193F" w:rsidTr="00BA1372">
        <w:tc>
          <w:tcPr>
            <w:tcW w:w="2518" w:type="dxa"/>
            <w:shd w:val="clear" w:color="auto" w:fill="auto"/>
            <w:hideMark/>
          </w:tcPr>
          <w:p w:rsidR="00E8193F" w:rsidRPr="00BA1372" w:rsidRDefault="004C5D5E"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BD</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twice daily</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BMI</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body mass index</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BOC</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boceprevir</w:t>
            </w:r>
            <w:proofErr w:type="spellEnd"/>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Cavgss</w:t>
            </w:r>
            <w:proofErr w:type="spellEnd"/>
            <w:r w:rsidRPr="00BA1372">
              <w:rPr>
                <w:rFonts w:eastAsia="TimesNewRoman" w:cs="TimesNewRoman"/>
                <w:color w:val="000000"/>
                <w:sz w:val="20"/>
                <w:szCs w:val="20"/>
                <w:lang w:eastAsia="en-AU"/>
              </w:rPr>
              <w:t xml:space="preserve"> </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steady state average concentration</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CRF</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case record form</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cEVR</w:t>
            </w:r>
            <w:proofErr w:type="spellEnd"/>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 xml:space="preserve">complete early </w:t>
            </w:r>
            <w:proofErr w:type="spellStart"/>
            <w:r w:rsidRPr="00BA1372">
              <w:rPr>
                <w:rFonts w:eastAsia="TimesNewRoman" w:cs="TimesNewRoman"/>
                <w:color w:val="000000"/>
                <w:sz w:val="20"/>
                <w:szCs w:val="20"/>
                <w:lang w:eastAsia="en-AU"/>
              </w:rPr>
              <w:t>virologic</w:t>
            </w:r>
            <w:proofErr w:type="spellEnd"/>
            <w:r w:rsidRPr="00BA1372">
              <w:rPr>
                <w:rFonts w:eastAsia="TimesNewRoman" w:cs="TimesNewRoman"/>
                <w:color w:val="000000"/>
                <w:sz w:val="20"/>
                <w:szCs w:val="20"/>
                <w:lang w:eastAsia="en-AU"/>
              </w:rPr>
              <w:t xml:space="preserve"> response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CHC</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chronic hepatitis C</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CI(s)</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confidence interval(s)</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CSR</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clinical study report</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DAAs</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direct acting antivirals</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DCV</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daclatasvir</w:t>
            </w:r>
            <w:proofErr w:type="spellEnd"/>
            <w:r w:rsidRPr="00BA1372">
              <w:rPr>
                <w:rFonts w:eastAsia="TimesNewRoman" w:cs="TimesNewRoman"/>
                <w:color w:val="000000"/>
                <w:sz w:val="20"/>
                <w:szCs w:val="20"/>
                <w:lang w:eastAsia="en-AU"/>
              </w:rPr>
              <w:t xml:space="preserve"> (BMS-790052)</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EOT</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end of treatment</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EOTR</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end of treatment response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E-R</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exposure-response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eRVR</w:t>
            </w:r>
            <w:proofErr w:type="spellEnd"/>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 xml:space="preserve">extended rapid </w:t>
            </w:r>
            <w:proofErr w:type="spellStart"/>
            <w:r w:rsidRPr="00BA1372">
              <w:rPr>
                <w:rFonts w:eastAsia="TimesNewRoman" w:cs="TimesNewRoman"/>
                <w:color w:val="000000"/>
                <w:sz w:val="20"/>
                <w:szCs w:val="20"/>
                <w:lang w:eastAsia="en-AU"/>
              </w:rPr>
              <w:t>virologic</w:t>
            </w:r>
            <w:proofErr w:type="spellEnd"/>
            <w:r w:rsidRPr="00BA1372">
              <w:rPr>
                <w:rFonts w:eastAsia="TimesNewRoman" w:cs="TimesNewRoman"/>
                <w:color w:val="000000"/>
                <w:sz w:val="20"/>
                <w:szCs w:val="20"/>
                <w:lang w:eastAsia="en-AU"/>
              </w:rPr>
              <w:t xml:space="preserve"> response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EU</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European Union</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EVR</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 xml:space="preserve">early </w:t>
            </w:r>
            <w:proofErr w:type="spellStart"/>
            <w:r w:rsidRPr="00BA1372">
              <w:rPr>
                <w:rFonts w:eastAsia="TimesNewRoman" w:cs="TimesNewRoman"/>
                <w:color w:val="000000"/>
                <w:sz w:val="20"/>
                <w:szCs w:val="20"/>
                <w:lang w:eastAsia="en-AU"/>
              </w:rPr>
              <w:t>virologic</w:t>
            </w:r>
            <w:proofErr w:type="spellEnd"/>
            <w:r w:rsidRPr="00BA1372">
              <w:rPr>
                <w:rFonts w:eastAsia="TimesNewRoman" w:cs="TimesNewRoman"/>
                <w:color w:val="000000"/>
                <w:sz w:val="20"/>
                <w:szCs w:val="20"/>
                <w:lang w:eastAsia="en-AU"/>
              </w:rPr>
              <w:t xml:space="preserve"> response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GT</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genotype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HCC</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hepatocellular carcinoma</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HCV</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hepatitis C virus</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IFN</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interferon</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Symbol"/>
                <w:color w:val="000000"/>
                <w:sz w:val="20"/>
                <w:szCs w:val="20"/>
                <w:lang w:eastAsia="en-AU"/>
              </w:rPr>
            </w:pPr>
            <w:r w:rsidRPr="00BA1372">
              <w:rPr>
                <w:rFonts w:eastAsia="TimesNewRoman" w:cs="TimesNewRoman"/>
                <w:color w:val="000000"/>
                <w:sz w:val="20"/>
                <w:szCs w:val="20"/>
                <w:lang w:eastAsia="en-AU"/>
              </w:rPr>
              <w:lastRenderedPageBreak/>
              <w:t>IFN</w:t>
            </w:r>
            <w:r w:rsidRPr="00BA1372">
              <w:rPr>
                <w:rFonts w:eastAsia="TimesNewRoman" w:cs="Symbol"/>
                <w:color w:val="000000"/>
                <w:sz w:val="20"/>
                <w:szCs w:val="20"/>
                <w:lang w:eastAsia="en-AU"/>
              </w:rPr>
              <w:t>α</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 xml:space="preserve">interferon </w:t>
            </w:r>
            <w:proofErr w:type="spellStart"/>
            <w:r w:rsidRPr="00BA1372">
              <w:rPr>
                <w:rFonts w:eastAsia="TimesNewRoman" w:cs="TimesNewRoman"/>
                <w:color w:val="000000"/>
                <w:sz w:val="20"/>
                <w:szCs w:val="20"/>
                <w:lang w:eastAsia="en-AU"/>
              </w:rPr>
              <w:t>alfa</w:t>
            </w:r>
            <w:proofErr w:type="spellEnd"/>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Symbol"/>
                <w:color w:val="000000"/>
                <w:sz w:val="20"/>
                <w:szCs w:val="20"/>
                <w:lang w:eastAsia="en-AU"/>
              </w:rPr>
            </w:pPr>
            <w:r w:rsidRPr="00BA1372">
              <w:rPr>
                <w:rFonts w:eastAsia="TimesNewRoman" w:cs="TimesNewRoman"/>
                <w:color w:val="000000"/>
                <w:sz w:val="20"/>
                <w:szCs w:val="20"/>
                <w:lang w:eastAsia="en-AU"/>
              </w:rPr>
              <w:t>IFN</w:t>
            </w:r>
            <w:r w:rsidRPr="00BA1372">
              <w:rPr>
                <w:rFonts w:eastAsia="TimesNewRoman" w:cs="Symbol"/>
                <w:color w:val="000000"/>
                <w:sz w:val="20"/>
                <w:szCs w:val="20"/>
                <w:lang w:eastAsia="en-AU"/>
              </w:rPr>
              <w:t>β</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interferon beta</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ITT</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intent-to-treat</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LLOQ (LOQ)</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lower limit of quantitation</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NA</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Not applicable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NS3</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non-structural protein 3</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NS5A</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non-structural protein 5A</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PBO</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placebo</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PD</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pharmacodynamic</w:t>
            </w:r>
            <w:proofErr w:type="spellEnd"/>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PDR</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protocol-defined response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pegIFN</w:t>
            </w:r>
            <w:proofErr w:type="spellEnd"/>
            <w:r w:rsidRPr="00BA1372">
              <w:rPr>
                <w:rFonts w:eastAsia="TimesNewRoman" w:cs="Symbol"/>
                <w:color w:val="000000"/>
                <w:sz w:val="20"/>
                <w:szCs w:val="20"/>
                <w:lang w:eastAsia="en-AU"/>
              </w:rPr>
              <w:t>α</w:t>
            </w:r>
            <w:r w:rsidRPr="00BA1372">
              <w:rPr>
                <w:rFonts w:eastAsia="TimesNewRoman" w:cs="TimesNewRoman"/>
                <w:color w:val="000000"/>
                <w:sz w:val="20"/>
                <w:szCs w:val="20"/>
                <w:lang w:eastAsia="en-AU"/>
              </w:rPr>
              <w:t>/RBV</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peginterferon</w:t>
            </w:r>
            <w:proofErr w:type="spellEnd"/>
            <w:r w:rsidRPr="00BA1372">
              <w:rPr>
                <w:rFonts w:eastAsia="TimesNewRoman" w:cs="TimesNewRoman"/>
                <w:color w:val="000000"/>
                <w:sz w:val="20"/>
                <w:szCs w:val="20"/>
                <w:lang w:eastAsia="en-AU"/>
              </w:rPr>
              <w:t xml:space="preserve"> </w:t>
            </w:r>
            <w:proofErr w:type="spellStart"/>
            <w:r w:rsidRPr="00BA1372">
              <w:rPr>
                <w:rFonts w:eastAsia="TimesNewRoman" w:cs="TimesNewRoman"/>
                <w:color w:val="000000"/>
                <w:sz w:val="20"/>
                <w:szCs w:val="20"/>
                <w:lang w:eastAsia="en-AU"/>
              </w:rPr>
              <w:t>alfa</w:t>
            </w:r>
            <w:proofErr w:type="spellEnd"/>
            <w:r w:rsidRPr="00BA1372">
              <w:rPr>
                <w:rFonts w:eastAsia="TimesNewRoman" w:cs="TimesNewRoman"/>
                <w:color w:val="000000"/>
                <w:sz w:val="20"/>
                <w:szCs w:val="20"/>
                <w:lang w:eastAsia="en-AU"/>
              </w:rPr>
              <w:t xml:space="preserve"> plus ribavirin</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PK</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pharmacokinetics</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PKVC</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pharmacokinetic viral kinetic analysis</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PPK</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population pharmacokinetics analysis</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QD</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once daily</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QW</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weekly</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RAV</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resistance-associated variant</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RBV</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ribavirin</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RCI</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replication complex inhibitor</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RNA</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ribonucleic acid</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RVR</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 xml:space="preserve">rapid </w:t>
            </w:r>
            <w:proofErr w:type="spellStart"/>
            <w:r w:rsidRPr="00BA1372">
              <w:rPr>
                <w:rFonts w:eastAsia="TimesNewRoman" w:cs="TimesNewRoman"/>
                <w:color w:val="000000"/>
                <w:sz w:val="20"/>
                <w:szCs w:val="20"/>
                <w:lang w:eastAsia="en-AU"/>
              </w:rPr>
              <w:t>virologic</w:t>
            </w:r>
            <w:proofErr w:type="spellEnd"/>
            <w:r w:rsidRPr="00BA1372">
              <w:rPr>
                <w:rFonts w:eastAsia="TimesNewRoman" w:cs="TimesNewRoman"/>
                <w:color w:val="000000"/>
                <w:sz w:val="20"/>
                <w:szCs w:val="20"/>
                <w:lang w:eastAsia="en-AU"/>
              </w:rPr>
              <w:t xml:space="preserve"> response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SC</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subcutaneous</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SMV</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simeprevir</w:t>
            </w:r>
            <w:proofErr w:type="spellEnd"/>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SNP</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single nucleotide polymorphisms</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SOF</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sofosbuvir</w:t>
            </w:r>
            <w:proofErr w:type="spellEnd"/>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SVR</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 xml:space="preserve">sustained </w:t>
            </w:r>
            <w:proofErr w:type="spellStart"/>
            <w:r w:rsidRPr="00BA1372">
              <w:rPr>
                <w:rFonts w:eastAsia="TimesNewRoman" w:cs="TimesNewRoman"/>
                <w:color w:val="000000"/>
                <w:sz w:val="20"/>
                <w:szCs w:val="20"/>
                <w:lang w:eastAsia="en-AU"/>
              </w:rPr>
              <w:t>virologic</w:t>
            </w:r>
            <w:proofErr w:type="spellEnd"/>
            <w:r w:rsidRPr="00BA1372">
              <w:rPr>
                <w:rFonts w:eastAsia="TimesNewRoman" w:cs="TimesNewRoman"/>
                <w:color w:val="000000"/>
                <w:sz w:val="20"/>
                <w:szCs w:val="20"/>
                <w:lang w:eastAsia="en-AU"/>
              </w:rPr>
              <w:t xml:space="preserve"> response</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SVR4, 12, 24, 36, 48</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 xml:space="preserve">sustained </w:t>
            </w:r>
            <w:proofErr w:type="spellStart"/>
            <w:r w:rsidRPr="00BA1372">
              <w:rPr>
                <w:rFonts w:eastAsia="TimesNewRoman" w:cs="TimesNewRoman"/>
                <w:color w:val="000000"/>
                <w:sz w:val="20"/>
                <w:szCs w:val="20"/>
                <w:lang w:eastAsia="en-AU"/>
              </w:rPr>
              <w:t>virologic</w:t>
            </w:r>
            <w:proofErr w:type="spellEnd"/>
            <w:r w:rsidRPr="00BA1372">
              <w:rPr>
                <w:rFonts w:eastAsia="TimesNewRoman" w:cs="TimesNewRoman"/>
                <w:color w:val="000000"/>
                <w:sz w:val="20"/>
                <w:szCs w:val="20"/>
                <w:lang w:eastAsia="en-AU"/>
              </w:rPr>
              <w:t xml:space="preserve"> response at follow-up Week 4, 12, 24, 36, 48</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lastRenderedPageBreak/>
              <w:t>TD</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target detected</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TND</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target not detected</w:t>
            </w:r>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TVR</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telaprevir</w:t>
            </w:r>
            <w:proofErr w:type="spellEnd"/>
          </w:p>
        </w:tc>
      </w:tr>
      <w:tr w:rsidR="00E8193F" w:rsidTr="00BA1372">
        <w:tc>
          <w:tcPr>
            <w:tcW w:w="2518"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r w:rsidRPr="00BA1372">
              <w:rPr>
                <w:rFonts w:eastAsia="TimesNewRoman" w:cs="TimesNewRoman"/>
                <w:color w:val="000000"/>
                <w:sz w:val="20"/>
                <w:szCs w:val="20"/>
                <w:lang w:eastAsia="en-AU"/>
              </w:rPr>
              <w:t>VBT</w:t>
            </w:r>
          </w:p>
        </w:tc>
        <w:tc>
          <w:tcPr>
            <w:tcW w:w="6202" w:type="dxa"/>
            <w:shd w:val="clear" w:color="auto" w:fill="auto"/>
            <w:hideMark/>
          </w:tcPr>
          <w:p w:rsidR="00E8193F" w:rsidRPr="00BA1372" w:rsidRDefault="00E8193F" w:rsidP="00BA1372">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ind w:left="170" w:right="170"/>
              <w:rPr>
                <w:rFonts w:eastAsia="TimesNewRoman" w:cs="TimesNewRoman"/>
                <w:color w:val="000000"/>
                <w:sz w:val="20"/>
                <w:szCs w:val="20"/>
                <w:lang w:eastAsia="en-AU"/>
              </w:rPr>
            </w:pPr>
            <w:proofErr w:type="spellStart"/>
            <w:r w:rsidRPr="00BA1372">
              <w:rPr>
                <w:rFonts w:eastAsia="TimesNewRoman" w:cs="TimesNewRoman"/>
                <w:color w:val="000000"/>
                <w:sz w:val="20"/>
                <w:szCs w:val="20"/>
                <w:lang w:eastAsia="en-AU"/>
              </w:rPr>
              <w:t>virologic</w:t>
            </w:r>
            <w:proofErr w:type="spellEnd"/>
            <w:r w:rsidRPr="00BA1372">
              <w:rPr>
                <w:rFonts w:eastAsia="TimesNewRoman" w:cs="TimesNewRoman"/>
                <w:color w:val="000000"/>
                <w:sz w:val="20"/>
                <w:szCs w:val="20"/>
                <w:lang w:eastAsia="en-AU"/>
              </w:rPr>
              <w:t xml:space="preserve"> breakthrough</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38125688"/>
      <w:r>
        <w:lastRenderedPageBreak/>
        <w:t>I.</w:t>
      </w:r>
      <w:r w:rsidR="008E7846">
        <w:t xml:space="preserve"> Introduction to product submission</w:t>
      </w:r>
      <w:bookmarkEnd w:id="0"/>
      <w:bookmarkEnd w:id="3"/>
      <w:bookmarkEnd w:id="9"/>
    </w:p>
    <w:p w:rsidR="008E7846" w:rsidRDefault="008E7846" w:rsidP="008E7846">
      <w:pPr>
        <w:pStyle w:val="Heading3"/>
        <w:rPr>
          <w:lang w:eastAsia="en-AU"/>
        </w:rPr>
      </w:pPr>
      <w:bookmarkStart w:id="10" w:name="_Toc247691502"/>
      <w:bookmarkStart w:id="11" w:name="_Toc314842483"/>
      <w:bookmarkStart w:id="12" w:name="_Toc438125689"/>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DF3309" w:rsidTr="00C60B78">
        <w:trPr>
          <w:trHeight w:hRule="exact" w:val="454"/>
        </w:trPr>
        <w:tc>
          <w:tcPr>
            <w:tcW w:w="2907" w:type="dxa"/>
          </w:tcPr>
          <w:p w:rsidR="008E7846" w:rsidRPr="00DF3309" w:rsidRDefault="001B5C90" w:rsidP="00DF3309">
            <w:r w:rsidRPr="00DF3309">
              <w:t>Type of s</w:t>
            </w:r>
            <w:r w:rsidR="008E7846" w:rsidRPr="00DF3309">
              <w:t>ubmission</w:t>
            </w:r>
            <w:r w:rsidRPr="00DF3309">
              <w:t>:</w:t>
            </w:r>
          </w:p>
        </w:tc>
        <w:tc>
          <w:tcPr>
            <w:tcW w:w="6307" w:type="dxa"/>
          </w:tcPr>
          <w:p w:rsidR="008E7846" w:rsidRPr="00DF3309" w:rsidRDefault="008E7846" w:rsidP="00DF3309">
            <w:r w:rsidRPr="00DF3309">
              <w:t xml:space="preserve">New </w:t>
            </w:r>
            <w:r w:rsidR="001B5C90" w:rsidRPr="00DF3309">
              <w:t>c</w:t>
            </w:r>
            <w:r w:rsidRPr="00DF3309">
              <w:t xml:space="preserve">hemical </w:t>
            </w:r>
            <w:r w:rsidR="001B5C90" w:rsidRPr="00DF3309">
              <w:t>e</w:t>
            </w:r>
            <w:r w:rsidRPr="00DF3309">
              <w:t xml:space="preserve">ntity </w:t>
            </w:r>
          </w:p>
        </w:tc>
      </w:tr>
      <w:tr w:rsidR="008E7846" w:rsidRPr="00DF3309" w:rsidTr="00C60B78">
        <w:trPr>
          <w:trHeight w:hRule="exact" w:val="454"/>
        </w:trPr>
        <w:tc>
          <w:tcPr>
            <w:tcW w:w="2907" w:type="dxa"/>
          </w:tcPr>
          <w:p w:rsidR="008E7846" w:rsidRPr="00DF3309" w:rsidRDefault="008E7846" w:rsidP="00DF3309">
            <w:r w:rsidRPr="00DF3309">
              <w:t>Decision:</w:t>
            </w:r>
          </w:p>
        </w:tc>
        <w:tc>
          <w:tcPr>
            <w:tcW w:w="6307" w:type="dxa"/>
          </w:tcPr>
          <w:p w:rsidR="008E7846" w:rsidRPr="00DF3309" w:rsidRDefault="008E7846" w:rsidP="00DF3309">
            <w:r w:rsidRPr="00DF3309">
              <w:t xml:space="preserve">Approved </w:t>
            </w:r>
          </w:p>
        </w:tc>
      </w:tr>
      <w:tr w:rsidR="008E7846" w:rsidRPr="00DF3309" w:rsidTr="00C60B78">
        <w:trPr>
          <w:trHeight w:hRule="exact" w:val="454"/>
        </w:trPr>
        <w:tc>
          <w:tcPr>
            <w:tcW w:w="2907" w:type="dxa"/>
          </w:tcPr>
          <w:p w:rsidR="008E7846" w:rsidRPr="00DF3309" w:rsidRDefault="008E7846" w:rsidP="00DF3309">
            <w:r w:rsidRPr="00DF3309">
              <w:t xml:space="preserve">Date of </w:t>
            </w:r>
            <w:r w:rsidR="001B5C90" w:rsidRPr="00DF3309">
              <w:t>d</w:t>
            </w:r>
            <w:r w:rsidRPr="00DF3309">
              <w:t>ecision:</w:t>
            </w:r>
          </w:p>
        </w:tc>
        <w:tc>
          <w:tcPr>
            <w:tcW w:w="6307" w:type="dxa"/>
          </w:tcPr>
          <w:p w:rsidR="008E7846" w:rsidRPr="00DF3309" w:rsidRDefault="00090750" w:rsidP="00DF3309">
            <w:r w:rsidRPr="00DF3309">
              <w:t>21 May 2015</w:t>
            </w:r>
          </w:p>
        </w:tc>
      </w:tr>
      <w:tr w:rsidR="00E16769" w:rsidRPr="00DF3309" w:rsidTr="00C60B78">
        <w:trPr>
          <w:trHeight w:hRule="exact" w:val="454"/>
        </w:trPr>
        <w:tc>
          <w:tcPr>
            <w:tcW w:w="2907" w:type="dxa"/>
          </w:tcPr>
          <w:p w:rsidR="00E16769" w:rsidRPr="00DF3309" w:rsidRDefault="00E16769" w:rsidP="00DF3309">
            <w:r>
              <w:t>ARTG entry date:</w:t>
            </w:r>
          </w:p>
        </w:tc>
        <w:tc>
          <w:tcPr>
            <w:tcW w:w="6307" w:type="dxa"/>
          </w:tcPr>
          <w:p w:rsidR="00E16769" w:rsidRPr="00DF3309" w:rsidRDefault="00E16769" w:rsidP="00DF3309">
            <w:r>
              <w:t>25 May 2015</w:t>
            </w:r>
          </w:p>
        </w:tc>
      </w:tr>
      <w:tr w:rsidR="008E7846" w:rsidRPr="00DF3309" w:rsidTr="00C60B78">
        <w:tc>
          <w:tcPr>
            <w:tcW w:w="2907" w:type="dxa"/>
          </w:tcPr>
          <w:p w:rsidR="008E7846" w:rsidRPr="00DF3309" w:rsidRDefault="001B5C90" w:rsidP="00DF3309">
            <w:r w:rsidRPr="00DF3309">
              <w:t>Active ingredient(s):</w:t>
            </w:r>
          </w:p>
        </w:tc>
        <w:tc>
          <w:tcPr>
            <w:tcW w:w="6307" w:type="dxa"/>
          </w:tcPr>
          <w:p w:rsidR="008E7846" w:rsidRPr="00DF3309" w:rsidRDefault="00016899" w:rsidP="00DF3309">
            <w:proofErr w:type="spellStart"/>
            <w:r w:rsidRPr="00DF3309">
              <w:t>Asunaprevir</w:t>
            </w:r>
            <w:proofErr w:type="spellEnd"/>
          </w:p>
        </w:tc>
      </w:tr>
      <w:tr w:rsidR="008E7846" w:rsidRPr="00DF3309" w:rsidTr="00C60B78">
        <w:tc>
          <w:tcPr>
            <w:tcW w:w="2907" w:type="dxa"/>
          </w:tcPr>
          <w:p w:rsidR="008E7846" w:rsidRPr="00DF3309" w:rsidRDefault="008E7846" w:rsidP="00DF3309">
            <w:r w:rsidRPr="00DF3309">
              <w:t>Product</w:t>
            </w:r>
            <w:r w:rsidR="001B5C90" w:rsidRPr="00DF3309">
              <w:t xml:space="preserve"> name(s):</w:t>
            </w:r>
          </w:p>
        </w:tc>
        <w:tc>
          <w:tcPr>
            <w:tcW w:w="6307" w:type="dxa"/>
          </w:tcPr>
          <w:p w:rsidR="008E7846" w:rsidRPr="00DF3309" w:rsidRDefault="00016899" w:rsidP="00DF3309">
            <w:proofErr w:type="spellStart"/>
            <w:r w:rsidRPr="00DF3309">
              <w:t>Sunvepra</w:t>
            </w:r>
            <w:proofErr w:type="spellEnd"/>
          </w:p>
        </w:tc>
      </w:tr>
      <w:tr w:rsidR="008E7846" w:rsidRPr="00DF3309" w:rsidTr="00C60B78">
        <w:tc>
          <w:tcPr>
            <w:tcW w:w="2907" w:type="dxa"/>
          </w:tcPr>
          <w:p w:rsidR="008E7846" w:rsidRPr="00DF3309" w:rsidRDefault="008E7846" w:rsidP="00DF3309">
            <w:r w:rsidRPr="00DF3309">
              <w:t xml:space="preserve">Sponsor’s </w:t>
            </w:r>
            <w:r w:rsidR="001B5C90" w:rsidRPr="00DF3309">
              <w:t>n</w:t>
            </w:r>
            <w:r w:rsidRPr="00DF3309">
              <w:t xml:space="preserve">ame and </w:t>
            </w:r>
            <w:r w:rsidR="001B5C90" w:rsidRPr="00DF3309">
              <w:t>a</w:t>
            </w:r>
            <w:r w:rsidRPr="00DF3309">
              <w:t>ddress:</w:t>
            </w:r>
          </w:p>
        </w:tc>
        <w:tc>
          <w:tcPr>
            <w:tcW w:w="6307" w:type="dxa"/>
          </w:tcPr>
          <w:p w:rsidR="008E7846" w:rsidRDefault="00016899" w:rsidP="00DF3309">
            <w:r w:rsidRPr="00DF3309">
              <w:t>Bristol-Myers Squibb Australia Pty Ltd</w:t>
            </w:r>
          </w:p>
          <w:p w:rsidR="003C6481" w:rsidRPr="00DF3309" w:rsidRDefault="003C6481" w:rsidP="003C6481">
            <w:r>
              <w:rPr>
                <w:color w:val="3B3B3B"/>
              </w:rPr>
              <w:t xml:space="preserve">PO </w:t>
            </w:r>
            <w:r>
              <w:t xml:space="preserve">Box 1080, Mt Waverley </w:t>
            </w:r>
            <w:r>
              <w:rPr>
                <w:color w:val="161616"/>
              </w:rPr>
              <w:t xml:space="preserve">VIC </w:t>
            </w:r>
            <w:r>
              <w:rPr>
                <w:color w:val="3B3B3B"/>
              </w:rPr>
              <w:t>3149</w:t>
            </w:r>
          </w:p>
        </w:tc>
      </w:tr>
      <w:tr w:rsidR="008E7846" w:rsidRPr="00DF3309" w:rsidTr="00C60B78">
        <w:tc>
          <w:tcPr>
            <w:tcW w:w="2907" w:type="dxa"/>
          </w:tcPr>
          <w:p w:rsidR="008E7846" w:rsidRPr="00DF3309" w:rsidRDefault="001B5C90" w:rsidP="00DF3309">
            <w:r w:rsidRPr="00DF3309">
              <w:t>Dose form(s):</w:t>
            </w:r>
          </w:p>
        </w:tc>
        <w:tc>
          <w:tcPr>
            <w:tcW w:w="6307" w:type="dxa"/>
          </w:tcPr>
          <w:p w:rsidR="008E7846" w:rsidRPr="00DF3309" w:rsidRDefault="00016899" w:rsidP="00DF3309">
            <w:r w:rsidRPr="00DF3309">
              <w:t xml:space="preserve">Soft </w:t>
            </w:r>
            <w:proofErr w:type="spellStart"/>
            <w:r w:rsidRPr="00DF3309">
              <w:t>gelatin</w:t>
            </w:r>
            <w:proofErr w:type="spellEnd"/>
            <w:r w:rsidRPr="00DF3309">
              <w:t xml:space="preserve"> capsules</w:t>
            </w:r>
          </w:p>
        </w:tc>
      </w:tr>
      <w:tr w:rsidR="008E7846" w:rsidRPr="00DF3309" w:rsidTr="00C60B78">
        <w:tc>
          <w:tcPr>
            <w:tcW w:w="2907" w:type="dxa"/>
          </w:tcPr>
          <w:p w:rsidR="008E7846" w:rsidRPr="00DF3309" w:rsidRDefault="008E7846" w:rsidP="00DF3309">
            <w:r w:rsidRPr="00DF3309">
              <w:t xml:space="preserve">Strength(s): </w:t>
            </w:r>
          </w:p>
        </w:tc>
        <w:tc>
          <w:tcPr>
            <w:tcW w:w="6307" w:type="dxa"/>
          </w:tcPr>
          <w:p w:rsidR="008E7846" w:rsidRPr="00DF3309" w:rsidRDefault="00016899" w:rsidP="00DF3309">
            <w:r w:rsidRPr="00DF3309">
              <w:t>100 mg</w:t>
            </w:r>
          </w:p>
        </w:tc>
      </w:tr>
      <w:tr w:rsidR="008E7846" w:rsidRPr="00DF3309" w:rsidTr="00C60B78">
        <w:tc>
          <w:tcPr>
            <w:tcW w:w="2907" w:type="dxa"/>
          </w:tcPr>
          <w:p w:rsidR="008E7846" w:rsidRPr="00DF3309" w:rsidRDefault="008E7846" w:rsidP="00DF3309">
            <w:r w:rsidRPr="00DF3309">
              <w:t>Container(s):</w:t>
            </w:r>
          </w:p>
        </w:tc>
        <w:tc>
          <w:tcPr>
            <w:tcW w:w="6307" w:type="dxa"/>
          </w:tcPr>
          <w:p w:rsidR="008E7846" w:rsidRPr="00DF3309" w:rsidRDefault="00090750" w:rsidP="00DF3309">
            <w:r w:rsidRPr="00DF3309">
              <w:t>Blister pack</w:t>
            </w:r>
          </w:p>
        </w:tc>
      </w:tr>
      <w:tr w:rsidR="008E7846" w:rsidRPr="00DF3309" w:rsidTr="00C60B78">
        <w:tc>
          <w:tcPr>
            <w:tcW w:w="2907" w:type="dxa"/>
          </w:tcPr>
          <w:p w:rsidR="008E7846" w:rsidRPr="00DF3309" w:rsidRDefault="008E7846" w:rsidP="00DF3309">
            <w:r w:rsidRPr="00DF3309">
              <w:t>Pack size(s):</w:t>
            </w:r>
          </w:p>
        </w:tc>
        <w:tc>
          <w:tcPr>
            <w:tcW w:w="6307" w:type="dxa"/>
          </w:tcPr>
          <w:p w:rsidR="008E7846" w:rsidRPr="00DF3309" w:rsidRDefault="00090750" w:rsidP="00DF3309">
            <w:r w:rsidRPr="00DF3309">
              <w:t>14 or 56 capsules</w:t>
            </w:r>
          </w:p>
        </w:tc>
      </w:tr>
      <w:tr w:rsidR="008E7846" w:rsidRPr="00487162" w:rsidTr="00C60B78">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090750" w:rsidP="00090750">
            <w:pPr>
              <w:rPr>
                <w:rFonts w:eastAsia="MS Mincho"/>
                <w:lang w:eastAsia="ja-JP"/>
              </w:rPr>
            </w:pPr>
            <w:proofErr w:type="spellStart"/>
            <w:r w:rsidRPr="00090750">
              <w:rPr>
                <w:i/>
              </w:rPr>
              <w:t>Sunvepra</w:t>
            </w:r>
            <w:proofErr w:type="spellEnd"/>
            <w:r w:rsidRPr="00090750">
              <w:rPr>
                <w:i/>
              </w:rPr>
              <w:t xml:space="preserve"> (</w:t>
            </w:r>
            <w:proofErr w:type="spellStart"/>
            <w:r w:rsidRPr="00090750">
              <w:rPr>
                <w:i/>
              </w:rPr>
              <w:t>asunaprevir</w:t>
            </w:r>
            <w:proofErr w:type="spellEnd"/>
            <w:r w:rsidRPr="00090750">
              <w:rPr>
                <w:i/>
              </w:rPr>
              <w:t xml:space="preserve">) is indicated in combination with other medicinal products for the treatment of chronic hepatitis C virus (HCV) infection in adults with compensated liver disease (including cirrhosis) </w:t>
            </w:r>
            <w:r>
              <w:rPr>
                <w:i/>
              </w:rPr>
              <w:t>[</w:t>
            </w:r>
            <w:r w:rsidRPr="00090750">
              <w:rPr>
                <w:i/>
              </w:rPr>
              <w:t>see Clinical Trials and Dosage and Administration.</w:t>
            </w:r>
            <w:r>
              <w:rPr>
                <w:i/>
              </w:rPr>
              <w:t>]</w:t>
            </w:r>
          </w:p>
        </w:tc>
      </w:tr>
      <w:tr w:rsidR="008E7846" w:rsidRPr="00487162" w:rsidTr="00C60B78">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016899" w:rsidP="00E45619">
            <w:r>
              <w:t>Oral (PO)</w:t>
            </w:r>
          </w:p>
        </w:tc>
      </w:tr>
      <w:tr w:rsidR="008E7846" w:rsidRPr="00487162" w:rsidTr="00C60B78">
        <w:tc>
          <w:tcPr>
            <w:tcW w:w="2907" w:type="dxa"/>
          </w:tcPr>
          <w:p w:rsidR="008E7846" w:rsidRPr="00487162" w:rsidRDefault="008E7846" w:rsidP="00E45619">
            <w:pPr>
              <w:rPr>
                <w:i/>
              </w:rPr>
            </w:pPr>
            <w:r w:rsidRPr="00487162">
              <w:rPr>
                <w:i/>
              </w:rPr>
              <w:t>Dosage:</w:t>
            </w:r>
          </w:p>
        </w:tc>
        <w:tc>
          <w:tcPr>
            <w:tcW w:w="6307" w:type="dxa"/>
          </w:tcPr>
          <w:p w:rsidR="00950915" w:rsidRDefault="00090750" w:rsidP="00090750">
            <w:proofErr w:type="spellStart"/>
            <w:r w:rsidRPr="00090750">
              <w:t>Sunvepr</w:t>
            </w:r>
            <w:r>
              <w:t>a</w:t>
            </w:r>
            <w:proofErr w:type="spellEnd"/>
            <w:r w:rsidRPr="00090750">
              <w:t xml:space="preserve"> is for oral administration and may be taken with or without food. The recommended dose of </w:t>
            </w:r>
            <w:proofErr w:type="spellStart"/>
            <w:r w:rsidRPr="00090750">
              <w:t>Sunvepra</w:t>
            </w:r>
            <w:proofErr w:type="spellEnd"/>
            <w:r w:rsidRPr="00090750">
              <w:t xml:space="preserve"> is 100 mg twice daily. </w:t>
            </w:r>
            <w:proofErr w:type="spellStart"/>
            <w:r w:rsidRPr="00090750">
              <w:t>Sunvepra</w:t>
            </w:r>
            <w:proofErr w:type="spellEnd"/>
            <w:r w:rsidRPr="00090750">
              <w:t xml:space="preserve"> must be administered in combination with </w:t>
            </w:r>
            <w:proofErr w:type="spellStart"/>
            <w:r w:rsidRPr="00090750">
              <w:t>Daklinza</w:t>
            </w:r>
            <w:proofErr w:type="spellEnd"/>
            <w:r w:rsidRPr="00090750">
              <w:t xml:space="preserve"> or with </w:t>
            </w:r>
            <w:proofErr w:type="spellStart"/>
            <w:r w:rsidRPr="00090750">
              <w:t>Daklinza</w:t>
            </w:r>
            <w:proofErr w:type="spellEnd"/>
            <w:r w:rsidRPr="00090750">
              <w:t xml:space="preserve">, </w:t>
            </w:r>
            <w:proofErr w:type="spellStart"/>
            <w:r w:rsidRPr="00090750">
              <w:t>peginterferon</w:t>
            </w:r>
            <w:proofErr w:type="spellEnd"/>
            <w:r w:rsidRPr="00090750">
              <w:t xml:space="preserve"> </w:t>
            </w:r>
            <w:proofErr w:type="spellStart"/>
            <w:r w:rsidRPr="00090750">
              <w:t>alfa</w:t>
            </w:r>
            <w:proofErr w:type="spellEnd"/>
            <w:r w:rsidRPr="00090750">
              <w:t xml:space="preserve">, and ribavirin. Recommended regimens and treatment duration are shown in Table 8. For specific dosage instructions for </w:t>
            </w:r>
            <w:proofErr w:type="spellStart"/>
            <w:r w:rsidRPr="00090750">
              <w:t>Daklinza</w:t>
            </w:r>
            <w:proofErr w:type="spellEnd"/>
            <w:r w:rsidRPr="00090750">
              <w:t xml:space="preserve">, </w:t>
            </w:r>
            <w:proofErr w:type="spellStart"/>
            <w:r w:rsidRPr="00090750">
              <w:t>peginterferon</w:t>
            </w:r>
            <w:proofErr w:type="spellEnd"/>
            <w:r w:rsidRPr="00090750">
              <w:t xml:space="preserve"> </w:t>
            </w:r>
            <w:proofErr w:type="spellStart"/>
            <w:r w:rsidRPr="00090750">
              <w:t>alfa</w:t>
            </w:r>
            <w:proofErr w:type="spellEnd"/>
            <w:r w:rsidRPr="00090750">
              <w:t>, and ribavirin, refer to the respective product information.</w:t>
            </w:r>
          </w:p>
          <w:p w:rsidR="00090750" w:rsidRPr="00090750" w:rsidRDefault="00295947" w:rsidP="00090750">
            <w:r>
              <w:rPr>
                <w:noProof/>
                <w:lang w:eastAsia="en-AU"/>
              </w:rPr>
              <w:drawing>
                <wp:inline distT="0" distB="0" distL="0" distR="0" wp14:anchorId="03FC45EB" wp14:editId="0012EF1D">
                  <wp:extent cx="3314700" cy="863600"/>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4700" cy="863600"/>
                          </a:xfrm>
                          <a:prstGeom prst="rect">
                            <a:avLst/>
                          </a:prstGeom>
                          <a:noFill/>
                          <a:ln>
                            <a:noFill/>
                          </a:ln>
                        </pic:spPr>
                      </pic:pic>
                    </a:graphicData>
                  </a:graphic>
                </wp:inline>
              </w:drawing>
            </w:r>
          </w:p>
        </w:tc>
      </w:tr>
      <w:tr w:rsidR="008E7846" w:rsidRPr="00487162" w:rsidTr="00C60B78">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090750" w:rsidP="00090750">
            <w:r>
              <w:t>222744</w:t>
            </w:r>
          </w:p>
        </w:tc>
      </w:tr>
    </w:tbl>
    <w:p w:rsidR="008E7846" w:rsidRDefault="008E7846" w:rsidP="008E7846">
      <w:pPr>
        <w:pStyle w:val="Heading3"/>
      </w:pPr>
      <w:bookmarkStart w:id="13" w:name="_Toc247691503"/>
      <w:bookmarkStart w:id="14" w:name="_Toc314842484"/>
      <w:bookmarkStart w:id="15" w:name="_Toc438125690"/>
      <w:r>
        <w:lastRenderedPageBreak/>
        <w:t>Product background</w:t>
      </w:r>
      <w:bookmarkEnd w:id="13"/>
      <w:bookmarkEnd w:id="14"/>
      <w:bookmarkEnd w:id="15"/>
    </w:p>
    <w:p w:rsidR="00090750" w:rsidRDefault="00940A89" w:rsidP="00940A89">
      <w:r w:rsidRPr="00940A89">
        <w:t xml:space="preserve">This </w:t>
      </w:r>
      <w:proofErr w:type="spellStart"/>
      <w:r w:rsidRPr="00940A89">
        <w:t>AusPAR</w:t>
      </w:r>
      <w:proofErr w:type="spellEnd"/>
      <w:r w:rsidRPr="00940A89">
        <w:t xml:space="preserve"> describes the application by the sponsor to register </w:t>
      </w:r>
      <w:proofErr w:type="spellStart"/>
      <w:r w:rsidR="005104EA">
        <w:t>Sunvepra</w:t>
      </w:r>
      <w:proofErr w:type="spellEnd"/>
      <w:r w:rsidR="005104EA">
        <w:t xml:space="preserve"> (</w:t>
      </w:r>
      <w:proofErr w:type="spellStart"/>
      <w:r w:rsidR="005104EA">
        <w:t>asunaprevir</w:t>
      </w:r>
      <w:proofErr w:type="spellEnd"/>
      <w:r w:rsidR="005104EA">
        <w:t xml:space="preserve">) </w:t>
      </w:r>
      <w:r w:rsidR="00090750" w:rsidRPr="007469F6">
        <w:rPr>
          <w:rFonts w:eastAsia="Times New Roman"/>
          <w:bCs/>
          <w:lang w:eastAsia="en-AU"/>
        </w:rPr>
        <w:t xml:space="preserve">as a combination therapy with use only with </w:t>
      </w:r>
      <w:proofErr w:type="spellStart"/>
      <w:r w:rsidR="005104EA" w:rsidRPr="007469F6">
        <w:rPr>
          <w:rFonts w:eastAsia="Times New Roman"/>
          <w:bCs/>
          <w:lang w:eastAsia="en-AU"/>
        </w:rPr>
        <w:t>Daklinka</w:t>
      </w:r>
      <w:proofErr w:type="spellEnd"/>
      <w:r w:rsidR="005104EA" w:rsidRPr="007469F6">
        <w:rPr>
          <w:rFonts w:eastAsia="Times New Roman"/>
          <w:bCs/>
          <w:lang w:eastAsia="en-AU"/>
        </w:rPr>
        <w:t xml:space="preserve"> </w:t>
      </w:r>
      <w:r w:rsidR="00090750" w:rsidRPr="007469F6">
        <w:rPr>
          <w:rFonts w:eastAsia="Times New Roman"/>
          <w:bCs/>
          <w:lang w:eastAsia="en-AU"/>
        </w:rPr>
        <w:t>(</w:t>
      </w:r>
      <w:proofErr w:type="spellStart"/>
      <w:r w:rsidR="00090750">
        <w:rPr>
          <w:rFonts w:eastAsia="Times New Roman"/>
          <w:bCs/>
          <w:lang w:eastAsia="en-AU"/>
        </w:rPr>
        <w:t>daclatasvir</w:t>
      </w:r>
      <w:proofErr w:type="spellEnd"/>
      <w:r w:rsidR="00090750">
        <w:rPr>
          <w:rFonts w:eastAsia="Times New Roman"/>
          <w:bCs/>
          <w:lang w:eastAsia="en-AU"/>
        </w:rPr>
        <w:t xml:space="preserve"> (</w:t>
      </w:r>
      <w:r w:rsidR="00090750" w:rsidRPr="007469F6">
        <w:rPr>
          <w:rFonts w:eastAsia="Times New Roman"/>
          <w:bCs/>
          <w:lang w:eastAsia="en-AU"/>
        </w:rPr>
        <w:t>DCV)</w:t>
      </w:r>
      <w:r w:rsidR="00090750">
        <w:rPr>
          <w:rFonts w:eastAsia="Times New Roman"/>
          <w:bCs/>
          <w:lang w:eastAsia="en-AU"/>
        </w:rPr>
        <w:t>)</w:t>
      </w:r>
      <w:r w:rsidR="00090750" w:rsidRPr="007469F6">
        <w:rPr>
          <w:rFonts w:eastAsia="Times New Roman"/>
          <w:bCs/>
          <w:lang w:eastAsia="en-AU"/>
        </w:rPr>
        <w:t xml:space="preserve"> ± </w:t>
      </w:r>
      <w:proofErr w:type="spellStart"/>
      <w:r w:rsidR="00090750" w:rsidRPr="007469F6">
        <w:rPr>
          <w:rFonts w:eastAsia="Times New Roman"/>
          <w:bCs/>
          <w:lang w:eastAsia="en-AU"/>
        </w:rPr>
        <w:t>pegIFN</w:t>
      </w:r>
      <w:proofErr w:type="spellEnd"/>
      <w:r w:rsidR="00090750" w:rsidRPr="007469F6">
        <w:rPr>
          <w:rFonts w:eastAsia="Times New Roman"/>
          <w:bCs/>
          <w:lang w:eastAsia="en-AU"/>
        </w:rPr>
        <w:t>α</w:t>
      </w:r>
      <w:r w:rsidR="00090750">
        <w:rPr>
          <w:rFonts w:eastAsia="Times New Roman"/>
          <w:bCs/>
          <w:lang w:eastAsia="en-AU"/>
        </w:rPr>
        <w:t xml:space="preserve"> (</w:t>
      </w:r>
      <w:proofErr w:type="spellStart"/>
      <w:r w:rsidR="00090750">
        <w:rPr>
          <w:rFonts w:eastAsia="Times New Roman"/>
          <w:bCs/>
          <w:lang w:eastAsia="en-AU"/>
        </w:rPr>
        <w:t>peginterferon</w:t>
      </w:r>
      <w:proofErr w:type="spellEnd"/>
      <w:r w:rsidR="00090750">
        <w:rPr>
          <w:rFonts w:eastAsia="Times New Roman"/>
          <w:bCs/>
          <w:lang w:eastAsia="en-AU"/>
        </w:rPr>
        <w:t xml:space="preserve"> </w:t>
      </w:r>
      <w:proofErr w:type="spellStart"/>
      <w:r w:rsidR="00090750">
        <w:rPr>
          <w:rFonts w:eastAsia="Times New Roman"/>
          <w:bCs/>
          <w:lang w:eastAsia="en-AU"/>
        </w:rPr>
        <w:t>alfa</w:t>
      </w:r>
      <w:proofErr w:type="spellEnd"/>
      <w:r w:rsidR="00090750">
        <w:rPr>
          <w:rFonts w:eastAsia="Times New Roman"/>
          <w:bCs/>
          <w:lang w:eastAsia="en-AU"/>
        </w:rPr>
        <w:t>)</w:t>
      </w:r>
      <w:r w:rsidR="00090750" w:rsidRPr="007469F6">
        <w:rPr>
          <w:rFonts w:eastAsia="Times New Roman"/>
          <w:bCs/>
          <w:lang w:eastAsia="en-AU"/>
        </w:rPr>
        <w:t>/RBV</w:t>
      </w:r>
      <w:r w:rsidR="00090750">
        <w:rPr>
          <w:rFonts w:eastAsia="Times New Roman"/>
          <w:bCs/>
          <w:lang w:eastAsia="en-AU"/>
        </w:rPr>
        <w:t xml:space="preserve"> (ribavirin)</w:t>
      </w:r>
      <w:r w:rsidR="00090750" w:rsidRPr="007469F6">
        <w:rPr>
          <w:rFonts w:eastAsia="Times New Roman"/>
          <w:bCs/>
          <w:lang w:eastAsia="en-AU"/>
        </w:rPr>
        <w:t>.</w:t>
      </w:r>
    </w:p>
    <w:p w:rsidR="00D75578" w:rsidRDefault="00F559D9" w:rsidP="00C60B78">
      <w:pPr>
        <w:rPr>
          <w:szCs w:val="20"/>
        </w:rPr>
      </w:pPr>
      <w:bookmarkStart w:id="16" w:name="_Toc314842485"/>
      <w:bookmarkStart w:id="17" w:name="_Toc247691504"/>
      <w:proofErr w:type="spellStart"/>
      <w:r>
        <w:t>Asunaprevir</w:t>
      </w:r>
      <w:proofErr w:type="spellEnd"/>
      <w:r>
        <w:t xml:space="preserve"> (ASV) is a new chemical entity of the class of ‘direct acting antiviral’ agents (DAA) against the hepatitis C virus (HCV). It acts as </w:t>
      </w:r>
      <w:r w:rsidR="00D75578">
        <w:t>a direct-acting antiviral agent (DAA) selec</w:t>
      </w:r>
      <w:r>
        <w:t>t</w:t>
      </w:r>
      <w:r w:rsidR="00D75578">
        <w:t>iv</w:t>
      </w:r>
      <w:r>
        <w:t>ely</w:t>
      </w:r>
      <w:r w:rsidR="00D75578">
        <w:t xml:space="preserve"> inhibit</w:t>
      </w:r>
      <w:r>
        <w:t>ing</w:t>
      </w:r>
      <w:r w:rsidR="00D75578">
        <w:t xml:space="preserve"> the hepatitis C virus (HCV) non-structural protein 3 (NS3) protease and subsequently viral ribonucleic acid (RNA) replication with genotype (GT) 1 and 4 coverage.</w:t>
      </w:r>
    </w:p>
    <w:p w:rsidR="00D75578" w:rsidRDefault="00D75578" w:rsidP="00D75578">
      <w:pPr>
        <w:spacing w:before="0" w:after="0" w:line="240" w:lineRule="auto"/>
      </w:pPr>
      <w:r>
        <w:t xml:space="preserve">Current standard-of-care for HCV GT-1 consists of a DAA as a component of a combination antiviral treatment regimen. Newer treatment options provide an improvement over the use of IFN-based therapies alone for patients with GT-1. However, there is still a need for improved efficacy in HCV GT-1 patients, particularly in patients with limited response to </w:t>
      </w:r>
      <w:proofErr w:type="spellStart"/>
      <w:r>
        <w:t>pegIFN</w:t>
      </w:r>
      <w:proofErr w:type="spellEnd"/>
      <w:r>
        <w:t>α/RBV or in patients who are intolerant or ineligible for IFN based therapy, and for patients who have failed current protease inhibitor therapies.</w:t>
      </w:r>
    </w:p>
    <w:p w:rsidR="00C60B78" w:rsidRDefault="00D75578" w:rsidP="00D75578">
      <w:pPr>
        <w:spacing w:before="0" w:after="0" w:line="240" w:lineRule="auto"/>
      </w:pPr>
      <w:proofErr w:type="spellStart"/>
      <w:r>
        <w:t>Asunaprevir</w:t>
      </w:r>
      <w:proofErr w:type="spellEnd"/>
      <w:r>
        <w:t xml:space="preserve"> (ASV) is only recommended in </w:t>
      </w:r>
      <w:r w:rsidRPr="00E630B8">
        <w:t xml:space="preserve">combination with other agents. One of these agents is </w:t>
      </w:r>
      <w:proofErr w:type="spellStart"/>
      <w:r w:rsidRPr="00E630B8">
        <w:t>Daclatasvir</w:t>
      </w:r>
      <w:proofErr w:type="spellEnd"/>
      <w:r w:rsidRPr="00E630B8">
        <w:t xml:space="preserve"> (DCV) which is also a new chemical entity and the s</w:t>
      </w:r>
      <w:r w:rsidR="005104EA" w:rsidRPr="00E630B8">
        <w:t>ubject of a parallel submission to the TGA</w:t>
      </w:r>
      <w:r w:rsidRPr="00E630B8">
        <w:t xml:space="preserve">. </w:t>
      </w:r>
      <w:proofErr w:type="spellStart"/>
      <w:r w:rsidRPr="00E630B8">
        <w:t>Daclatasvir</w:t>
      </w:r>
      <w:proofErr w:type="spellEnd"/>
      <w:r w:rsidRPr="00E630B8">
        <w:t xml:space="preserve"> inhibits the hepatitis C virus (HCV) non-structural protein 5A (NS5A) replication complex.</w:t>
      </w:r>
    </w:p>
    <w:p w:rsidR="00D75578" w:rsidRDefault="00D75578" w:rsidP="00D75578">
      <w:r>
        <w:t>The proposed indication is:</w:t>
      </w:r>
    </w:p>
    <w:p w:rsidR="00D75578" w:rsidRPr="00C60B78" w:rsidRDefault="005104EA" w:rsidP="00C60B78">
      <w:pPr>
        <w:pStyle w:val="ListBullet2"/>
        <w:rPr>
          <w:i/>
        </w:rPr>
      </w:pPr>
      <w:proofErr w:type="spellStart"/>
      <w:r w:rsidRPr="00C60B78">
        <w:rPr>
          <w:i/>
        </w:rPr>
        <w:t>Sunvepra</w:t>
      </w:r>
      <w:proofErr w:type="spellEnd"/>
      <w:r w:rsidRPr="00C60B78">
        <w:rPr>
          <w:i/>
        </w:rPr>
        <w:t xml:space="preserve"> </w:t>
      </w:r>
      <w:r w:rsidR="00D75578" w:rsidRPr="00C60B78">
        <w:rPr>
          <w:i/>
        </w:rPr>
        <w:t>(</w:t>
      </w:r>
      <w:proofErr w:type="spellStart"/>
      <w:r w:rsidR="00D75578" w:rsidRPr="00C60B78">
        <w:rPr>
          <w:i/>
        </w:rPr>
        <w:t>asunaprevir</w:t>
      </w:r>
      <w:proofErr w:type="spellEnd"/>
      <w:r w:rsidR="00D75578" w:rsidRPr="00C60B78">
        <w:rPr>
          <w:i/>
        </w:rPr>
        <w:t>) is indicated for the treatment of chronic hepatitis C virus (HCV) infection in adults with compensated liver disease (including cirrhosis) in combination with:</w:t>
      </w:r>
    </w:p>
    <w:p w:rsidR="00D75578" w:rsidRPr="005104EA" w:rsidRDefault="005104EA" w:rsidP="005104EA">
      <w:pPr>
        <w:pStyle w:val="ListBullet3"/>
        <w:rPr>
          <w:i/>
        </w:rPr>
      </w:pPr>
      <w:proofErr w:type="spellStart"/>
      <w:r w:rsidRPr="005104EA">
        <w:rPr>
          <w:i/>
        </w:rPr>
        <w:t>Daklinza</w:t>
      </w:r>
      <w:proofErr w:type="spellEnd"/>
      <w:r w:rsidR="00D75578" w:rsidRPr="005104EA">
        <w:rPr>
          <w:i/>
        </w:rPr>
        <w:t>, an NS5A replication complex inhibitor, for patients with HCV genotype 1b infection (See CLINICAL TRIALS and DOSAGE AND ADMINISTRATION)</w:t>
      </w:r>
    </w:p>
    <w:p w:rsidR="00C60B78" w:rsidRDefault="00B70E14" w:rsidP="0088637B">
      <w:proofErr w:type="spellStart"/>
      <w:r>
        <w:t>Sunvepra</w:t>
      </w:r>
      <w:proofErr w:type="spellEnd"/>
      <w:r>
        <w:t xml:space="preserve"> </w:t>
      </w:r>
      <w:r w:rsidR="00D75578">
        <w:t>is for oral administration and may be taken with or without food</w:t>
      </w:r>
      <w:r w:rsidR="005104EA">
        <w:t xml:space="preserve"> at the </w:t>
      </w:r>
      <w:r w:rsidR="00D75578">
        <w:t xml:space="preserve">recommended dose of 100 mg twice daily. </w:t>
      </w:r>
      <w:proofErr w:type="spellStart"/>
      <w:r>
        <w:t>Sunvepra</w:t>
      </w:r>
      <w:proofErr w:type="spellEnd"/>
      <w:r>
        <w:t xml:space="preserve"> </w:t>
      </w:r>
      <w:r w:rsidR="00D75578">
        <w:t xml:space="preserve">must be administered in combination with </w:t>
      </w:r>
      <w:proofErr w:type="spellStart"/>
      <w:r w:rsidR="005104EA">
        <w:t>Daklinza</w:t>
      </w:r>
      <w:proofErr w:type="spellEnd"/>
      <w:r w:rsidR="005104EA">
        <w:t xml:space="preserve"> </w:t>
      </w:r>
      <w:r w:rsidR="00D75578">
        <w:t xml:space="preserve">or with </w:t>
      </w:r>
      <w:proofErr w:type="spellStart"/>
      <w:r w:rsidR="005104EA">
        <w:t>Daklinza</w:t>
      </w:r>
      <w:proofErr w:type="spellEnd"/>
      <w:r w:rsidR="00D75578">
        <w:t xml:space="preserve">, </w:t>
      </w:r>
      <w:proofErr w:type="spellStart"/>
      <w:r w:rsidR="00D75578">
        <w:t>peginterferon</w:t>
      </w:r>
      <w:proofErr w:type="spellEnd"/>
      <w:r w:rsidR="00D75578">
        <w:t xml:space="preserve"> </w:t>
      </w:r>
      <w:proofErr w:type="spellStart"/>
      <w:r w:rsidR="00D75578">
        <w:t>alfa</w:t>
      </w:r>
      <w:proofErr w:type="spellEnd"/>
      <w:r w:rsidR="00D75578">
        <w:t>, and ribavirin.</w:t>
      </w:r>
    </w:p>
    <w:p w:rsidR="00D75578" w:rsidRDefault="00D75578" w:rsidP="0088637B">
      <w:r>
        <w:t xml:space="preserve">Dose modification of </w:t>
      </w:r>
      <w:proofErr w:type="spellStart"/>
      <w:r w:rsidR="005104EA">
        <w:t>Sunvepra</w:t>
      </w:r>
      <w:proofErr w:type="spellEnd"/>
      <w:r w:rsidR="005104EA">
        <w:t xml:space="preserve"> </w:t>
      </w:r>
      <w:r>
        <w:t xml:space="preserve">or </w:t>
      </w:r>
      <w:proofErr w:type="spellStart"/>
      <w:r w:rsidR="005104EA">
        <w:t>Daklinza</w:t>
      </w:r>
      <w:proofErr w:type="spellEnd"/>
      <w:r w:rsidR="005104EA">
        <w:t xml:space="preserve"> </w:t>
      </w:r>
      <w:r>
        <w:t xml:space="preserve">is not recommended. Treatment interruption should be avoided; however, if treatment interruption is necessary because of adverse reactions, neither </w:t>
      </w:r>
      <w:proofErr w:type="spellStart"/>
      <w:r w:rsidR="005104EA">
        <w:t>Sunvepra</w:t>
      </w:r>
      <w:proofErr w:type="spellEnd"/>
      <w:r w:rsidR="005104EA">
        <w:t xml:space="preserve"> </w:t>
      </w:r>
      <w:r>
        <w:t xml:space="preserve">nor </w:t>
      </w:r>
      <w:proofErr w:type="spellStart"/>
      <w:r w:rsidR="005104EA">
        <w:t>Daklinza</w:t>
      </w:r>
      <w:proofErr w:type="spellEnd"/>
      <w:r w:rsidR="005104EA">
        <w:t xml:space="preserve"> </w:t>
      </w:r>
      <w:r>
        <w:t xml:space="preserve">should be given as monotherapy. If resumption of therapy is considered, the risks and benefits should be carefully assessed [see </w:t>
      </w:r>
      <w:r w:rsidR="005104EA">
        <w:t>PI</w:t>
      </w:r>
      <w:r>
        <w:t xml:space="preserve">]. For the </w:t>
      </w:r>
      <w:proofErr w:type="spellStart"/>
      <w:r w:rsidR="005104EA">
        <w:t>Sunvepra</w:t>
      </w:r>
      <w:proofErr w:type="spellEnd"/>
      <w:r w:rsidR="005104EA">
        <w:t>/</w:t>
      </w:r>
      <w:proofErr w:type="spellStart"/>
      <w:r w:rsidR="005104EA">
        <w:t>Daklinza</w:t>
      </w:r>
      <w:proofErr w:type="spellEnd"/>
      <w:r w:rsidR="005104EA">
        <w:t xml:space="preserve"> </w:t>
      </w:r>
      <w:r>
        <w:t>regimen, both drugs must be restarted at the same time.</w:t>
      </w:r>
    </w:p>
    <w:p w:rsidR="00D75578" w:rsidRDefault="00D75578" w:rsidP="0088637B">
      <w:r>
        <w:t xml:space="preserve">Discontinuation of therapy is recommended for patients experiencing confirmed </w:t>
      </w:r>
      <w:proofErr w:type="spellStart"/>
      <w:r>
        <w:t>virologic</w:t>
      </w:r>
      <w:proofErr w:type="spellEnd"/>
      <w:r>
        <w:t xml:space="preserve"> breakthrough (greater than 1 log</w:t>
      </w:r>
      <w:r>
        <w:rPr>
          <w:sz w:val="15"/>
          <w:szCs w:val="15"/>
        </w:rPr>
        <w:t>10</w:t>
      </w:r>
      <w:r>
        <w:t xml:space="preserve"> IU/mL increase in HCV RNA from nadir).</w:t>
      </w:r>
    </w:p>
    <w:p w:rsidR="00D72688" w:rsidRDefault="00D72688" w:rsidP="00D72688">
      <w:r>
        <w:t>The TGA has adopted the following European Medicines Agency guidelines which are relevant to the submission:</w:t>
      </w:r>
    </w:p>
    <w:p w:rsidR="00D72688" w:rsidRDefault="00D72688" w:rsidP="00D72688">
      <w:pPr>
        <w:pStyle w:val="ListBullet"/>
      </w:pPr>
      <w:r w:rsidRPr="0014300E">
        <w:t>Guideline on</w:t>
      </w:r>
      <w:r>
        <w:t xml:space="preserve"> pharmacokinetic studies in man.</w:t>
      </w:r>
      <w:r>
        <w:rPr>
          <w:rStyle w:val="FootnoteReference"/>
        </w:rPr>
        <w:footnoteReference w:id="1"/>
      </w:r>
    </w:p>
    <w:p w:rsidR="00D72688" w:rsidRDefault="00D72688" w:rsidP="00D72688">
      <w:pPr>
        <w:pStyle w:val="ListBullet"/>
      </w:pPr>
      <w:r w:rsidRPr="0014300E">
        <w:t>Note for guidance on the evaluation of the pharmacokinetics of medicinal products in patien</w:t>
      </w:r>
      <w:r>
        <w:t>ts with impaired renal function.</w:t>
      </w:r>
      <w:r>
        <w:rPr>
          <w:rStyle w:val="FootnoteReference"/>
        </w:rPr>
        <w:footnoteReference w:id="2"/>
      </w:r>
    </w:p>
    <w:p w:rsidR="00D72688" w:rsidRDefault="00D72688" w:rsidP="00D72688">
      <w:pPr>
        <w:pStyle w:val="ListBullet"/>
      </w:pPr>
      <w:r w:rsidRPr="0014300E">
        <w:t>Concept paper on the need for revision of the note for guidance on the evaluation of the pharmacokinetics of medicinal products in patien</w:t>
      </w:r>
      <w:r>
        <w:t>ts with impaired renal function.</w:t>
      </w:r>
      <w:r>
        <w:rPr>
          <w:rStyle w:val="FootnoteReference"/>
        </w:rPr>
        <w:footnoteReference w:id="3"/>
      </w:r>
    </w:p>
    <w:p w:rsidR="00D72688" w:rsidRDefault="00D72688" w:rsidP="00D72688">
      <w:pPr>
        <w:pStyle w:val="ListBullet"/>
      </w:pPr>
      <w:r w:rsidRPr="0014300E">
        <w:lastRenderedPageBreak/>
        <w:t>Guideline on the evaluation of the pharmacokinetics of medicinal products in patients</w:t>
      </w:r>
      <w:r>
        <w:t xml:space="preserve"> with impaired hepatic function.</w:t>
      </w:r>
      <w:r>
        <w:rPr>
          <w:rStyle w:val="FootnoteReference"/>
        </w:rPr>
        <w:footnoteReference w:id="4"/>
      </w:r>
    </w:p>
    <w:p w:rsidR="00D72688" w:rsidRDefault="00D72688" w:rsidP="00D72688">
      <w:pPr>
        <w:pStyle w:val="ListBullet"/>
      </w:pPr>
      <w:r w:rsidRPr="0014300E">
        <w:t>Guideline on the investigation of drug interactions</w:t>
      </w:r>
      <w:r>
        <w:t>.</w:t>
      </w:r>
      <w:r>
        <w:rPr>
          <w:rStyle w:val="FootnoteReference"/>
        </w:rPr>
        <w:footnoteReference w:id="5"/>
      </w:r>
    </w:p>
    <w:p w:rsidR="00D72688" w:rsidRDefault="00D72688" w:rsidP="00D72688">
      <w:pPr>
        <w:pStyle w:val="ListBullet"/>
      </w:pPr>
      <w:r w:rsidRPr="0014300E">
        <w:t>Guideline on the clinical evaluation of QT/</w:t>
      </w:r>
      <w:proofErr w:type="spellStart"/>
      <w:r w:rsidRPr="0014300E">
        <w:t>QTc</w:t>
      </w:r>
      <w:proofErr w:type="spellEnd"/>
      <w:r w:rsidRPr="0014300E">
        <w:t xml:space="preserve"> interval prolongation and </w:t>
      </w:r>
      <w:proofErr w:type="spellStart"/>
      <w:r w:rsidRPr="0014300E">
        <w:t>proarrhythmic</w:t>
      </w:r>
      <w:proofErr w:type="spellEnd"/>
      <w:r w:rsidRPr="0014300E">
        <w:t xml:space="preserve"> potential for non-antiarrhythmic drugs</w:t>
      </w:r>
      <w:r>
        <w:t>.</w:t>
      </w:r>
      <w:r>
        <w:rPr>
          <w:rStyle w:val="FootnoteReference"/>
        </w:rPr>
        <w:footnoteReference w:id="6"/>
      </w:r>
    </w:p>
    <w:p w:rsidR="00D72688" w:rsidRDefault="00D72688" w:rsidP="00D72688">
      <w:pPr>
        <w:pStyle w:val="ListBullet"/>
      </w:pPr>
      <w:r w:rsidRPr="0014300E">
        <w:t>Guideline on the clinical evaluation of direct acting antiviral agents intended for t</w:t>
      </w:r>
      <w:r>
        <w:t>reatment of chronic hepatitis C.</w:t>
      </w:r>
      <w:r>
        <w:rPr>
          <w:rStyle w:val="FootnoteReference"/>
        </w:rPr>
        <w:footnoteReference w:id="7"/>
      </w:r>
    </w:p>
    <w:p w:rsidR="00D72688" w:rsidRPr="00065513" w:rsidRDefault="00D72688" w:rsidP="00D72688">
      <w:r w:rsidRPr="00065513">
        <w:t xml:space="preserve">In addition, </w:t>
      </w:r>
      <w:r>
        <w:t xml:space="preserve">the following </w:t>
      </w:r>
      <w:r w:rsidRPr="00065513">
        <w:t>US Food and Drug Administration guidance is noted:</w:t>
      </w:r>
    </w:p>
    <w:p w:rsidR="00D72688" w:rsidRPr="00065513" w:rsidRDefault="00D72688" w:rsidP="00D72688">
      <w:pPr>
        <w:pStyle w:val="ListBullet"/>
      </w:pPr>
      <w:r w:rsidRPr="00065513">
        <w:t>Guidance for Industry Chronic Hepatitis C Virus Infection: Developing Direct-Acting Antiviral Drugs for Treatment.</w:t>
      </w:r>
      <w:r>
        <w:rPr>
          <w:rStyle w:val="FootnoteReference"/>
        </w:rPr>
        <w:footnoteReference w:id="8"/>
      </w:r>
    </w:p>
    <w:p w:rsidR="00C60B78" w:rsidRDefault="00386150" w:rsidP="00D75578">
      <w:pPr>
        <w:pStyle w:val="Heading3"/>
      </w:pPr>
      <w:bookmarkStart w:id="18" w:name="_Toc438125691"/>
      <w:r>
        <w:t>Regulatory s</w:t>
      </w:r>
      <w:r w:rsidR="008E7846">
        <w:t>tatus</w:t>
      </w:r>
      <w:bookmarkEnd w:id="16"/>
      <w:bookmarkEnd w:id="17"/>
      <w:bookmarkEnd w:id="18"/>
    </w:p>
    <w:p w:rsidR="00C60B78" w:rsidRDefault="00190D26" w:rsidP="00940A89">
      <w:bookmarkStart w:id="19" w:name="_Toc247691505"/>
      <w:bookmarkStart w:id="20" w:name="_Toc314842486"/>
      <w:r w:rsidRPr="00E630B8">
        <w:t>This is an application to register a new chemical entity in Australia.</w:t>
      </w:r>
    </w:p>
    <w:p w:rsidR="00940A89" w:rsidRDefault="00940A89" w:rsidP="00940A89">
      <w:r w:rsidRPr="00940A89">
        <w:t xml:space="preserve">At the time the TGA considered this application a similar application had been approved </w:t>
      </w:r>
      <w:r w:rsidR="00190D26">
        <w:t>in Japan</w:t>
      </w:r>
      <w:r w:rsidRPr="00940A89">
        <w:t xml:space="preserve"> </w:t>
      </w:r>
      <w:r w:rsidR="00B70E14">
        <w:t xml:space="preserve">and </w:t>
      </w:r>
      <w:r w:rsidRPr="00940A89">
        <w:t>was under co</w:t>
      </w:r>
      <w:r>
        <w:t xml:space="preserve">nsideration in </w:t>
      </w:r>
      <w:r w:rsidR="00190D26">
        <w:t>several jurisdictions including Canada and Singapore</w:t>
      </w:r>
      <w:r>
        <w:t>.</w:t>
      </w:r>
    </w:p>
    <w:p w:rsidR="00190D26" w:rsidRDefault="00190D26" w:rsidP="00190D26">
      <w:pPr>
        <w:pStyle w:val="TableTitle"/>
      </w:pPr>
      <w:r>
        <w:t>Table 1: International regulatory status</w:t>
      </w:r>
    </w:p>
    <w:tbl>
      <w:tblPr>
        <w:tblStyle w:val="TableTGAblue"/>
        <w:tblW w:w="0" w:type="auto"/>
        <w:tblLook w:val="04A0" w:firstRow="1" w:lastRow="0" w:firstColumn="1" w:lastColumn="0" w:noHBand="0" w:noVBand="1"/>
      </w:tblPr>
      <w:tblGrid>
        <w:gridCol w:w="1242"/>
        <w:gridCol w:w="5670"/>
        <w:gridCol w:w="1808"/>
      </w:tblGrid>
      <w:tr w:rsidR="00190D26" w:rsidTr="00C60B78">
        <w:trPr>
          <w:cnfStyle w:val="100000000000" w:firstRow="1" w:lastRow="0" w:firstColumn="0" w:lastColumn="0" w:oddVBand="0" w:evenVBand="0" w:oddHBand="0" w:evenHBand="0" w:firstRowFirstColumn="0" w:firstRowLastColumn="0" w:lastRowFirstColumn="0" w:lastRowLastColumn="0"/>
        </w:trPr>
        <w:tc>
          <w:tcPr>
            <w:tcW w:w="1242" w:type="dxa"/>
          </w:tcPr>
          <w:p w:rsidR="00190D26" w:rsidRPr="00BA1372" w:rsidRDefault="00190D26" w:rsidP="00C60B78">
            <w:pPr>
              <w:ind w:left="0"/>
              <w:rPr>
                <w:b w:val="0"/>
              </w:rPr>
            </w:pPr>
            <w:r w:rsidRPr="00BA1372">
              <w:t>Country</w:t>
            </w:r>
          </w:p>
        </w:tc>
        <w:tc>
          <w:tcPr>
            <w:tcW w:w="5670" w:type="dxa"/>
          </w:tcPr>
          <w:p w:rsidR="00190D26" w:rsidRPr="00BA1372" w:rsidRDefault="00190D26" w:rsidP="00C60B78">
            <w:pPr>
              <w:ind w:left="34" w:hanging="34"/>
              <w:rPr>
                <w:b w:val="0"/>
              </w:rPr>
            </w:pPr>
            <w:r w:rsidRPr="00BA1372">
              <w:t>Approved indication</w:t>
            </w:r>
          </w:p>
        </w:tc>
        <w:tc>
          <w:tcPr>
            <w:tcW w:w="1808" w:type="dxa"/>
          </w:tcPr>
          <w:p w:rsidR="00190D26" w:rsidRPr="00BA1372" w:rsidRDefault="00190D26" w:rsidP="00C60B78">
            <w:pPr>
              <w:ind w:left="34"/>
              <w:rPr>
                <w:b w:val="0"/>
              </w:rPr>
            </w:pPr>
            <w:r w:rsidRPr="00BA1372">
              <w:t>Status</w:t>
            </w:r>
          </w:p>
        </w:tc>
      </w:tr>
      <w:tr w:rsidR="00190D26" w:rsidTr="00C60B78">
        <w:tc>
          <w:tcPr>
            <w:tcW w:w="1242" w:type="dxa"/>
          </w:tcPr>
          <w:p w:rsidR="00190D26" w:rsidRPr="00BA1372" w:rsidRDefault="00190D26" w:rsidP="00C60B78">
            <w:pPr>
              <w:ind w:left="0"/>
            </w:pPr>
            <w:r w:rsidRPr="00BA1372">
              <w:t>Japan</w:t>
            </w:r>
          </w:p>
        </w:tc>
        <w:tc>
          <w:tcPr>
            <w:tcW w:w="5670" w:type="dxa"/>
          </w:tcPr>
          <w:p w:rsidR="00190D26" w:rsidRPr="00BA1372" w:rsidRDefault="00190D26" w:rsidP="00C60B78">
            <w:pPr>
              <w:ind w:left="34" w:hanging="34"/>
            </w:pPr>
            <w:r w:rsidRPr="00BA1372">
              <w:rPr>
                <w:rFonts w:cs="TimesNewRoman"/>
                <w:i/>
              </w:rPr>
              <w:t xml:space="preserve">Improvement of </w:t>
            </w:r>
            <w:proofErr w:type="spellStart"/>
            <w:r w:rsidRPr="00BA1372">
              <w:rPr>
                <w:rFonts w:cs="TimesNewRoman"/>
                <w:i/>
              </w:rPr>
              <w:t>viraemia</w:t>
            </w:r>
            <w:proofErr w:type="spellEnd"/>
            <w:r w:rsidRPr="00BA1372">
              <w:rPr>
                <w:rFonts w:cs="TimesNewRoman"/>
                <w:i/>
              </w:rPr>
              <w:t xml:space="preserve"> in either of the following patients with chronic hepatitis C </w:t>
            </w:r>
            <w:proofErr w:type="spellStart"/>
            <w:r w:rsidRPr="00BA1372">
              <w:rPr>
                <w:rFonts w:cs="TimesNewRoman"/>
                <w:i/>
              </w:rPr>
              <w:t>serogroup</w:t>
            </w:r>
            <w:proofErr w:type="spellEnd"/>
            <w:r w:rsidRPr="00BA1372">
              <w:rPr>
                <w:rFonts w:cs="TimesNewRoman"/>
                <w:i/>
              </w:rPr>
              <w:t xml:space="preserve"> 1 (genotype 1) or chronic hepatitis C </w:t>
            </w:r>
            <w:proofErr w:type="spellStart"/>
            <w:r w:rsidRPr="00BA1372">
              <w:rPr>
                <w:rFonts w:cs="TimesNewRoman"/>
                <w:i/>
              </w:rPr>
              <w:t>serogroup</w:t>
            </w:r>
            <w:proofErr w:type="spellEnd"/>
            <w:r w:rsidRPr="00BA1372">
              <w:rPr>
                <w:rFonts w:cs="TimesNewRoman"/>
                <w:i/>
              </w:rPr>
              <w:t xml:space="preserve"> 1 (genotype 1) with compensated cirrhosis;</w:t>
            </w:r>
            <w:r w:rsidR="00C60B78">
              <w:rPr>
                <w:rFonts w:cs="TimesNewRoman"/>
                <w:i/>
              </w:rPr>
              <w:br/>
            </w:r>
            <w:r w:rsidRPr="00BA1372">
              <w:rPr>
                <w:rFonts w:cs="TimesNewRoman"/>
                <w:i/>
              </w:rPr>
              <w:t>(1) Patients who are ineligible or intolerant to interferon based therapy</w:t>
            </w:r>
            <w:r w:rsidR="00C60B78">
              <w:rPr>
                <w:rFonts w:cs="TimesNewRoman"/>
                <w:i/>
              </w:rPr>
              <w:br/>
            </w:r>
            <w:r w:rsidRPr="00BA1372">
              <w:rPr>
                <w:rFonts w:cs="TimesNewRoman"/>
                <w:i/>
              </w:rPr>
              <w:t>(2) Patients who have failed to respond to interferon-based therapy</w:t>
            </w:r>
          </w:p>
        </w:tc>
        <w:tc>
          <w:tcPr>
            <w:tcW w:w="1808" w:type="dxa"/>
          </w:tcPr>
          <w:p w:rsidR="00190D26" w:rsidRPr="00BA1372" w:rsidRDefault="00190D26" w:rsidP="00C60B78">
            <w:pPr>
              <w:ind w:left="34"/>
            </w:pPr>
            <w:r w:rsidRPr="00BA1372">
              <w:t>Approved</w:t>
            </w:r>
            <w:r w:rsidR="00C60B78">
              <w:t xml:space="preserve"> </w:t>
            </w:r>
            <w:r w:rsidRPr="00BA1372">
              <w:t>July 2014</w:t>
            </w:r>
          </w:p>
        </w:tc>
      </w:tr>
      <w:tr w:rsidR="00190D26" w:rsidTr="00C60B78">
        <w:tc>
          <w:tcPr>
            <w:tcW w:w="1242" w:type="dxa"/>
          </w:tcPr>
          <w:p w:rsidR="00190D26" w:rsidRPr="00BA1372" w:rsidRDefault="00190D26" w:rsidP="00C60B78">
            <w:pPr>
              <w:ind w:left="0"/>
            </w:pPr>
            <w:r w:rsidRPr="00BA1372">
              <w:t>USA</w:t>
            </w:r>
          </w:p>
        </w:tc>
        <w:tc>
          <w:tcPr>
            <w:tcW w:w="5670" w:type="dxa"/>
          </w:tcPr>
          <w:p w:rsidR="00190D26" w:rsidRPr="00BA1372" w:rsidRDefault="00190D26" w:rsidP="00C60B78">
            <w:pPr>
              <w:ind w:left="34" w:hanging="34"/>
            </w:pPr>
            <w:r w:rsidRPr="00BA1372">
              <w:t>Not applicable</w:t>
            </w:r>
          </w:p>
        </w:tc>
        <w:tc>
          <w:tcPr>
            <w:tcW w:w="1808" w:type="dxa"/>
          </w:tcPr>
          <w:p w:rsidR="00190D26" w:rsidRPr="00BA1372" w:rsidRDefault="00190D26" w:rsidP="00C60B78">
            <w:pPr>
              <w:ind w:left="34"/>
            </w:pPr>
            <w:r w:rsidRPr="00BA1372">
              <w:t>Withdrawn</w:t>
            </w:r>
            <w:r w:rsidR="00C60B78">
              <w:t xml:space="preserve"> </w:t>
            </w:r>
            <w:r w:rsidRPr="00BA1372">
              <w:t>6 October 2014*</w:t>
            </w:r>
          </w:p>
        </w:tc>
      </w:tr>
    </w:tbl>
    <w:p w:rsidR="00190D26" w:rsidRDefault="00190D26" w:rsidP="00C60B78">
      <w:pPr>
        <w:pStyle w:val="TableDescription"/>
      </w:pPr>
      <w:r>
        <w:lastRenderedPageBreak/>
        <w:t>*Due to evolving HCV treatment landscape resulting in access to multiple all-oral treatment options with high cure rates and 12-week treatment duration for HCV genotype 1 patients in the U.S.</w:t>
      </w:r>
      <w:r w:rsidR="007F620D">
        <w:t>A.</w:t>
      </w:r>
      <w:r>
        <w:t xml:space="preserve">, 24 week treatment with </w:t>
      </w:r>
      <w:proofErr w:type="spellStart"/>
      <w:r>
        <w:t>daclatasvir</w:t>
      </w:r>
      <w:proofErr w:type="spellEnd"/>
      <w:r>
        <w:t xml:space="preserve"> (DCV)+ASV and </w:t>
      </w:r>
      <w:proofErr w:type="spellStart"/>
      <w:r>
        <w:t>DCV+ASV+peginterferon-alfa</w:t>
      </w:r>
      <w:proofErr w:type="spellEnd"/>
      <w:r>
        <w:t>/ribavirin is considered not to be competitive in the U.S. Hence, BMS has decided to withdraw the ASV US NDA and focus on the DCV NDA and shorter treatment regimens in the U.S.</w:t>
      </w:r>
    </w:p>
    <w:p w:rsidR="008E7846" w:rsidRDefault="008E7846" w:rsidP="00940A89">
      <w:pPr>
        <w:pStyle w:val="Heading3"/>
      </w:pPr>
      <w:bookmarkStart w:id="21" w:name="_Toc438125692"/>
      <w:r>
        <w:t>Product Information</w:t>
      </w:r>
      <w:bookmarkEnd w:id="19"/>
      <w:bookmarkEnd w:id="20"/>
      <w:bookmarkEnd w:id="21"/>
    </w:p>
    <w:p w:rsidR="00940A89" w:rsidRDefault="00940A89" w:rsidP="00940A89">
      <w:pPr>
        <w:rPr>
          <w:b/>
          <w:bCs/>
        </w:rPr>
      </w:pPr>
      <w:bookmarkStart w:id="22" w:name="_Toc247691506"/>
      <w:bookmarkStart w:id="23" w:name="_Toc314842487"/>
      <w:r w:rsidRPr="00940A89">
        <w:t xml:space="preserve">The approved Product Information (PI) current at the time this </w:t>
      </w:r>
      <w:proofErr w:type="spellStart"/>
      <w:r w:rsidRPr="00940A89">
        <w:t>AusPAR</w:t>
      </w:r>
      <w:proofErr w:type="spellEnd"/>
      <w:r w:rsidRPr="00940A89">
        <w:t xml:space="preserve"> was prepared can be found as Attachment 1. For the most recent Product Information please refer to the TGA website at &lt;</w:t>
      </w:r>
      <w:hyperlink r:id="rId15" w:history="1">
        <w:r w:rsidR="00383221">
          <w:rPr>
            <w:rStyle w:val="Hyperlink"/>
          </w:rPr>
          <w:t>https://www.tga.gov.au/product-information-pi</w:t>
        </w:r>
      </w:hyperlink>
      <w:r w:rsidRPr="00940A89">
        <w:t>&gt;.</w:t>
      </w:r>
    </w:p>
    <w:p w:rsidR="008E7846" w:rsidRPr="003602A9" w:rsidRDefault="008E7846" w:rsidP="008E7846">
      <w:pPr>
        <w:pStyle w:val="Heading2"/>
        <w:ind w:left="-11"/>
      </w:pPr>
      <w:bookmarkStart w:id="24" w:name="_Toc438125693"/>
      <w:r>
        <w:t>II. Quality</w:t>
      </w:r>
      <w:bookmarkEnd w:id="1"/>
      <w:r>
        <w:t xml:space="preserve"> findings</w:t>
      </w:r>
      <w:bookmarkEnd w:id="22"/>
      <w:bookmarkEnd w:id="23"/>
      <w:bookmarkEnd w:id="24"/>
    </w:p>
    <w:p w:rsidR="00940A89" w:rsidRPr="00940A89" w:rsidRDefault="00940A89" w:rsidP="00940A89">
      <w:pPr>
        <w:pStyle w:val="Heading3"/>
        <w:rPr>
          <w:rFonts w:ascii="Cambria" w:eastAsia="Cambria" w:hAnsi="Cambria"/>
          <w:b w:val="0"/>
          <w:bCs w:val="0"/>
          <w:i/>
          <w:szCs w:val="22"/>
        </w:rPr>
      </w:pPr>
      <w:bookmarkStart w:id="25" w:name="_Toc247691507"/>
      <w:bookmarkStart w:id="26" w:name="_Toc314842488"/>
      <w:bookmarkStart w:id="27" w:name="_Toc438125694"/>
      <w:r w:rsidRPr="00940A89">
        <w:t>Introduction</w:t>
      </w:r>
      <w:bookmarkEnd w:id="27"/>
    </w:p>
    <w:p w:rsidR="005104EA" w:rsidRDefault="005104EA" w:rsidP="005104EA">
      <w:pPr>
        <w:rPr>
          <w:rFonts w:ascii="Times New Roman" w:hAnsi="Times New Roman"/>
          <w:sz w:val="24"/>
          <w:szCs w:val="24"/>
        </w:rPr>
      </w:pPr>
      <w:proofErr w:type="spellStart"/>
      <w:r>
        <w:rPr>
          <w:szCs w:val="24"/>
        </w:rPr>
        <w:t>Asunaprevir</w:t>
      </w:r>
      <w:proofErr w:type="spellEnd"/>
      <w:r>
        <w:rPr>
          <w:szCs w:val="24"/>
        </w:rPr>
        <w:t xml:space="preserve"> </w:t>
      </w:r>
      <w:r>
        <w:t xml:space="preserve">is presented in soft </w:t>
      </w:r>
      <w:proofErr w:type="spellStart"/>
      <w:r>
        <w:t>gelatin</w:t>
      </w:r>
      <w:proofErr w:type="spellEnd"/>
      <w:r>
        <w:t xml:space="preserve"> capsules containing 100 mg of </w:t>
      </w:r>
      <w:proofErr w:type="spellStart"/>
      <w:r>
        <w:t>asunaprevir</w:t>
      </w:r>
      <w:proofErr w:type="spellEnd"/>
      <w:r>
        <w:t xml:space="preserve">, under the </w:t>
      </w:r>
      <w:proofErr w:type="spellStart"/>
      <w:r>
        <w:t>tradename</w:t>
      </w:r>
      <w:proofErr w:type="spellEnd"/>
      <w:r>
        <w:t xml:space="preserve"> </w:t>
      </w:r>
      <w:proofErr w:type="spellStart"/>
      <w:r w:rsidR="00727B18">
        <w:rPr>
          <w:szCs w:val="24"/>
        </w:rPr>
        <w:t>Sunvepra</w:t>
      </w:r>
      <w:proofErr w:type="spellEnd"/>
      <w:r>
        <w:t xml:space="preserve">. The recommended dose of </w:t>
      </w:r>
      <w:proofErr w:type="spellStart"/>
      <w:r>
        <w:t>asunaprevir</w:t>
      </w:r>
      <w:proofErr w:type="spellEnd"/>
      <w:r>
        <w:t xml:space="preserve"> is 100 mg twice daily, with or without food. </w:t>
      </w:r>
      <w:r>
        <w:rPr>
          <w:szCs w:val="24"/>
        </w:rPr>
        <w:t xml:space="preserve">It </w:t>
      </w:r>
      <w:r w:rsidRPr="00727B18">
        <w:rPr>
          <w:i/>
          <w:szCs w:val="24"/>
        </w:rPr>
        <w:t>must</w:t>
      </w:r>
      <w:r>
        <w:rPr>
          <w:szCs w:val="24"/>
        </w:rPr>
        <w:t xml:space="preserve"> be taken in combination with </w:t>
      </w:r>
      <w:proofErr w:type="spellStart"/>
      <w:r>
        <w:rPr>
          <w:szCs w:val="24"/>
        </w:rPr>
        <w:t>daclatasvir</w:t>
      </w:r>
      <w:proofErr w:type="spellEnd"/>
      <w:r>
        <w:rPr>
          <w:szCs w:val="24"/>
        </w:rPr>
        <w:t xml:space="preserve"> (</w:t>
      </w:r>
      <w:r>
        <w:t>an NS5A inhibitor</w:t>
      </w:r>
      <w:r>
        <w:rPr>
          <w:szCs w:val="24"/>
        </w:rPr>
        <w:t xml:space="preserve">) or with </w:t>
      </w:r>
      <w:proofErr w:type="spellStart"/>
      <w:r>
        <w:rPr>
          <w:szCs w:val="24"/>
        </w:rPr>
        <w:t>daclatasvir</w:t>
      </w:r>
      <w:proofErr w:type="spellEnd"/>
      <w:r>
        <w:rPr>
          <w:szCs w:val="24"/>
        </w:rPr>
        <w:t xml:space="preserve">, </w:t>
      </w:r>
      <w:proofErr w:type="spellStart"/>
      <w:r>
        <w:rPr>
          <w:szCs w:val="24"/>
        </w:rPr>
        <w:t>peginterferon</w:t>
      </w:r>
      <w:proofErr w:type="spellEnd"/>
      <w:r>
        <w:rPr>
          <w:szCs w:val="24"/>
        </w:rPr>
        <w:t xml:space="preserve"> </w:t>
      </w:r>
      <w:proofErr w:type="spellStart"/>
      <w:r>
        <w:rPr>
          <w:szCs w:val="24"/>
        </w:rPr>
        <w:t>alfa</w:t>
      </w:r>
      <w:proofErr w:type="spellEnd"/>
      <w:r>
        <w:rPr>
          <w:szCs w:val="24"/>
        </w:rPr>
        <w:t xml:space="preserve">, </w:t>
      </w:r>
      <w:r w:rsidRPr="00E630B8">
        <w:rPr>
          <w:szCs w:val="24"/>
        </w:rPr>
        <w:t xml:space="preserve">and ribavirin. </w:t>
      </w:r>
      <w:proofErr w:type="spellStart"/>
      <w:r w:rsidRPr="00E630B8">
        <w:t>Daclatasvir</w:t>
      </w:r>
      <w:proofErr w:type="spellEnd"/>
      <w:r w:rsidRPr="00E630B8">
        <w:t xml:space="preserve"> (‘</w:t>
      </w:r>
      <w:proofErr w:type="spellStart"/>
      <w:r w:rsidRPr="00E630B8">
        <w:t>Daklinza</w:t>
      </w:r>
      <w:proofErr w:type="spellEnd"/>
      <w:r w:rsidRPr="00E630B8">
        <w:t>’) 30</w:t>
      </w:r>
      <w:r w:rsidR="00727B18" w:rsidRPr="00E630B8">
        <w:t xml:space="preserve"> </w:t>
      </w:r>
      <w:r w:rsidRPr="00E630B8">
        <w:t>mg and 60</w:t>
      </w:r>
      <w:r w:rsidR="00727B18" w:rsidRPr="00E630B8">
        <w:t xml:space="preserve"> </w:t>
      </w:r>
      <w:r w:rsidRPr="00E630B8">
        <w:t xml:space="preserve">mg tablets are the subject of a current parallel submission for registration </w:t>
      </w:r>
      <w:r w:rsidR="00727B18" w:rsidRPr="00E630B8">
        <w:t>in Australia</w:t>
      </w:r>
      <w:r w:rsidRPr="00E630B8">
        <w:t>.</w:t>
      </w:r>
    </w:p>
    <w:p w:rsidR="008E7846" w:rsidRDefault="008E7846" w:rsidP="00940A89">
      <w:pPr>
        <w:pStyle w:val="Heading3"/>
      </w:pPr>
      <w:bookmarkStart w:id="28" w:name="_Toc438125695"/>
      <w:r w:rsidRPr="008751DC">
        <w:t xml:space="preserve">Drug </w:t>
      </w:r>
      <w:r>
        <w:t>s</w:t>
      </w:r>
      <w:r w:rsidRPr="008751DC">
        <w:t>ubstance</w:t>
      </w:r>
      <w:r>
        <w:t xml:space="preserve"> (active ingredient)</w:t>
      </w:r>
      <w:bookmarkEnd w:id="25"/>
      <w:bookmarkEnd w:id="26"/>
      <w:bookmarkEnd w:id="28"/>
    </w:p>
    <w:p w:rsidR="005104EA" w:rsidRDefault="005104EA" w:rsidP="005104EA">
      <w:proofErr w:type="spellStart"/>
      <w:r>
        <w:t>Asunaprevir</w:t>
      </w:r>
      <w:proofErr w:type="spellEnd"/>
      <w:r>
        <w:t xml:space="preserve"> is a new, fully synthetic, </w:t>
      </w:r>
      <w:r>
        <w:rPr>
          <w:szCs w:val="24"/>
        </w:rPr>
        <w:t>‘direct acting antiviral’ agent</w:t>
      </w:r>
      <w:r>
        <w:t xml:space="preserve"> which </w:t>
      </w:r>
      <w:r>
        <w:rPr>
          <w:szCs w:val="24"/>
        </w:rPr>
        <w:t xml:space="preserve">has some structural similarity with other registered members of the therapeutic class, particularly </w:t>
      </w:r>
      <w:proofErr w:type="spellStart"/>
      <w:r>
        <w:rPr>
          <w:szCs w:val="24"/>
        </w:rPr>
        <w:t>simeprevir</w:t>
      </w:r>
      <w:proofErr w:type="spellEnd"/>
      <w:r>
        <w:rPr>
          <w:szCs w:val="24"/>
        </w:rPr>
        <w:t xml:space="preserve"> (see below). It is a potent and selective inhibitor of the HCV non</w:t>
      </w:r>
      <w:r w:rsidR="00F559D9">
        <w:rPr>
          <w:szCs w:val="24"/>
        </w:rPr>
        <w:t>-</w:t>
      </w:r>
      <w:r>
        <w:rPr>
          <w:szCs w:val="24"/>
        </w:rPr>
        <w:t xml:space="preserve">structural protein </w:t>
      </w:r>
      <w:proofErr w:type="gramStart"/>
      <w:r>
        <w:rPr>
          <w:szCs w:val="24"/>
        </w:rPr>
        <w:t>3 (NS3) protease</w:t>
      </w:r>
      <w:proofErr w:type="gramEnd"/>
      <w:r>
        <w:t xml:space="preserve"> and subsequent viral RNA replication</w:t>
      </w:r>
      <w:r w:rsidR="00727B18">
        <w:t>.</w:t>
      </w:r>
    </w:p>
    <w:p w:rsidR="00727B18" w:rsidRDefault="00727B18" w:rsidP="00727B18">
      <w:pPr>
        <w:pStyle w:val="FigureTitle"/>
        <w:rPr>
          <w:szCs w:val="24"/>
        </w:rPr>
      </w:pPr>
      <w:r>
        <w:t xml:space="preserve">Figure 1: Chemical structure of </w:t>
      </w:r>
      <w:proofErr w:type="spellStart"/>
      <w:r>
        <w:rPr>
          <w:szCs w:val="24"/>
        </w:rPr>
        <w:t>asunaprevir</w:t>
      </w:r>
      <w:proofErr w:type="spellEnd"/>
      <w:r>
        <w:rPr>
          <w:szCs w:val="24"/>
        </w:rPr>
        <w:t xml:space="preserve"> a</w:t>
      </w:r>
      <w:r>
        <w:t xml:space="preserve">nd </w:t>
      </w:r>
      <w:proofErr w:type="spellStart"/>
      <w:r>
        <w:rPr>
          <w:szCs w:val="24"/>
        </w:rPr>
        <w:t>simeprevir</w:t>
      </w:r>
      <w:proofErr w:type="spellEnd"/>
    </w:p>
    <w:p w:rsidR="00727B18" w:rsidRDefault="00295947" w:rsidP="00C60B78">
      <w:pPr>
        <w:rPr>
          <w:sz w:val="24"/>
        </w:rPr>
      </w:pPr>
      <w:r>
        <w:rPr>
          <w:noProof/>
          <w:lang w:eastAsia="en-AU"/>
        </w:rPr>
        <w:drawing>
          <wp:inline distT="0" distB="0" distL="0" distR="0" wp14:anchorId="745ED456" wp14:editId="7504D4B6">
            <wp:extent cx="4516755" cy="1541145"/>
            <wp:effectExtent l="0" t="0" r="0" b="1905"/>
            <wp:docPr id="3" name="Picture 17" descr="Figure 1: Chemical structure of asunaprevir and simeprev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b="27238"/>
                    <a:stretch>
                      <a:fillRect/>
                    </a:stretch>
                  </pic:blipFill>
                  <pic:spPr bwMode="auto">
                    <a:xfrm>
                      <a:off x="0" y="0"/>
                      <a:ext cx="4516755" cy="1541145"/>
                    </a:xfrm>
                    <a:prstGeom prst="rect">
                      <a:avLst/>
                    </a:prstGeom>
                    <a:noFill/>
                    <a:ln>
                      <a:noFill/>
                    </a:ln>
                  </pic:spPr>
                </pic:pic>
              </a:graphicData>
            </a:graphic>
          </wp:inline>
        </w:drawing>
      </w:r>
    </w:p>
    <w:tbl>
      <w:tblPr>
        <w:tblW w:w="9315" w:type="dxa"/>
        <w:tblLayout w:type="fixed"/>
        <w:tblLook w:val="04A0" w:firstRow="1" w:lastRow="0" w:firstColumn="1" w:lastColumn="0" w:noHBand="0" w:noVBand="1"/>
      </w:tblPr>
      <w:tblGrid>
        <w:gridCol w:w="5066"/>
        <w:gridCol w:w="4249"/>
      </w:tblGrid>
      <w:tr w:rsidR="005104EA" w:rsidTr="00BA1372">
        <w:tc>
          <w:tcPr>
            <w:tcW w:w="5066" w:type="dxa"/>
            <w:hideMark/>
          </w:tcPr>
          <w:p w:rsidR="005104EA" w:rsidRPr="00BA1372" w:rsidRDefault="005104EA" w:rsidP="00C60B78">
            <w:pPr>
              <w:rPr>
                <w:b/>
                <w:sz w:val="24"/>
              </w:rPr>
            </w:pPr>
            <w:proofErr w:type="spellStart"/>
            <w:r w:rsidRPr="00BA1372">
              <w:rPr>
                <w:lang w:eastAsia="en-AU"/>
              </w:rPr>
              <w:t>asunaprevir</w:t>
            </w:r>
            <w:proofErr w:type="spellEnd"/>
          </w:p>
          <w:p w:rsidR="005104EA" w:rsidRPr="00BA1372" w:rsidRDefault="00727B18" w:rsidP="00C60B78">
            <w:pPr>
              <w:rPr>
                <w:lang w:eastAsia="en-AU"/>
              </w:rPr>
            </w:pPr>
            <w:proofErr w:type="spellStart"/>
            <w:r w:rsidRPr="00BA1372">
              <w:rPr>
                <w:i/>
                <w:lang w:eastAsia="en-AU"/>
              </w:rPr>
              <w:t>Sunvepra</w:t>
            </w:r>
            <w:proofErr w:type="spellEnd"/>
            <w:r w:rsidRPr="00BA1372">
              <w:rPr>
                <w:lang w:eastAsia="en-AU"/>
              </w:rPr>
              <w:t xml:space="preserve"> </w:t>
            </w:r>
            <w:r w:rsidR="005104EA" w:rsidRPr="00BA1372">
              <w:rPr>
                <w:lang w:eastAsia="en-AU"/>
              </w:rPr>
              <w:t xml:space="preserve">soft </w:t>
            </w:r>
            <w:proofErr w:type="spellStart"/>
            <w:r w:rsidR="005104EA" w:rsidRPr="00BA1372">
              <w:rPr>
                <w:lang w:eastAsia="en-AU"/>
              </w:rPr>
              <w:t>gelatin</w:t>
            </w:r>
            <w:proofErr w:type="spellEnd"/>
            <w:r w:rsidR="005104EA" w:rsidRPr="00BA1372">
              <w:rPr>
                <w:lang w:eastAsia="en-AU"/>
              </w:rPr>
              <w:t xml:space="preserve"> 100 mg capsules</w:t>
            </w:r>
          </w:p>
          <w:p w:rsidR="005104EA" w:rsidRPr="00BA1372" w:rsidRDefault="005104EA" w:rsidP="00C60B78">
            <w:pPr>
              <w:rPr>
                <w:i/>
                <w:color w:val="0070C0"/>
                <w:sz w:val="24"/>
              </w:rPr>
            </w:pPr>
            <w:r w:rsidRPr="00BA1372">
              <w:rPr>
                <w:lang w:eastAsia="en-AU"/>
              </w:rPr>
              <w:t>Bristol-Meyers Squibb</w:t>
            </w:r>
            <w:r w:rsidRPr="00BA1372">
              <w:rPr>
                <w:i/>
                <w:lang w:eastAsia="en-AU"/>
              </w:rPr>
              <w:t xml:space="preserve"> (proposed)</w:t>
            </w:r>
          </w:p>
        </w:tc>
        <w:tc>
          <w:tcPr>
            <w:tcW w:w="4249" w:type="dxa"/>
            <w:hideMark/>
          </w:tcPr>
          <w:p w:rsidR="005104EA" w:rsidRPr="00BA1372" w:rsidRDefault="005104EA" w:rsidP="00C60B78">
            <w:pPr>
              <w:rPr>
                <w:sz w:val="24"/>
              </w:rPr>
            </w:pPr>
            <w:proofErr w:type="spellStart"/>
            <w:r w:rsidRPr="00BA1372">
              <w:rPr>
                <w:lang w:eastAsia="en-AU"/>
              </w:rPr>
              <w:t>simeprevir</w:t>
            </w:r>
            <w:proofErr w:type="spellEnd"/>
          </w:p>
          <w:p w:rsidR="00C60B78" w:rsidRDefault="00727B18" w:rsidP="00C60B78">
            <w:pPr>
              <w:rPr>
                <w:lang w:eastAsia="en-AU"/>
              </w:rPr>
            </w:pPr>
            <w:proofErr w:type="spellStart"/>
            <w:r w:rsidRPr="00BA1372">
              <w:rPr>
                <w:i/>
                <w:lang w:eastAsia="en-AU"/>
              </w:rPr>
              <w:t>Olysio</w:t>
            </w:r>
            <w:proofErr w:type="spellEnd"/>
            <w:r w:rsidRPr="00BA1372">
              <w:rPr>
                <w:lang w:eastAsia="en-AU"/>
              </w:rPr>
              <w:t xml:space="preserve"> </w:t>
            </w:r>
            <w:r w:rsidR="005104EA" w:rsidRPr="00BA1372">
              <w:rPr>
                <w:lang w:eastAsia="en-AU"/>
              </w:rPr>
              <w:t>150 mg capsules</w:t>
            </w:r>
          </w:p>
          <w:p w:rsidR="005104EA" w:rsidRPr="00BA1372" w:rsidRDefault="005104EA" w:rsidP="00C60B78">
            <w:pPr>
              <w:rPr>
                <w:i/>
                <w:color w:val="0070C0"/>
                <w:sz w:val="24"/>
              </w:rPr>
            </w:pPr>
            <w:r w:rsidRPr="00BA1372">
              <w:rPr>
                <w:lang w:eastAsia="en-AU"/>
              </w:rPr>
              <w:t>Janssen-</w:t>
            </w:r>
            <w:proofErr w:type="spellStart"/>
            <w:r w:rsidRPr="00BA1372">
              <w:rPr>
                <w:lang w:eastAsia="en-AU"/>
              </w:rPr>
              <w:t>Cilag</w:t>
            </w:r>
            <w:proofErr w:type="spellEnd"/>
          </w:p>
        </w:tc>
      </w:tr>
    </w:tbl>
    <w:p w:rsidR="005104EA" w:rsidRDefault="005104EA" w:rsidP="005104EA">
      <w:pPr>
        <w:rPr>
          <w:szCs w:val="24"/>
        </w:rPr>
      </w:pPr>
      <w:proofErr w:type="spellStart"/>
      <w:r>
        <w:rPr>
          <w:szCs w:val="24"/>
        </w:rPr>
        <w:t>Asunaprevir</w:t>
      </w:r>
      <w:proofErr w:type="spellEnd"/>
      <w:r>
        <w:rPr>
          <w:szCs w:val="24"/>
        </w:rPr>
        <w:t xml:space="preserve"> is a white to off-white powder which is </w:t>
      </w:r>
      <w:r>
        <w:t>‘practically insoluble’ in water (&lt;50</w:t>
      </w:r>
      <w:r w:rsidR="00F559D9">
        <w:t xml:space="preserve"> </w:t>
      </w:r>
      <w:r>
        <w:t>mg/L) over the physiological pH range (pH 1.2</w:t>
      </w:r>
      <w:r w:rsidR="00F559D9">
        <w:t xml:space="preserve"> to </w:t>
      </w:r>
      <w:r>
        <w:t>6.8). However it has a high solubility (20</w:t>
      </w:r>
      <w:r w:rsidR="00F559D9">
        <w:t xml:space="preserve"> </w:t>
      </w:r>
      <w:proofErr w:type="gramStart"/>
      <w:r w:rsidR="00F559D9">
        <w:t xml:space="preserve">to </w:t>
      </w:r>
      <w:r>
        <w:t>40% w</w:t>
      </w:r>
      <w:r w:rsidR="00F559D9">
        <w:t>eight</w:t>
      </w:r>
      <w:r>
        <w:t>/w</w:t>
      </w:r>
      <w:r w:rsidR="00F559D9">
        <w:t>eight</w:t>
      </w:r>
      <w:proofErr w:type="gramEnd"/>
      <w:r>
        <w:t xml:space="preserve">) in organic solvents </w:t>
      </w:r>
      <w:r>
        <w:rPr>
          <w:szCs w:val="24"/>
        </w:rPr>
        <w:t xml:space="preserve">and in medium chain triglycerides, </w:t>
      </w:r>
      <w:proofErr w:type="spellStart"/>
      <w:r>
        <w:rPr>
          <w:szCs w:val="24"/>
        </w:rPr>
        <w:t>caprylic</w:t>
      </w:r>
      <w:proofErr w:type="spellEnd"/>
      <w:r>
        <w:rPr>
          <w:szCs w:val="24"/>
        </w:rPr>
        <w:t>/</w:t>
      </w:r>
      <w:proofErr w:type="spellStart"/>
      <w:r>
        <w:rPr>
          <w:szCs w:val="24"/>
        </w:rPr>
        <w:t>capric</w:t>
      </w:r>
      <w:proofErr w:type="spellEnd"/>
      <w:r>
        <w:rPr>
          <w:szCs w:val="24"/>
        </w:rPr>
        <w:t xml:space="preserve"> glycerides and </w:t>
      </w:r>
      <w:proofErr w:type="spellStart"/>
      <w:r>
        <w:rPr>
          <w:szCs w:val="24"/>
        </w:rPr>
        <w:t>polysorbate</w:t>
      </w:r>
      <w:proofErr w:type="spellEnd"/>
      <w:r>
        <w:rPr>
          <w:szCs w:val="24"/>
        </w:rPr>
        <w:t xml:space="preserve"> 80, which are the principal components of the </w:t>
      </w:r>
      <w:r>
        <w:rPr>
          <w:szCs w:val="24"/>
        </w:rPr>
        <w:lastRenderedPageBreak/>
        <w:t xml:space="preserve">proposed capsule fill solution. </w:t>
      </w:r>
      <w:r>
        <w:t>The drug substance is</w:t>
      </w:r>
      <w:r>
        <w:rPr>
          <w:szCs w:val="24"/>
        </w:rPr>
        <w:t xml:space="preserve"> </w:t>
      </w:r>
      <w:r w:rsidRPr="00B70E14">
        <w:rPr>
          <w:szCs w:val="24"/>
        </w:rPr>
        <w:t>classified as a BCS Class II</w:t>
      </w:r>
      <w:r w:rsidR="00B70E14" w:rsidRPr="00B70E14">
        <w:rPr>
          <w:rStyle w:val="FootnoteReference"/>
          <w:szCs w:val="24"/>
        </w:rPr>
        <w:footnoteReference w:id="9"/>
      </w:r>
      <w:r w:rsidRPr="00B70E14">
        <w:rPr>
          <w:szCs w:val="24"/>
        </w:rPr>
        <w:t xml:space="preserve"> compound</w:t>
      </w:r>
      <w:r>
        <w:rPr>
          <w:szCs w:val="24"/>
        </w:rPr>
        <w:t xml:space="preserve"> (low solubility, high permeability) at the dose of 100 mg. It has five </w:t>
      </w:r>
      <w:proofErr w:type="spellStart"/>
      <w:r>
        <w:rPr>
          <w:szCs w:val="24"/>
        </w:rPr>
        <w:t>stereocenters</w:t>
      </w:r>
      <w:proofErr w:type="spellEnd"/>
      <w:r>
        <w:rPr>
          <w:szCs w:val="24"/>
        </w:rPr>
        <w:t xml:space="preserve"> and is </w:t>
      </w:r>
      <w:proofErr w:type="spellStart"/>
      <w:r>
        <w:rPr>
          <w:szCs w:val="24"/>
        </w:rPr>
        <w:t>chirally</w:t>
      </w:r>
      <w:proofErr w:type="spellEnd"/>
      <w:r>
        <w:rPr>
          <w:szCs w:val="24"/>
        </w:rPr>
        <w:t xml:space="preserve"> pure. Particle size and polymorphism of the drug substance are not important in this case, since the drug substance is present as a lipid solution in the proposed capsule.</w:t>
      </w:r>
    </w:p>
    <w:p w:rsidR="005104EA" w:rsidRDefault="005104EA" w:rsidP="005104EA">
      <w:pPr>
        <w:rPr>
          <w:szCs w:val="20"/>
        </w:rPr>
      </w:pPr>
      <w:r>
        <w:t>The proposed drug substance specifications comply with TGA requirements and are considered adequate to ensure the quality and consistency of manufacture of the finished product.</w:t>
      </w:r>
    </w:p>
    <w:p w:rsidR="008E7846" w:rsidRDefault="005104EA" w:rsidP="005104EA">
      <w:r>
        <w:t>Adequate stability data have been provided to support a retest period for the drug substance</w:t>
      </w:r>
      <w:r>
        <w:rPr>
          <w:szCs w:val="24"/>
        </w:rPr>
        <w:t>.</w:t>
      </w:r>
    </w:p>
    <w:p w:rsidR="008E7846" w:rsidRDefault="008E7846" w:rsidP="008E7846">
      <w:pPr>
        <w:pStyle w:val="Heading3"/>
      </w:pPr>
      <w:bookmarkStart w:id="29" w:name="_Toc247691508"/>
      <w:bookmarkStart w:id="30" w:name="_Toc314842490"/>
      <w:bookmarkStart w:id="31" w:name="_Toc438125696"/>
      <w:r w:rsidRPr="008751DC">
        <w:t xml:space="preserve">Drug </w:t>
      </w:r>
      <w:r>
        <w:t>p</w:t>
      </w:r>
      <w:r w:rsidRPr="008751DC">
        <w:t>roduct</w:t>
      </w:r>
      <w:bookmarkEnd w:id="29"/>
      <w:bookmarkEnd w:id="30"/>
      <w:bookmarkEnd w:id="31"/>
    </w:p>
    <w:p w:rsidR="00C60B78" w:rsidRDefault="00727B18" w:rsidP="00727B18">
      <w:pPr>
        <w:rPr>
          <w:szCs w:val="24"/>
        </w:rPr>
      </w:pPr>
      <w:r>
        <w:rPr>
          <w:szCs w:val="24"/>
        </w:rPr>
        <w:t xml:space="preserve">The proposed </w:t>
      </w:r>
      <w:proofErr w:type="spellStart"/>
      <w:r>
        <w:rPr>
          <w:szCs w:val="24"/>
        </w:rPr>
        <w:t>asunaprevir</w:t>
      </w:r>
      <w:proofErr w:type="spellEnd"/>
      <w:r>
        <w:rPr>
          <w:szCs w:val="24"/>
        </w:rPr>
        <w:t xml:space="preserve"> 100 mg soft </w:t>
      </w:r>
      <w:proofErr w:type="spellStart"/>
      <w:r>
        <w:rPr>
          <w:szCs w:val="24"/>
        </w:rPr>
        <w:t>gelatin</w:t>
      </w:r>
      <w:proofErr w:type="spellEnd"/>
      <w:r>
        <w:rPr>
          <w:szCs w:val="24"/>
        </w:rPr>
        <w:t xml:space="preserve"> capsules </w:t>
      </w:r>
      <w:r>
        <w:t xml:space="preserve">contain a solution of </w:t>
      </w:r>
      <w:proofErr w:type="spellStart"/>
      <w:r>
        <w:t>asunaprevir</w:t>
      </w:r>
      <w:proofErr w:type="spellEnd"/>
      <w:r>
        <w:t xml:space="preserve"> dissolved at a concentration of 20% w/w in a 3:3:2 mixture of medium-chain triglycerides, medium-chain mono </w:t>
      </w:r>
      <w:r w:rsidR="00F559D9">
        <w:t>and</w:t>
      </w:r>
      <w:r>
        <w:t xml:space="preserve"> </w:t>
      </w:r>
      <w:proofErr w:type="spellStart"/>
      <w:r>
        <w:t>diglycerides</w:t>
      </w:r>
      <w:proofErr w:type="spellEnd"/>
      <w:r>
        <w:t xml:space="preserve"> (‘</w:t>
      </w:r>
      <w:proofErr w:type="spellStart"/>
      <w:r>
        <w:rPr>
          <w:szCs w:val="24"/>
        </w:rPr>
        <w:t>caprylic</w:t>
      </w:r>
      <w:proofErr w:type="spellEnd"/>
      <w:r>
        <w:rPr>
          <w:szCs w:val="24"/>
        </w:rPr>
        <w:t>/</w:t>
      </w:r>
      <w:proofErr w:type="spellStart"/>
      <w:r>
        <w:rPr>
          <w:szCs w:val="24"/>
        </w:rPr>
        <w:t>capric</w:t>
      </w:r>
      <w:proofErr w:type="spellEnd"/>
      <w:r>
        <w:rPr>
          <w:szCs w:val="24"/>
        </w:rPr>
        <w:t xml:space="preserve"> glycerides’</w:t>
      </w:r>
      <w:r>
        <w:t xml:space="preserve">) and </w:t>
      </w:r>
      <w:proofErr w:type="spellStart"/>
      <w:r>
        <w:t>polysorbate</w:t>
      </w:r>
      <w:proofErr w:type="spellEnd"/>
      <w:r>
        <w:t xml:space="preserve"> 80, with 0.1% w/w butylated </w:t>
      </w:r>
      <w:proofErr w:type="spellStart"/>
      <w:r>
        <w:t>hydroxytoluene</w:t>
      </w:r>
      <w:proofErr w:type="spellEnd"/>
      <w:r>
        <w:t xml:space="preserve"> (BHT) present as an antioxidant. </w:t>
      </w:r>
      <w:r>
        <w:rPr>
          <w:szCs w:val="24"/>
        </w:rPr>
        <w:t>The excipients used in the drug product are all conventional substances with well-known properties and functions.</w:t>
      </w:r>
    </w:p>
    <w:p w:rsidR="00727B18" w:rsidRDefault="00727B18" w:rsidP="00727B18">
      <w:r>
        <w:t xml:space="preserve">The solution is encapsulated in opaque, </w:t>
      </w:r>
      <w:r>
        <w:rPr>
          <w:szCs w:val="24"/>
        </w:rPr>
        <w:t>white to pale yellow</w:t>
      </w:r>
      <w:r>
        <w:t xml:space="preserve">, oval, soft </w:t>
      </w:r>
      <w:proofErr w:type="spellStart"/>
      <w:r>
        <w:t>gelatin</w:t>
      </w:r>
      <w:proofErr w:type="spellEnd"/>
      <w:r>
        <w:t xml:space="preserve"> capsules (size #10), </w:t>
      </w:r>
      <w:r>
        <w:rPr>
          <w:szCs w:val="24"/>
        </w:rPr>
        <w:t xml:space="preserve">imprinted with </w:t>
      </w:r>
      <w:r>
        <w:rPr>
          <w:i/>
          <w:szCs w:val="24"/>
        </w:rPr>
        <w:t>‘BMS</w:t>
      </w:r>
      <w:r>
        <w:rPr>
          <w:szCs w:val="24"/>
        </w:rPr>
        <w:t>’ in black on one line and ‘</w:t>
      </w:r>
      <w:r>
        <w:rPr>
          <w:i/>
          <w:szCs w:val="24"/>
        </w:rPr>
        <w:t>711’</w:t>
      </w:r>
      <w:r>
        <w:rPr>
          <w:szCs w:val="24"/>
        </w:rPr>
        <w:t xml:space="preserve"> in black on second line</w:t>
      </w:r>
      <w:r>
        <w:t>.</w:t>
      </w:r>
    </w:p>
    <w:p w:rsidR="00727B18" w:rsidRDefault="00727B18" w:rsidP="00727B18">
      <w:r>
        <w:t>The product is described as a self-emulsifying drug delivery system (SEDDS) in which the liquid contents of the capsules self-emulsify immediately upon contact with the aqueous environment of the gastrointestinal tract. This forms an oil-in-water emulsion in which the drug is incorporated in the oil droplet and is p</w:t>
      </w:r>
      <w:r w:rsidR="00F559D9">
        <w:t>resented in a solubilis</w:t>
      </w:r>
      <w:r>
        <w:t>ed state for delivery in the gastrointestinal tract. At least one registered product employs an analogous SEDDS design, including similar excipients.</w:t>
      </w:r>
    </w:p>
    <w:p w:rsidR="00727B18" w:rsidRDefault="00727B18" w:rsidP="00727B18">
      <w:pPr>
        <w:rPr>
          <w:color w:val="0070C0"/>
        </w:rPr>
      </w:pPr>
      <w:r>
        <w:t xml:space="preserve">The product is to be marketed with 14 or 56 capsules packed into blisters </w:t>
      </w:r>
      <w:r>
        <w:rPr>
          <w:szCs w:val="24"/>
        </w:rPr>
        <w:t>with push through paper</w:t>
      </w:r>
      <w:r w:rsidR="00F559D9">
        <w:rPr>
          <w:szCs w:val="24"/>
        </w:rPr>
        <w:t xml:space="preserve"> </w:t>
      </w:r>
      <w:r>
        <w:rPr>
          <w:szCs w:val="24"/>
        </w:rPr>
        <w:t>backed alumin</w:t>
      </w:r>
      <w:r w:rsidR="00F559D9">
        <w:rPr>
          <w:szCs w:val="24"/>
        </w:rPr>
        <w:t>i</w:t>
      </w:r>
      <w:r>
        <w:rPr>
          <w:szCs w:val="24"/>
        </w:rPr>
        <w:t>um foil</w:t>
      </w:r>
      <w:r>
        <w:t>.</w:t>
      </w:r>
    </w:p>
    <w:p w:rsidR="00727B18" w:rsidRDefault="00727B18" w:rsidP="00727B18">
      <w:r>
        <w:t xml:space="preserve">Capsule specifications include a ‘dissolution test’, although the test is not a true dissolution test because the drug is already in solution in the product. It is really a dispersion test, which measures the rate of release of the contents from the capsule shell and the rate and extent of emulsification of the SEDDS formulation. A second tier dissolution test includes </w:t>
      </w:r>
      <w:proofErr w:type="spellStart"/>
      <w:r>
        <w:t>pancreatin</w:t>
      </w:r>
      <w:proofErr w:type="spellEnd"/>
      <w:r>
        <w:t xml:space="preserve"> in the dissolution medium, </w:t>
      </w:r>
      <w:r>
        <w:rPr>
          <w:szCs w:val="24"/>
        </w:rPr>
        <w:t xml:space="preserve">to ensure release from capsules in which the </w:t>
      </w:r>
      <w:proofErr w:type="spellStart"/>
      <w:r>
        <w:rPr>
          <w:szCs w:val="24"/>
        </w:rPr>
        <w:t>gelatin</w:t>
      </w:r>
      <w:proofErr w:type="spellEnd"/>
      <w:r>
        <w:rPr>
          <w:szCs w:val="24"/>
        </w:rPr>
        <w:t xml:space="preserve"> has formed cross-links, as this is a common phenomenon after storage of </w:t>
      </w:r>
      <w:r w:rsidR="00E16769">
        <w:rPr>
          <w:szCs w:val="24"/>
        </w:rPr>
        <w:t xml:space="preserve">soft </w:t>
      </w:r>
      <w:proofErr w:type="spellStart"/>
      <w:r w:rsidR="00E16769">
        <w:rPr>
          <w:szCs w:val="24"/>
        </w:rPr>
        <w:t>gelatin</w:t>
      </w:r>
      <w:proofErr w:type="spellEnd"/>
      <w:r w:rsidR="00E16769">
        <w:rPr>
          <w:szCs w:val="24"/>
        </w:rPr>
        <w:t xml:space="preserve"> </w:t>
      </w:r>
      <w:r>
        <w:rPr>
          <w:szCs w:val="24"/>
        </w:rPr>
        <w:t>capsules.</w:t>
      </w:r>
    </w:p>
    <w:p w:rsidR="00C60B78" w:rsidRDefault="00F559D9" w:rsidP="00727B18">
      <w:r>
        <w:t>The</w:t>
      </w:r>
      <w:r w:rsidR="00727B18">
        <w:t xml:space="preserve"> limit at release and expiry limit for individual impurities is within the applicable International Conference on Harmonisation qualification threshold. Batches of the capsules typically have very low levels of total impurities at release and after 12 months long-term storage (&lt;0.06%). Capsules show good stability and a shelf life of </w:t>
      </w:r>
      <w:r w:rsidR="00BA1372">
        <w:t xml:space="preserve">24 </w:t>
      </w:r>
      <w:r w:rsidR="00727B18">
        <w:t>months, when stored below 25ºC protected from light in the original container, has been established.</w:t>
      </w:r>
    </w:p>
    <w:p w:rsidR="00727B18" w:rsidRDefault="00727B18" w:rsidP="00727B18">
      <w:pPr>
        <w:pStyle w:val="Heading4"/>
      </w:pPr>
      <w:r>
        <w:t xml:space="preserve">Formulation </w:t>
      </w:r>
      <w:r w:rsidR="00C60B78">
        <w:t>d</w:t>
      </w:r>
      <w:r>
        <w:t>evelopment</w:t>
      </w:r>
    </w:p>
    <w:p w:rsidR="00727B18" w:rsidRDefault="00727B18" w:rsidP="00727B18">
      <w:pPr>
        <w:spacing w:after="0"/>
        <w:rPr>
          <w:rFonts w:ascii="Times New Roman" w:hAnsi="Times New Roman"/>
          <w:sz w:val="24"/>
          <w:szCs w:val="24"/>
        </w:rPr>
      </w:pPr>
      <w:proofErr w:type="gramStart"/>
      <w:r>
        <w:t>Phase</w:t>
      </w:r>
      <w:proofErr w:type="gramEnd"/>
      <w:r>
        <w:t xml:space="preserve"> I clinical studies used a hard </w:t>
      </w:r>
      <w:proofErr w:type="spellStart"/>
      <w:r>
        <w:t>gelatin</w:t>
      </w:r>
      <w:proofErr w:type="spellEnd"/>
      <w:r>
        <w:t xml:space="preserve"> capsule and for Phase II trials an immediate-release film-coated tablet was developed. To improve oral bioavailability and mitigate a significant positive food effect t</w:t>
      </w:r>
      <w:r w:rsidR="00F559D9">
        <w:t>hat was observed for the Phase I</w:t>
      </w:r>
      <w:r>
        <w:t xml:space="preserve"> and </w:t>
      </w:r>
      <w:r w:rsidR="00F559D9">
        <w:t>II</w:t>
      </w:r>
      <w:r>
        <w:t xml:space="preserve"> dosage forms, a 100</w:t>
      </w:r>
      <w:r w:rsidR="00F559D9">
        <w:t xml:space="preserve"> </w:t>
      </w:r>
      <w:r>
        <w:lastRenderedPageBreak/>
        <w:t xml:space="preserve">mg soft </w:t>
      </w:r>
      <w:proofErr w:type="spellStart"/>
      <w:r>
        <w:t>gelatin</w:t>
      </w:r>
      <w:proofErr w:type="spellEnd"/>
      <w:r>
        <w:t xml:space="preserve"> capsule formulation was developed. The bioavailability from the soft </w:t>
      </w:r>
      <w:proofErr w:type="spellStart"/>
      <w:r>
        <w:t>gelatin</w:t>
      </w:r>
      <w:proofErr w:type="spellEnd"/>
      <w:r>
        <w:t xml:space="preserve"> capsule in the fasted state was approximately 2 to 4 fold higher compared to the tablet formulations, which provided essentially complete mitigation of the food effect.</w:t>
      </w:r>
    </w:p>
    <w:p w:rsidR="00940A89" w:rsidRPr="00940A89" w:rsidRDefault="00727B18" w:rsidP="00727B18">
      <w:r>
        <w:rPr>
          <w:szCs w:val="24"/>
        </w:rPr>
        <w:t xml:space="preserve">The composition of the capsules used in the relative bioavailability study, Phase </w:t>
      </w:r>
      <w:r w:rsidR="00F559D9">
        <w:rPr>
          <w:szCs w:val="24"/>
        </w:rPr>
        <w:t>III</w:t>
      </w:r>
      <w:r>
        <w:rPr>
          <w:szCs w:val="24"/>
        </w:rPr>
        <w:t xml:space="preserve"> studies, long-term stability studies (LTSS) and commercial product are identical, with the exception</w:t>
      </w:r>
      <w:r w:rsidR="00F559D9">
        <w:rPr>
          <w:szCs w:val="24"/>
        </w:rPr>
        <w:t xml:space="preserve"> </w:t>
      </w:r>
      <w:r w:rsidR="00F559D9" w:rsidRPr="00F1228B">
        <w:rPr>
          <w:szCs w:val="24"/>
        </w:rPr>
        <w:t>of the applied printing/logo.</w:t>
      </w:r>
    </w:p>
    <w:p w:rsidR="008E7846" w:rsidRDefault="008E7846" w:rsidP="008E7846">
      <w:pPr>
        <w:pStyle w:val="Heading3"/>
      </w:pPr>
      <w:bookmarkStart w:id="32" w:name="_Toc314842491"/>
      <w:bookmarkStart w:id="33" w:name="_Toc438125697"/>
      <w:r>
        <w:t>Biopharmaceutics</w:t>
      </w:r>
      <w:bookmarkEnd w:id="32"/>
      <w:bookmarkEnd w:id="33"/>
    </w:p>
    <w:p w:rsidR="00727B18" w:rsidRPr="00B70E14" w:rsidRDefault="00727B18" w:rsidP="00727B18">
      <w:pPr>
        <w:keepNext/>
        <w:autoSpaceDE w:val="0"/>
        <w:autoSpaceDN w:val="0"/>
        <w:adjustRightInd w:val="0"/>
        <w:spacing w:after="0"/>
        <w:rPr>
          <w:szCs w:val="24"/>
        </w:rPr>
      </w:pPr>
      <w:proofErr w:type="spellStart"/>
      <w:r>
        <w:rPr>
          <w:szCs w:val="24"/>
        </w:rPr>
        <w:t>Asunaprevir</w:t>
      </w:r>
      <w:proofErr w:type="spellEnd"/>
      <w:r>
        <w:rPr>
          <w:szCs w:val="24"/>
        </w:rPr>
        <w:t xml:space="preserve"> </w:t>
      </w:r>
      <w:r w:rsidR="00F559D9">
        <w:rPr>
          <w:szCs w:val="24"/>
        </w:rPr>
        <w:t>peak plasma concentration (</w:t>
      </w:r>
      <w:proofErr w:type="spellStart"/>
      <w:r w:rsidR="001F3724" w:rsidRPr="00D85066">
        <w:t>C</w:t>
      </w:r>
      <w:r w:rsidR="001F3724" w:rsidRPr="001F3724">
        <w:rPr>
          <w:vertAlign w:val="subscript"/>
        </w:rPr>
        <w:t>max</w:t>
      </w:r>
      <w:proofErr w:type="spellEnd"/>
      <w:r w:rsidR="00F559D9">
        <w:rPr>
          <w:szCs w:val="24"/>
        </w:rPr>
        <w:t>)</w:t>
      </w:r>
      <w:r>
        <w:rPr>
          <w:szCs w:val="24"/>
        </w:rPr>
        <w:t xml:space="preserve">, </w:t>
      </w:r>
      <w:r w:rsidR="00F559D9">
        <w:rPr>
          <w:szCs w:val="24"/>
        </w:rPr>
        <w:t>area under the plasma concentration versus time curve (</w:t>
      </w:r>
      <w:r>
        <w:rPr>
          <w:szCs w:val="24"/>
        </w:rPr>
        <w:t>AUC</w:t>
      </w:r>
      <w:r w:rsidR="00F559D9">
        <w:rPr>
          <w:szCs w:val="24"/>
        </w:rPr>
        <w:t>)</w:t>
      </w:r>
      <w:r>
        <w:rPr>
          <w:szCs w:val="24"/>
        </w:rPr>
        <w:t xml:space="preserve"> and </w:t>
      </w:r>
      <w:r w:rsidR="00F559D9">
        <w:rPr>
          <w:szCs w:val="24"/>
        </w:rPr>
        <w:t>trough plasma concentration (</w:t>
      </w:r>
      <w:proofErr w:type="spellStart"/>
      <w:r>
        <w:rPr>
          <w:szCs w:val="24"/>
        </w:rPr>
        <w:t>Cmin</w:t>
      </w:r>
      <w:proofErr w:type="spellEnd"/>
      <w:r w:rsidR="00F559D9">
        <w:rPr>
          <w:szCs w:val="24"/>
        </w:rPr>
        <w:t>)</w:t>
      </w:r>
      <w:r>
        <w:rPr>
          <w:szCs w:val="24"/>
        </w:rPr>
        <w:t xml:space="preserve"> increased in an approximately dose proportional </w:t>
      </w:r>
      <w:r w:rsidRPr="00B70E14">
        <w:t xml:space="preserve">manner. Steady state was achieved after 7 days of twice-daily administration in healthy subjects. In vitro studies performed with human Caco-2 cells indicated that </w:t>
      </w:r>
      <w:proofErr w:type="spellStart"/>
      <w:r w:rsidRPr="00B70E14">
        <w:t>asunaprevir</w:t>
      </w:r>
      <w:proofErr w:type="spellEnd"/>
      <w:r w:rsidRPr="00B70E14">
        <w:t xml:space="preserve"> is a substrate of </w:t>
      </w:r>
      <w:r w:rsidR="00B70E14" w:rsidRPr="00B70E14">
        <w:t>permeability glycoprotein (</w:t>
      </w:r>
      <w:r w:rsidRPr="00B70E14">
        <w:t>P-</w:t>
      </w:r>
      <w:proofErr w:type="spellStart"/>
      <w:r w:rsidRPr="00B70E14">
        <w:t>gp</w:t>
      </w:r>
      <w:proofErr w:type="spellEnd"/>
      <w:r w:rsidR="00B70E14">
        <w:t>)</w:t>
      </w:r>
      <w:r w:rsidRPr="00B70E14">
        <w:t xml:space="preserve">. </w:t>
      </w:r>
      <w:r w:rsidR="00F559D9" w:rsidRPr="00B70E14">
        <w:t>Time to</w:t>
      </w:r>
      <w:r w:rsidR="001F3724" w:rsidRPr="00B70E14">
        <w:t xml:space="preserve"> </w:t>
      </w:r>
      <w:proofErr w:type="spellStart"/>
      <w:r w:rsidR="001F3724" w:rsidRPr="00B70E14">
        <w:t>Cmax</w:t>
      </w:r>
      <w:proofErr w:type="spellEnd"/>
      <w:r w:rsidR="00F559D9" w:rsidRPr="00B70E14">
        <w:t xml:space="preserve"> (</w:t>
      </w:r>
      <w:proofErr w:type="spellStart"/>
      <w:r w:rsidR="001F3724" w:rsidRPr="00B70E14">
        <w:t>Tmax</w:t>
      </w:r>
      <w:proofErr w:type="spellEnd"/>
      <w:r w:rsidR="00F559D9" w:rsidRPr="00B70E14">
        <w:t>)</w:t>
      </w:r>
      <w:r w:rsidRPr="00B70E14">
        <w:t xml:space="preserve"> of </w:t>
      </w:r>
      <w:proofErr w:type="spellStart"/>
      <w:r w:rsidRPr="00B70E14">
        <w:t>asunaprevir</w:t>
      </w:r>
      <w:proofErr w:type="spellEnd"/>
      <w:r w:rsidRPr="00B70E14">
        <w:t xml:space="preserve"> when administered with food occurred about 1.5 </w:t>
      </w:r>
      <w:r w:rsidR="000F1CA4">
        <w:t>h</w:t>
      </w:r>
      <w:r w:rsidRPr="00B70E14">
        <w:t xml:space="preserve"> </w:t>
      </w:r>
      <w:proofErr w:type="spellStart"/>
      <w:r w:rsidRPr="00B70E14">
        <w:t>postdose</w:t>
      </w:r>
      <w:proofErr w:type="spellEnd"/>
      <w:r w:rsidRPr="00B70E14">
        <w:t xml:space="preserve"> relative to about 2.5 </w:t>
      </w:r>
      <w:r w:rsidR="000F1CA4">
        <w:t>h</w:t>
      </w:r>
      <w:r w:rsidRPr="00B70E14">
        <w:t xml:space="preserve"> </w:t>
      </w:r>
      <w:proofErr w:type="spellStart"/>
      <w:r w:rsidRPr="00B70E14">
        <w:t>postdose</w:t>
      </w:r>
      <w:proofErr w:type="spellEnd"/>
      <w:r w:rsidRPr="00B70E14">
        <w:t xml:space="preserve"> when administered under fasting</w:t>
      </w:r>
      <w:r>
        <w:rPr>
          <w:szCs w:val="24"/>
        </w:rPr>
        <w:t xml:space="preserve"> conditions.</w:t>
      </w:r>
      <w:r>
        <w:rPr>
          <w:color w:val="0070C0"/>
        </w:rPr>
        <w:t xml:space="preserve"> </w:t>
      </w:r>
      <w:r w:rsidRPr="00F559D9">
        <w:rPr>
          <w:iCs/>
          <w:szCs w:val="24"/>
        </w:rPr>
        <w:t>In vitro</w:t>
      </w:r>
      <w:r>
        <w:rPr>
          <w:i/>
          <w:iCs/>
          <w:szCs w:val="24"/>
        </w:rPr>
        <w:t xml:space="preserve"> </w:t>
      </w:r>
      <w:r>
        <w:rPr>
          <w:szCs w:val="24"/>
        </w:rPr>
        <w:t xml:space="preserve">studies demonstrate that </w:t>
      </w:r>
      <w:proofErr w:type="spellStart"/>
      <w:r>
        <w:rPr>
          <w:szCs w:val="24"/>
        </w:rPr>
        <w:t>asunaprevir</w:t>
      </w:r>
      <w:proofErr w:type="spellEnd"/>
      <w:r>
        <w:rPr>
          <w:szCs w:val="24"/>
        </w:rPr>
        <w:t xml:space="preserve"> undergoes oxidative metabolism primarily mediated by </w:t>
      </w:r>
      <w:r w:rsidR="00F559D9">
        <w:rPr>
          <w:szCs w:val="24"/>
        </w:rPr>
        <w:t>cytochrome P450 isozyme 3A4 (</w:t>
      </w:r>
      <w:r w:rsidRPr="00B70E14">
        <w:rPr>
          <w:szCs w:val="24"/>
        </w:rPr>
        <w:t>CYP3A</w:t>
      </w:r>
      <w:r w:rsidR="00F559D9" w:rsidRPr="00B70E14">
        <w:rPr>
          <w:szCs w:val="24"/>
        </w:rPr>
        <w:t>)</w:t>
      </w:r>
      <w:r w:rsidRPr="00B70E14">
        <w:rPr>
          <w:szCs w:val="24"/>
        </w:rPr>
        <w:t>.</w:t>
      </w:r>
    </w:p>
    <w:p w:rsidR="00727B18" w:rsidRDefault="00727B18" w:rsidP="00727B18">
      <w:pPr>
        <w:autoSpaceDE w:val="0"/>
        <w:autoSpaceDN w:val="0"/>
        <w:adjustRightInd w:val="0"/>
        <w:spacing w:after="0"/>
        <w:rPr>
          <w:szCs w:val="24"/>
        </w:rPr>
      </w:pPr>
      <w:r>
        <w:rPr>
          <w:szCs w:val="24"/>
        </w:rPr>
        <w:t>Following single</w:t>
      </w:r>
      <w:r w:rsidR="00F559D9">
        <w:rPr>
          <w:szCs w:val="24"/>
        </w:rPr>
        <w:t xml:space="preserve"> </w:t>
      </w:r>
      <w:r>
        <w:rPr>
          <w:szCs w:val="24"/>
        </w:rPr>
        <w:t xml:space="preserve">dose oral administration of </w:t>
      </w:r>
      <w:r w:rsidR="00F559D9">
        <w:rPr>
          <w:szCs w:val="24"/>
        </w:rPr>
        <w:t>radioactively labelled (</w:t>
      </w:r>
      <w:r>
        <w:rPr>
          <w:szCs w:val="24"/>
          <w:vertAlign w:val="superscript"/>
        </w:rPr>
        <w:t>14</w:t>
      </w:r>
      <w:r>
        <w:rPr>
          <w:szCs w:val="24"/>
        </w:rPr>
        <w:t>C</w:t>
      </w:r>
      <w:r w:rsidR="00F559D9">
        <w:rPr>
          <w:szCs w:val="24"/>
        </w:rPr>
        <w:t>)</w:t>
      </w:r>
      <w:r>
        <w:rPr>
          <w:szCs w:val="24"/>
        </w:rPr>
        <w:t>-</w:t>
      </w:r>
      <w:proofErr w:type="spellStart"/>
      <w:r>
        <w:rPr>
          <w:szCs w:val="24"/>
        </w:rPr>
        <w:t>asunaprevir</w:t>
      </w:r>
      <w:proofErr w:type="spellEnd"/>
      <w:r>
        <w:rPr>
          <w:szCs w:val="24"/>
        </w:rPr>
        <w:t xml:space="preserve"> in healthy subjects, 84% of total radioactivity was recovered in faeces (primarily as metabolites) and less than 1% was recovered in the urine (primarily as metabolites). Metabolism was the major route of </w:t>
      </w:r>
      <w:proofErr w:type="spellStart"/>
      <w:r>
        <w:rPr>
          <w:szCs w:val="24"/>
        </w:rPr>
        <w:t>asunaprevir</w:t>
      </w:r>
      <w:proofErr w:type="spellEnd"/>
      <w:r>
        <w:rPr>
          <w:szCs w:val="24"/>
        </w:rPr>
        <w:t xml:space="preserve"> elimination. Of dose recovered in faeces, unchanged </w:t>
      </w:r>
      <w:proofErr w:type="spellStart"/>
      <w:r>
        <w:rPr>
          <w:szCs w:val="24"/>
        </w:rPr>
        <w:t>asunaprevir</w:t>
      </w:r>
      <w:proofErr w:type="spellEnd"/>
      <w:r>
        <w:rPr>
          <w:szCs w:val="24"/>
        </w:rPr>
        <w:t xml:space="preserve"> accounted for 7.5% of the dose.</w:t>
      </w:r>
      <w:r>
        <w:rPr>
          <w:color w:val="0070C0"/>
        </w:rPr>
        <w:t xml:space="preserve"> </w:t>
      </w:r>
      <w:r>
        <w:rPr>
          <w:szCs w:val="24"/>
        </w:rPr>
        <w:t>Following multiple</w:t>
      </w:r>
      <w:r w:rsidR="00F559D9">
        <w:rPr>
          <w:szCs w:val="24"/>
        </w:rPr>
        <w:t xml:space="preserve"> </w:t>
      </w:r>
      <w:r>
        <w:rPr>
          <w:szCs w:val="24"/>
        </w:rPr>
        <w:t xml:space="preserve">dose administration of </w:t>
      </w:r>
      <w:proofErr w:type="spellStart"/>
      <w:r>
        <w:rPr>
          <w:szCs w:val="24"/>
        </w:rPr>
        <w:t>asunaprevir</w:t>
      </w:r>
      <w:proofErr w:type="spellEnd"/>
      <w:r>
        <w:rPr>
          <w:szCs w:val="24"/>
        </w:rPr>
        <w:t xml:space="preserve"> in healthy subjects, the terminal elimination half-life ranged from 17 to 23 </w:t>
      </w:r>
      <w:r w:rsidR="000F1CA4">
        <w:rPr>
          <w:szCs w:val="24"/>
        </w:rPr>
        <w:t>h</w:t>
      </w:r>
      <w:r>
        <w:rPr>
          <w:szCs w:val="24"/>
        </w:rPr>
        <w:t>.</w:t>
      </w:r>
    </w:p>
    <w:p w:rsidR="00727B18" w:rsidRDefault="00727B18" w:rsidP="00F559D9">
      <w:pPr>
        <w:pStyle w:val="Heading4"/>
      </w:pPr>
      <w:r>
        <w:t>Food</w:t>
      </w:r>
    </w:p>
    <w:p w:rsidR="00727B18" w:rsidRDefault="00727B18" w:rsidP="00727B18">
      <w:pPr>
        <w:rPr>
          <w:szCs w:val="24"/>
        </w:rPr>
      </w:pPr>
      <w:r>
        <w:t>Study AI447043 included a study of the effect of food on the proposed 100</w:t>
      </w:r>
      <w:r w:rsidR="00F559D9">
        <w:t xml:space="preserve"> </w:t>
      </w:r>
      <w:r>
        <w:t xml:space="preserve">mg soft </w:t>
      </w:r>
      <w:proofErr w:type="spellStart"/>
      <w:r>
        <w:t>gelatin</w:t>
      </w:r>
      <w:proofErr w:type="spellEnd"/>
      <w:r>
        <w:t xml:space="preserve"> capsules. </w:t>
      </w:r>
      <w:r>
        <w:rPr>
          <w:szCs w:val="24"/>
        </w:rPr>
        <w:t>Administration with a high</w:t>
      </w:r>
      <w:r w:rsidR="00F559D9">
        <w:rPr>
          <w:szCs w:val="24"/>
        </w:rPr>
        <w:t xml:space="preserve"> </w:t>
      </w:r>
      <w:r>
        <w:rPr>
          <w:szCs w:val="24"/>
        </w:rPr>
        <w:t>fat meal had the following effects, compared to administration under fasting conditions:</w:t>
      </w:r>
    </w:p>
    <w:p w:rsidR="00C60B78" w:rsidRDefault="001F3724" w:rsidP="00F559D9">
      <w:pPr>
        <w:pStyle w:val="ListBullet"/>
      </w:pPr>
      <w:r>
        <w:t xml:space="preserve"> </w:t>
      </w:r>
      <w:proofErr w:type="spellStart"/>
      <w:r w:rsidRPr="00D85066">
        <w:t>C</w:t>
      </w:r>
      <w:r w:rsidRPr="001F3724">
        <w:rPr>
          <w:vertAlign w:val="subscript"/>
        </w:rPr>
        <w:t>max</w:t>
      </w:r>
      <w:proofErr w:type="spellEnd"/>
      <w:r w:rsidR="00727B18">
        <w:t xml:space="preserve"> was increased by approximately 34%.</w:t>
      </w:r>
    </w:p>
    <w:p w:rsidR="00727B18" w:rsidRDefault="00727B18" w:rsidP="00F559D9">
      <w:pPr>
        <w:pStyle w:val="ListBullet"/>
        <w:rPr>
          <w:b/>
          <w:i/>
        </w:rPr>
      </w:pPr>
      <w:r>
        <w:t>AUC</w:t>
      </w:r>
      <w:r>
        <w:rPr>
          <w:vertAlign w:val="subscript"/>
        </w:rPr>
        <w:t xml:space="preserve">0-t </w:t>
      </w:r>
      <w:r>
        <w:t>was</w:t>
      </w:r>
      <w:r>
        <w:rPr>
          <w:vertAlign w:val="subscript"/>
        </w:rPr>
        <w:t xml:space="preserve"> </w:t>
      </w:r>
      <w:r>
        <w:t>increased by approximately 20%</w:t>
      </w:r>
    </w:p>
    <w:p w:rsidR="00727B18" w:rsidRDefault="001F3724" w:rsidP="00F559D9">
      <w:pPr>
        <w:pStyle w:val="ListBullet"/>
        <w:rPr>
          <w:b/>
          <w:i/>
        </w:rPr>
      </w:pPr>
      <w:proofErr w:type="spellStart"/>
      <w:r>
        <w:t>T</w:t>
      </w:r>
      <w:r w:rsidRPr="001F3724">
        <w:rPr>
          <w:vertAlign w:val="subscript"/>
        </w:rPr>
        <w:t>max</w:t>
      </w:r>
      <w:proofErr w:type="spellEnd"/>
      <w:r w:rsidR="00727B18">
        <w:t xml:space="preserve"> was reduced (median 2.5 </w:t>
      </w:r>
      <w:r w:rsidR="000F1CA4">
        <w:t>h</w:t>
      </w:r>
      <w:r w:rsidR="00727B18">
        <w:t xml:space="preserve"> </w:t>
      </w:r>
      <w:r w:rsidR="00F559D9">
        <w:t>versus</w:t>
      </w:r>
      <w:r w:rsidR="00727B18">
        <w:t xml:space="preserve"> 1.5 </w:t>
      </w:r>
      <w:r w:rsidR="000F1CA4">
        <w:t>h</w:t>
      </w:r>
      <w:r w:rsidR="00727B18">
        <w:t>),</w:t>
      </w:r>
    </w:p>
    <w:p w:rsidR="00727B18" w:rsidRDefault="00727B18" w:rsidP="00727B18">
      <w:pPr>
        <w:rPr>
          <w:szCs w:val="20"/>
        </w:rPr>
      </w:pPr>
      <w:r>
        <w:rPr>
          <w:szCs w:val="24"/>
        </w:rPr>
        <w:t xml:space="preserve">The modest (20%) increase in </w:t>
      </w:r>
      <w:proofErr w:type="spellStart"/>
      <w:r>
        <w:rPr>
          <w:szCs w:val="24"/>
        </w:rPr>
        <w:t>asunaprevir</w:t>
      </w:r>
      <w:proofErr w:type="spellEnd"/>
      <w:r>
        <w:rPr>
          <w:szCs w:val="24"/>
        </w:rPr>
        <w:t xml:space="preserve"> exposure, when the capsules are given with a high fat meal, is argued by the company to not be clinically relevant, and in the PI it is stated that the capsules can administered without regard for food.</w:t>
      </w:r>
    </w:p>
    <w:p w:rsidR="00727B18" w:rsidRDefault="00727B18" w:rsidP="00F559D9">
      <w:pPr>
        <w:pStyle w:val="Heading4"/>
      </w:pPr>
      <w:r>
        <w:t xml:space="preserve">Absolute </w:t>
      </w:r>
      <w:r w:rsidR="00C60B78">
        <w:t>b</w:t>
      </w:r>
      <w:r>
        <w:t>ioavailability</w:t>
      </w:r>
    </w:p>
    <w:p w:rsidR="00727B18" w:rsidRDefault="00727B18" w:rsidP="00727B18">
      <w:pPr>
        <w:rPr>
          <w:szCs w:val="23"/>
        </w:rPr>
      </w:pPr>
      <w:r>
        <w:rPr>
          <w:szCs w:val="24"/>
        </w:rPr>
        <w:t xml:space="preserve">The absolute bioavailability of </w:t>
      </w:r>
      <w:proofErr w:type="spellStart"/>
      <w:r>
        <w:rPr>
          <w:szCs w:val="24"/>
        </w:rPr>
        <w:t>asunaprev</w:t>
      </w:r>
      <w:r>
        <w:rPr>
          <w:color w:val="000000"/>
          <w:szCs w:val="24"/>
        </w:rPr>
        <w:t>ir</w:t>
      </w:r>
      <w:proofErr w:type="spellEnd"/>
      <w:r>
        <w:rPr>
          <w:color w:val="000000"/>
          <w:szCs w:val="24"/>
        </w:rPr>
        <w:t xml:space="preserve"> was investigated using the commercial dose and formulation (</w:t>
      </w:r>
      <w:r w:rsidR="00F559D9">
        <w:rPr>
          <w:color w:val="000000"/>
          <w:szCs w:val="24"/>
        </w:rPr>
        <w:t>S</w:t>
      </w:r>
      <w:r>
        <w:rPr>
          <w:color w:val="000000"/>
          <w:szCs w:val="24"/>
        </w:rPr>
        <w:t xml:space="preserve">tudy AI447027), </w:t>
      </w:r>
      <w:r>
        <w:rPr>
          <w:szCs w:val="24"/>
        </w:rPr>
        <w:t xml:space="preserve">followed 3 </w:t>
      </w:r>
      <w:r w:rsidR="000F1CA4">
        <w:rPr>
          <w:szCs w:val="24"/>
        </w:rPr>
        <w:t>h</w:t>
      </w:r>
      <w:r>
        <w:rPr>
          <w:szCs w:val="24"/>
        </w:rPr>
        <w:t xml:space="preserve"> later (approximate </w:t>
      </w:r>
      <w:proofErr w:type="spellStart"/>
      <w:r w:rsidR="001F3724">
        <w:t>T</w:t>
      </w:r>
      <w:r w:rsidR="001F3724" w:rsidRPr="001F3724">
        <w:rPr>
          <w:vertAlign w:val="subscript"/>
        </w:rPr>
        <w:t>max</w:t>
      </w:r>
      <w:proofErr w:type="spellEnd"/>
      <w:r>
        <w:rPr>
          <w:szCs w:val="24"/>
        </w:rPr>
        <w:t>) by a 100</w:t>
      </w:r>
      <w:r w:rsidR="00F559D9">
        <w:rPr>
          <w:szCs w:val="24"/>
        </w:rPr>
        <w:t xml:space="preserve"> </w:t>
      </w:r>
      <w:r>
        <w:rPr>
          <w:szCs w:val="24"/>
        </w:rPr>
        <w:t xml:space="preserve">µg intravenous </w:t>
      </w:r>
      <w:proofErr w:type="spellStart"/>
      <w:r>
        <w:rPr>
          <w:szCs w:val="24"/>
        </w:rPr>
        <w:t>microdose</w:t>
      </w:r>
      <w:proofErr w:type="spellEnd"/>
      <w:r>
        <w:rPr>
          <w:szCs w:val="24"/>
        </w:rPr>
        <w:t xml:space="preserve"> of </w:t>
      </w:r>
      <w:r>
        <w:rPr>
          <w:szCs w:val="24"/>
          <w:vertAlign w:val="superscript"/>
        </w:rPr>
        <w:t>14</w:t>
      </w:r>
      <w:r>
        <w:rPr>
          <w:szCs w:val="24"/>
        </w:rPr>
        <w:t>C</w:t>
      </w:r>
      <w:r w:rsidR="00E16769">
        <w:rPr>
          <w:szCs w:val="24"/>
        </w:rPr>
        <w:noBreakHyphen/>
      </w:r>
      <w:r>
        <w:rPr>
          <w:szCs w:val="24"/>
        </w:rPr>
        <w:t xml:space="preserve">asunaprevir (approximately 200 </w:t>
      </w:r>
      <w:proofErr w:type="spellStart"/>
      <w:r>
        <w:rPr>
          <w:szCs w:val="24"/>
        </w:rPr>
        <w:t>nCi</w:t>
      </w:r>
      <w:proofErr w:type="spellEnd"/>
      <w:r>
        <w:rPr>
          <w:szCs w:val="24"/>
        </w:rPr>
        <w:t>).</w:t>
      </w:r>
      <w:r>
        <w:rPr>
          <w:color w:val="0000FF"/>
          <w:szCs w:val="24"/>
        </w:rPr>
        <w:t xml:space="preserve"> </w:t>
      </w:r>
      <w:r>
        <w:rPr>
          <w:color w:val="000000"/>
          <w:szCs w:val="24"/>
        </w:rPr>
        <w:t xml:space="preserve">The results indicate that </w:t>
      </w:r>
      <w:proofErr w:type="spellStart"/>
      <w:r>
        <w:rPr>
          <w:color w:val="000000"/>
          <w:szCs w:val="24"/>
        </w:rPr>
        <w:t>asunaprevir</w:t>
      </w:r>
      <w:proofErr w:type="spellEnd"/>
      <w:r>
        <w:rPr>
          <w:color w:val="000000"/>
          <w:szCs w:val="24"/>
        </w:rPr>
        <w:t xml:space="preserve"> has low (</w:t>
      </w:r>
      <w:r w:rsidR="00F559D9">
        <w:rPr>
          <w:color w:val="000000"/>
          <w:szCs w:val="24"/>
        </w:rPr>
        <w:t>approximately</w:t>
      </w:r>
      <w:r>
        <w:rPr>
          <w:color w:val="000000"/>
          <w:szCs w:val="24"/>
        </w:rPr>
        <w:t xml:space="preserve"> 9.3%) absolute oral bioavailability </w:t>
      </w:r>
      <w:r>
        <w:rPr>
          <w:szCs w:val="23"/>
        </w:rPr>
        <w:t xml:space="preserve">(90% </w:t>
      </w:r>
      <w:r w:rsidR="00F559D9">
        <w:rPr>
          <w:szCs w:val="23"/>
        </w:rPr>
        <w:t>confidence interval (</w:t>
      </w:r>
      <w:r>
        <w:rPr>
          <w:szCs w:val="23"/>
        </w:rPr>
        <w:t>C</w:t>
      </w:r>
      <w:r w:rsidR="00E16769">
        <w:rPr>
          <w:szCs w:val="23"/>
        </w:rPr>
        <w:t>I</w:t>
      </w:r>
      <w:r w:rsidR="00F559D9">
        <w:rPr>
          <w:szCs w:val="23"/>
        </w:rPr>
        <w:t>)</w:t>
      </w:r>
      <w:r>
        <w:rPr>
          <w:szCs w:val="23"/>
        </w:rPr>
        <w:t>: 7.0, 12.5).</w:t>
      </w:r>
    </w:p>
    <w:p w:rsidR="00023843" w:rsidRPr="009117BC" w:rsidRDefault="00023843" w:rsidP="00023843">
      <w:pPr>
        <w:pStyle w:val="Heading4"/>
      </w:pPr>
      <w:bookmarkStart w:id="34" w:name="_Toc314842492"/>
      <w:bookmarkStart w:id="35" w:name="_Toc404692337"/>
      <w:r w:rsidRPr="009117BC">
        <w:t>Advisory committee considerations</w:t>
      </w:r>
      <w:bookmarkEnd w:id="34"/>
      <w:bookmarkEnd w:id="35"/>
    </w:p>
    <w:p w:rsidR="00023843" w:rsidRDefault="00023843" w:rsidP="00023843">
      <w:r>
        <w:t>As no significant pharmaceutical chemistry issues were identified, the submission was not referred to the Pharmaceutical Subcommittee of the TGA’s Advisory Committee for Prescription Medicines (ACPM).</w:t>
      </w:r>
    </w:p>
    <w:p w:rsidR="008E7846" w:rsidRPr="008751DC" w:rsidRDefault="008E7846" w:rsidP="008E7846">
      <w:pPr>
        <w:pStyle w:val="Heading3"/>
      </w:pPr>
      <w:bookmarkStart w:id="36" w:name="_Toc247691509"/>
      <w:bookmarkStart w:id="37" w:name="_Toc314842493"/>
      <w:bookmarkStart w:id="38" w:name="_Toc438125698"/>
      <w:r>
        <w:lastRenderedPageBreak/>
        <w:t>Quality s</w:t>
      </w:r>
      <w:r w:rsidRPr="008751DC">
        <w:t>ummary</w:t>
      </w:r>
      <w:r>
        <w:t xml:space="preserve"> and conclusions</w:t>
      </w:r>
      <w:bookmarkEnd w:id="36"/>
      <w:bookmarkEnd w:id="37"/>
      <w:bookmarkEnd w:id="38"/>
    </w:p>
    <w:p w:rsidR="00C60B78" w:rsidRDefault="00F559D9" w:rsidP="00727B18">
      <w:r>
        <w:t xml:space="preserve">Registration of the proposed </w:t>
      </w:r>
      <w:proofErr w:type="spellStart"/>
      <w:r>
        <w:rPr>
          <w:szCs w:val="24"/>
        </w:rPr>
        <w:t>Sunvepra</w:t>
      </w:r>
      <w:proofErr w:type="spellEnd"/>
      <w:r>
        <w:rPr>
          <w:szCs w:val="24"/>
        </w:rPr>
        <w:t xml:space="preserve"> (</w:t>
      </w:r>
      <w:proofErr w:type="spellStart"/>
      <w:r w:rsidR="00727B18">
        <w:t>asunaprevir</w:t>
      </w:r>
      <w:proofErr w:type="spellEnd"/>
      <w:r w:rsidR="00727B18">
        <w:t xml:space="preserve"> 100</w:t>
      </w:r>
      <w:r>
        <w:t xml:space="preserve"> </w:t>
      </w:r>
      <w:r w:rsidR="00727B18">
        <w:t>mg</w:t>
      </w:r>
      <w:r>
        <w:t>)</w:t>
      </w:r>
      <w:r w:rsidR="00727B18">
        <w:t xml:space="preserve"> soft </w:t>
      </w:r>
      <w:proofErr w:type="spellStart"/>
      <w:r w:rsidR="00727B18">
        <w:t>gelatin</w:t>
      </w:r>
      <w:proofErr w:type="spellEnd"/>
      <w:r w:rsidR="00727B18">
        <w:t xml:space="preserve"> capsules is recommended with respect to quality and </w:t>
      </w:r>
      <w:proofErr w:type="spellStart"/>
      <w:r w:rsidR="00727B18">
        <w:t>biopharmaceutic</w:t>
      </w:r>
      <w:proofErr w:type="spellEnd"/>
      <w:r w:rsidR="00727B18">
        <w:t xml:space="preserve"> aspects. All issues raised during the initial evaluation of this application have been satisfactorily resolved.</w:t>
      </w:r>
    </w:p>
    <w:p w:rsidR="008E7846" w:rsidRDefault="008E7846" w:rsidP="008E7846">
      <w:pPr>
        <w:pStyle w:val="Heading2"/>
      </w:pPr>
      <w:bookmarkStart w:id="39" w:name="_Toc196046439"/>
      <w:bookmarkStart w:id="40" w:name="_Toc247691510"/>
      <w:bookmarkStart w:id="41" w:name="_Toc314842494"/>
      <w:bookmarkStart w:id="42" w:name="_Toc438125699"/>
      <w:r>
        <w:t>III. Nonclinical</w:t>
      </w:r>
      <w:bookmarkEnd w:id="39"/>
      <w:r>
        <w:t xml:space="preserve"> findings</w:t>
      </w:r>
      <w:bookmarkEnd w:id="40"/>
      <w:bookmarkEnd w:id="41"/>
      <w:bookmarkEnd w:id="42"/>
    </w:p>
    <w:p w:rsidR="008E7846" w:rsidRDefault="008E7846" w:rsidP="00940A89">
      <w:pPr>
        <w:pStyle w:val="Heading3"/>
      </w:pPr>
      <w:bookmarkStart w:id="43" w:name="_Toc247691511"/>
      <w:bookmarkStart w:id="44" w:name="_Toc314842495"/>
      <w:bookmarkStart w:id="45" w:name="_Toc438125700"/>
      <w:r>
        <w:t>Introduction</w:t>
      </w:r>
      <w:bookmarkEnd w:id="43"/>
      <w:bookmarkEnd w:id="44"/>
      <w:bookmarkEnd w:id="45"/>
      <w:r>
        <w:tab/>
      </w:r>
    </w:p>
    <w:p w:rsidR="00D75578" w:rsidRDefault="00D75578" w:rsidP="00D75578">
      <w:pPr>
        <w:pStyle w:val="Standard"/>
      </w:pPr>
      <w:r>
        <w:t xml:space="preserve">The overall quality of the submitted </w:t>
      </w:r>
      <w:r w:rsidR="00CA774C">
        <w:t>nonclinical data</w:t>
      </w:r>
      <w:r>
        <w:t xml:space="preserve"> for </w:t>
      </w:r>
      <w:proofErr w:type="spellStart"/>
      <w:r>
        <w:t>asunaprevir</w:t>
      </w:r>
      <w:proofErr w:type="spellEnd"/>
      <w:r>
        <w:t xml:space="preserve"> w</w:t>
      </w:r>
      <w:r>
        <w:rPr>
          <w:rFonts w:eastAsia="Cambria"/>
        </w:rPr>
        <w:t xml:space="preserve">as high. All pivotal safety studies were conducted under </w:t>
      </w:r>
      <w:r w:rsidR="00CA774C">
        <w:rPr>
          <w:rFonts w:eastAsia="Cambria"/>
        </w:rPr>
        <w:t>Good Laboratory Practice (</w:t>
      </w:r>
      <w:r>
        <w:rPr>
          <w:rFonts w:eastAsia="Cambria"/>
        </w:rPr>
        <w:t>GLP</w:t>
      </w:r>
      <w:r w:rsidR="00CA774C">
        <w:rPr>
          <w:rFonts w:eastAsia="Cambria"/>
        </w:rPr>
        <w:t>)</w:t>
      </w:r>
      <w:r>
        <w:rPr>
          <w:rFonts w:eastAsia="Cambria"/>
        </w:rPr>
        <w:t xml:space="preserve"> conditions.</w:t>
      </w:r>
    </w:p>
    <w:p w:rsidR="008E7846" w:rsidRDefault="008E7846" w:rsidP="008E7846">
      <w:pPr>
        <w:pStyle w:val="Heading3"/>
      </w:pPr>
      <w:bookmarkStart w:id="46" w:name="_Toc247691512"/>
      <w:bookmarkStart w:id="47" w:name="_Toc314842496"/>
      <w:bookmarkStart w:id="48" w:name="_Toc438125701"/>
      <w:r w:rsidRPr="00020030">
        <w:t>Pharmacology</w:t>
      </w:r>
      <w:bookmarkEnd w:id="46"/>
      <w:bookmarkEnd w:id="47"/>
      <w:bookmarkEnd w:id="48"/>
    </w:p>
    <w:p w:rsidR="00D75578" w:rsidRDefault="00D75578" w:rsidP="00D75578">
      <w:pPr>
        <w:pStyle w:val="Standard"/>
      </w:pPr>
      <w:r>
        <w:t xml:space="preserve">All pharmacology studies of </w:t>
      </w:r>
      <w:proofErr w:type="spellStart"/>
      <w:r>
        <w:t>asunaprevir</w:t>
      </w:r>
      <w:proofErr w:type="spellEnd"/>
      <w:r>
        <w:t xml:space="preserve"> were appropriately designed and conducted in compliance with International Conference on Harmonization (ICH) guidelines.</w:t>
      </w:r>
    </w:p>
    <w:p w:rsidR="00D75578" w:rsidRDefault="00D75578" w:rsidP="00CA774C">
      <w:pPr>
        <w:pStyle w:val="Heading4"/>
      </w:pPr>
      <w:r>
        <w:t>Primary pharmacology</w:t>
      </w:r>
    </w:p>
    <w:p w:rsidR="00D75578" w:rsidRDefault="00D75578" w:rsidP="000F52DF">
      <w:pPr>
        <w:rPr>
          <w:kern w:val="16"/>
          <w:szCs w:val="24"/>
        </w:rPr>
      </w:pPr>
      <w:proofErr w:type="spellStart"/>
      <w:r>
        <w:t>Asunaprevir</w:t>
      </w:r>
      <w:proofErr w:type="spellEnd"/>
      <w:r>
        <w:t xml:space="preserve"> was developed as an inhibitor of the NS3 serine protease of HCV, and subsequent viral RNA replication. The </w:t>
      </w:r>
      <w:r w:rsidR="00CA774C">
        <w:t xml:space="preserve">nonclinical </w:t>
      </w:r>
      <w:r>
        <w:t xml:space="preserve">efficacy studies submitted assessed the inhibitory activity of </w:t>
      </w:r>
      <w:proofErr w:type="spellStart"/>
      <w:r>
        <w:t>asunaprevir</w:t>
      </w:r>
      <w:r w:rsidR="001804FE">
        <w:t>in</w:t>
      </w:r>
      <w:proofErr w:type="spellEnd"/>
      <w:r>
        <w:t xml:space="preserve"> </w:t>
      </w:r>
      <w:r w:rsidR="003B327F" w:rsidRPr="003B327F">
        <w:t>in vitro</w:t>
      </w:r>
      <w:r>
        <w:t xml:space="preserve"> enzyme assays and standard </w:t>
      </w:r>
      <w:proofErr w:type="spellStart"/>
      <w:r>
        <w:t>subgenomic</w:t>
      </w:r>
      <w:proofErr w:type="spellEnd"/>
      <w:r>
        <w:t xml:space="preserve"> cell-based HCV replicon assays. The extent of virology data for genotype 4 was significantly less than for genotypes 1a and 1b. The most prevalent HCV genotype in Australia</w:t>
      </w:r>
      <w:r>
        <w:rPr>
          <w:rStyle w:val="FootnoteReference"/>
        </w:rPr>
        <w:footnoteReference w:id="10"/>
      </w:r>
      <w:r>
        <w:t xml:space="preserve"> is genotype 1 with 55%, while the prevalence of genotype 4 is 3%. The prevalence of genotypes 3, 2, and others, is 33, 8 and 1%, respectively</w:t>
      </w:r>
      <w:r>
        <w:rPr>
          <w:rStyle w:val="FootnoteReference"/>
        </w:rPr>
        <w:footnoteReference w:id="11"/>
      </w:r>
      <w:r>
        <w:t xml:space="preserve">. No </w:t>
      </w:r>
      <w:proofErr w:type="gramStart"/>
      <w:r>
        <w:t>proof of concept studies were</w:t>
      </w:r>
      <w:proofErr w:type="gramEnd"/>
      <w:r>
        <w:t xml:space="preserve"> conducted in animal models of HCV. This is not considered a major deficiency</w:t>
      </w:r>
      <w:r w:rsidR="007F620D">
        <w:t>.</w:t>
      </w:r>
      <w:r>
        <w:rPr>
          <w:rStyle w:val="FootnoteReference"/>
        </w:rPr>
        <w:footnoteReference w:id="12"/>
      </w:r>
    </w:p>
    <w:p w:rsidR="00D75578" w:rsidRDefault="00D75578" w:rsidP="000F52DF">
      <w:proofErr w:type="spellStart"/>
      <w:r>
        <w:t>Asunaprevir</w:t>
      </w:r>
      <w:proofErr w:type="spellEnd"/>
      <w:r>
        <w:t xml:space="preserve"> competitively inhibited the binding of substrate to NS3/4A protease complex, binding directly and reversibly to the protease with Ki 0.24 to 1.0 </w:t>
      </w:r>
      <w:proofErr w:type="spellStart"/>
      <w:r>
        <w:t>nM</w:t>
      </w:r>
      <w:proofErr w:type="spellEnd"/>
      <w:r>
        <w:t xml:space="preserve">, depending </w:t>
      </w:r>
      <w:r w:rsidR="007F620D">
        <w:t>up</w:t>
      </w:r>
      <w:r>
        <w:t>on the genotype strain employed.</w:t>
      </w:r>
    </w:p>
    <w:p w:rsidR="00C60B78" w:rsidRDefault="00D75578" w:rsidP="000F52DF">
      <w:r>
        <w:t xml:space="preserve">In biochemical assays </w:t>
      </w:r>
      <w:r w:rsidR="003B327F" w:rsidRPr="003B327F">
        <w:t>in vitro</w:t>
      </w:r>
      <w:r>
        <w:t xml:space="preserve">, </w:t>
      </w:r>
      <w:proofErr w:type="spellStart"/>
      <w:r>
        <w:t>asunaprevir</w:t>
      </w:r>
      <w:proofErr w:type="spellEnd"/>
      <w:r>
        <w:t xml:space="preserve"> inhibited the activity of purified NS3/4A protease enzyme complexes from HCV strains of genotypes 1b (</w:t>
      </w:r>
      <w:r w:rsidR="004936B4">
        <w:t>50% inhibitory concentration (</w:t>
      </w:r>
      <w:r w:rsidR="000F1CA4">
        <w:t>IC</w:t>
      </w:r>
      <w:r w:rsidR="000F1CA4">
        <w:rPr>
          <w:vertAlign w:val="subscript"/>
        </w:rPr>
        <w:t>50</w:t>
      </w:r>
      <w:r w:rsidR="004936B4">
        <w:t xml:space="preserve">) </w:t>
      </w:r>
      <w:r>
        <w:t xml:space="preserve">0.3 </w:t>
      </w:r>
      <w:proofErr w:type="spellStart"/>
      <w:r>
        <w:t>nM</w:t>
      </w:r>
      <w:proofErr w:type="spellEnd"/>
      <w:r>
        <w:t>), 1a (</w:t>
      </w:r>
      <w:r w:rsidR="000F1CA4">
        <w:t>IC</w:t>
      </w:r>
      <w:r w:rsidR="000F1CA4">
        <w:rPr>
          <w:vertAlign w:val="subscript"/>
        </w:rPr>
        <w:t>50</w:t>
      </w:r>
      <w:r>
        <w:t xml:space="preserve"> 0.7-1.8 </w:t>
      </w:r>
      <w:proofErr w:type="spellStart"/>
      <w:r>
        <w:t>nM</w:t>
      </w:r>
      <w:proofErr w:type="spellEnd"/>
      <w:r>
        <w:t>), 6a (</w:t>
      </w:r>
      <w:r w:rsidR="000F1CA4">
        <w:t>IC</w:t>
      </w:r>
      <w:r w:rsidR="000F1CA4">
        <w:rPr>
          <w:vertAlign w:val="subscript"/>
        </w:rPr>
        <w:t>50</w:t>
      </w:r>
      <w:r w:rsidR="004936B4">
        <w:t xml:space="preserve"> </w:t>
      </w:r>
      <w:r>
        <w:t xml:space="preserve">0.9 </w:t>
      </w:r>
      <w:proofErr w:type="spellStart"/>
      <w:r>
        <w:t>nM</w:t>
      </w:r>
      <w:proofErr w:type="spellEnd"/>
      <w:r>
        <w:t>), 4a (</w:t>
      </w:r>
      <w:r w:rsidR="000F1CA4">
        <w:t>IC</w:t>
      </w:r>
      <w:r w:rsidR="000F1CA4">
        <w:rPr>
          <w:vertAlign w:val="subscript"/>
        </w:rPr>
        <w:t>50</w:t>
      </w:r>
      <w:r w:rsidR="004936B4">
        <w:t xml:space="preserve"> </w:t>
      </w:r>
      <w:r>
        <w:t xml:space="preserve">1.6 </w:t>
      </w:r>
      <w:proofErr w:type="spellStart"/>
      <w:r>
        <w:t>nM</w:t>
      </w:r>
      <w:proofErr w:type="spellEnd"/>
      <w:r>
        <w:t>), 5a (</w:t>
      </w:r>
      <w:r w:rsidR="000F1CA4">
        <w:t>IC</w:t>
      </w:r>
      <w:r w:rsidR="000F1CA4">
        <w:rPr>
          <w:vertAlign w:val="subscript"/>
        </w:rPr>
        <w:t>50</w:t>
      </w:r>
      <w:r w:rsidR="004936B4">
        <w:t xml:space="preserve"> </w:t>
      </w:r>
      <w:r>
        <w:t xml:space="preserve">1.7 </w:t>
      </w:r>
      <w:proofErr w:type="spellStart"/>
      <w:r>
        <w:t>nM</w:t>
      </w:r>
      <w:proofErr w:type="spellEnd"/>
      <w:r>
        <w:t>), and with a significantly lower potency 2a (</w:t>
      </w:r>
      <w:r w:rsidR="000F1CA4">
        <w:t>IC</w:t>
      </w:r>
      <w:r w:rsidR="000F1CA4">
        <w:rPr>
          <w:vertAlign w:val="subscript"/>
        </w:rPr>
        <w:t>50</w:t>
      </w:r>
      <w:r w:rsidR="004936B4">
        <w:t xml:space="preserve"> </w:t>
      </w:r>
      <w:r>
        <w:t xml:space="preserve">15 </w:t>
      </w:r>
      <w:proofErr w:type="spellStart"/>
      <w:r>
        <w:t>nM</w:t>
      </w:r>
      <w:proofErr w:type="spellEnd"/>
      <w:r>
        <w:t>), 2b (</w:t>
      </w:r>
      <w:r w:rsidR="000F1CA4">
        <w:t>IC</w:t>
      </w:r>
      <w:r w:rsidR="000F1CA4">
        <w:rPr>
          <w:vertAlign w:val="subscript"/>
        </w:rPr>
        <w:t>50</w:t>
      </w:r>
      <w:r w:rsidR="004936B4">
        <w:t xml:space="preserve"> </w:t>
      </w:r>
      <w:r>
        <w:t xml:space="preserve">78 </w:t>
      </w:r>
      <w:proofErr w:type="spellStart"/>
      <w:r>
        <w:t>nM</w:t>
      </w:r>
      <w:proofErr w:type="spellEnd"/>
      <w:r>
        <w:t>), and 3a (</w:t>
      </w:r>
      <w:r w:rsidR="000F1CA4">
        <w:t>IC</w:t>
      </w:r>
      <w:r w:rsidR="000F1CA4">
        <w:rPr>
          <w:vertAlign w:val="subscript"/>
        </w:rPr>
        <w:t>50</w:t>
      </w:r>
      <w:r w:rsidR="004936B4">
        <w:t xml:space="preserve"> </w:t>
      </w:r>
      <w:r>
        <w:t xml:space="preserve">320 </w:t>
      </w:r>
      <w:proofErr w:type="spellStart"/>
      <w:r>
        <w:t>nM</w:t>
      </w:r>
      <w:proofErr w:type="spellEnd"/>
      <w:r>
        <w:t xml:space="preserve">). Except for genotype 2b, </w:t>
      </w:r>
      <w:proofErr w:type="spellStart"/>
      <w:r>
        <w:t>asunaprevir</w:t>
      </w:r>
      <w:proofErr w:type="spellEnd"/>
      <w:r>
        <w:t xml:space="preserve"> was more potent than </w:t>
      </w:r>
      <w:proofErr w:type="spellStart"/>
      <w:r>
        <w:t>telaprevir</w:t>
      </w:r>
      <w:proofErr w:type="spellEnd"/>
      <w:r>
        <w:t>.</w:t>
      </w:r>
    </w:p>
    <w:p w:rsidR="00D75578" w:rsidRDefault="00D75578" w:rsidP="000F52DF">
      <w:r>
        <w:t xml:space="preserve">In cell-based HCV replicon assays, </w:t>
      </w:r>
      <w:proofErr w:type="spellStart"/>
      <w:r>
        <w:t>asunaprevir</w:t>
      </w:r>
      <w:proofErr w:type="spellEnd"/>
      <w:r>
        <w:t xml:space="preserve"> inhibited HCV genotype 1a (</w:t>
      </w:r>
      <w:r w:rsidR="004936B4">
        <w:t>50% effective concentration (</w:t>
      </w:r>
      <w:r w:rsidR="000F1CA4">
        <w:t>EC</w:t>
      </w:r>
      <w:r w:rsidR="000F1CA4">
        <w:rPr>
          <w:vertAlign w:val="subscript"/>
        </w:rPr>
        <w:t>50</w:t>
      </w:r>
      <w:r w:rsidR="004936B4">
        <w:t xml:space="preserve">) </w:t>
      </w:r>
      <w:r>
        <w:t xml:space="preserve">4 </w:t>
      </w:r>
      <w:proofErr w:type="spellStart"/>
      <w:r>
        <w:t>nM</w:t>
      </w:r>
      <w:proofErr w:type="spellEnd"/>
      <w:r>
        <w:t>), 1b (</w:t>
      </w:r>
      <w:r w:rsidR="000F1CA4">
        <w:t>EC</w:t>
      </w:r>
      <w:r w:rsidR="000F1CA4">
        <w:rPr>
          <w:vertAlign w:val="subscript"/>
        </w:rPr>
        <w:t>50</w:t>
      </w:r>
      <w:r w:rsidR="004936B4">
        <w:t xml:space="preserve"> </w:t>
      </w:r>
      <w:r>
        <w:t xml:space="preserve">1.2 </w:t>
      </w:r>
      <w:proofErr w:type="spellStart"/>
      <w:r>
        <w:t>nM</w:t>
      </w:r>
      <w:proofErr w:type="spellEnd"/>
      <w:r>
        <w:t>), and 2a (</w:t>
      </w:r>
      <w:r w:rsidR="000F1CA4">
        <w:t>EC</w:t>
      </w:r>
      <w:r w:rsidR="000F1CA4">
        <w:rPr>
          <w:vertAlign w:val="subscript"/>
        </w:rPr>
        <w:t>50</w:t>
      </w:r>
      <w:r w:rsidR="004936B4">
        <w:t xml:space="preserve"> </w:t>
      </w:r>
      <w:r>
        <w:t xml:space="preserve">230 </w:t>
      </w:r>
      <w:proofErr w:type="spellStart"/>
      <w:r>
        <w:t>nM</w:t>
      </w:r>
      <w:proofErr w:type="spellEnd"/>
      <w:r>
        <w:t xml:space="preserve">), replication. Hybrid replicons encoding the NS3 protease domain representing HCV genotype 4a was inhibited with </w:t>
      </w:r>
      <w:r w:rsidR="000F1CA4">
        <w:t>EC</w:t>
      </w:r>
      <w:r w:rsidR="000F1CA4">
        <w:rPr>
          <w:vertAlign w:val="subscript"/>
        </w:rPr>
        <w:t>50</w:t>
      </w:r>
      <w:r>
        <w:t xml:space="preserve"> 1.8-7.6 </w:t>
      </w:r>
      <w:proofErr w:type="spellStart"/>
      <w:r>
        <w:t>nM</w:t>
      </w:r>
      <w:proofErr w:type="spellEnd"/>
      <w:r>
        <w:t xml:space="preserve">, whereas GT-2b and GT-3a NS3 protease replicon hybrids were inhibited with </w:t>
      </w:r>
      <w:r w:rsidR="000F1CA4">
        <w:t>EC</w:t>
      </w:r>
      <w:r w:rsidR="000F1CA4">
        <w:rPr>
          <w:vertAlign w:val="subscript"/>
        </w:rPr>
        <w:t>50</w:t>
      </w:r>
      <w:r>
        <w:t xml:space="preserve"> values of 0.48 </w:t>
      </w:r>
      <w:proofErr w:type="spellStart"/>
      <w:r>
        <w:t>mM</w:t>
      </w:r>
      <w:proofErr w:type="spellEnd"/>
      <w:r>
        <w:t xml:space="preserve"> and 1.2 </w:t>
      </w:r>
      <w:proofErr w:type="spellStart"/>
      <w:r>
        <w:t>mM</w:t>
      </w:r>
      <w:proofErr w:type="spellEnd"/>
      <w:r>
        <w:t xml:space="preserve">, respectively. The potency of </w:t>
      </w:r>
      <w:proofErr w:type="spellStart"/>
      <w:r>
        <w:t>asunaprevir</w:t>
      </w:r>
      <w:proofErr w:type="spellEnd"/>
      <w:r>
        <w:t xml:space="preserve"> in </w:t>
      </w:r>
      <w:proofErr w:type="spellStart"/>
      <w:r>
        <w:t>subgenomic</w:t>
      </w:r>
      <w:proofErr w:type="spellEnd"/>
      <w:r>
        <w:t xml:space="preserve"> GT-1b (Con1) HCV replicon assays was reduced by</w:t>
      </w:r>
      <w:r w:rsidR="004936B4">
        <w:t xml:space="preserve"> approximately</w:t>
      </w:r>
      <w:r w:rsidR="007F620D">
        <w:t xml:space="preserve"> </w:t>
      </w:r>
      <w:r>
        <w:t>6.5 fold in the presence of 40% human serum.</w:t>
      </w:r>
    </w:p>
    <w:p w:rsidR="00D75578" w:rsidRDefault="00D75578" w:rsidP="000F52DF">
      <w:proofErr w:type="spellStart"/>
      <w:r>
        <w:t>Asunaprevir</w:t>
      </w:r>
      <w:proofErr w:type="spellEnd"/>
      <w:r>
        <w:t xml:space="preserve"> is unlikely to be active against genotype 2a, 2b and 3a at the proposed clinical dose, taking into account a clinical</w:t>
      </w:r>
      <w:r w:rsidR="001F3724">
        <w:t xml:space="preserve"> </w:t>
      </w:r>
      <w:proofErr w:type="spellStart"/>
      <w:r w:rsidR="001F3724" w:rsidRPr="00D85066">
        <w:t>C</w:t>
      </w:r>
      <w:r w:rsidR="001F3724" w:rsidRPr="001F3724">
        <w:rPr>
          <w:vertAlign w:val="subscript"/>
        </w:rPr>
        <w:t>max</w:t>
      </w:r>
      <w:proofErr w:type="spellEnd"/>
      <w:r>
        <w:t xml:space="preserve"> of </w:t>
      </w:r>
      <w:r>
        <w:rPr>
          <w:rFonts w:eastAsia="Calibri"/>
          <w:color w:val="000000"/>
        </w:rPr>
        <w:t xml:space="preserve">560 </w:t>
      </w:r>
      <w:proofErr w:type="spellStart"/>
      <w:r>
        <w:rPr>
          <w:rFonts w:eastAsia="Calibri"/>
          <w:color w:val="000000"/>
        </w:rPr>
        <w:t>nM</w:t>
      </w:r>
      <w:proofErr w:type="spellEnd"/>
      <w:r>
        <w:rPr>
          <w:rFonts w:eastAsia="Calibri"/>
          <w:color w:val="000000"/>
        </w:rPr>
        <w:t xml:space="preserve"> </w:t>
      </w:r>
      <w:proofErr w:type="gramStart"/>
      <w:r>
        <w:rPr>
          <w:rFonts w:eastAsia="Calibri"/>
          <w:color w:val="000000"/>
        </w:rPr>
        <w:t>(0.419 µg/mL)</w:t>
      </w:r>
      <w:proofErr w:type="gramEnd"/>
      <w:r>
        <w:t>.</w:t>
      </w:r>
    </w:p>
    <w:p w:rsidR="00D75578" w:rsidRDefault="00D75578" w:rsidP="000F52DF">
      <w:pPr>
        <w:rPr>
          <w:szCs w:val="24"/>
        </w:rPr>
      </w:pPr>
      <w:proofErr w:type="spellStart"/>
      <w:r>
        <w:lastRenderedPageBreak/>
        <w:t>Asunaprevir</w:t>
      </w:r>
      <w:proofErr w:type="spellEnd"/>
      <w:r>
        <w:t xml:space="preserve"> showed additive and/or synergistic interactions with interferon </w:t>
      </w:r>
      <w:proofErr w:type="spellStart"/>
      <w:r>
        <w:t>alfa</w:t>
      </w:r>
      <w:proofErr w:type="spellEnd"/>
      <w:r>
        <w:t xml:space="preserve">, </w:t>
      </w:r>
      <w:proofErr w:type="spellStart"/>
      <w:r>
        <w:t>daclatasvir</w:t>
      </w:r>
      <w:proofErr w:type="spellEnd"/>
      <w:r>
        <w:t>, HCV NS5B active-site or allosteric inhibitors, and ribavirin in two or three</w:t>
      </w:r>
      <w:r w:rsidR="004936B4">
        <w:t xml:space="preserve"> </w:t>
      </w:r>
      <w:r>
        <w:t>drug combination studies using a cell-based HCV replicon system. No antagonism of antiviral activity was observed.</w:t>
      </w:r>
    </w:p>
    <w:p w:rsidR="00D75578" w:rsidRDefault="00D75578" w:rsidP="000F52DF">
      <w:r>
        <w:t xml:space="preserve">Treatment of HCV GT-1b replicon cells with combinations of </w:t>
      </w:r>
      <w:proofErr w:type="spellStart"/>
      <w:r>
        <w:t>asunaprevir</w:t>
      </w:r>
      <w:proofErr w:type="spellEnd"/>
      <w:r>
        <w:t xml:space="preserve"> and IFN alpha or RBV, and/or direct-acting antivirals targeting HCV NS5A (</w:t>
      </w:r>
      <w:proofErr w:type="spellStart"/>
      <w:r>
        <w:t>daclatasvir</w:t>
      </w:r>
      <w:proofErr w:type="spellEnd"/>
      <w:r>
        <w:t>) and/or HCV NS5B (BMS-791325) displayed additive to synergistic effects (DCN 930023123, DCN 930029019).</w:t>
      </w:r>
    </w:p>
    <w:p w:rsidR="00C60B78" w:rsidRDefault="00D75578" w:rsidP="004936B4">
      <w:pPr>
        <w:pStyle w:val="Heading5"/>
      </w:pPr>
      <w:r>
        <w:t>Cytotoxicity</w:t>
      </w:r>
    </w:p>
    <w:p w:rsidR="00D75578" w:rsidRDefault="004936B4" w:rsidP="00D75578">
      <w:pPr>
        <w:autoSpaceDE w:val="0"/>
        <w:autoSpaceDN w:val="0"/>
        <w:adjustRightInd w:val="0"/>
        <w:rPr>
          <w:rFonts w:eastAsia="Times New Roman"/>
          <w:snapToGrid w:val="0"/>
          <w:kern w:val="16"/>
          <w:szCs w:val="24"/>
        </w:rPr>
      </w:pPr>
      <w:r>
        <w:rPr>
          <w:rFonts w:eastAsia="Times New Roman"/>
          <w:snapToGrid w:val="0"/>
          <w:kern w:val="16"/>
          <w:szCs w:val="24"/>
        </w:rPr>
        <w:t>The 50% cytotoxic concentration (</w:t>
      </w:r>
      <w:r w:rsidR="00D75578">
        <w:rPr>
          <w:rFonts w:eastAsia="Times New Roman"/>
          <w:snapToGrid w:val="0"/>
          <w:kern w:val="16"/>
          <w:szCs w:val="24"/>
        </w:rPr>
        <w:t>CC</w:t>
      </w:r>
      <w:r w:rsidR="00D75578">
        <w:rPr>
          <w:rFonts w:eastAsia="Times New Roman"/>
          <w:snapToGrid w:val="0"/>
          <w:kern w:val="16"/>
          <w:szCs w:val="24"/>
          <w:vertAlign w:val="subscript"/>
        </w:rPr>
        <w:t>50</w:t>
      </w:r>
      <w:r>
        <w:rPr>
          <w:rFonts w:eastAsia="Times New Roman"/>
          <w:snapToGrid w:val="0"/>
          <w:kern w:val="16"/>
          <w:szCs w:val="24"/>
        </w:rPr>
        <w:t xml:space="preserve">) </w:t>
      </w:r>
      <w:r w:rsidR="00D75578">
        <w:rPr>
          <w:rFonts w:eastAsia="Times New Roman"/>
          <w:snapToGrid w:val="0"/>
          <w:kern w:val="16"/>
          <w:szCs w:val="24"/>
        </w:rPr>
        <w:t>values rang</w:t>
      </w:r>
      <w:r>
        <w:rPr>
          <w:rFonts w:eastAsia="Times New Roman"/>
          <w:snapToGrid w:val="0"/>
          <w:kern w:val="16"/>
          <w:szCs w:val="24"/>
        </w:rPr>
        <w:t>ed</w:t>
      </w:r>
      <w:r w:rsidR="00D75578">
        <w:rPr>
          <w:rFonts w:eastAsia="Times New Roman"/>
          <w:snapToGrid w:val="0"/>
          <w:kern w:val="16"/>
          <w:szCs w:val="24"/>
        </w:rPr>
        <w:t xml:space="preserve"> from 11 to 38 </w:t>
      </w:r>
      <w:proofErr w:type="spellStart"/>
      <w:r w:rsidR="00D75578">
        <w:rPr>
          <w:rFonts w:eastAsia="Times New Roman"/>
          <w:snapToGrid w:val="0"/>
          <w:kern w:val="16"/>
          <w:szCs w:val="24"/>
        </w:rPr>
        <w:t>mM</w:t>
      </w:r>
      <w:proofErr w:type="spellEnd"/>
      <w:r w:rsidR="00D75578">
        <w:rPr>
          <w:rFonts w:eastAsia="Times New Roman"/>
          <w:snapToGrid w:val="0"/>
          <w:kern w:val="16"/>
          <w:szCs w:val="24"/>
        </w:rPr>
        <w:t xml:space="preserve"> against 6 human cell lines derived from T-cells, liver, lung, cervix, and kidney cells, providing a significant therapeutic index (2750</w:t>
      </w:r>
      <w:r>
        <w:rPr>
          <w:rFonts w:eastAsia="Times New Roman"/>
          <w:snapToGrid w:val="0"/>
          <w:kern w:val="16"/>
          <w:szCs w:val="24"/>
        </w:rPr>
        <w:t xml:space="preserve"> to </w:t>
      </w:r>
      <w:r w:rsidR="00D75578">
        <w:rPr>
          <w:rFonts w:eastAsia="Times New Roman"/>
          <w:snapToGrid w:val="0"/>
          <w:kern w:val="16"/>
          <w:szCs w:val="24"/>
        </w:rPr>
        <w:t>9500) when contrasting potency values generated against the HCV GT-1a (H77) replicon (</w:t>
      </w:r>
      <w:r w:rsidR="000F1CA4">
        <w:t>EC</w:t>
      </w:r>
      <w:r w:rsidR="000F1CA4">
        <w:rPr>
          <w:vertAlign w:val="subscript"/>
        </w:rPr>
        <w:t>50</w:t>
      </w:r>
      <w:r w:rsidR="00D75578">
        <w:rPr>
          <w:rFonts w:eastAsia="Times New Roman"/>
          <w:snapToGrid w:val="0"/>
          <w:kern w:val="16"/>
          <w:szCs w:val="24"/>
        </w:rPr>
        <w:t xml:space="preserve"> 4 </w:t>
      </w:r>
      <w:proofErr w:type="spellStart"/>
      <w:r w:rsidR="00D75578">
        <w:rPr>
          <w:rFonts w:eastAsia="Times New Roman"/>
          <w:snapToGrid w:val="0"/>
          <w:kern w:val="16"/>
          <w:szCs w:val="24"/>
        </w:rPr>
        <w:t>nM</w:t>
      </w:r>
      <w:proofErr w:type="spellEnd"/>
      <w:r w:rsidR="00D75578">
        <w:rPr>
          <w:rFonts w:eastAsia="Times New Roman"/>
          <w:snapToGrid w:val="0"/>
          <w:kern w:val="16"/>
          <w:szCs w:val="24"/>
        </w:rPr>
        <w:t>).</w:t>
      </w:r>
    </w:p>
    <w:p w:rsidR="00D75578" w:rsidRDefault="00D75578" w:rsidP="00D75578">
      <w:pPr>
        <w:pStyle w:val="AssessmentSubsection2"/>
        <w:rPr>
          <w:szCs w:val="22"/>
        </w:rPr>
      </w:pPr>
      <w:r>
        <w:rPr>
          <w:szCs w:val="22"/>
        </w:rPr>
        <w:t>Resistance and cross-resistance</w:t>
      </w:r>
    </w:p>
    <w:p w:rsidR="00D75578" w:rsidRDefault="00D75578" w:rsidP="00D75578">
      <w:pPr>
        <w:rPr>
          <w:rFonts w:eastAsia="Times New Roman"/>
          <w:snapToGrid w:val="0"/>
          <w:kern w:val="16"/>
        </w:rPr>
      </w:pPr>
      <w:r>
        <w:t xml:space="preserve">Mutations in NS3 that conferred some resistance to </w:t>
      </w:r>
      <w:proofErr w:type="spellStart"/>
      <w:r>
        <w:t>asunaprevir</w:t>
      </w:r>
      <w:proofErr w:type="spellEnd"/>
      <w:r>
        <w:t xml:space="preserve"> were identified from </w:t>
      </w:r>
      <w:r w:rsidR="003B327F" w:rsidRPr="003B327F">
        <w:t>in vitro</w:t>
      </w:r>
      <w:r w:rsidRPr="004936B4">
        <w:t xml:space="preserve"> </w:t>
      </w:r>
      <w:r>
        <w:t xml:space="preserve">studies (treatment-emergent mutations in HCV replicon assays), as well as from literature reports of mutations conferring resistance to other NS3 polymerase inhibitors (such as </w:t>
      </w:r>
      <w:proofErr w:type="spellStart"/>
      <w:r>
        <w:t>telaprevir</w:t>
      </w:r>
      <w:proofErr w:type="spellEnd"/>
      <w:r>
        <w:t xml:space="preserve"> and </w:t>
      </w:r>
      <w:proofErr w:type="spellStart"/>
      <w:r>
        <w:t>boceprevir</w:t>
      </w:r>
      <w:proofErr w:type="spellEnd"/>
      <w:r>
        <w:t xml:space="preserve">). Mutations in the NS3 protease domain at T40A, Q41E, V51A, R62K, D79E, T95A, I114V, R123G, R155K, D168G, I170T, N174Y, L175P, G176E (genotype 1a), Q41R, Q80R, Q86R, P89L, Y105C, D168A/G/H/V/Y, E173G, and E176G (genotype 1b), conferred some resistance to </w:t>
      </w:r>
      <w:proofErr w:type="spellStart"/>
      <w:r>
        <w:t>asunaprevir</w:t>
      </w:r>
      <w:proofErr w:type="spellEnd"/>
      <w:r>
        <w:t xml:space="preserve">. </w:t>
      </w:r>
      <w:r>
        <w:rPr>
          <w:rFonts w:eastAsia="Times New Roman"/>
          <w:snapToGrid w:val="0"/>
          <w:kern w:val="16"/>
        </w:rPr>
        <w:t xml:space="preserve">These substitutions decreased the susceptibility of GT-1a replicons to </w:t>
      </w:r>
      <w:proofErr w:type="spellStart"/>
      <w:r>
        <w:rPr>
          <w:rFonts w:eastAsia="Times New Roman"/>
          <w:snapToGrid w:val="0"/>
          <w:kern w:val="16"/>
        </w:rPr>
        <w:t>asunaprevir</w:t>
      </w:r>
      <w:proofErr w:type="spellEnd"/>
      <w:r>
        <w:rPr>
          <w:rFonts w:eastAsia="Times New Roman"/>
          <w:snapToGrid w:val="0"/>
          <w:kern w:val="16"/>
        </w:rPr>
        <w:t xml:space="preserve"> 11</w:t>
      </w:r>
      <w:r w:rsidR="004936B4">
        <w:rPr>
          <w:rFonts w:eastAsia="Times New Roman"/>
          <w:snapToGrid w:val="0"/>
          <w:kern w:val="16"/>
        </w:rPr>
        <w:t xml:space="preserve"> to </w:t>
      </w:r>
      <w:r>
        <w:rPr>
          <w:rFonts w:eastAsia="Times New Roman"/>
          <w:snapToGrid w:val="0"/>
          <w:kern w:val="16"/>
        </w:rPr>
        <w:t>49 fold, and the susceptibility of GT-1b replicons 170</w:t>
      </w:r>
      <w:r w:rsidR="004936B4">
        <w:rPr>
          <w:rFonts w:eastAsia="Times New Roman"/>
          <w:snapToGrid w:val="0"/>
          <w:kern w:val="16"/>
        </w:rPr>
        <w:t xml:space="preserve"> to </w:t>
      </w:r>
      <w:r>
        <w:rPr>
          <w:rFonts w:eastAsia="Times New Roman"/>
          <w:snapToGrid w:val="0"/>
          <w:kern w:val="16"/>
        </w:rPr>
        <w:t>400 fold.</w:t>
      </w:r>
    </w:p>
    <w:p w:rsidR="00D75578" w:rsidRDefault="00D75578" w:rsidP="00D75578">
      <w:pPr>
        <w:rPr>
          <w:rFonts w:eastAsia="Times New Roman"/>
          <w:snapToGrid w:val="0"/>
          <w:kern w:val="16"/>
          <w:szCs w:val="24"/>
        </w:rPr>
      </w:pPr>
      <w:r>
        <w:t>Cross-resistance data generated against engineered drug-resistant replicons containing key sing</w:t>
      </w:r>
      <w:r w:rsidR="004936B4">
        <w:t>l</w:t>
      </w:r>
      <w:r>
        <w:t>e</w:t>
      </w:r>
      <w:r w:rsidR="004936B4">
        <w:t xml:space="preserve"> and double </w:t>
      </w:r>
      <w:r>
        <w:t xml:space="preserve">point substitutions at amino acid positions reported in clinical studies can be found in Table </w:t>
      </w:r>
      <w:r w:rsidR="004936B4">
        <w:t>2</w:t>
      </w:r>
      <w:r>
        <w:t xml:space="preserve">. </w:t>
      </w:r>
      <w:r>
        <w:rPr>
          <w:rFonts w:eastAsia="Times New Roman"/>
          <w:snapToGrid w:val="0"/>
          <w:kern w:val="16"/>
          <w:szCs w:val="24"/>
        </w:rPr>
        <w:t xml:space="preserve">When introduced into recombinant HCV replicons, NS3 protease substitution D168V conferred a high level of resistance to GT-1a and GT-1b, whereas substitutions D168A and D168Y conferred a high level of resistance </w:t>
      </w:r>
      <w:r w:rsidR="004936B4">
        <w:rPr>
          <w:rFonts w:eastAsia="Times New Roman"/>
          <w:snapToGrid w:val="0"/>
          <w:kern w:val="16"/>
          <w:szCs w:val="24"/>
        </w:rPr>
        <w:t>to GT-1b (see T</w:t>
      </w:r>
      <w:r>
        <w:rPr>
          <w:rFonts w:eastAsia="Times New Roman"/>
          <w:snapToGrid w:val="0"/>
          <w:kern w:val="16"/>
          <w:szCs w:val="24"/>
        </w:rPr>
        <w:t>able</w:t>
      </w:r>
      <w:r w:rsidR="004936B4">
        <w:rPr>
          <w:rFonts w:eastAsia="Times New Roman"/>
          <w:snapToGrid w:val="0"/>
          <w:kern w:val="16"/>
          <w:szCs w:val="24"/>
        </w:rPr>
        <w:t xml:space="preserve"> 2</w:t>
      </w:r>
      <w:r>
        <w:rPr>
          <w:rFonts w:eastAsia="Times New Roman"/>
          <w:snapToGrid w:val="0"/>
          <w:kern w:val="16"/>
          <w:szCs w:val="24"/>
        </w:rPr>
        <w:t>).</w:t>
      </w:r>
    </w:p>
    <w:p w:rsidR="00D75578" w:rsidRDefault="00D75578" w:rsidP="00D75578">
      <w:pPr>
        <w:pStyle w:val="TableTitle"/>
        <w:keepLines/>
        <w:rPr>
          <w:rFonts w:eastAsia="Times New Roman"/>
          <w:kern w:val="16"/>
          <w:sz w:val="19"/>
          <w:szCs w:val="24"/>
        </w:rPr>
      </w:pPr>
      <w:r>
        <w:t xml:space="preserve">Table </w:t>
      </w:r>
      <w:r w:rsidR="004936B4">
        <w:t>2:</w:t>
      </w:r>
      <w:r>
        <w:t xml:space="preserve"> Mutations in NS3 that conferred resistance to </w:t>
      </w:r>
      <w:proofErr w:type="spellStart"/>
      <w:r>
        <w:t>asunaprevir</w:t>
      </w:r>
      <w:proofErr w:type="spellEnd"/>
      <w:r>
        <w:t xml:space="preserve"> in HCV replicon assays</w:t>
      </w:r>
    </w:p>
    <w:tbl>
      <w:tblPr>
        <w:tblStyle w:val="TableTGAblue"/>
        <w:tblW w:w="5000" w:type="pct"/>
        <w:tblLook w:val="01E0" w:firstRow="1" w:lastRow="1" w:firstColumn="1" w:lastColumn="1" w:noHBand="0" w:noVBand="0"/>
      </w:tblPr>
      <w:tblGrid>
        <w:gridCol w:w="2728"/>
        <w:gridCol w:w="2996"/>
        <w:gridCol w:w="2996"/>
      </w:tblGrid>
      <w:tr w:rsidR="00D75578" w:rsidTr="00C60B78">
        <w:trPr>
          <w:cnfStyle w:val="100000000000" w:firstRow="1" w:lastRow="0" w:firstColumn="0" w:lastColumn="0" w:oddVBand="0" w:evenVBand="0" w:oddHBand="0" w:evenHBand="0" w:firstRowFirstColumn="0" w:firstRowLastColumn="0" w:lastRowFirstColumn="0" w:lastRowLastColumn="0"/>
          <w:trHeight w:val="113"/>
        </w:trPr>
        <w:tc>
          <w:tcPr>
            <w:tcW w:w="1564" w:type="pct"/>
            <w:hideMark/>
          </w:tcPr>
          <w:p w:rsidR="00D75578" w:rsidRPr="00BA1372" w:rsidRDefault="00D75578" w:rsidP="00C60B78">
            <w:pPr>
              <w:rPr>
                <w:rFonts w:eastAsia="MS Mincho"/>
                <w:b w:val="0"/>
              </w:rPr>
            </w:pPr>
            <w:r w:rsidRPr="00BA1372">
              <w:rPr>
                <w:lang w:eastAsia="en-AU"/>
              </w:rPr>
              <w:t>Mutation</w:t>
            </w:r>
          </w:p>
        </w:tc>
        <w:tc>
          <w:tcPr>
            <w:tcW w:w="1718" w:type="pct"/>
            <w:hideMark/>
          </w:tcPr>
          <w:p w:rsidR="00D75578" w:rsidRPr="00BA1372" w:rsidRDefault="00D75578" w:rsidP="00C60B78">
            <w:pPr>
              <w:rPr>
                <w:rFonts w:eastAsia="MS Mincho"/>
                <w:b w:val="0"/>
              </w:rPr>
            </w:pPr>
            <w:r w:rsidRPr="00BA1372">
              <w:rPr>
                <w:lang w:eastAsia="en-AU"/>
              </w:rPr>
              <w:t>Fold loss of activity</w:t>
            </w:r>
          </w:p>
        </w:tc>
        <w:tc>
          <w:tcPr>
            <w:tcW w:w="1718" w:type="pct"/>
            <w:hideMark/>
          </w:tcPr>
          <w:p w:rsidR="00D75578" w:rsidRPr="00BA1372" w:rsidRDefault="000F1CA4" w:rsidP="00C60B78">
            <w:pPr>
              <w:rPr>
                <w:rFonts w:eastAsia="MS Mincho"/>
                <w:b w:val="0"/>
              </w:rPr>
            </w:pPr>
            <w:r w:rsidRPr="00BA1372">
              <w:rPr>
                <w:szCs w:val="21"/>
                <w:lang w:eastAsia="en-AU"/>
              </w:rPr>
              <w:t>EC</w:t>
            </w:r>
            <w:r w:rsidRPr="00BA1372">
              <w:rPr>
                <w:szCs w:val="21"/>
                <w:vertAlign w:val="subscript"/>
                <w:lang w:eastAsia="en-AU"/>
              </w:rPr>
              <w:t>50</w:t>
            </w:r>
            <w:r w:rsidR="00D75578" w:rsidRPr="00BA1372">
              <w:rPr>
                <w:lang w:eastAsia="en-AU"/>
              </w:rPr>
              <w:t xml:space="preserve"> (</w:t>
            </w:r>
            <w:proofErr w:type="spellStart"/>
            <w:r w:rsidR="00D75578" w:rsidRPr="00BA1372">
              <w:rPr>
                <w:lang w:eastAsia="en-AU"/>
              </w:rPr>
              <w:t>nM</w:t>
            </w:r>
            <w:proofErr w:type="spellEnd"/>
            <w:r w:rsidR="00D75578" w:rsidRPr="00BA1372">
              <w:rPr>
                <w:lang w:eastAsia="en-AU"/>
              </w:rPr>
              <w:t>)</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Parent GT-1a replicon</w:t>
            </w:r>
          </w:p>
        </w:tc>
        <w:tc>
          <w:tcPr>
            <w:tcW w:w="1718" w:type="pct"/>
            <w:hideMark/>
          </w:tcPr>
          <w:p w:rsidR="00D75578" w:rsidRPr="00BA1372" w:rsidRDefault="00D75578" w:rsidP="00C60B78">
            <w:pPr>
              <w:rPr>
                <w:rFonts w:eastAsia="Times New Roman"/>
              </w:rPr>
            </w:pPr>
            <w:r w:rsidRPr="00BA1372">
              <w:rPr>
                <w:lang w:eastAsia="en-AU"/>
              </w:rPr>
              <w:t>-</w:t>
            </w:r>
          </w:p>
        </w:tc>
        <w:tc>
          <w:tcPr>
            <w:tcW w:w="1718" w:type="pct"/>
            <w:hideMark/>
          </w:tcPr>
          <w:p w:rsidR="00D75578" w:rsidRPr="00BA1372" w:rsidRDefault="00D75578" w:rsidP="00C60B78">
            <w:pPr>
              <w:rPr>
                <w:rFonts w:eastAsia="Times New Roman"/>
              </w:rPr>
            </w:pPr>
            <w:r w:rsidRPr="00BA1372">
              <w:rPr>
                <w:lang w:eastAsia="en-AU"/>
              </w:rPr>
              <w:t>0.76</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Parent GT-1b replicon</w:t>
            </w:r>
          </w:p>
        </w:tc>
        <w:tc>
          <w:tcPr>
            <w:tcW w:w="1718" w:type="pct"/>
            <w:hideMark/>
          </w:tcPr>
          <w:p w:rsidR="00D75578" w:rsidRPr="00BA1372" w:rsidRDefault="00D75578" w:rsidP="00C60B78">
            <w:pPr>
              <w:rPr>
                <w:rFonts w:eastAsia="Times New Roman"/>
              </w:rPr>
            </w:pPr>
            <w:r w:rsidRPr="00BA1372">
              <w:rPr>
                <w:lang w:eastAsia="en-AU"/>
              </w:rPr>
              <w:t>-</w:t>
            </w:r>
          </w:p>
        </w:tc>
        <w:tc>
          <w:tcPr>
            <w:tcW w:w="1718" w:type="pct"/>
            <w:hideMark/>
          </w:tcPr>
          <w:p w:rsidR="00D75578" w:rsidRPr="00BA1372" w:rsidRDefault="00D75578" w:rsidP="00C60B78">
            <w:pPr>
              <w:rPr>
                <w:rFonts w:eastAsia="Times New Roman"/>
              </w:rPr>
            </w:pPr>
            <w:r w:rsidRPr="00BA1372">
              <w:rPr>
                <w:lang w:eastAsia="en-AU"/>
              </w:rPr>
              <w:t>0.86</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V36A</w:t>
            </w:r>
          </w:p>
        </w:tc>
        <w:tc>
          <w:tcPr>
            <w:tcW w:w="1718" w:type="pct"/>
            <w:hideMark/>
          </w:tcPr>
          <w:p w:rsidR="00D75578" w:rsidRPr="00BA1372" w:rsidRDefault="00D75578" w:rsidP="00C60B78">
            <w:pPr>
              <w:rPr>
                <w:rFonts w:eastAsia="Times New Roman"/>
              </w:rPr>
            </w:pPr>
            <w:r w:rsidRPr="00BA1372">
              <w:rPr>
                <w:lang w:eastAsia="en-AU"/>
              </w:rPr>
              <w:t>3 (1a), 2 (1b)</w:t>
            </w:r>
          </w:p>
        </w:tc>
        <w:tc>
          <w:tcPr>
            <w:tcW w:w="1718" w:type="pct"/>
            <w:hideMark/>
          </w:tcPr>
          <w:p w:rsidR="00D75578" w:rsidRPr="00BA1372" w:rsidRDefault="00D75578" w:rsidP="00C60B78">
            <w:pPr>
              <w:rPr>
                <w:rFonts w:eastAsia="Times New Roman"/>
              </w:rPr>
            </w:pPr>
            <w:r w:rsidRPr="00BA1372">
              <w:rPr>
                <w:lang w:eastAsia="en-AU"/>
              </w:rPr>
              <w:t xml:space="preserve">2.3 (1a), 1.6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V36L</w:t>
            </w:r>
          </w:p>
        </w:tc>
        <w:tc>
          <w:tcPr>
            <w:tcW w:w="1718" w:type="pct"/>
            <w:hideMark/>
          </w:tcPr>
          <w:p w:rsidR="00D75578" w:rsidRPr="00BA1372" w:rsidRDefault="00D75578" w:rsidP="00C60B78">
            <w:pPr>
              <w:rPr>
                <w:rFonts w:eastAsia="Times New Roman"/>
              </w:rPr>
            </w:pPr>
            <w:r w:rsidRPr="00BA1372">
              <w:rPr>
                <w:lang w:eastAsia="en-AU"/>
              </w:rPr>
              <w:t>2 (1a), 1 (1b)</w:t>
            </w:r>
          </w:p>
        </w:tc>
        <w:tc>
          <w:tcPr>
            <w:tcW w:w="1718" w:type="pct"/>
            <w:hideMark/>
          </w:tcPr>
          <w:p w:rsidR="00D75578" w:rsidRPr="00BA1372" w:rsidRDefault="00D75578" w:rsidP="00C60B78">
            <w:pPr>
              <w:rPr>
                <w:rFonts w:eastAsia="Times New Roman"/>
              </w:rPr>
            </w:pPr>
            <w:r w:rsidRPr="00BA1372">
              <w:rPr>
                <w:lang w:eastAsia="en-AU"/>
              </w:rPr>
              <w:t xml:space="preserve">1.8 (1a), 0.65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V36M</w:t>
            </w:r>
          </w:p>
        </w:tc>
        <w:tc>
          <w:tcPr>
            <w:tcW w:w="1718" w:type="pct"/>
            <w:hideMark/>
          </w:tcPr>
          <w:p w:rsidR="00D75578" w:rsidRPr="00BA1372" w:rsidRDefault="00D75578" w:rsidP="00C60B78">
            <w:pPr>
              <w:rPr>
                <w:rFonts w:eastAsia="Times New Roman"/>
              </w:rPr>
            </w:pPr>
            <w:r w:rsidRPr="00BA1372">
              <w:rPr>
                <w:lang w:eastAsia="en-AU"/>
              </w:rPr>
              <w:t>2 (1a)</w:t>
            </w:r>
          </w:p>
        </w:tc>
        <w:tc>
          <w:tcPr>
            <w:tcW w:w="1718" w:type="pct"/>
            <w:hideMark/>
          </w:tcPr>
          <w:p w:rsidR="00D75578" w:rsidRPr="00BA1372" w:rsidRDefault="00D75578" w:rsidP="00C60B78">
            <w:pPr>
              <w:rPr>
                <w:rFonts w:eastAsia="Times New Roman"/>
              </w:rPr>
            </w:pPr>
            <w:r w:rsidRPr="00BA1372">
              <w:rPr>
                <w:lang w:eastAsia="en-AU"/>
              </w:rPr>
              <w:t xml:space="preserve">1.5 (1a),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T54A</w:t>
            </w:r>
          </w:p>
        </w:tc>
        <w:tc>
          <w:tcPr>
            <w:tcW w:w="1718" w:type="pct"/>
            <w:hideMark/>
          </w:tcPr>
          <w:p w:rsidR="00D75578" w:rsidRPr="00BA1372" w:rsidRDefault="00D75578" w:rsidP="00C60B78">
            <w:pPr>
              <w:rPr>
                <w:rFonts w:eastAsia="Times New Roman"/>
              </w:rPr>
            </w:pPr>
            <w:r w:rsidRPr="00BA1372">
              <w:rPr>
                <w:lang w:eastAsia="en-AU"/>
              </w:rPr>
              <w:t>0.4 (1a), 0.4 (1b)</w:t>
            </w:r>
          </w:p>
        </w:tc>
        <w:tc>
          <w:tcPr>
            <w:tcW w:w="1718" w:type="pct"/>
            <w:hideMark/>
          </w:tcPr>
          <w:p w:rsidR="00D75578" w:rsidRPr="00BA1372" w:rsidRDefault="00D75578" w:rsidP="00C60B78">
            <w:pPr>
              <w:rPr>
                <w:rFonts w:eastAsia="Times New Roman"/>
              </w:rPr>
            </w:pPr>
            <w:r w:rsidRPr="00BA1372">
              <w:rPr>
                <w:lang w:eastAsia="en-AU"/>
              </w:rPr>
              <w:t xml:space="preserve">0.33 (1a), 0.35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T54S</w:t>
            </w:r>
          </w:p>
        </w:tc>
        <w:tc>
          <w:tcPr>
            <w:tcW w:w="1718" w:type="pct"/>
            <w:hideMark/>
          </w:tcPr>
          <w:p w:rsidR="00D75578" w:rsidRPr="00BA1372" w:rsidRDefault="00D75578" w:rsidP="00C60B78">
            <w:pPr>
              <w:rPr>
                <w:rFonts w:eastAsia="Times New Roman"/>
              </w:rPr>
            </w:pPr>
            <w:r w:rsidRPr="00BA1372">
              <w:rPr>
                <w:lang w:eastAsia="en-AU"/>
              </w:rPr>
              <w:t>1 (1a), 2 (1b)</w:t>
            </w:r>
          </w:p>
        </w:tc>
        <w:tc>
          <w:tcPr>
            <w:tcW w:w="1718" w:type="pct"/>
            <w:hideMark/>
          </w:tcPr>
          <w:p w:rsidR="00D75578" w:rsidRPr="00BA1372" w:rsidRDefault="00D75578" w:rsidP="00C60B78">
            <w:pPr>
              <w:rPr>
                <w:rFonts w:eastAsia="Times New Roman"/>
              </w:rPr>
            </w:pPr>
            <w:r w:rsidRPr="00BA1372">
              <w:rPr>
                <w:lang w:eastAsia="en-AU"/>
              </w:rPr>
              <w:t xml:space="preserve">0.74 (1a), 1.6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Q80K</w:t>
            </w:r>
          </w:p>
        </w:tc>
        <w:tc>
          <w:tcPr>
            <w:tcW w:w="1718" w:type="pct"/>
            <w:hideMark/>
          </w:tcPr>
          <w:p w:rsidR="00D75578" w:rsidRPr="00BA1372" w:rsidRDefault="00D75578" w:rsidP="00C60B78">
            <w:pPr>
              <w:rPr>
                <w:rFonts w:eastAsia="Times New Roman"/>
              </w:rPr>
            </w:pPr>
            <w:r w:rsidRPr="00BA1372">
              <w:rPr>
                <w:lang w:eastAsia="en-AU"/>
              </w:rPr>
              <w:t>3 (1a), 6.5 (1b)</w:t>
            </w:r>
          </w:p>
        </w:tc>
        <w:tc>
          <w:tcPr>
            <w:tcW w:w="1718" w:type="pct"/>
            <w:hideMark/>
          </w:tcPr>
          <w:p w:rsidR="00D75578" w:rsidRPr="00BA1372" w:rsidRDefault="00D75578" w:rsidP="00C60B78">
            <w:pPr>
              <w:rPr>
                <w:rFonts w:eastAsia="Times New Roman"/>
              </w:rPr>
            </w:pPr>
            <w:r w:rsidRPr="00BA1372">
              <w:rPr>
                <w:lang w:eastAsia="en-AU"/>
              </w:rPr>
              <w:t xml:space="preserve">2.5 (1a), 5.6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lastRenderedPageBreak/>
              <w:t>Q80R</w:t>
            </w:r>
          </w:p>
        </w:tc>
        <w:tc>
          <w:tcPr>
            <w:tcW w:w="1718" w:type="pct"/>
            <w:hideMark/>
          </w:tcPr>
          <w:p w:rsidR="00D75578" w:rsidRPr="00BA1372" w:rsidRDefault="00D75578" w:rsidP="00C60B78">
            <w:pPr>
              <w:rPr>
                <w:rFonts w:eastAsia="Times New Roman"/>
              </w:rPr>
            </w:pPr>
            <w:r w:rsidRPr="00BA1372">
              <w:rPr>
                <w:lang w:eastAsia="en-AU"/>
              </w:rPr>
              <w:t>5 (1b)</w:t>
            </w:r>
          </w:p>
        </w:tc>
        <w:tc>
          <w:tcPr>
            <w:tcW w:w="1718" w:type="pct"/>
            <w:hideMark/>
          </w:tcPr>
          <w:p w:rsidR="00D75578" w:rsidRPr="00BA1372" w:rsidRDefault="00D75578" w:rsidP="00C60B78">
            <w:pPr>
              <w:rPr>
                <w:rFonts w:eastAsia="Times New Roman"/>
              </w:rPr>
            </w:pPr>
            <w:r w:rsidRPr="00BA1372">
              <w:rPr>
                <w:lang w:eastAsia="en-AU"/>
              </w:rPr>
              <w:t xml:space="preserve">4.0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R155K</w:t>
            </w:r>
          </w:p>
        </w:tc>
        <w:tc>
          <w:tcPr>
            <w:tcW w:w="1718" w:type="pct"/>
            <w:hideMark/>
          </w:tcPr>
          <w:p w:rsidR="00D75578" w:rsidRPr="00BA1372" w:rsidRDefault="00D75578" w:rsidP="00C60B78">
            <w:pPr>
              <w:rPr>
                <w:rFonts w:eastAsia="Times New Roman"/>
              </w:rPr>
            </w:pPr>
            <w:r w:rsidRPr="00BA1372">
              <w:rPr>
                <w:lang w:eastAsia="en-AU"/>
              </w:rPr>
              <w:t>21 (1a)</w:t>
            </w:r>
          </w:p>
        </w:tc>
        <w:tc>
          <w:tcPr>
            <w:tcW w:w="1718" w:type="pct"/>
            <w:hideMark/>
          </w:tcPr>
          <w:p w:rsidR="00D75578" w:rsidRPr="00BA1372" w:rsidRDefault="00D75578" w:rsidP="00C60B78">
            <w:pPr>
              <w:rPr>
                <w:rFonts w:eastAsia="Times New Roman"/>
              </w:rPr>
            </w:pPr>
            <w:r w:rsidRPr="00BA1372">
              <w:rPr>
                <w:lang w:eastAsia="en-AU"/>
              </w:rPr>
              <w:t xml:space="preserve">16 (1a),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V36M+R155K</w:t>
            </w:r>
          </w:p>
        </w:tc>
        <w:tc>
          <w:tcPr>
            <w:tcW w:w="1718" w:type="pct"/>
            <w:hideMark/>
          </w:tcPr>
          <w:p w:rsidR="00D75578" w:rsidRPr="00BA1372" w:rsidRDefault="00D75578" w:rsidP="00C60B78">
            <w:pPr>
              <w:rPr>
                <w:rFonts w:eastAsia="Times New Roman"/>
              </w:rPr>
            </w:pPr>
            <w:r w:rsidRPr="00BA1372">
              <w:rPr>
                <w:lang w:eastAsia="en-AU"/>
              </w:rPr>
              <w:t>55 (1a)</w:t>
            </w:r>
          </w:p>
        </w:tc>
        <w:tc>
          <w:tcPr>
            <w:tcW w:w="1718" w:type="pct"/>
            <w:hideMark/>
          </w:tcPr>
          <w:p w:rsidR="00D75578" w:rsidRPr="00BA1372" w:rsidRDefault="00D75578" w:rsidP="00C60B78">
            <w:pPr>
              <w:rPr>
                <w:rFonts w:eastAsia="Times New Roman"/>
              </w:rPr>
            </w:pPr>
            <w:r w:rsidRPr="00BA1372">
              <w:rPr>
                <w:lang w:eastAsia="en-AU"/>
              </w:rPr>
              <w:t xml:space="preserve">42 (1a),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D168A</w:t>
            </w:r>
          </w:p>
        </w:tc>
        <w:tc>
          <w:tcPr>
            <w:tcW w:w="1718" w:type="pct"/>
            <w:hideMark/>
          </w:tcPr>
          <w:p w:rsidR="00D75578" w:rsidRPr="00BA1372" w:rsidRDefault="00D75578" w:rsidP="00C60B78">
            <w:pPr>
              <w:rPr>
                <w:rFonts w:eastAsia="Times New Roman"/>
              </w:rPr>
            </w:pPr>
            <w:r w:rsidRPr="00BA1372">
              <w:rPr>
                <w:lang w:eastAsia="en-AU"/>
              </w:rPr>
              <w:t>127 (1b)</w:t>
            </w:r>
          </w:p>
        </w:tc>
        <w:tc>
          <w:tcPr>
            <w:tcW w:w="1718" w:type="pct"/>
            <w:hideMark/>
          </w:tcPr>
          <w:p w:rsidR="00D75578" w:rsidRPr="00BA1372" w:rsidRDefault="00D75578" w:rsidP="00C60B78">
            <w:pPr>
              <w:rPr>
                <w:rFonts w:eastAsia="Times New Roman"/>
              </w:rPr>
            </w:pPr>
            <w:r w:rsidRPr="00BA1372">
              <w:rPr>
                <w:lang w:eastAsia="en-AU"/>
              </w:rPr>
              <w:t xml:space="preserve">109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D168G</w:t>
            </w:r>
          </w:p>
        </w:tc>
        <w:tc>
          <w:tcPr>
            <w:tcW w:w="1718" w:type="pct"/>
            <w:hideMark/>
          </w:tcPr>
          <w:p w:rsidR="00D75578" w:rsidRPr="00BA1372" w:rsidRDefault="00D75578" w:rsidP="00C60B78">
            <w:pPr>
              <w:rPr>
                <w:rFonts w:eastAsia="Times New Roman"/>
              </w:rPr>
            </w:pPr>
            <w:r w:rsidRPr="00BA1372">
              <w:rPr>
                <w:lang w:eastAsia="en-AU"/>
              </w:rPr>
              <w:t>14 (1a), 16 (1b)</w:t>
            </w:r>
          </w:p>
        </w:tc>
        <w:tc>
          <w:tcPr>
            <w:tcW w:w="1718" w:type="pct"/>
            <w:hideMark/>
          </w:tcPr>
          <w:p w:rsidR="00D75578" w:rsidRPr="00BA1372" w:rsidRDefault="00D75578" w:rsidP="00C60B78">
            <w:pPr>
              <w:rPr>
                <w:rFonts w:eastAsia="Times New Roman"/>
              </w:rPr>
            </w:pPr>
            <w:r w:rsidRPr="00BA1372">
              <w:rPr>
                <w:lang w:eastAsia="en-AU"/>
              </w:rPr>
              <w:t xml:space="preserve">11 (1a), 13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D168V</w:t>
            </w:r>
          </w:p>
        </w:tc>
        <w:tc>
          <w:tcPr>
            <w:tcW w:w="1718" w:type="pct"/>
            <w:hideMark/>
          </w:tcPr>
          <w:p w:rsidR="00D75578" w:rsidRPr="00BA1372" w:rsidRDefault="00D75578" w:rsidP="00C60B78">
            <w:pPr>
              <w:rPr>
                <w:rFonts w:eastAsia="Times New Roman"/>
              </w:rPr>
            </w:pPr>
            <w:r w:rsidRPr="00BA1372">
              <w:rPr>
                <w:lang w:eastAsia="en-AU"/>
              </w:rPr>
              <w:t>373 (1a), 280 (1b)</w:t>
            </w:r>
          </w:p>
        </w:tc>
        <w:tc>
          <w:tcPr>
            <w:tcW w:w="1718" w:type="pct"/>
            <w:hideMark/>
          </w:tcPr>
          <w:p w:rsidR="00D75578" w:rsidRPr="00BA1372" w:rsidRDefault="00D75578" w:rsidP="00C60B78">
            <w:pPr>
              <w:rPr>
                <w:rFonts w:eastAsia="Times New Roman"/>
              </w:rPr>
            </w:pPr>
            <w:r w:rsidRPr="00BA1372">
              <w:rPr>
                <w:lang w:eastAsia="en-AU"/>
              </w:rPr>
              <w:t xml:space="preserve">283 (1a), 241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D168Y</w:t>
            </w:r>
          </w:p>
        </w:tc>
        <w:tc>
          <w:tcPr>
            <w:tcW w:w="1718" w:type="pct"/>
            <w:hideMark/>
          </w:tcPr>
          <w:p w:rsidR="00D75578" w:rsidRPr="00BA1372" w:rsidRDefault="00D75578" w:rsidP="00C60B78">
            <w:pPr>
              <w:rPr>
                <w:rFonts w:eastAsia="Times New Roman"/>
              </w:rPr>
            </w:pPr>
            <w:r w:rsidRPr="00BA1372">
              <w:rPr>
                <w:lang w:eastAsia="en-AU"/>
              </w:rPr>
              <w:t>238 (1b)</w:t>
            </w:r>
          </w:p>
        </w:tc>
        <w:tc>
          <w:tcPr>
            <w:tcW w:w="1718" w:type="pct"/>
            <w:hideMark/>
          </w:tcPr>
          <w:p w:rsidR="00D75578" w:rsidRPr="00BA1372" w:rsidRDefault="00D75578" w:rsidP="00C60B78">
            <w:pPr>
              <w:rPr>
                <w:rFonts w:eastAsia="Times New Roman"/>
              </w:rPr>
            </w:pPr>
            <w:r w:rsidRPr="00BA1372">
              <w:rPr>
                <w:lang w:eastAsia="en-AU"/>
              </w:rPr>
              <w:t xml:space="preserve">205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Q80K+D168V</w:t>
            </w:r>
          </w:p>
        </w:tc>
        <w:tc>
          <w:tcPr>
            <w:tcW w:w="1718" w:type="pct"/>
            <w:hideMark/>
          </w:tcPr>
          <w:p w:rsidR="00D75578" w:rsidRPr="00BA1372" w:rsidRDefault="00D75578" w:rsidP="00C60B78">
            <w:pPr>
              <w:rPr>
                <w:rFonts w:eastAsia="Times New Roman"/>
              </w:rPr>
            </w:pPr>
            <w:r w:rsidRPr="00BA1372">
              <w:rPr>
                <w:lang w:eastAsia="en-AU"/>
              </w:rPr>
              <w:t>713 (1a)</w:t>
            </w:r>
          </w:p>
        </w:tc>
        <w:tc>
          <w:tcPr>
            <w:tcW w:w="1718" w:type="pct"/>
            <w:hideMark/>
          </w:tcPr>
          <w:p w:rsidR="00D75578" w:rsidRPr="00BA1372" w:rsidRDefault="00D75578" w:rsidP="00C60B78">
            <w:pPr>
              <w:rPr>
                <w:rFonts w:eastAsia="Times New Roman"/>
              </w:rPr>
            </w:pPr>
            <w:r w:rsidRPr="00BA1372">
              <w:rPr>
                <w:lang w:eastAsia="en-AU"/>
              </w:rPr>
              <w:t xml:space="preserve">542 (1a),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I170T</w:t>
            </w:r>
          </w:p>
        </w:tc>
        <w:tc>
          <w:tcPr>
            <w:tcW w:w="1718" w:type="pct"/>
            <w:hideMark/>
          </w:tcPr>
          <w:p w:rsidR="00D75578" w:rsidRPr="00BA1372" w:rsidRDefault="00D75578" w:rsidP="00C60B78">
            <w:pPr>
              <w:rPr>
                <w:rFonts w:eastAsia="Times New Roman"/>
              </w:rPr>
            </w:pPr>
            <w:r w:rsidRPr="00BA1372">
              <w:rPr>
                <w:lang w:eastAsia="en-AU"/>
              </w:rPr>
              <w:t>5 (1a)</w:t>
            </w:r>
          </w:p>
        </w:tc>
        <w:tc>
          <w:tcPr>
            <w:tcW w:w="1718" w:type="pct"/>
            <w:hideMark/>
          </w:tcPr>
          <w:p w:rsidR="00D75578" w:rsidRPr="00BA1372" w:rsidRDefault="00D75578" w:rsidP="00C60B78">
            <w:pPr>
              <w:rPr>
                <w:rFonts w:eastAsia="Times New Roman"/>
              </w:rPr>
            </w:pPr>
            <w:r w:rsidRPr="00BA1372">
              <w:rPr>
                <w:lang w:eastAsia="en-AU"/>
              </w:rPr>
              <w:t xml:space="preserve">3.6 (1a),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A156S</w:t>
            </w:r>
          </w:p>
        </w:tc>
        <w:tc>
          <w:tcPr>
            <w:tcW w:w="1718" w:type="pct"/>
            <w:hideMark/>
          </w:tcPr>
          <w:p w:rsidR="00D75578" w:rsidRPr="00BA1372" w:rsidRDefault="00D75578" w:rsidP="00C60B78">
            <w:pPr>
              <w:rPr>
                <w:rFonts w:eastAsia="Times New Roman"/>
              </w:rPr>
            </w:pPr>
            <w:r w:rsidRPr="00BA1372">
              <w:rPr>
                <w:lang w:eastAsia="en-AU"/>
              </w:rPr>
              <w:t>7 (1b)</w:t>
            </w:r>
          </w:p>
        </w:tc>
        <w:tc>
          <w:tcPr>
            <w:tcW w:w="1718" w:type="pct"/>
            <w:hideMark/>
          </w:tcPr>
          <w:p w:rsidR="00D75578" w:rsidRPr="00BA1372" w:rsidRDefault="00D75578" w:rsidP="00C60B78">
            <w:pPr>
              <w:rPr>
                <w:rFonts w:eastAsia="Times New Roman"/>
              </w:rPr>
            </w:pPr>
            <w:r w:rsidRPr="00BA1372">
              <w:rPr>
                <w:lang w:eastAsia="en-AU"/>
              </w:rPr>
              <w:t xml:space="preserve">5.9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A156T</w:t>
            </w:r>
          </w:p>
        </w:tc>
        <w:tc>
          <w:tcPr>
            <w:tcW w:w="1718" w:type="pct"/>
            <w:hideMark/>
          </w:tcPr>
          <w:p w:rsidR="00D75578" w:rsidRPr="00BA1372" w:rsidRDefault="00D75578" w:rsidP="00C60B78">
            <w:pPr>
              <w:rPr>
                <w:rFonts w:eastAsia="Times New Roman"/>
              </w:rPr>
            </w:pPr>
            <w:r w:rsidRPr="00BA1372">
              <w:rPr>
                <w:lang w:eastAsia="en-AU"/>
              </w:rPr>
              <w:t>6 (1b)</w:t>
            </w:r>
          </w:p>
        </w:tc>
        <w:tc>
          <w:tcPr>
            <w:tcW w:w="1718" w:type="pct"/>
            <w:hideMark/>
          </w:tcPr>
          <w:p w:rsidR="00D75578" w:rsidRPr="00BA1372" w:rsidRDefault="00D75578" w:rsidP="00C60B78">
            <w:pPr>
              <w:rPr>
                <w:rFonts w:eastAsia="Times New Roman"/>
              </w:rPr>
            </w:pPr>
            <w:r w:rsidRPr="00BA1372">
              <w:rPr>
                <w:lang w:eastAsia="en-AU"/>
              </w:rPr>
              <w:t xml:space="preserve">5.4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A156V</w:t>
            </w:r>
          </w:p>
        </w:tc>
        <w:tc>
          <w:tcPr>
            <w:tcW w:w="1718" w:type="pct"/>
            <w:hideMark/>
          </w:tcPr>
          <w:p w:rsidR="00D75578" w:rsidRPr="00BA1372" w:rsidRDefault="00D75578" w:rsidP="00C60B78">
            <w:pPr>
              <w:rPr>
                <w:rFonts w:eastAsia="Times New Roman"/>
              </w:rPr>
            </w:pPr>
            <w:r w:rsidRPr="00BA1372">
              <w:rPr>
                <w:lang w:eastAsia="en-AU"/>
              </w:rPr>
              <w:t>20 (1b)</w:t>
            </w:r>
          </w:p>
        </w:tc>
        <w:tc>
          <w:tcPr>
            <w:tcW w:w="1718" w:type="pct"/>
            <w:hideMark/>
          </w:tcPr>
          <w:p w:rsidR="00D75578" w:rsidRPr="00BA1372" w:rsidRDefault="00D75578" w:rsidP="00C60B78">
            <w:pPr>
              <w:rPr>
                <w:rFonts w:eastAsia="Times New Roman"/>
              </w:rPr>
            </w:pPr>
            <w:r w:rsidRPr="00BA1372">
              <w:rPr>
                <w:lang w:eastAsia="en-AU"/>
              </w:rPr>
              <w:t xml:space="preserve">17 (1b) </w:t>
            </w:r>
          </w:p>
        </w:tc>
      </w:tr>
      <w:tr w:rsidR="00D75578" w:rsidTr="00C60B78">
        <w:trPr>
          <w:trHeight w:val="113"/>
        </w:trPr>
        <w:tc>
          <w:tcPr>
            <w:tcW w:w="1564" w:type="pct"/>
            <w:hideMark/>
          </w:tcPr>
          <w:p w:rsidR="00D75578" w:rsidRPr="00BA1372" w:rsidRDefault="00D75578" w:rsidP="00C60B78">
            <w:pPr>
              <w:rPr>
                <w:rFonts w:eastAsia="Times New Roman"/>
              </w:rPr>
            </w:pPr>
            <w:r w:rsidRPr="00BA1372">
              <w:rPr>
                <w:lang w:eastAsia="en-AU"/>
              </w:rPr>
              <w:t>V170A</w:t>
            </w:r>
          </w:p>
        </w:tc>
        <w:tc>
          <w:tcPr>
            <w:tcW w:w="1718" w:type="pct"/>
            <w:hideMark/>
          </w:tcPr>
          <w:p w:rsidR="00D75578" w:rsidRPr="00BA1372" w:rsidRDefault="00D75578" w:rsidP="00C60B78">
            <w:pPr>
              <w:rPr>
                <w:rFonts w:eastAsia="Times New Roman"/>
              </w:rPr>
            </w:pPr>
            <w:r w:rsidRPr="00BA1372">
              <w:rPr>
                <w:lang w:eastAsia="en-AU"/>
              </w:rPr>
              <w:t>2 (1b)</w:t>
            </w:r>
          </w:p>
        </w:tc>
        <w:tc>
          <w:tcPr>
            <w:tcW w:w="1718" w:type="pct"/>
            <w:hideMark/>
          </w:tcPr>
          <w:p w:rsidR="00D75578" w:rsidRPr="00BA1372" w:rsidRDefault="00D75578" w:rsidP="00C60B78">
            <w:pPr>
              <w:rPr>
                <w:rFonts w:eastAsia="Times New Roman"/>
              </w:rPr>
            </w:pPr>
            <w:r w:rsidRPr="00BA1372">
              <w:rPr>
                <w:lang w:eastAsia="en-AU"/>
              </w:rPr>
              <w:t xml:space="preserve">1.6 (1b) </w:t>
            </w:r>
          </w:p>
        </w:tc>
      </w:tr>
    </w:tbl>
    <w:p w:rsidR="00D75578" w:rsidRDefault="00D75578" w:rsidP="004936B4">
      <w:pPr>
        <w:pStyle w:val="Standard"/>
        <w:spacing w:before="240"/>
        <w:rPr>
          <w:szCs w:val="22"/>
        </w:rPr>
      </w:pPr>
      <w:proofErr w:type="spellStart"/>
      <w:r w:rsidRPr="004936B4">
        <w:t>Asunaprevir</w:t>
      </w:r>
      <w:proofErr w:type="spellEnd"/>
      <w:r w:rsidRPr="004936B4">
        <w:t xml:space="preserve"> exhibited no to moderate cross-resistance against HCV replicons conferring resistance to inhibitors such as </w:t>
      </w:r>
      <w:proofErr w:type="spellStart"/>
      <w:r w:rsidRPr="004936B4">
        <w:t>boceprevir</w:t>
      </w:r>
      <w:proofErr w:type="spellEnd"/>
      <w:r w:rsidRPr="004936B4">
        <w:t xml:space="preserve"> and </w:t>
      </w:r>
      <w:proofErr w:type="spellStart"/>
      <w:r w:rsidRPr="004936B4">
        <w:t>telaprevir</w:t>
      </w:r>
      <w:proofErr w:type="spellEnd"/>
      <w:r w:rsidR="004936B4">
        <w:rPr>
          <w:rStyle w:val="FootnoteReference"/>
        </w:rPr>
        <w:footnoteReference w:id="13"/>
      </w:r>
      <w:r w:rsidRPr="004936B4">
        <w:t xml:space="preserve">. Against GT-1a replicons carrying NS3 protease substitutions at amino acid positions V36 (V36A/M), T54 (T54A/S), R155 (R155K), and V36-R155 (V36M- R155K) </w:t>
      </w:r>
      <w:proofErr w:type="spellStart"/>
      <w:r w:rsidRPr="004936B4">
        <w:t>asunaprevir</w:t>
      </w:r>
      <w:proofErr w:type="spellEnd"/>
      <w:r w:rsidRPr="004936B4">
        <w:t xml:space="preserve"> exhibited </w:t>
      </w:r>
      <w:r w:rsidR="000F1CA4">
        <w:t>EC</w:t>
      </w:r>
      <w:r w:rsidR="000F1CA4">
        <w:rPr>
          <w:vertAlign w:val="subscript"/>
        </w:rPr>
        <w:t>50</w:t>
      </w:r>
      <w:r w:rsidRPr="004936B4">
        <w:t xml:space="preserve"> values ranging from 0.33 to 42 </w:t>
      </w:r>
      <w:proofErr w:type="spellStart"/>
      <w:r w:rsidRPr="004936B4">
        <w:t>nM</w:t>
      </w:r>
      <w:proofErr w:type="spellEnd"/>
      <w:r w:rsidRPr="004936B4">
        <w:t xml:space="preserve"> (parent GT-1a replicon </w:t>
      </w:r>
      <w:r w:rsidR="000F1CA4">
        <w:t>EC</w:t>
      </w:r>
      <w:r w:rsidR="000F1CA4">
        <w:rPr>
          <w:vertAlign w:val="subscript"/>
        </w:rPr>
        <w:t>50</w:t>
      </w:r>
      <w:r w:rsidRPr="004936B4">
        <w:t xml:space="preserve"> = 0.76 </w:t>
      </w:r>
      <w:proofErr w:type="spellStart"/>
      <w:r w:rsidRPr="004936B4">
        <w:t>nM</w:t>
      </w:r>
      <w:proofErr w:type="spellEnd"/>
      <w:r w:rsidRPr="004936B4">
        <w:t>). Against GT-1b replicons carrying NS3 protease substitutions at amino acid positions A156 (A156 to serine,</w:t>
      </w:r>
      <w:r>
        <w:rPr>
          <w:szCs w:val="22"/>
        </w:rPr>
        <w:t xml:space="preserve"> threonine or valine), </w:t>
      </w:r>
      <w:proofErr w:type="spellStart"/>
      <w:r>
        <w:rPr>
          <w:szCs w:val="22"/>
        </w:rPr>
        <w:t>asunaprevir</w:t>
      </w:r>
      <w:proofErr w:type="spellEnd"/>
      <w:r>
        <w:rPr>
          <w:szCs w:val="22"/>
        </w:rPr>
        <w:t xml:space="preserve"> demonstrated low to moderate resistance with </w:t>
      </w:r>
      <w:r w:rsidR="000F1CA4">
        <w:t>EC</w:t>
      </w:r>
      <w:r w:rsidR="000F1CA4">
        <w:rPr>
          <w:vertAlign w:val="subscript"/>
        </w:rPr>
        <w:t>50</w:t>
      </w:r>
      <w:r>
        <w:rPr>
          <w:szCs w:val="22"/>
        </w:rPr>
        <w:t xml:space="preserve"> values of 5.4 to 17 </w:t>
      </w:r>
      <w:proofErr w:type="spellStart"/>
      <w:r>
        <w:rPr>
          <w:szCs w:val="22"/>
        </w:rPr>
        <w:t>nM</w:t>
      </w:r>
      <w:proofErr w:type="spellEnd"/>
      <w:r>
        <w:rPr>
          <w:szCs w:val="22"/>
        </w:rPr>
        <w:t xml:space="preserve"> (parent GT-1b replicon </w:t>
      </w:r>
      <w:r w:rsidR="000F1CA4">
        <w:t>EC</w:t>
      </w:r>
      <w:r w:rsidR="000F1CA4">
        <w:rPr>
          <w:vertAlign w:val="subscript"/>
        </w:rPr>
        <w:t>50</w:t>
      </w:r>
      <w:r>
        <w:rPr>
          <w:szCs w:val="22"/>
        </w:rPr>
        <w:t xml:space="preserve"> = 0.86 </w:t>
      </w:r>
      <w:proofErr w:type="spellStart"/>
      <w:r>
        <w:rPr>
          <w:szCs w:val="22"/>
        </w:rPr>
        <w:t>nM</w:t>
      </w:r>
      <w:proofErr w:type="spellEnd"/>
      <w:r>
        <w:rPr>
          <w:szCs w:val="22"/>
        </w:rPr>
        <w:t xml:space="preserve">). These mutations are not expected to confer resistance to </w:t>
      </w:r>
      <w:proofErr w:type="spellStart"/>
      <w:r>
        <w:rPr>
          <w:szCs w:val="22"/>
        </w:rPr>
        <w:t>asunaprevir</w:t>
      </w:r>
      <w:proofErr w:type="spellEnd"/>
      <w:r>
        <w:rPr>
          <w:szCs w:val="22"/>
        </w:rPr>
        <w:t xml:space="preserve"> (which has a clinical</w:t>
      </w:r>
      <w:r w:rsidR="001F3724">
        <w:rPr>
          <w:szCs w:val="22"/>
        </w:rPr>
        <w:t xml:space="preserve"> </w:t>
      </w:r>
      <w:proofErr w:type="spellStart"/>
      <w:r w:rsidR="001F3724" w:rsidRPr="00D85066">
        <w:t>C</w:t>
      </w:r>
      <w:r w:rsidR="001F3724" w:rsidRPr="001F3724">
        <w:rPr>
          <w:vertAlign w:val="subscript"/>
        </w:rPr>
        <w:t>max</w:t>
      </w:r>
      <w:proofErr w:type="spellEnd"/>
      <w:r>
        <w:rPr>
          <w:szCs w:val="22"/>
        </w:rPr>
        <w:t xml:space="preserve"> of </w:t>
      </w:r>
      <w:r>
        <w:rPr>
          <w:rFonts w:eastAsia="Calibri"/>
          <w:szCs w:val="22"/>
        </w:rPr>
        <w:t xml:space="preserve">560 </w:t>
      </w:r>
      <w:proofErr w:type="spellStart"/>
      <w:r>
        <w:rPr>
          <w:rFonts w:eastAsia="Calibri"/>
          <w:szCs w:val="22"/>
        </w:rPr>
        <w:t>nM</w:t>
      </w:r>
      <w:proofErr w:type="spellEnd"/>
      <w:r>
        <w:rPr>
          <w:rFonts w:eastAsia="Calibri"/>
          <w:szCs w:val="22"/>
        </w:rPr>
        <w:t>)</w:t>
      </w:r>
      <w:proofErr w:type="gramStart"/>
      <w:r>
        <w:rPr>
          <w:rFonts w:eastAsia="Calibri"/>
          <w:szCs w:val="22"/>
        </w:rPr>
        <w:t>,</w:t>
      </w:r>
      <w:proofErr w:type="gramEnd"/>
      <w:r>
        <w:rPr>
          <w:rFonts w:eastAsia="Calibri"/>
          <w:szCs w:val="22"/>
        </w:rPr>
        <w:t xml:space="preserve"> therefore </w:t>
      </w:r>
      <w:proofErr w:type="spellStart"/>
      <w:r>
        <w:rPr>
          <w:szCs w:val="22"/>
        </w:rPr>
        <w:t>asunaprevir</w:t>
      </w:r>
      <w:proofErr w:type="spellEnd"/>
      <w:r>
        <w:rPr>
          <w:szCs w:val="22"/>
        </w:rPr>
        <w:t xml:space="preserve"> could be efficacious against </w:t>
      </w:r>
      <w:proofErr w:type="spellStart"/>
      <w:r>
        <w:rPr>
          <w:szCs w:val="22"/>
        </w:rPr>
        <w:t>boceprevir</w:t>
      </w:r>
      <w:proofErr w:type="spellEnd"/>
      <w:r>
        <w:rPr>
          <w:szCs w:val="22"/>
        </w:rPr>
        <w:t xml:space="preserve"> and </w:t>
      </w:r>
      <w:proofErr w:type="spellStart"/>
      <w:r>
        <w:rPr>
          <w:szCs w:val="22"/>
        </w:rPr>
        <w:t>telaprevir</w:t>
      </w:r>
      <w:proofErr w:type="spellEnd"/>
      <w:r>
        <w:rPr>
          <w:szCs w:val="22"/>
        </w:rPr>
        <w:t xml:space="preserve"> resistant HCV strains.</w:t>
      </w:r>
    </w:p>
    <w:p w:rsidR="00D75578" w:rsidRDefault="00D75578" w:rsidP="00B70E14">
      <w:pPr>
        <w:rPr>
          <w:snapToGrid w:val="0"/>
        </w:rPr>
      </w:pPr>
      <w:r>
        <w:rPr>
          <w:snapToGrid w:val="0"/>
        </w:rPr>
        <w:t>The potency of an NS5A inhibitor against GT-1a replicons with NS3 substitutions R155K, V36M+R155K, D168G and I170T (</w:t>
      </w:r>
      <w:r w:rsidR="000F1CA4">
        <w:t>EC</w:t>
      </w:r>
      <w:r w:rsidR="000F1CA4">
        <w:rPr>
          <w:vertAlign w:val="subscript"/>
        </w:rPr>
        <w:t>50</w:t>
      </w:r>
      <w:r>
        <w:rPr>
          <w:snapToGrid w:val="0"/>
        </w:rPr>
        <w:t xml:space="preserve">s ranging from 3.1 to 4.4 </w:t>
      </w:r>
      <w:proofErr w:type="spellStart"/>
      <w:r>
        <w:rPr>
          <w:snapToGrid w:val="0"/>
        </w:rPr>
        <w:t>pM</w:t>
      </w:r>
      <w:proofErr w:type="spellEnd"/>
      <w:r>
        <w:rPr>
          <w:snapToGrid w:val="0"/>
        </w:rPr>
        <w:t xml:space="preserve">) was unchanged </w:t>
      </w:r>
      <w:r w:rsidR="004936B4">
        <w:rPr>
          <w:snapToGrid w:val="0"/>
        </w:rPr>
        <w:t>compared to the</w:t>
      </w:r>
      <w:r>
        <w:rPr>
          <w:snapToGrid w:val="0"/>
        </w:rPr>
        <w:t xml:space="preserve"> potency against the parent GT-1a replicon (</w:t>
      </w:r>
      <w:r w:rsidR="000F1CA4">
        <w:t>EC</w:t>
      </w:r>
      <w:r w:rsidR="000F1CA4">
        <w:rPr>
          <w:vertAlign w:val="subscript"/>
        </w:rPr>
        <w:t>50</w:t>
      </w:r>
      <w:r>
        <w:rPr>
          <w:snapToGrid w:val="0"/>
        </w:rPr>
        <w:t xml:space="preserve">: 4.8 </w:t>
      </w:r>
      <w:proofErr w:type="spellStart"/>
      <w:r>
        <w:rPr>
          <w:snapToGrid w:val="0"/>
        </w:rPr>
        <w:t>pM</w:t>
      </w:r>
      <w:proofErr w:type="spellEnd"/>
      <w:r>
        <w:rPr>
          <w:snapToGrid w:val="0"/>
        </w:rPr>
        <w:t>), confirming the value of using multi-therapy with drugs with different mechanisms of action in order to contain the development of resistant virus strains.</w:t>
      </w:r>
    </w:p>
    <w:p w:rsidR="00C60B78" w:rsidRDefault="00D75578" w:rsidP="00511E8B">
      <w:r w:rsidRPr="00511E8B">
        <w:t xml:space="preserve">Treatment of HCV GT-1b replicon cells with combinations of </w:t>
      </w:r>
      <w:proofErr w:type="spellStart"/>
      <w:r w:rsidRPr="00511E8B">
        <w:t>asunaprevir</w:t>
      </w:r>
      <w:proofErr w:type="spellEnd"/>
      <w:r w:rsidRPr="00511E8B">
        <w:t xml:space="preserve"> and </w:t>
      </w:r>
      <w:r w:rsidR="00B70E14" w:rsidRPr="00511E8B">
        <w:t>interferon alpha (</w:t>
      </w:r>
      <w:r w:rsidRPr="00511E8B">
        <w:t>IFNα</w:t>
      </w:r>
      <w:r w:rsidR="00B70E14" w:rsidRPr="00511E8B">
        <w:t>)</w:t>
      </w:r>
      <w:r w:rsidRPr="00511E8B">
        <w:t xml:space="preserve"> or ribavirin, and/or drugs targeting NS5A (</w:t>
      </w:r>
      <w:proofErr w:type="spellStart"/>
      <w:r w:rsidRPr="00511E8B">
        <w:t>daclastavir</w:t>
      </w:r>
      <w:proofErr w:type="spellEnd"/>
      <w:r w:rsidRPr="00511E8B">
        <w:t xml:space="preserve">) and/or NS5B (BMS-791325) displayed additive to synergistic effects, and did not display antagonistic effects. Treatment of HCV GT-1a replicons and HCV GT-1a replicons carrying the NS3 substitution </w:t>
      </w:r>
      <w:r w:rsidRPr="00511E8B">
        <w:lastRenderedPageBreak/>
        <w:t xml:space="preserve">R155K with a combination of </w:t>
      </w:r>
      <w:proofErr w:type="spellStart"/>
      <w:r w:rsidRPr="00511E8B">
        <w:t>asunaprevir</w:t>
      </w:r>
      <w:proofErr w:type="spellEnd"/>
      <w:r w:rsidRPr="00511E8B">
        <w:t xml:space="preserve">, </w:t>
      </w:r>
      <w:proofErr w:type="spellStart"/>
      <w:r w:rsidRPr="00511E8B">
        <w:t>daclatasvir</w:t>
      </w:r>
      <w:proofErr w:type="spellEnd"/>
      <w:r w:rsidRPr="00511E8B">
        <w:t xml:space="preserve"> and interferon-</w:t>
      </w:r>
      <w:proofErr w:type="spellStart"/>
      <w:r w:rsidRPr="00511E8B">
        <w:t>alfa</w:t>
      </w:r>
      <w:proofErr w:type="spellEnd"/>
      <w:r w:rsidRPr="00511E8B">
        <w:t xml:space="preserve"> also suppressed HCV RNA replication.</w:t>
      </w:r>
    </w:p>
    <w:p w:rsidR="00D75578" w:rsidRDefault="00D75578" w:rsidP="00D75578">
      <w:pPr>
        <w:autoSpaceDE w:val="0"/>
        <w:autoSpaceDN w:val="0"/>
        <w:adjustRightInd w:val="0"/>
      </w:pPr>
      <w:r>
        <w:t xml:space="preserve">This further confirmed that drugs targeting multiple viral targets are of potential value against emerging resistant virus. It is noted that </w:t>
      </w:r>
      <w:proofErr w:type="spellStart"/>
      <w:r>
        <w:t>asunaprevir</w:t>
      </w:r>
      <w:proofErr w:type="spellEnd"/>
      <w:r>
        <w:t xml:space="preserve"> is not indicated as monotherapy due to the propensity for resistance. Cross-resistance with </w:t>
      </w:r>
      <w:proofErr w:type="spellStart"/>
      <w:r>
        <w:t>daclatasvir</w:t>
      </w:r>
      <w:proofErr w:type="spellEnd"/>
      <w:r>
        <w:t xml:space="preserve">, </w:t>
      </w:r>
      <w:proofErr w:type="spellStart"/>
      <w:r>
        <w:t>peginterferon</w:t>
      </w:r>
      <w:proofErr w:type="spellEnd"/>
      <w:r>
        <w:t xml:space="preserve"> </w:t>
      </w:r>
      <w:proofErr w:type="spellStart"/>
      <w:r>
        <w:t>alfa</w:t>
      </w:r>
      <w:proofErr w:type="spellEnd"/>
      <w:r>
        <w:t xml:space="preserve"> and ribavirin is not expected due to their differing mechanisms of action.</w:t>
      </w:r>
    </w:p>
    <w:p w:rsidR="00C60B78" w:rsidRDefault="00D75578" w:rsidP="004936B4">
      <w:pPr>
        <w:pStyle w:val="Heading5"/>
      </w:pPr>
      <w:r>
        <w:t>Secondary pharmacodynamics</w:t>
      </w:r>
    </w:p>
    <w:p w:rsidR="00D75578" w:rsidRDefault="00D75578" w:rsidP="0088637B">
      <w:pPr>
        <w:rPr>
          <w:kern w:val="16"/>
        </w:rPr>
      </w:pPr>
      <w:r>
        <w:t xml:space="preserve">In </w:t>
      </w:r>
      <w:r w:rsidR="003B327F" w:rsidRPr="003B327F">
        <w:t>in vitro</w:t>
      </w:r>
      <w:r>
        <w:t xml:space="preserve"> assays, </w:t>
      </w:r>
      <w:proofErr w:type="spellStart"/>
      <w:r>
        <w:t>asunaprevir</w:t>
      </w:r>
      <w:proofErr w:type="spellEnd"/>
      <w:r>
        <w:t xml:space="preserve"> had no antiviral activity against HIV, human rhinovirus or human coronavirus strains at concentrations significantly greater than would be expected clinically. Therefore, </w:t>
      </w:r>
      <w:proofErr w:type="spellStart"/>
      <w:r>
        <w:t>asunaprevir</w:t>
      </w:r>
      <w:proofErr w:type="spellEnd"/>
      <w:r>
        <w:t xml:space="preserve"> is not expected to have an effect on HIV, HRV or </w:t>
      </w:r>
      <w:proofErr w:type="spellStart"/>
      <w:r>
        <w:t>HcoV</w:t>
      </w:r>
      <w:proofErr w:type="spellEnd"/>
      <w:r>
        <w:t xml:space="preserve"> infection.</w:t>
      </w:r>
    </w:p>
    <w:p w:rsidR="00D75578" w:rsidRDefault="00D75578" w:rsidP="0088637B">
      <w:proofErr w:type="spellStart"/>
      <w:r>
        <w:t>Asunaprevir</w:t>
      </w:r>
      <w:proofErr w:type="spellEnd"/>
      <w:r>
        <w:t xml:space="preserve"> exerted minimal to no activity against the closely related viral serine protease, GBV-B NS3 protease (</w:t>
      </w:r>
      <w:r w:rsidR="000F1CA4">
        <w:t>IC</w:t>
      </w:r>
      <w:r w:rsidR="000F1CA4">
        <w:rPr>
          <w:vertAlign w:val="subscript"/>
        </w:rPr>
        <w:t>50</w:t>
      </w:r>
      <w:r>
        <w:t xml:space="preserve"> 21 µM), a panel of 10 human serine and cysteine proteases, and 37 mammalian receptors, ion channels and transporters. No off-target activities are predicted during clinical use.</w:t>
      </w:r>
    </w:p>
    <w:p w:rsidR="00D75578" w:rsidRDefault="00D75578" w:rsidP="00D75578">
      <w:pPr>
        <w:pStyle w:val="AssessmentSubsection"/>
      </w:pPr>
      <w:bookmarkStart w:id="49" w:name="_Toc438125702"/>
      <w:r>
        <w:t>Safety pharmacology</w:t>
      </w:r>
      <w:bookmarkEnd w:id="49"/>
    </w:p>
    <w:p w:rsidR="00C60B78" w:rsidRDefault="00D75578" w:rsidP="0088637B">
      <w:r>
        <w:t xml:space="preserve">A series of </w:t>
      </w:r>
      <w:r w:rsidR="003B327F" w:rsidRPr="003B327F">
        <w:t>in vitro</w:t>
      </w:r>
      <w:r w:rsidRPr="004936B4">
        <w:t xml:space="preserve"> and </w:t>
      </w:r>
      <w:r w:rsidR="003B327F" w:rsidRPr="003B327F">
        <w:t>in vivo</w:t>
      </w:r>
      <w:r>
        <w:t xml:space="preserve"> safety pharmacology studies assessed potential effects on cardiovascular function. The only </w:t>
      </w:r>
      <w:r w:rsidR="004936B4">
        <w:t>cardiovascular (</w:t>
      </w:r>
      <w:r>
        <w:t>CV</w:t>
      </w:r>
      <w:r w:rsidR="004936B4">
        <w:t xml:space="preserve">) </w:t>
      </w:r>
      <w:r>
        <w:t>related effects were increased blood pressure in anesthetised rabbits (relat</w:t>
      </w:r>
      <w:r w:rsidR="004936B4">
        <w:t>i</w:t>
      </w:r>
      <w:r>
        <w:t>ve exposure ≥ 36 based on</w:t>
      </w:r>
      <w:r w:rsidR="001F3724">
        <w:t xml:space="preserve"> </w:t>
      </w:r>
      <w:proofErr w:type="spellStart"/>
      <w:r w:rsidR="001F3724" w:rsidRPr="00D85066">
        <w:t>C</w:t>
      </w:r>
      <w:r w:rsidR="001F3724" w:rsidRPr="001F3724">
        <w:rPr>
          <w:vertAlign w:val="subscript"/>
        </w:rPr>
        <w:t>max</w:t>
      </w:r>
      <w:proofErr w:type="spellEnd"/>
      <w:r>
        <w:t xml:space="preserve">) and mild </w:t>
      </w:r>
      <w:r w:rsidR="004936B4">
        <w:t>potassium (</w:t>
      </w:r>
      <w:proofErr w:type="spellStart"/>
      <w:r>
        <w:t>hERG</w:t>
      </w:r>
      <w:proofErr w:type="spellEnd"/>
      <w:r w:rsidR="004936B4">
        <w:t>) channel</w:t>
      </w:r>
      <w:r>
        <w:t xml:space="preserve"> inhibition (relative exposure 1500 based on</w:t>
      </w:r>
      <w:r w:rsidR="001F3724">
        <w:t xml:space="preserve"> </w:t>
      </w:r>
      <w:proofErr w:type="spellStart"/>
      <w:r w:rsidR="001F3724" w:rsidRPr="00D85066">
        <w:t>C</w:t>
      </w:r>
      <w:r w:rsidR="001F3724" w:rsidRPr="001F3724">
        <w:rPr>
          <w:vertAlign w:val="subscript"/>
        </w:rPr>
        <w:t>max</w:t>
      </w:r>
      <w:proofErr w:type="spellEnd"/>
      <w:r>
        <w:t xml:space="preserve">). There were no effects on Purkinje </w:t>
      </w:r>
      <w:proofErr w:type="spellStart"/>
      <w:r>
        <w:t>fiber</w:t>
      </w:r>
      <w:proofErr w:type="spellEnd"/>
      <w:r>
        <w:t xml:space="preserve"> action potential duration (relative exposure &gt;4000 based on</w:t>
      </w:r>
      <w:r w:rsidR="001F3724">
        <w:t xml:space="preserve"> </w:t>
      </w:r>
      <w:proofErr w:type="spellStart"/>
      <w:r w:rsidR="001F3724" w:rsidRPr="00D85066">
        <w:t>C</w:t>
      </w:r>
      <w:r w:rsidR="001F3724" w:rsidRPr="001F3724">
        <w:rPr>
          <w:vertAlign w:val="subscript"/>
        </w:rPr>
        <w:t>max</w:t>
      </w:r>
      <w:proofErr w:type="spellEnd"/>
      <w:r>
        <w:t xml:space="preserve">), no </w:t>
      </w:r>
      <w:proofErr w:type="spellStart"/>
      <w:r w:rsidR="004936B4">
        <w:t>elecltrocardiogram</w:t>
      </w:r>
      <w:proofErr w:type="spellEnd"/>
      <w:r w:rsidR="004936B4">
        <w:t xml:space="preserve"> (</w:t>
      </w:r>
      <w:r>
        <w:t>ECG</w:t>
      </w:r>
      <w:r w:rsidR="004936B4">
        <w:t>)</w:t>
      </w:r>
      <w:r>
        <w:t xml:space="preserve"> changes in the </w:t>
      </w:r>
      <w:r w:rsidRPr="00511E8B">
        <w:rPr>
          <w:i/>
        </w:rPr>
        <w:t>ex vivo</w:t>
      </w:r>
      <w:r>
        <w:t xml:space="preserve"> rabbit heart assay (relative exposure ≤ 22000 based on</w:t>
      </w:r>
      <w:r w:rsidR="001F3724">
        <w:t xml:space="preserve"> </w:t>
      </w:r>
      <w:proofErr w:type="spellStart"/>
      <w:r w:rsidR="001F3724" w:rsidRPr="00D85066">
        <w:t>C</w:t>
      </w:r>
      <w:r w:rsidR="001F3724" w:rsidRPr="001F3724">
        <w:rPr>
          <w:vertAlign w:val="subscript"/>
        </w:rPr>
        <w:t>max</w:t>
      </w:r>
      <w:proofErr w:type="spellEnd"/>
      <w:r>
        <w:t>) and no effects on CV parameters in dogs given a single oral dose (cardiovascular telemetry study; relative exposure 120 based on</w:t>
      </w:r>
      <w:r w:rsidR="001F3724">
        <w:t xml:space="preserve"> </w:t>
      </w:r>
      <w:proofErr w:type="spellStart"/>
      <w:r w:rsidR="001F3724" w:rsidRPr="00D85066">
        <w:t>C</w:t>
      </w:r>
      <w:r w:rsidR="001F3724" w:rsidRPr="001F3724">
        <w:rPr>
          <w:vertAlign w:val="subscript"/>
        </w:rPr>
        <w:t>max</w:t>
      </w:r>
      <w:proofErr w:type="spellEnd"/>
      <w:r>
        <w:t xml:space="preserve">) or repeat doses for ≤ 9 months (relative exposure ≤ 82 based on AUC) or in dogs or monkeys given </w:t>
      </w:r>
      <w:proofErr w:type="spellStart"/>
      <w:r>
        <w:t>asunaprevir</w:t>
      </w:r>
      <w:proofErr w:type="spellEnd"/>
      <w:r>
        <w:t xml:space="preserve"> in combination with </w:t>
      </w:r>
      <w:proofErr w:type="spellStart"/>
      <w:r>
        <w:t>daclatasvir</w:t>
      </w:r>
      <w:proofErr w:type="spellEnd"/>
      <w:r>
        <w:t xml:space="preserve">, BMS-791325 or </w:t>
      </w:r>
      <w:proofErr w:type="spellStart"/>
      <w:r>
        <w:t>pegIFN</w:t>
      </w:r>
      <w:proofErr w:type="spellEnd"/>
      <w:r>
        <w:t xml:space="preserve">α/RBV for ≤ 3 months at </w:t>
      </w:r>
      <w:proofErr w:type="spellStart"/>
      <w:r>
        <w:t>asunaprevir</w:t>
      </w:r>
      <w:proofErr w:type="spellEnd"/>
      <w:r>
        <w:t xml:space="preserve"> (relative exposure ≤ 21 based on AUC). It is unlikely that </w:t>
      </w:r>
      <w:proofErr w:type="spellStart"/>
      <w:r>
        <w:t>asunaprevir</w:t>
      </w:r>
      <w:proofErr w:type="spellEnd"/>
      <w:r>
        <w:t xml:space="preserve"> will cause electrocardiogram (ECG) effects in humans since at high multiples of the </w:t>
      </w:r>
      <w:r w:rsidR="004936B4">
        <w:t>recommended highest dose (</w:t>
      </w:r>
      <w:r>
        <w:t>RHD</w:t>
      </w:r>
      <w:r w:rsidR="004936B4">
        <w:t>)</w:t>
      </w:r>
      <w:r w:rsidR="001F3724">
        <w:t xml:space="preserve"> </w:t>
      </w:r>
      <w:proofErr w:type="spellStart"/>
      <w:r w:rsidR="001F3724" w:rsidRPr="00D85066">
        <w:t>C</w:t>
      </w:r>
      <w:r w:rsidR="001F3724" w:rsidRPr="001F3724">
        <w:rPr>
          <w:vertAlign w:val="subscript"/>
        </w:rPr>
        <w:t>max</w:t>
      </w:r>
      <w:proofErr w:type="spellEnd"/>
      <w:r>
        <w:t>, no action potential duration effects were seen and only mild ion channel inhibition (</w:t>
      </w:r>
      <w:proofErr w:type="spellStart"/>
      <w:r>
        <w:t>hERG</w:t>
      </w:r>
      <w:proofErr w:type="spellEnd"/>
      <w:r>
        <w:t>) occurred.</w:t>
      </w:r>
    </w:p>
    <w:p w:rsidR="00D75578" w:rsidRDefault="00D75578" w:rsidP="0088637B">
      <w:r>
        <w:t xml:space="preserve">No independent safety pharmacology studies were conducted to assess the potential </w:t>
      </w:r>
      <w:r w:rsidR="000A20FE">
        <w:t>central nervous system (</w:t>
      </w:r>
      <w:r>
        <w:t>CNS</w:t>
      </w:r>
      <w:r w:rsidR="000A20FE">
        <w:t>)</w:t>
      </w:r>
      <w:r>
        <w:t xml:space="preserve"> or respiratory effects of </w:t>
      </w:r>
      <w:proofErr w:type="spellStart"/>
      <w:r>
        <w:t>asunaprevir</w:t>
      </w:r>
      <w:proofErr w:type="spellEnd"/>
      <w:r>
        <w:t xml:space="preserve">. In distribution studies conducted with pigmented and albino rats, there were no quantifiable concentrations of </w:t>
      </w:r>
      <w:proofErr w:type="spellStart"/>
      <w:r>
        <w:t>asunaprevir</w:t>
      </w:r>
      <w:proofErr w:type="spellEnd"/>
      <w:r>
        <w:t xml:space="preserve">-related radioactivity in the CNS. No </w:t>
      </w:r>
      <w:proofErr w:type="spellStart"/>
      <w:r>
        <w:t>asunaprevir</w:t>
      </w:r>
      <w:proofErr w:type="spellEnd"/>
      <w:r>
        <w:t xml:space="preserve"> metabolites were independently evaluated in safety pharmacology studies as there are no major or unique human metabolites. Only mild gastrointestinal effects were observed at high relative exposures in the repeat dose toxicity studies.</w:t>
      </w:r>
    </w:p>
    <w:p w:rsidR="00C60B78" w:rsidRDefault="00D75578" w:rsidP="0088637B">
      <w:r>
        <w:t>In the repeat-dose toxicity studies in which high doses were used, there were no clinical signs of adverse CNS, cardiovascular or respiratory effects in mice (at relative exposures 266</w:t>
      </w:r>
      <w:r w:rsidR="000A20FE">
        <w:t xml:space="preserve"> to </w:t>
      </w:r>
      <w:r>
        <w:t>434 based on AUC), ra</w:t>
      </w:r>
      <w:r w:rsidR="000A20FE">
        <w:t xml:space="preserve">ts (at relative exposures of 87 to </w:t>
      </w:r>
      <w:r>
        <w:t>25 based on AUC) or do</w:t>
      </w:r>
      <w:r w:rsidR="000A20FE">
        <w:t xml:space="preserve">gs (at relative exposures of 60 to </w:t>
      </w:r>
      <w:r>
        <w:t>103 based on AUC).</w:t>
      </w:r>
    </w:p>
    <w:p w:rsidR="00C60B78" w:rsidRDefault="00D75578" w:rsidP="0088637B">
      <w:r>
        <w:t xml:space="preserve">Overall, </w:t>
      </w:r>
      <w:proofErr w:type="spellStart"/>
      <w:r>
        <w:t>asunaprevir</w:t>
      </w:r>
      <w:proofErr w:type="spellEnd"/>
      <w:r>
        <w:t xml:space="preserve"> is not expected to have any adverse effects on CNS, respiratory, gastrointestinal or cardiovascular function during clinical use.</w:t>
      </w:r>
    </w:p>
    <w:p w:rsidR="008E7846" w:rsidRDefault="008E7846" w:rsidP="008E7846">
      <w:pPr>
        <w:pStyle w:val="Heading3"/>
      </w:pPr>
      <w:bookmarkStart w:id="50" w:name="_Toc247691513"/>
      <w:bookmarkStart w:id="51" w:name="_Toc314842497"/>
      <w:bookmarkStart w:id="52" w:name="_Toc438125703"/>
      <w:r>
        <w:t>Pharmacokinetics</w:t>
      </w:r>
      <w:bookmarkEnd w:id="50"/>
      <w:bookmarkEnd w:id="51"/>
      <w:bookmarkEnd w:id="52"/>
    </w:p>
    <w:p w:rsidR="00C60B78" w:rsidRDefault="0088637B" w:rsidP="000A20FE">
      <w:bookmarkStart w:id="53" w:name="_Toc247691514"/>
      <w:bookmarkStart w:id="54" w:name="_Toc314842498"/>
      <w:r>
        <w:t xml:space="preserve">The oral bioavailability of </w:t>
      </w:r>
      <w:proofErr w:type="spellStart"/>
      <w:r>
        <w:t>asunaprevir</w:t>
      </w:r>
      <w:proofErr w:type="spellEnd"/>
      <w:r>
        <w:t xml:space="preserve"> free base (the proposed commercial form and used in all but 2 studies) was high in dogs (42</w:t>
      </w:r>
      <w:r w:rsidR="000A20FE">
        <w:t xml:space="preserve"> to </w:t>
      </w:r>
      <w:r>
        <w:t>100%) and much lower in mice, rats and monkeys (28%, 1</w:t>
      </w:r>
      <w:r w:rsidR="000A20FE">
        <w:t xml:space="preserve"> to </w:t>
      </w:r>
      <w:r>
        <w:t>14% and 10%, respectively). Absorption was not formulation-</w:t>
      </w:r>
      <w:r>
        <w:lastRenderedPageBreak/>
        <w:t>dependent in rats but was dose dependent in rats and dogs and</w:t>
      </w:r>
      <w:r w:rsidR="001F3724">
        <w:t xml:space="preserve"> </w:t>
      </w:r>
      <w:proofErr w:type="spellStart"/>
      <w:r w:rsidR="001F3724" w:rsidRPr="00D85066">
        <w:t>C</w:t>
      </w:r>
      <w:r w:rsidR="001F3724" w:rsidRPr="001F3724">
        <w:rPr>
          <w:vertAlign w:val="subscript"/>
        </w:rPr>
        <w:t>max</w:t>
      </w:r>
      <w:proofErr w:type="spellEnd"/>
      <w:r>
        <w:t xml:space="preserve"> tended to occur between 1.3</w:t>
      </w:r>
      <w:r w:rsidR="000A20FE">
        <w:t xml:space="preserve"> to </w:t>
      </w:r>
      <w:r>
        <w:t>6 h post</w:t>
      </w:r>
      <w:r w:rsidR="000A20FE">
        <w:t xml:space="preserve"> </w:t>
      </w:r>
      <w:r>
        <w:t>dose in rats, dogs, monkeys and mice. Exposure was increased when the clinical tablet (but not a capsule or solution) was administered to dogs.</w:t>
      </w:r>
    </w:p>
    <w:p w:rsidR="0088637B" w:rsidRDefault="0088637B" w:rsidP="000A20FE">
      <w:r>
        <w:t>Following PO dosing, the elimination half-life was short in dogs and monkeys (</w:t>
      </w:r>
      <w:r w:rsidR="000F1CA4">
        <w:t>t</w:t>
      </w:r>
      <w:r w:rsidR="000F1CA4" w:rsidRPr="000F1CA4">
        <w:rPr>
          <w:vertAlign w:val="subscript"/>
        </w:rPr>
        <w:t>½</w:t>
      </w:r>
      <w:r w:rsidR="000F1CA4">
        <w:t xml:space="preserve"> </w:t>
      </w:r>
      <w:r>
        <w:t>2.4 and 1.1 h, respectively) and longer in wild-type mice and rats (</w:t>
      </w:r>
      <w:r w:rsidR="000F1CA4">
        <w:t>t</w:t>
      </w:r>
      <w:r w:rsidR="000F1CA4" w:rsidRPr="000F1CA4">
        <w:rPr>
          <w:vertAlign w:val="subscript"/>
        </w:rPr>
        <w:t>½</w:t>
      </w:r>
      <w:r w:rsidR="000F1CA4">
        <w:t xml:space="preserve"> </w:t>
      </w:r>
      <w:r>
        <w:t xml:space="preserve">4.6 h and 4.5-8 </w:t>
      </w:r>
      <w:r w:rsidR="000F1CA4">
        <w:t>h</w:t>
      </w:r>
      <w:r>
        <w:t>, respectively). Following multiple</w:t>
      </w:r>
      <w:r w:rsidR="000A20FE">
        <w:t xml:space="preserve"> </w:t>
      </w:r>
      <w:r>
        <w:t xml:space="preserve">dose administration of </w:t>
      </w:r>
      <w:proofErr w:type="spellStart"/>
      <w:r>
        <w:t>asunaprevir</w:t>
      </w:r>
      <w:proofErr w:type="spellEnd"/>
      <w:r>
        <w:t xml:space="preserve"> in healthy subjects, the terminal elimination half-life ranged from 17 to 23 </w:t>
      </w:r>
      <w:r w:rsidR="000F1CA4">
        <w:t>h</w:t>
      </w:r>
      <w:r>
        <w:t>. Due to the fact that the half-life is shorter in animals, it would have been advisable to dose animals twice daily like the proposed dosing in humans, instead of once daily.</w:t>
      </w:r>
    </w:p>
    <w:p w:rsidR="0088637B" w:rsidRDefault="0088637B" w:rsidP="000A20FE">
      <w:r>
        <w:t xml:space="preserve">Hepatic extraction of </w:t>
      </w:r>
      <w:proofErr w:type="spellStart"/>
      <w:r>
        <w:t>asunaprevir</w:t>
      </w:r>
      <w:proofErr w:type="spellEnd"/>
      <w:r>
        <w:t xml:space="preserve"> was considered moderate, with the clearance values being 64, 70, 50</w:t>
      </w:r>
      <w:r w:rsidR="000A20FE">
        <w:t xml:space="preserve"> to </w:t>
      </w:r>
      <w:r>
        <w:t xml:space="preserve">61 and 42% of the reported blood flow in mice, rats, dogs and monkeys, respectively. First-pass metabolism was negligible since AUC was similar after </w:t>
      </w:r>
      <w:r w:rsidR="000A20FE">
        <w:t>intravenous (</w:t>
      </w:r>
      <w:r>
        <w:t>IV</w:t>
      </w:r>
      <w:r w:rsidR="000A20FE">
        <w:t>)</w:t>
      </w:r>
      <w:r>
        <w:t xml:space="preserve"> and intra-portal vein administration in rats. There were no </w:t>
      </w:r>
      <w:r w:rsidR="000A20FE">
        <w:t>gender</w:t>
      </w:r>
      <w:r>
        <w:t xml:space="preserve"> differences in pharmacokinetic parameters and no evidence of accumulation in animal species or human subjects.</w:t>
      </w:r>
    </w:p>
    <w:p w:rsidR="00C60B78" w:rsidRDefault="0088637B" w:rsidP="000A20FE">
      <w:r>
        <w:t>Plasma protein binding was high in all nonclinical species</w:t>
      </w:r>
      <w:r w:rsidR="000A20FE">
        <w:t>;</w:t>
      </w:r>
      <w:r>
        <w:t xml:space="preserve"> </w:t>
      </w:r>
      <w:proofErr w:type="spellStart"/>
      <w:r>
        <w:t>asunaprevir</w:t>
      </w:r>
      <w:proofErr w:type="spellEnd"/>
      <w:r>
        <w:t xml:space="preserve"> being greater than 97% plasma protein bound in all species irrespective of drug concentration up to 10 µM (7.48 µg/mL). Ex vivo protein binding of </w:t>
      </w:r>
      <w:proofErr w:type="spellStart"/>
      <w:r>
        <w:t>asunaprevir</w:t>
      </w:r>
      <w:proofErr w:type="spellEnd"/>
      <w:r>
        <w:t xml:space="preserve"> in plasma from HCV</w:t>
      </w:r>
      <w:r w:rsidR="000A20FE">
        <w:t xml:space="preserve"> </w:t>
      </w:r>
      <w:r>
        <w:t>infected patients and in vitro testing, demonstrated ≥ 98.8% protein binding, concentration independently. The free fraction was not taken into account when calculating animal/human relative exposure.</w:t>
      </w:r>
    </w:p>
    <w:p w:rsidR="0088637B" w:rsidRDefault="0088637B" w:rsidP="000A20FE">
      <w:proofErr w:type="spellStart"/>
      <w:r>
        <w:t>Asunaprevir</w:t>
      </w:r>
      <w:proofErr w:type="spellEnd"/>
      <w:r>
        <w:t xml:space="preserve"> preferentially distributed into the plasma compartment in the animal species tested (blood-to-plasma ratio 0.34</w:t>
      </w:r>
      <w:r w:rsidR="000A20FE">
        <w:t xml:space="preserve"> to </w:t>
      </w:r>
      <w:r>
        <w:t xml:space="preserve">0.82) and in humans (blood-to-plasma ratio 0.55). The volume of distribution was similar to or greater than total body water in mice, rats, dogs and monkeys, suggesting extensive extravascular distribution. Tissue distribution in rats after oral administration of radiolabelled </w:t>
      </w:r>
      <w:proofErr w:type="spellStart"/>
      <w:r>
        <w:t>asunaprevir</w:t>
      </w:r>
      <w:proofErr w:type="spellEnd"/>
      <w:r>
        <w:t xml:space="preserve"> was limited to 13</w:t>
      </w:r>
      <w:r w:rsidR="000A20FE">
        <w:t xml:space="preserve"> out of </w:t>
      </w:r>
      <w:r>
        <w:t>42 tissues sampled and was highest in the liver.</w:t>
      </w:r>
      <w:r w:rsidR="004936B4">
        <w:t xml:space="preserve"> </w:t>
      </w:r>
      <w:r>
        <w:t xml:space="preserve">There was no penetration of the blood-brain barrier. Liver concentrations of </w:t>
      </w:r>
      <w:proofErr w:type="spellStart"/>
      <w:r>
        <w:t>asunaprevir</w:t>
      </w:r>
      <w:proofErr w:type="spellEnd"/>
      <w:r>
        <w:t xml:space="preserve"> were higher than plasma levels in mice (liver:</w:t>
      </w:r>
      <w:r w:rsidR="000A20FE">
        <w:t xml:space="preserve"> </w:t>
      </w:r>
      <w:r>
        <w:t xml:space="preserve">serum ratio </w:t>
      </w:r>
      <w:r>
        <w:rPr>
          <w:rFonts w:cs="Cambria"/>
        </w:rPr>
        <w:t>≥</w:t>
      </w:r>
      <w:r>
        <w:t>83), rats, dogs and monkeys (liver:</w:t>
      </w:r>
      <w:r w:rsidR="000A20FE">
        <w:t xml:space="preserve"> </w:t>
      </w:r>
      <w:r>
        <w:t xml:space="preserve">plasma ratios </w:t>
      </w:r>
      <w:r>
        <w:rPr>
          <w:rFonts w:cs="Cambria"/>
        </w:rPr>
        <w:t>≥</w:t>
      </w:r>
      <w:r>
        <w:t xml:space="preserve">257, 40 and </w:t>
      </w:r>
      <w:r>
        <w:rPr>
          <w:rFonts w:cs="Cambria"/>
        </w:rPr>
        <w:t>≥78, respectively</w:t>
      </w:r>
      <w:r>
        <w:t>).</w:t>
      </w:r>
    </w:p>
    <w:p w:rsidR="0088637B" w:rsidRDefault="0088637B" w:rsidP="000A20FE">
      <w:r>
        <w:t xml:space="preserve">In rats, </w:t>
      </w:r>
      <w:proofErr w:type="spellStart"/>
      <w:r>
        <w:t>asunaprevir</w:t>
      </w:r>
      <w:proofErr w:type="spellEnd"/>
      <w:r>
        <w:t xml:space="preserve">-derived radioactivity was secreted in milk and while it also crossed the placenta, </w:t>
      </w:r>
      <w:r w:rsidR="000A20FE">
        <w:t xml:space="preserve">it </w:t>
      </w:r>
      <w:r>
        <w:t xml:space="preserve">was only detected in </w:t>
      </w:r>
      <w:proofErr w:type="spellStart"/>
      <w:r>
        <w:t>fetal</w:t>
      </w:r>
      <w:proofErr w:type="spellEnd"/>
      <w:r>
        <w:t xml:space="preserve"> liver (4</w:t>
      </w:r>
      <w:r w:rsidR="000A20FE">
        <w:t xml:space="preserve"> to </w:t>
      </w:r>
      <w:r>
        <w:t>12 h post</w:t>
      </w:r>
      <w:r w:rsidR="000A20FE">
        <w:t xml:space="preserve"> </w:t>
      </w:r>
      <w:r>
        <w:t>dose) and gastrointestinal tract (24</w:t>
      </w:r>
      <w:r w:rsidR="000A20FE">
        <w:t xml:space="preserve"> to </w:t>
      </w:r>
      <w:r>
        <w:t>48 h post-dose).</w:t>
      </w:r>
    </w:p>
    <w:p w:rsidR="0088637B" w:rsidRDefault="0088637B" w:rsidP="000A20FE">
      <w:r>
        <w:t xml:space="preserve">Metabolites of </w:t>
      </w:r>
      <w:proofErr w:type="spellStart"/>
      <w:r>
        <w:t>asunaprevir</w:t>
      </w:r>
      <w:proofErr w:type="spellEnd"/>
      <w:r>
        <w:t xml:space="preserve"> were formed by mono- and </w:t>
      </w:r>
      <w:proofErr w:type="spellStart"/>
      <w:r>
        <w:t>bis</w:t>
      </w:r>
      <w:proofErr w:type="spellEnd"/>
      <w:r>
        <w:t>-oxidation, N-</w:t>
      </w:r>
      <w:proofErr w:type="spellStart"/>
      <w:r>
        <w:t>dealkylation</w:t>
      </w:r>
      <w:proofErr w:type="spellEnd"/>
      <w:r>
        <w:t xml:space="preserve">, loss of </w:t>
      </w:r>
      <w:proofErr w:type="spellStart"/>
      <w:r>
        <w:t>isoquinoline</w:t>
      </w:r>
      <w:proofErr w:type="spellEnd"/>
      <w:r>
        <w:t xml:space="preserve"> ring, and O-demethylation. In vivo metabolite profiles were qualitatively similar in all species and there were no unique human metabolites. Fifteen metabolites were detected in excreta of humans. </w:t>
      </w:r>
      <w:proofErr w:type="spellStart"/>
      <w:r>
        <w:t>Asunaprevir</w:t>
      </w:r>
      <w:proofErr w:type="spellEnd"/>
      <w:r>
        <w:t xml:space="preserve"> was the predominant radioactive component in mouse, rat, rabbit, dog, and monkey plasma, and no metabolite accounted for more than 15% of the dose in any species. The fraction of the dose recovered as metabolites was lower in animals (18-54%) than in humans (76%). All circulating human metabolites were seen in the plasma of at least one animal species.</w:t>
      </w:r>
    </w:p>
    <w:p w:rsidR="0088637B" w:rsidRDefault="0088637B" w:rsidP="000A20FE">
      <w:r>
        <w:t xml:space="preserve">The clinical significance of the possible production of a reactive metabolite (there was </w:t>
      </w:r>
      <w:r w:rsidR="000A20FE">
        <w:t>g</w:t>
      </w:r>
      <w:r w:rsidR="000A20FE" w:rsidRPr="000A20FE">
        <w:t>lutathione</w:t>
      </w:r>
      <w:r w:rsidR="000A20FE">
        <w:rPr>
          <w:rStyle w:val="st1"/>
          <w:rFonts w:ascii="Arial" w:hAnsi="Arial" w:cs="Arial"/>
          <w:color w:val="545454"/>
        </w:rPr>
        <w:t xml:space="preserve"> (</w:t>
      </w:r>
      <w:r>
        <w:t>GSH</w:t>
      </w:r>
      <w:r w:rsidR="000A20FE">
        <w:t xml:space="preserve">) </w:t>
      </w:r>
      <w:r>
        <w:t>attenuated irreversible binding of radioactive material to microsomal proteins) is unknown, however there was no hepatic toxicity at high exposure multiples in repeat dose toxicity studies.</w:t>
      </w:r>
    </w:p>
    <w:p w:rsidR="0088637B" w:rsidRDefault="003B327F" w:rsidP="000A20FE">
      <w:r w:rsidRPr="003B327F">
        <w:t>In vitro</w:t>
      </w:r>
      <w:r w:rsidR="0088637B">
        <w:t xml:space="preserve"> studies indicated </w:t>
      </w:r>
      <w:proofErr w:type="spellStart"/>
      <w:r w:rsidR="0088637B">
        <w:t>asunaprevir’s</w:t>
      </w:r>
      <w:proofErr w:type="spellEnd"/>
      <w:r w:rsidR="0088637B">
        <w:t xml:space="preserve"> metabolism is primarily mediated by CYP3A4 and CYP3A5, with minor activity from CYP2A6, CYP2B6, CYP2C9, CYP2C19, and CYP2D6.</w:t>
      </w:r>
    </w:p>
    <w:p w:rsidR="00C60B78" w:rsidRDefault="0088637B" w:rsidP="000A20FE">
      <w:pPr>
        <w:rPr>
          <w:rFonts w:eastAsia="Times New Roman"/>
        </w:rPr>
      </w:pPr>
      <w:r>
        <w:rPr>
          <w:rFonts w:eastAsia="Times New Roman"/>
        </w:rPr>
        <w:t xml:space="preserve">The elimination of </w:t>
      </w:r>
      <w:proofErr w:type="spellStart"/>
      <w:r>
        <w:rPr>
          <w:rFonts w:eastAsia="Times New Roman"/>
        </w:rPr>
        <w:t>asunaprevir</w:t>
      </w:r>
      <w:proofErr w:type="spellEnd"/>
      <w:r>
        <w:rPr>
          <w:rFonts w:eastAsia="Times New Roman"/>
        </w:rPr>
        <w:t xml:space="preserve"> in animals involves multiple pathways, including biliary clearance, metabolic clearance, and (possibly) direct intestinal secretion (faecal radioactivity observed in </w:t>
      </w:r>
      <w:r w:rsidR="000A20FE">
        <w:rPr>
          <w:rFonts w:eastAsia="Times New Roman"/>
        </w:rPr>
        <w:t>b</w:t>
      </w:r>
      <w:r w:rsidR="000A20FE" w:rsidRPr="000A20FE">
        <w:t xml:space="preserve">ile duct </w:t>
      </w:r>
      <w:proofErr w:type="spellStart"/>
      <w:r w:rsidR="000A20FE" w:rsidRPr="000A20FE">
        <w:t>cannulated</w:t>
      </w:r>
      <w:proofErr w:type="spellEnd"/>
      <w:r w:rsidR="000A20FE">
        <w:rPr>
          <w:rStyle w:val="Emphasis"/>
          <w:rFonts w:ascii="Arial" w:hAnsi="Arial" w:cs="Arial"/>
          <w:color w:val="545454"/>
        </w:rPr>
        <w:t xml:space="preserve"> (</w:t>
      </w:r>
      <w:r>
        <w:rPr>
          <w:rFonts w:eastAsia="Times New Roman"/>
        </w:rPr>
        <w:t>BDC</w:t>
      </w:r>
      <w:r w:rsidR="000A20FE">
        <w:rPr>
          <w:rFonts w:eastAsia="Times New Roman"/>
        </w:rPr>
        <w:t>)</w:t>
      </w:r>
      <w:r>
        <w:rPr>
          <w:rFonts w:eastAsia="Times New Roman"/>
        </w:rPr>
        <w:t xml:space="preserve"> animals after IV administration of </w:t>
      </w:r>
      <w:r>
        <w:rPr>
          <w:rFonts w:eastAsia="Times New Roman"/>
        </w:rPr>
        <w:lastRenderedPageBreak/>
        <w:t xml:space="preserve">radiolabelled </w:t>
      </w:r>
      <w:proofErr w:type="spellStart"/>
      <w:r>
        <w:rPr>
          <w:rFonts w:eastAsia="Times New Roman"/>
        </w:rPr>
        <w:t>asunaprevir</w:t>
      </w:r>
      <w:proofErr w:type="spellEnd"/>
      <w:r>
        <w:rPr>
          <w:rFonts w:eastAsia="Times New Roman"/>
        </w:rPr>
        <w:t xml:space="preserve">), predominantly leading to excretion of </w:t>
      </w:r>
      <w:proofErr w:type="spellStart"/>
      <w:r>
        <w:rPr>
          <w:rFonts w:eastAsia="Times New Roman"/>
        </w:rPr>
        <w:t>asunaprevir</w:t>
      </w:r>
      <w:proofErr w:type="spellEnd"/>
      <w:r>
        <w:rPr>
          <w:rFonts w:eastAsia="Times New Roman"/>
        </w:rPr>
        <w:t xml:space="preserve"> and its metabolites in the faeces.</w:t>
      </w:r>
    </w:p>
    <w:p w:rsidR="0088637B" w:rsidRPr="00B70E14" w:rsidRDefault="0088637B" w:rsidP="000A20FE">
      <w:pPr>
        <w:rPr>
          <w:rFonts w:eastAsia="Times New Roman"/>
        </w:rPr>
      </w:pPr>
      <w:r>
        <w:t xml:space="preserve">Overall, the pharmacokinetic profile of </w:t>
      </w:r>
      <w:proofErr w:type="spellStart"/>
      <w:r>
        <w:t>asunaprevir</w:t>
      </w:r>
      <w:proofErr w:type="spellEnd"/>
      <w:r>
        <w:t xml:space="preserve"> in rats and dogs is considered adequately comparable for these animal species to serve as models for </w:t>
      </w:r>
      <w:r w:rsidRPr="00B70E14">
        <w:t>toxicity.</w:t>
      </w:r>
    </w:p>
    <w:p w:rsidR="0088637B" w:rsidRDefault="0088637B" w:rsidP="0088637B">
      <w:pPr>
        <w:pStyle w:val="AssessmentSubsection"/>
        <w:rPr>
          <w:kern w:val="2"/>
        </w:rPr>
      </w:pPr>
      <w:bookmarkStart w:id="55" w:name="_Toc294861725"/>
      <w:bookmarkStart w:id="56" w:name="_Toc438125704"/>
      <w:r>
        <w:rPr>
          <w:kern w:val="2"/>
        </w:rPr>
        <w:t>Pharmacokinetic drug interactions</w:t>
      </w:r>
      <w:bookmarkEnd w:id="55"/>
      <w:bookmarkEnd w:id="56"/>
    </w:p>
    <w:p w:rsidR="00C60B78" w:rsidRDefault="0088637B" w:rsidP="000A20FE">
      <w:r>
        <w:t xml:space="preserve">As </w:t>
      </w:r>
      <w:proofErr w:type="spellStart"/>
      <w:r>
        <w:t>asunaprevir</w:t>
      </w:r>
      <w:proofErr w:type="spellEnd"/>
      <w:r>
        <w:t xml:space="preserve"> is metabolised by CYP3A4 and CYP3A5 and is a </w:t>
      </w:r>
      <w:r w:rsidRPr="00B70E14">
        <w:t>substrate for P-</w:t>
      </w:r>
      <w:proofErr w:type="spellStart"/>
      <w:r w:rsidRPr="00B70E14">
        <w:t>gp</w:t>
      </w:r>
      <w:proofErr w:type="spellEnd"/>
      <w:r>
        <w:t xml:space="preserve">, </w:t>
      </w:r>
      <w:r w:rsidR="000A20FE">
        <w:t>organic anion transporter polypeptide (</w:t>
      </w:r>
      <w:r>
        <w:t>OATP</w:t>
      </w:r>
      <w:r w:rsidR="000A20FE">
        <w:t>)</w:t>
      </w:r>
      <w:r>
        <w:t xml:space="preserve"> 1B1 and 2B1, inhibitors/inducers of these CYP450 enzymes and transporters may alter the exposure of </w:t>
      </w:r>
      <w:proofErr w:type="spellStart"/>
      <w:r>
        <w:t>asunaprevir</w:t>
      </w:r>
      <w:proofErr w:type="spellEnd"/>
      <w:r>
        <w:t>.</w:t>
      </w:r>
    </w:p>
    <w:p w:rsidR="0088637B" w:rsidRDefault="0088637B" w:rsidP="000A20FE">
      <w:pPr>
        <w:rPr>
          <w:rFonts w:eastAsia="Calibri"/>
          <w:color w:val="000000"/>
        </w:rPr>
      </w:pPr>
      <w:proofErr w:type="spellStart"/>
      <w:r>
        <w:rPr>
          <w:rFonts w:eastAsia="Calibri"/>
          <w:color w:val="000000"/>
        </w:rPr>
        <w:t>Asunaprevir</w:t>
      </w:r>
      <w:proofErr w:type="spellEnd"/>
      <w:r>
        <w:rPr>
          <w:rFonts w:eastAsia="Calibri"/>
          <w:color w:val="000000"/>
        </w:rPr>
        <w:t xml:space="preserve"> is a reversible inducer of CYP3A4 </w:t>
      </w:r>
      <w:r>
        <w:t>(</w:t>
      </w:r>
      <w:r w:rsidR="000F1CA4">
        <w:t>IC</w:t>
      </w:r>
      <w:r w:rsidR="000F1CA4">
        <w:rPr>
          <w:vertAlign w:val="subscript"/>
        </w:rPr>
        <w:t>50</w:t>
      </w:r>
      <w:r>
        <w:t xml:space="preserve"> = 7-33 µM)</w:t>
      </w:r>
      <w:r>
        <w:rPr>
          <w:rFonts w:eastAsia="Calibri"/>
          <w:color w:val="000000"/>
        </w:rPr>
        <w:t xml:space="preserve">, and a time-dependent inhibitor of CYP3A </w:t>
      </w:r>
      <w:r>
        <w:t>(</w:t>
      </w:r>
      <w:r w:rsidR="000F1CA4">
        <w:t>IC</w:t>
      </w:r>
      <w:r w:rsidR="000F1CA4">
        <w:rPr>
          <w:vertAlign w:val="subscript"/>
        </w:rPr>
        <w:t>50</w:t>
      </w:r>
      <w:r>
        <w:t xml:space="preserve"> = 2.4-5.4 µM)</w:t>
      </w:r>
      <w:r>
        <w:rPr>
          <w:rFonts w:eastAsia="Calibri"/>
          <w:color w:val="000000"/>
        </w:rPr>
        <w:t xml:space="preserve"> and CYP2D6 </w:t>
      </w:r>
      <w:r>
        <w:t>(</w:t>
      </w:r>
      <w:r w:rsidR="000F1CA4">
        <w:t>IC</w:t>
      </w:r>
      <w:r w:rsidR="000F1CA4">
        <w:rPr>
          <w:vertAlign w:val="subscript"/>
        </w:rPr>
        <w:t>50</w:t>
      </w:r>
      <w:r>
        <w:t xml:space="preserve"> = 5.7 µM)</w:t>
      </w:r>
      <w:r>
        <w:rPr>
          <w:rFonts w:eastAsia="Calibri"/>
          <w:color w:val="000000"/>
        </w:rPr>
        <w:t xml:space="preserve">. </w:t>
      </w:r>
      <w:proofErr w:type="spellStart"/>
      <w:r>
        <w:rPr>
          <w:rFonts w:eastAsia="Calibri"/>
          <w:color w:val="000000"/>
        </w:rPr>
        <w:t>Asunaprevir</w:t>
      </w:r>
      <w:proofErr w:type="spellEnd"/>
      <w:r>
        <w:rPr>
          <w:rFonts w:eastAsia="Calibri"/>
          <w:color w:val="000000"/>
        </w:rPr>
        <w:t xml:space="preserve"> inhibited P-</w:t>
      </w:r>
      <w:proofErr w:type="spellStart"/>
      <w:r>
        <w:rPr>
          <w:rFonts w:eastAsia="Calibri"/>
          <w:color w:val="000000"/>
        </w:rPr>
        <w:t>gp</w:t>
      </w:r>
      <w:proofErr w:type="spellEnd"/>
      <w:r>
        <w:rPr>
          <w:rFonts w:eastAsia="Calibri"/>
          <w:color w:val="000000"/>
        </w:rPr>
        <w:t xml:space="preserve"> , BCRP , OATP1B1 , OATP2B1 , OATP1B3 </w:t>
      </w:r>
      <w:r>
        <w:t>,</w:t>
      </w:r>
      <w:r>
        <w:rPr>
          <w:rFonts w:eastAsia="Calibri"/>
          <w:color w:val="000000"/>
        </w:rPr>
        <w:t xml:space="preserve"> </w:t>
      </w:r>
      <w:r w:rsidR="000A20FE">
        <w:rPr>
          <w:rFonts w:eastAsia="Calibri"/>
          <w:color w:val="000000"/>
        </w:rPr>
        <w:t xml:space="preserve">organic </w:t>
      </w:r>
      <w:proofErr w:type="spellStart"/>
      <w:r w:rsidR="000A20FE">
        <w:rPr>
          <w:rFonts w:eastAsia="Calibri"/>
          <w:color w:val="000000"/>
        </w:rPr>
        <w:t>cation</w:t>
      </w:r>
      <w:proofErr w:type="spellEnd"/>
      <w:r w:rsidR="000A20FE">
        <w:rPr>
          <w:rFonts w:eastAsia="Calibri"/>
          <w:color w:val="000000"/>
        </w:rPr>
        <w:t xml:space="preserve"> transporter polypeptide (</w:t>
      </w:r>
      <w:r>
        <w:rPr>
          <w:rFonts w:eastAsia="Calibri"/>
          <w:color w:val="000000"/>
        </w:rPr>
        <w:t>OCT1</w:t>
      </w:r>
      <w:r w:rsidR="000A20FE">
        <w:rPr>
          <w:rFonts w:eastAsia="Calibri"/>
          <w:color w:val="000000"/>
        </w:rPr>
        <w:t>)</w:t>
      </w:r>
      <w:r>
        <w:rPr>
          <w:rFonts w:eastAsia="Calibri"/>
          <w:color w:val="000000"/>
        </w:rPr>
        <w:t xml:space="preserve">, OCT2 , OAT1 , OAT3 , NTCP , BSEP , and MRP2 , </w:t>
      </w:r>
      <w:r w:rsidR="003B327F" w:rsidRPr="003B327F">
        <w:rPr>
          <w:rFonts w:eastAsia="Calibri"/>
          <w:color w:val="000000"/>
        </w:rPr>
        <w:t>in vitro</w:t>
      </w:r>
      <w:r>
        <w:rPr>
          <w:rFonts w:eastAsia="Calibri"/>
          <w:color w:val="000000"/>
        </w:rPr>
        <w:t xml:space="preserve">. </w:t>
      </w:r>
      <w:proofErr w:type="spellStart"/>
      <w:r>
        <w:rPr>
          <w:rFonts w:eastAsia="Calibri"/>
          <w:color w:val="000000"/>
        </w:rPr>
        <w:t>Asunaprevir</w:t>
      </w:r>
      <w:proofErr w:type="spellEnd"/>
      <w:r>
        <w:rPr>
          <w:rFonts w:eastAsia="Calibri"/>
          <w:color w:val="000000"/>
        </w:rPr>
        <w:t xml:space="preserve"> is predicted to have drug interactions with substrates of P-</w:t>
      </w:r>
      <w:proofErr w:type="spellStart"/>
      <w:r>
        <w:rPr>
          <w:rFonts w:eastAsia="Calibri"/>
          <w:color w:val="000000"/>
        </w:rPr>
        <w:t>gp</w:t>
      </w:r>
      <w:proofErr w:type="spellEnd"/>
      <w:r>
        <w:rPr>
          <w:rFonts w:eastAsia="Calibri"/>
          <w:color w:val="000000"/>
        </w:rPr>
        <w:t xml:space="preserve">, BCRP, OATP1B1, OATP1B3, OATP2B1, and NTCP but not with substrates of OAT1, OAT3, OCT1 and OCT2 (see </w:t>
      </w:r>
      <w:r w:rsidR="000A20FE">
        <w:rPr>
          <w:rFonts w:eastAsia="Calibri"/>
          <w:color w:val="000000"/>
        </w:rPr>
        <w:t>T</w:t>
      </w:r>
      <w:r>
        <w:rPr>
          <w:rFonts w:eastAsia="Calibri"/>
          <w:color w:val="000000"/>
        </w:rPr>
        <w:t xml:space="preserve">able </w:t>
      </w:r>
      <w:r w:rsidR="000A20FE">
        <w:rPr>
          <w:rFonts w:eastAsia="Calibri"/>
          <w:color w:val="000000"/>
        </w:rPr>
        <w:t xml:space="preserve">3 </w:t>
      </w:r>
      <w:r>
        <w:rPr>
          <w:rFonts w:eastAsia="Calibri"/>
          <w:color w:val="000000"/>
        </w:rPr>
        <w:t>below).</w:t>
      </w:r>
    </w:p>
    <w:p w:rsidR="0088637B" w:rsidRDefault="0088637B" w:rsidP="0088637B">
      <w:pPr>
        <w:pStyle w:val="TableTitle"/>
        <w:keepLines/>
        <w:rPr>
          <w:rFonts w:eastAsia="Times New Roman"/>
          <w:sz w:val="19"/>
        </w:rPr>
      </w:pPr>
      <w:r>
        <w:t xml:space="preserve">Table </w:t>
      </w:r>
      <w:r w:rsidR="000A20FE">
        <w:t>3:</w:t>
      </w:r>
      <w:r>
        <w:t xml:space="preserve"> Translation of </w:t>
      </w:r>
      <w:r w:rsidRPr="000A20FE">
        <w:t>in vitro</w:t>
      </w:r>
      <w:r>
        <w:t xml:space="preserve"> transporter inhibition data for </w:t>
      </w:r>
      <w:proofErr w:type="spellStart"/>
      <w:r>
        <w:t>asunaprevir</w:t>
      </w:r>
      <w:proofErr w:type="spellEnd"/>
      <w:r>
        <w:t xml:space="preserve"> into </w:t>
      </w:r>
      <w:r w:rsidRPr="000A20FE">
        <w:t xml:space="preserve">in vivo </w:t>
      </w:r>
      <w:r>
        <w:t>predictions</w:t>
      </w:r>
    </w:p>
    <w:tbl>
      <w:tblPr>
        <w:tblStyle w:val="TableTGAblue"/>
        <w:tblW w:w="5000" w:type="pct"/>
        <w:tblLayout w:type="fixed"/>
        <w:tblLook w:val="01E0" w:firstRow="1" w:lastRow="1" w:firstColumn="1" w:lastColumn="1" w:noHBand="0" w:noVBand="0"/>
      </w:tblPr>
      <w:tblGrid>
        <w:gridCol w:w="1637"/>
        <w:gridCol w:w="984"/>
        <w:gridCol w:w="1252"/>
        <w:gridCol w:w="204"/>
        <w:gridCol w:w="1313"/>
        <w:gridCol w:w="105"/>
        <w:gridCol w:w="1416"/>
        <w:gridCol w:w="37"/>
        <w:gridCol w:w="1772"/>
      </w:tblGrid>
      <w:tr w:rsidR="0088637B" w:rsidRPr="00392F46" w:rsidTr="008740AA">
        <w:trPr>
          <w:cnfStyle w:val="100000000000" w:firstRow="1" w:lastRow="0" w:firstColumn="0" w:lastColumn="0" w:oddVBand="0" w:evenVBand="0" w:oddHBand="0" w:evenHBand="0" w:firstRowFirstColumn="0" w:firstRowLastColumn="0" w:lastRowFirstColumn="0" w:lastRowLastColumn="0"/>
          <w:trHeight w:val="160"/>
        </w:trPr>
        <w:tc>
          <w:tcPr>
            <w:tcW w:w="939" w:type="pct"/>
            <w:hideMark/>
          </w:tcPr>
          <w:p w:rsidR="0088637B" w:rsidRPr="007067AC" w:rsidRDefault="0088637B" w:rsidP="008740AA">
            <w:pPr>
              <w:ind w:left="0"/>
              <w:rPr>
                <w:rFonts w:eastAsia="MS Mincho"/>
                <w:b w:val="0"/>
              </w:rPr>
            </w:pPr>
            <w:r w:rsidRPr="007067AC">
              <w:rPr>
                <w:lang w:eastAsia="en-AU"/>
              </w:rPr>
              <w:t>Transporter</w:t>
            </w:r>
          </w:p>
        </w:tc>
        <w:tc>
          <w:tcPr>
            <w:tcW w:w="564" w:type="pct"/>
            <w:hideMark/>
          </w:tcPr>
          <w:p w:rsidR="0088637B" w:rsidRPr="007067AC" w:rsidRDefault="000F1CA4" w:rsidP="008740AA">
            <w:pPr>
              <w:ind w:left="0"/>
              <w:rPr>
                <w:rFonts w:eastAsia="MS Mincho"/>
                <w:b w:val="0"/>
              </w:rPr>
            </w:pPr>
            <w:r w:rsidRPr="007067AC">
              <w:rPr>
                <w:lang w:eastAsia="en-AU"/>
              </w:rPr>
              <w:t>IC</w:t>
            </w:r>
            <w:r w:rsidRPr="007067AC">
              <w:rPr>
                <w:vertAlign w:val="subscript"/>
                <w:lang w:eastAsia="en-AU"/>
              </w:rPr>
              <w:t>50</w:t>
            </w:r>
            <w:r w:rsidR="00392F46" w:rsidRPr="007067AC">
              <w:rPr>
                <w:vertAlign w:val="subscript"/>
                <w:lang w:eastAsia="en-AU"/>
              </w:rPr>
              <w:t xml:space="preserve"> </w:t>
            </w:r>
            <w:r w:rsidR="0088637B" w:rsidRPr="007067AC">
              <w:rPr>
                <w:lang w:eastAsia="en-AU"/>
              </w:rPr>
              <w:t>(µM)</w:t>
            </w:r>
          </w:p>
        </w:tc>
        <w:tc>
          <w:tcPr>
            <w:tcW w:w="835" w:type="pct"/>
            <w:gridSpan w:val="2"/>
            <w:hideMark/>
          </w:tcPr>
          <w:p w:rsidR="0088637B" w:rsidRPr="007067AC" w:rsidRDefault="0088637B" w:rsidP="008740AA">
            <w:pPr>
              <w:ind w:left="0"/>
              <w:rPr>
                <w:rFonts w:eastAsia="MS Mincho"/>
                <w:b w:val="0"/>
              </w:rPr>
            </w:pPr>
            <w:r w:rsidRPr="007067AC">
              <w:rPr>
                <w:lang w:eastAsia="en-AU"/>
              </w:rPr>
              <w:t>Calculated Ki</w:t>
            </w:r>
            <w:r w:rsidR="00392F46" w:rsidRPr="007067AC">
              <w:rPr>
                <w:lang w:eastAsia="en-AU"/>
              </w:rPr>
              <w:t xml:space="preserve"> </w:t>
            </w:r>
            <w:r w:rsidR="000F1CA4" w:rsidRPr="007067AC">
              <w:rPr>
                <w:lang w:eastAsia="en-AU"/>
              </w:rPr>
              <w:t>IC</w:t>
            </w:r>
            <w:r w:rsidR="000F1CA4" w:rsidRPr="007067AC">
              <w:rPr>
                <w:vertAlign w:val="subscript"/>
                <w:lang w:eastAsia="en-AU"/>
              </w:rPr>
              <w:t>50</w:t>
            </w:r>
            <w:r w:rsidRPr="007067AC">
              <w:rPr>
                <w:lang w:eastAsia="en-AU"/>
              </w:rPr>
              <w:t>/2</w:t>
            </w:r>
          </w:p>
        </w:tc>
        <w:tc>
          <w:tcPr>
            <w:tcW w:w="813" w:type="pct"/>
            <w:gridSpan w:val="2"/>
            <w:hideMark/>
          </w:tcPr>
          <w:p w:rsidR="0088637B" w:rsidRPr="007067AC" w:rsidRDefault="0088637B" w:rsidP="008740AA">
            <w:pPr>
              <w:ind w:left="0"/>
              <w:rPr>
                <w:rFonts w:eastAsia="MS Mincho"/>
                <w:b w:val="0"/>
              </w:rPr>
            </w:pPr>
            <w:r w:rsidRPr="007067AC">
              <w:rPr>
                <w:lang w:eastAsia="en-AU"/>
              </w:rPr>
              <w:t>Criterion used for comparison</w:t>
            </w:r>
          </w:p>
        </w:tc>
        <w:tc>
          <w:tcPr>
            <w:tcW w:w="812" w:type="pct"/>
            <w:hideMark/>
          </w:tcPr>
          <w:p w:rsidR="0088637B" w:rsidRPr="007067AC" w:rsidRDefault="0088637B" w:rsidP="008740AA">
            <w:pPr>
              <w:ind w:left="0"/>
              <w:rPr>
                <w:rFonts w:eastAsia="MS Mincho"/>
                <w:b w:val="0"/>
              </w:rPr>
            </w:pPr>
            <w:r w:rsidRPr="007067AC">
              <w:rPr>
                <w:lang w:eastAsia="en-AU"/>
              </w:rPr>
              <w:t>Adjusted criterion</w:t>
            </w:r>
          </w:p>
        </w:tc>
        <w:tc>
          <w:tcPr>
            <w:tcW w:w="1037" w:type="pct"/>
            <w:gridSpan w:val="2"/>
            <w:hideMark/>
          </w:tcPr>
          <w:p w:rsidR="0088637B" w:rsidRPr="007067AC" w:rsidRDefault="0088637B" w:rsidP="008740AA">
            <w:pPr>
              <w:ind w:left="0"/>
              <w:rPr>
                <w:rFonts w:eastAsia="MS Mincho"/>
                <w:b w:val="0"/>
              </w:rPr>
            </w:pPr>
            <w:r w:rsidRPr="007067AC">
              <w:rPr>
                <w:lang w:eastAsia="en-AU"/>
              </w:rPr>
              <w:t>Ki &lt; adjusted criterion?</w:t>
            </w:r>
            <w:r w:rsidR="00392F46" w:rsidRPr="007067AC">
              <w:rPr>
                <w:lang w:eastAsia="en-AU"/>
              </w:rPr>
              <w:t xml:space="preserve"> </w:t>
            </w:r>
            <w:r w:rsidRPr="007067AC">
              <w:rPr>
                <w:lang w:eastAsia="en-AU"/>
              </w:rPr>
              <w:t>Interpretation</w:t>
            </w:r>
          </w:p>
        </w:tc>
      </w:tr>
      <w:tr w:rsidR="0088637B" w:rsidRPr="00392F46" w:rsidTr="00C60B78">
        <w:trPr>
          <w:trHeight w:val="80"/>
        </w:trPr>
        <w:tc>
          <w:tcPr>
            <w:tcW w:w="5000" w:type="pct"/>
            <w:gridSpan w:val="9"/>
            <w:hideMark/>
          </w:tcPr>
          <w:p w:rsidR="0088637B" w:rsidRPr="007067AC" w:rsidRDefault="0088637B" w:rsidP="008740AA">
            <w:pPr>
              <w:ind w:left="0"/>
              <w:rPr>
                <w:rFonts w:eastAsia="Times New Roman"/>
              </w:rPr>
            </w:pPr>
            <w:r w:rsidRPr="007067AC">
              <w:rPr>
                <w:lang w:eastAsia="en-AU"/>
              </w:rPr>
              <w:t>Hepatic uptake transporters</w:t>
            </w:r>
          </w:p>
        </w:tc>
      </w:tr>
      <w:tr w:rsidR="00217BA4" w:rsidRPr="00392F46" w:rsidTr="008740AA">
        <w:trPr>
          <w:trHeight w:val="80"/>
        </w:trPr>
        <w:tc>
          <w:tcPr>
            <w:tcW w:w="939" w:type="pct"/>
            <w:hideMark/>
          </w:tcPr>
          <w:p w:rsidR="0088637B" w:rsidRPr="007067AC" w:rsidRDefault="0088637B" w:rsidP="008740AA">
            <w:pPr>
              <w:ind w:left="0"/>
              <w:rPr>
                <w:rFonts w:eastAsia="Times New Roman"/>
              </w:rPr>
            </w:pPr>
            <w:r w:rsidRPr="007067AC">
              <w:rPr>
                <w:lang w:eastAsia="en-AU"/>
              </w:rPr>
              <w:t>OATP1B1</w:t>
            </w:r>
          </w:p>
        </w:tc>
        <w:tc>
          <w:tcPr>
            <w:tcW w:w="564" w:type="pct"/>
            <w:hideMark/>
          </w:tcPr>
          <w:p w:rsidR="0088637B" w:rsidRPr="007067AC" w:rsidRDefault="0088637B" w:rsidP="008740AA">
            <w:pPr>
              <w:ind w:left="0"/>
              <w:rPr>
                <w:rFonts w:eastAsia="Times New Roman"/>
              </w:rPr>
            </w:pPr>
            <w:r w:rsidRPr="007067AC">
              <w:rPr>
                <w:lang w:eastAsia="en-AU"/>
              </w:rPr>
              <w:t>0.3</w:t>
            </w:r>
          </w:p>
        </w:tc>
        <w:tc>
          <w:tcPr>
            <w:tcW w:w="835" w:type="pct"/>
            <w:gridSpan w:val="2"/>
            <w:hideMark/>
          </w:tcPr>
          <w:p w:rsidR="0088637B" w:rsidRPr="007067AC" w:rsidRDefault="0088637B" w:rsidP="008740AA">
            <w:pPr>
              <w:ind w:left="0"/>
              <w:rPr>
                <w:rFonts w:eastAsia="Times New Roman"/>
              </w:rPr>
            </w:pPr>
            <w:r w:rsidRPr="007067AC">
              <w:rPr>
                <w:lang w:eastAsia="en-AU"/>
              </w:rPr>
              <w:t>0.15 µM</w:t>
            </w:r>
          </w:p>
        </w:tc>
        <w:tc>
          <w:tcPr>
            <w:tcW w:w="753" w:type="pct"/>
            <w:vMerge w:val="restart"/>
            <w:hideMark/>
          </w:tcPr>
          <w:p w:rsidR="0088637B" w:rsidRPr="007067AC" w:rsidRDefault="0088637B" w:rsidP="008740AA">
            <w:pPr>
              <w:ind w:left="0"/>
              <w:rPr>
                <w:rFonts w:eastAsia="Times New Roman"/>
              </w:rPr>
            </w:pPr>
            <w:r w:rsidRPr="007067AC">
              <w:rPr>
                <w:lang w:eastAsia="en-AU"/>
              </w:rPr>
              <w:t>0.18 µM: predicted unbound hepatic inlet concentration</w:t>
            </w:r>
          </w:p>
        </w:tc>
        <w:tc>
          <w:tcPr>
            <w:tcW w:w="893" w:type="pct"/>
            <w:gridSpan w:val="3"/>
            <w:vMerge w:val="restart"/>
            <w:hideMark/>
          </w:tcPr>
          <w:p w:rsidR="0088637B" w:rsidRPr="007067AC" w:rsidRDefault="0088637B" w:rsidP="008740AA">
            <w:pPr>
              <w:ind w:left="0"/>
              <w:rPr>
                <w:rFonts w:eastAsia="Times New Roman"/>
                <w:lang w:eastAsia="en-AU"/>
              </w:rPr>
            </w:pPr>
            <w:r w:rsidRPr="007067AC">
              <w:rPr>
                <w:lang w:eastAsia="en-AU"/>
              </w:rPr>
              <w:t>4.5 µM</w:t>
            </w:r>
          </w:p>
          <w:p w:rsidR="0088637B" w:rsidRPr="007067AC" w:rsidRDefault="0088637B" w:rsidP="008740AA">
            <w:pPr>
              <w:ind w:left="0"/>
              <w:rPr>
                <w:rFonts w:eastAsia="Times New Roman"/>
              </w:rPr>
            </w:pPr>
            <w:r w:rsidRPr="007067AC">
              <w:rPr>
                <w:lang w:eastAsia="en-AU"/>
              </w:rPr>
              <w:t>(0.18 µM x 25)*</w:t>
            </w:r>
          </w:p>
        </w:tc>
        <w:tc>
          <w:tcPr>
            <w:tcW w:w="1016" w:type="pct"/>
            <w:vMerge w:val="restart"/>
            <w:hideMark/>
          </w:tcPr>
          <w:p w:rsidR="0088637B" w:rsidRPr="007067AC" w:rsidRDefault="0088637B" w:rsidP="008740AA">
            <w:pPr>
              <w:ind w:left="0"/>
              <w:rPr>
                <w:rFonts w:eastAsia="Times New Roman"/>
              </w:rPr>
            </w:pPr>
            <w:r w:rsidRPr="007067AC">
              <w:rPr>
                <w:lang w:eastAsia="en-AU"/>
              </w:rPr>
              <w:t>Yes. Predicted drug interactions with substrates of these transporters</w:t>
            </w:r>
          </w:p>
        </w:tc>
      </w:tr>
      <w:tr w:rsidR="00217BA4" w:rsidRPr="00392F46" w:rsidTr="008740AA">
        <w:trPr>
          <w:trHeight w:val="80"/>
        </w:trPr>
        <w:tc>
          <w:tcPr>
            <w:tcW w:w="939" w:type="pct"/>
            <w:hideMark/>
          </w:tcPr>
          <w:p w:rsidR="0088637B" w:rsidRPr="007067AC" w:rsidRDefault="0088637B" w:rsidP="008740AA">
            <w:pPr>
              <w:ind w:left="0"/>
              <w:rPr>
                <w:rFonts w:eastAsia="Times New Roman"/>
              </w:rPr>
            </w:pPr>
            <w:r w:rsidRPr="007067AC">
              <w:rPr>
                <w:lang w:eastAsia="en-AU"/>
              </w:rPr>
              <w:t>OATP1B3</w:t>
            </w:r>
          </w:p>
        </w:tc>
        <w:tc>
          <w:tcPr>
            <w:tcW w:w="564" w:type="pct"/>
            <w:hideMark/>
          </w:tcPr>
          <w:p w:rsidR="0088637B" w:rsidRPr="007067AC" w:rsidRDefault="0088637B" w:rsidP="008740AA">
            <w:pPr>
              <w:ind w:left="0"/>
              <w:rPr>
                <w:rFonts w:eastAsia="Times New Roman"/>
              </w:rPr>
            </w:pPr>
            <w:r w:rsidRPr="007067AC">
              <w:rPr>
                <w:lang w:eastAsia="en-AU"/>
              </w:rPr>
              <w:t>3.0</w:t>
            </w:r>
          </w:p>
        </w:tc>
        <w:tc>
          <w:tcPr>
            <w:tcW w:w="835" w:type="pct"/>
            <w:gridSpan w:val="2"/>
            <w:hideMark/>
          </w:tcPr>
          <w:p w:rsidR="0088637B" w:rsidRPr="007067AC" w:rsidRDefault="0088637B" w:rsidP="008740AA">
            <w:pPr>
              <w:ind w:left="0"/>
              <w:rPr>
                <w:rFonts w:eastAsia="Times New Roman"/>
              </w:rPr>
            </w:pPr>
            <w:r w:rsidRPr="007067AC">
              <w:rPr>
                <w:lang w:eastAsia="en-AU"/>
              </w:rPr>
              <w:t>1.5 µM</w:t>
            </w:r>
          </w:p>
        </w:tc>
        <w:tc>
          <w:tcPr>
            <w:tcW w:w="753" w:type="pct"/>
            <w:vMerge/>
            <w:hideMark/>
          </w:tcPr>
          <w:p w:rsidR="0088637B" w:rsidRPr="007067AC" w:rsidRDefault="0088637B" w:rsidP="008740AA">
            <w:pPr>
              <w:ind w:left="0"/>
              <w:rPr>
                <w:rFonts w:eastAsia="Times New Roman"/>
                <w:kern w:val="16"/>
              </w:rPr>
            </w:pPr>
          </w:p>
        </w:tc>
        <w:tc>
          <w:tcPr>
            <w:tcW w:w="893" w:type="pct"/>
            <w:gridSpan w:val="3"/>
            <w:vMerge/>
            <w:hideMark/>
          </w:tcPr>
          <w:p w:rsidR="0088637B" w:rsidRPr="007067AC" w:rsidRDefault="0088637B" w:rsidP="008740AA">
            <w:pPr>
              <w:ind w:left="0"/>
              <w:rPr>
                <w:rFonts w:eastAsia="Times New Roman"/>
                <w:kern w:val="16"/>
              </w:rPr>
            </w:pPr>
          </w:p>
        </w:tc>
        <w:tc>
          <w:tcPr>
            <w:tcW w:w="1016" w:type="pct"/>
            <w:vMerge/>
            <w:hideMark/>
          </w:tcPr>
          <w:p w:rsidR="0088637B" w:rsidRPr="007067AC" w:rsidRDefault="0088637B" w:rsidP="008740AA">
            <w:pPr>
              <w:ind w:left="0"/>
              <w:rPr>
                <w:rFonts w:eastAsia="Times New Roman"/>
                <w:kern w:val="16"/>
              </w:rPr>
            </w:pPr>
          </w:p>
        </w:tc>
      </w:tr>
      <w:tr w:rsidR="00217BA4" w:rsidRPr="00392F46" w:rsidTr="008740AA">
        <w:trPr>
          <w:trHeight w:val="80"/>
        </w:trPr>
        <w:tc>
          <w:tcPr>
            <w:tcW w:w="939" w:type="pct"/>
            <w:hideMark/>
          </w:tcPr>
          <w:p w:rsidR="0088637B" w:rsidRPr="007067AC" w:rsidRDefault="0088637B" w:rsidP="008740AA">
            <w:pPr>
              <w:ind w:left="0"/>
              <w:rPr>
                <w:rFonts w:eastAsia="Times New Roman"/>
              </w:rPr>
            </w:pPr>
            <w:r w:rsidRPr="007067AC">
              <w:rPr>
                <w:lang w:eastAsia="en-AU"/>
              </w:rPr>
              <w:t>OATP2B1</w:t>
            </w:r>
          </w:p>
        </w:tc>
        <w:tc>
          <w:tcPr>
            <w:tcW w:w="564" w:type="pct"/>
            <w:hideMark/>
          </w:tcPr>
          <w:p w:rsidR="0088637B" w:rsidRPr="007067AC" w:rsidRDefault="0088637B" w:rsidP="008740AA">
            <w:pPr>
              <w:ind w:left="0"/>
              <w:rPr>
                <w:rFonts w:eastAsia="Times New Roman"/>
              </w:rPr>
            </w:pPr>
            <w:r w:rsidRPr="007067AC">
              <w:rPr>
                <w:lang w:eastAsia="en-AU"/>
              </w:rPr>
              <w:t>0.27</w:t>
            </w:r>
          </w:p>
        </w:tc>
        <w:tc>
          <w:tcPr>
            <w:tcW w:w="835" w:type="pct"/>
            <w:gridSpan w:val="2"/>
            <w:hideMark/>
          </w:tcPr>
          <w:p w:rsidR="0088637B" w:rsidRPr="007067AC" w:rsidRDefault="0088637B" w:rsidP="008740AA">
            <w:pPr>
              <w:ind w:left="0"/>
              <w:rPr>
                <w:rFonts w:eastAsia="Times New Roman"/>
              </w:rPr>
            </w:pPr>
            <w:r w:rsidRPr="007067AC">
              <w:rPr>
                <w:lang w:eastAsia="en-AU"/>
              </w:rPr>
              <w:t>0.13 µM</w:t>
            </w:r>
          </w:p>
        </w:tc>
        <w:tc>
          <w:tcPr>
            <w:tcW w:w="753" w:type="pct"/>
            <w:vMerge/>
            <w:hideMark/>
          </w:tcPr>
          <w:p w:rsidR="0088637B" w:rsidRPr="007067AC" w:rsidRDefault="0088637B" w:rsidP="008740AA">
            <w:pPr>
              <w:ind w:left="0"/>
              <w:rPr>
                <w:rFonts w:eastAsia="Times New Roman"/>
                <w:kern w:val="16"/>
              </w:rPr>
            </w:pPr>
          </w:p>
        </w:tc>
        <w:tc>
          <w:tcPr>
            <w:tcW w:w="893" w:type="pct"/>
            <w:gridSpan w:val="3"/>
            <w:vMerge/>
            <w:hideMark/>
          </w:tcPr>
          <w:p w:rsidR="0088637B" w:rsidRPr="007067AC" w:rsidRDefault="0088637B" w:rsidP="008740AA">
            <w:pPr>
              <w:ind w:left="0"/>
              <w:rPr>
                <w:rFonts w:eastAsia="Times New Roman"/>
                <w:kern w:val="16"/>
              </w:rPr>
            </w:pPr>
          </w:p>
        </w:tc>
        <w:tc>
          <w:tcPr>
            <w:tcW w:w="1016" w:type="pct"/>
            <w:vMerge/>
            <w:hideMark/>
          </w:tcPr>
          <w:p w:rsidR="0088637B" w:rsidRPr="007067AC" w:rsidRDefault="0088637B" w:rsidP="008740AA">
            <w:pPr>
              <w:ind w:left="0"/>
              <w:rPr>
                <w:rFonts w:eastAsia="Times New Roman"/>
                <w:kern w:val="16"/>
              </w:rPr>
            </w:pPr>
          </w:p>
        </w:tc>
      </w:tr>
      <w:tr w:rsidR="00217BA4" w:rsidRPr="00392F46" w:rsidTr="008740AA">
        <w:trPr>
          <w:trHeight w:val="80"/>
        </w:trPr>
        <w:tc>
          <w:tcPr>
            <w:tcW w:w="939" w:type="pct"/>
            <w:hideMark/>
          </w:tcPr>
          <w:p w:rsidR="0088637B" w:rsidRPr="007067AC" w:rsidRDefault="0088637B" w:rsidP="008740AA">
            <w:pPr>
              <w:ind w:left="0"/>
              <w:rPr>
                <w:rFonts w:eastAsia="Times New Roman"/>
              </w:rPr>
            </w:pPr>
            <w:r w:rsidRPr="007067AC">
              <w:rPr>
                <w:lang w:eastAsia="en-AU"/>
              </w:rPr>
              <w:t>NTCP</w:t>
            </w:r>
          </w:p>
        </w:tc>
        <w:tc>
          <w:tcPr>
            <w:tcW w:w="564" w:type="pct"/>
            <w:hideMark/>
          </w:tcPr>
          <w:p w:rsidR="0088637B" w:rsidRPr="007067AC" w:rsidRDefault="0088637B" w:rsidP="008740AA">
            <w:pPr>
              <w:ind w:left="0"/>
              <w:rPr>
                <w:rFonts w:eastAsia="Times New Roman"/>
              </w:rPr>
            </w:pPr>
            <w:r w:rsidRPr="007067AC">
              <w:rPr>
                <w:lang w:eastAsia="en-AU"/>
              </w:rPr>
              <w:t>3.56</w:t>
            </w:r>
          </w:p>
        </w:tc>
        <w:tc>
          <w:tcPr>
            <w:tcW w:w="835" w:type="pct"/>
            <w:gridSpan w:val="2"/>
            <w:hideMark/>
          </w:tcPr>
          <w:p w:rsidR="0088637B" w:rsidRPr="007067AC" w:rsidRDefault="0088637B" w:rsidP="008740AA">
            <w:pPr>
              <w:ind w:left="0"/>
              <w:rPr>
                <w:rFonts w:eastAsia="Times New Roman"/>
              </w:rPr>
            </w:pPr>
            <w:r w:rsidRPr="007067AC">
              <w:rPr>
                <w:lang w:eastAsia="en-AU"/>
              </w:rPr>
              <w:t>1.78 µM</w:t>
            </w:r>
          </w:p>
        </w:tc>
        <w:tc>
          <w:tcPr>
            <w:tcW w:w="753" w:type="pct"/>
            <w:vMerge/>
            <w:hideMark/>
          </w:tcPr>
          <w:p w:rsidR="0088637B" w:rsidRPr="007067AC" w:rsidRDefault="0088637B" w:rsidP="008740AA">
            <w:pPr>
              <w:ind w:left="0"/>
              <w:rPr>
                <w:rFonts w:eastAsia="Times New Roman"/>
                <w:kern w:val="16"/>
              </w:rPr>
            </w:pPr>
          </w:p>
        </w:tc>
        <w:tc>
          <w:tcPr>
            <w:tcW w:w="893" w:type="pct"/>
            <w:gridSpan w:val="3"/>
            <w:vMerge/>
            <w:hideMark/>
          </w:tcPr>
          <w:p w:rsidR="0088637B" w:rsidRPr="007067AC" w:rsidRDefault="0088637B" w:rsidP="008740AA">
            <w:pPr>
              <w:ind w:left="0"/>
              <w:rPr>
                <w:rFonts w:eastAsia="Times New Roman"/>
                <w:kern w:val="16"/>
              </w:rPr>
            </w:pPr>
          </w:p>
        </w:tc>
        <w:tc>
          <w:tcPr>
            <w:tcW w:w="1016" w:type="pct"/>
            <w:vMerge/>
            <w:hideMark/>
          </w:tcPr>
          <w:p w:rsidR="0088637B" w:rsidRPr="007067AC" w:rsidRDefault="0088637B" w:rsidP="008740AA">
            <w:pPr>
              <w:ind w:left="0"/>
              <w:rPr>
                <w:rFonts w:eastAsia="Times New Roman"/>
                <w:kern w:val="16"/>
              </w:rPr>
            </w:pPr>
          </w:p>
        </w:tc>
      </w:tr>
      <w:tr w:rsidR="0088637B" w:rsidRPr="00392F46" w:rsidTr="00C60B78">
        <w:trPr>
          <w:trHeight w:val="80"/>
        </w:trPr>
        <w:tc>
          <w:tcPr>
            <w:tcW w:w="5000" w:type="pct"/>
            <w:gridSpan w:val="9"/>
            <w:hideMark/>
          </w:tcPr>
          <w:p w:rsidR="0088637B" w:rsidRPr="007067AC" w:rsidRDefault="0088637B" w:rsidP="008740AA">
            <w:pPr>
              <w:ind w:left="0"/>
              <w:rPr>
                <w:rFonts w:eastAsia="Times New Roman"/>
              </w:rPr>
            </w:pPr>
            <w:r w:rsidRPr="007067AC">
              <w:rPr>
                <w:lang w:eastAsia="en-AU"/>
              </w:rPr>
              <w:t>Renal transporters</w:t>
            </w:r>
          </w:p>
        </w:tc>
      </w:tr>
      <w:tr w:rsidR="00217BA4" w:rsidRPr="00392F46" w:rsidTr="008740AA">
        <w:trPr>
          <w:trHeight w:val="80"/>
        </w:trPr>
        <w:tc>
          <w:tcPr>
            <w:tcW w:w="939" w:type="pct"/>
            <w:hideMark/>
          </w:tcPr>
          <w:p w:rsidR="0088637B" w:rsidRPr="007067AC" w:rsidRDefault="0088637B" w:rsidP="008740AA">
            <w:pPr>
              <w:ind w:left="0"/>
              <w:rPr>
                <w:rFonts w:eastAsia="Times New Roman"/>
              </w:rPr>
            </w:pPr>
            <w:r w:rsidRPr="007067AC">
              <w:rPr>
                <w:lang w:eastAsia="en-AU"/>
              </w:rPr>
              <w:t>OAT1</w:t>
            </w:r>
          </w:p>
        </w:tc>
        <w:tc>
          <w:tcPr>
            <w:tcW w:w="564" w:type="pct"/>
            <w:hideMark/>
          </w:tcPr>
          <w:p w:rsidR="0088637B" w:rsidRPr="007067AC" w:rsidRDefault="0088637B" w:rsidP="008740AA">
            <w:pPr>
              <w:ind w:left="0"/>
              <w:rPr>
                <w:rFonts w:eastAsia="Times New Roman"/>
              </w:rPr>
            </w:pPr>
            <w:r w:rsidRPr="007067AC">
              <w:rPr>
                <w:lang w:eastAsia="en-AU"/>
              </w:rPr>
              <w:t>11.8</w:t>
            </w:r>
          </w:p>
        </w:tc>
        <w:tc>
          <w:tcPr>
            <w:tcW w:w="835" w:type="pct"/>
            <w:gridSpan w:val="2"/>
            <w:hideMark/>
          </w:tcPr>
          <w:p w:rsidR="0088637B" w:rsidRPr="007067AC" w:rsidRDefault="0088637B" w:rsidP="008740AA">
            <w:pPr>
              <w:ind w:left="0"/>
              <w:rPr>
                <w:rFonts w:eastAsia="Times New Roman"/>
              </w:rPr>
            </w:pPr>
            <w:r w:rsidRPr="007067AC">
              <w:rPr>
                <w:lang w:eastAsia="en-AU"/>
              </w:rPr>
              <w:t>5.9 µM</w:t>
            </w:r>
          </w:p>
        </w:tc>
        <w:tc>
          <w:tcPr>
            <w:tcW w:w="753" w:type="pct"/>
            <w:vMerge w:val="restart"/>
          </w:tcPr>
          <w:p w:rsidR="0088637B" w:rsidRPr="007067AC" w:rsidRDefault="0088637B" w:rsidP="008740AA">
            <w:pPr>
              <w:ind w:left="0"/>
              <w:rPr>
                <w:rFonts w:eastAsia="Times New Roman"/>
                <w:lang w:eastAsia="en-AU"/>
              </w:rPr>
            </w:pPr>
            <w:r w:rsidRPr="007067AC">
              <w:rPr>
                <w:lang w:eastAsia="en-AU"/>
              </w:rPr>
              <w:t xml:space="preserve">5.6 </w:t>
            </w:r>
            <w:proofErr w:type="spellStart"/>
            <w:r w:rsidRPr="007067AC">
              <w:rPr>
                <w:lang w:eastAsia="en-AU"/>
              </w:rPr>
              <w:t>nM</w:t>
            </w:r>
            <w:proofErr w:type="spellEnd"/>
            <w:r w:rsidRPr="007067AC">
              <w:rPr>
                <w:lang w:eastAsia="en-AU"/>
              </w:rPr>
              <w:t xml:space="preserve"> : unbound</w:t>
            </w:r>
            <w:r w:rsidR="001F3724" w:rsidRPr="007067AC">
              <w:rPr>
                <w:lang w:eastAsia="en-AU"/>
              </w:rPr>
              <w:t xml:space="preserve"> </w:t>
            </w:r>
            <w:proofErr w:type="spellStart"/>
            <w:r w:rsidR="001F3724" w:rsidRPr="007067AC">
              <w:rPr>
                <w:lang w:eastAsia="en-AU"/>
              </w:rPr>
              <w:t>C</w:t>
            </w:r>
            <w:r w:rsidR="001F3724" w:rsidRPr="007067AC">
              <w:rPr>
                <w:vertAlign w:val="subscript"/>
                <w:lang w:eastAsia="en-AU"/>
              </w:rPr>
              <w:t>max</w:t>
            </w:r>
            <w:proofErr w:type="spellEnd"/>
          </w:p>
          <w:p w:rsidR="0088637B" w:rsidRPr="007067AC" w:rsidRDefault="0088637B" w:rsidP="008740AA">
            <w:pPr>
              <w:ind w:left="0"/>
              <w:rPr>
                <w:rFonts w:eastAsia="Times New Roman"/>
              </w:rPr>
            </w:pPr>
            <w:r w:rsidRPr="007067AC">
              <w:rPr>
                <w:lang w:eastAsia="en-AU"/>
              </w:rPr>
              <w:t xml:space="preserve">(560 </w:t>
            </w:r>
            <w:proofErr w:type="spellStart"/>
            <w:r w:rsidRPr="007067AC">
              <w:rPr>
                <w:lang w:eastAsia="en-AU"/>
              </w:rPr>
              <w:t>nM</w:t>
            </w:r>
            <w:proofErr w:type="spellEnd"/>
            <w:r w:rsidRPr="007067AC">
              <w:rPr>
                <w:lang w:eastAsia="en-AU"/>
              </w:rPr>
              <w:t xml:space="preserve"> x 0.01)</w:t>
            </w:r>
          </w:p>
        </w:tc>
        <w:tc>
          <w:tcPr>
            <w:tcW w:w="893" w:type="pct"/>
            <w:gridSpan w:val="3"/>
            <w:vMerge w:val="restart"/>
            <w:hideMark/>
          </w:tcPr>
          <w:p w:rsidR="0088637B" w:rsidRPr="007067AC" w:rsidRDefault="0088637B" w:rsidP="008740AA">
            <w:pPr>
              <w:ind w:left="0"/>
              <w:rPr>
                <w:rFonts w:eastAsia="Times New Roman"/>
                <w:lang w:eastAsia="en-AU"/>
              </w:rPr>
            </w:pPr>
            <w:r w:rsidRPr="007067AC">
              <w:rPr>
                <w:lang w:eastAsia="en-AU"/>
              </w:rPr>
              <w:t xml:space="preserve">280 </w:t>
            </w:r>
            <w:proofErr w:type="spellStart"/>
            <w:r w:rsidRPr="007067AC">
              <w:rPr>
                <w:lang w:eastAsia="en-AU"/>
              </w:rPr>
              <w:t>nM</w:t>
            </w:r>
            <w:proofErr w:type="spellEnd"/>
          </w:p>
          <w:p w:rsidR="0088637B" w:rsidRPr="007067AC" w:rsidRDefault="0088637B" w:rsidP="008740AA">
            <w:pPr>
              <w:ind w:left="0"/>
              <w:rPr>
                <w:rFonts w:eastAsia="Times New Roman"/>
              </w:rPr>
            </w:pPr>
            <w:r w:rsidRPr="007067AC">
              <w:rPr>
                <w:lang w:eastAsia="en-AU"/>
              </w:rPr>
              <w:t xml:space="preserve">(5.6 </w:t>
            </w:r>
            <w:proofErr w:type="spellStart"/>
            <w:r w:rsidRPr="007067AC">
              <w:rPr>
                <w:lang w:eastAsia="en-AU"/>
              </w:rPr>
              <w:t>nM</w:t>
            </w:r>
            <w:proofErr w:type="spellEnd"/>
            <w:r w:rsidRPr="007067AC">
              <w:rPr>
                <w:lang w:eastAsia="en-AU"/>
              </w:rPr>
              <w:t xml:space="preserve"> x 50)*</w:t>
            </w:r>
          </w:p>
        </w:tc>
        <w:tc>
          <w:tcPr>
            <w:tcW w:w="1016" w:type="pct"/>
            <w:vMerge w:val="restart"/>
            <w:hideMark/>
          </w:tcPr>
          <w:p w:rsidR="0088637B" w:rsidRPr="007067AC" w:rsidRDefault="0088637B" w:rsidP="008740AA">
            <w:pPr>
              <w:ind w:left="0"/>
              <w:rPr>
                <w:rFonts w:eastAsia="Times New Roman"/>
              </w:rPr>
            </w:pPr>
            <w:r w:rsidRPr="007067AC">
              <w:rPr>
                <w:lang w:eastAsia="en-AU"/>
              </w:rPr>
              <w:t>No. Drug interactions not expected with substrates of these transporters</w:t>
            </w:r>
          </w:p>
        </w:tc>
      </w:tr>
      <w:tr w:rsidR="00217BA4" w:rsidRPr="00392F46" w:rsidTr="008740AA">
        <w:trPr>
          <w:trHeight w:val="80"/>
        </w:trPr>
        <w:tc>
          <w:tcPr>
            <w:tcW w:w="939" w:type="pct"/>
            <w:hideMark/>
          </w:tcPr>
          <w:p w:rsidR="0088637B" w:rsidRPr="007067AC" w:rsidRDefault="0088637B" w:rsidP="008740AA">
            <w:pPr>
              <w:ind w:left="0"/>
              <w:rPr>
                <w:rFonts w:eastAsia="Times New Roman"/>
              </w:rPr>
            </w:pPr>
            <w:r w:rsidRPr="007067AC">
              <w:rPr>
                <w:lang w:eastAsia="en-AU"/>
              </w:rPr>
              <w:t>OAT3</w:t>
            </w:r>
          </w:p>
        </w:tc>
        <w:tc>
          <w:tcPr>
            <w:tcW w:w="564" w:type="pct"/>
            <w:hideMark/>
          </w:tcPr>
          <w:p w:rsidR="0088637B" w:rsidRPr="007067AC" w:rsidRDefault="0088637B" w:rsidP="008740AA">
            <w:pPr>
              <w:ind w:left="0"/>
              <w:rPr>
                <w:rFonts w:eastAsia="Times New Roman"/>
              </w:rPr>
            </w:pPr>
            <w:r w:rsidRPr="007067AC">
              <w:rPr>
                <w:lang w:eastAsia="en-AU"/>
              </w:rPr>
              <w:t>71.9</w:t>
            </w:r>
          </w:p>
        </w:tc>
        <w:tc>
          <w:tcPr>
            <w:tcW w:w="835" w:type="pct"/>
            <w:gridSpan w:val="2"/>
            <w:hideMark/>
          </w:tcPr>
          <w:p w:rsidR="0088637B" w:rsidRPr="007067AC" w:rsidRDefault="0088637B" w:rsidP="008740AA">
            <w:pPr>
              <w:ind w:left="0"/>
              <w:rPr>
                <w:rFonts w:eastAsia="Times New Roman"/>
              </w:rPr>
            </w:pPr>
            <w:r w:rsidRPr="007067AC">
              <w:rPr>
                <w:lang w:eastAsia="en-AU"/>
              </w:rPr>
              <w:t>35.9 µM</w:t>
            </w:r>
          </w:p>
        </w:tc>
        <w:tc>
          <w:tcPr>
            <w:tcW w:w="753" w:type="pct"/>
            <w:vMerge/>
            <w:hideMark/>
          </w:tcPr>
          <w:p w:rsidR="0088637B" w:rsidRPr="007067AC" w:rsidRDefault="0088637B" w:rsidP="008740AA">
            <w:pPr>
              <w:ind w:left="0"/>
              <w:rPr>
                <w:rFonts w:eastAsia="Times New Roman"/>
                <w:kern w:val="16"/>
              </w:rPr>
            </w:pPr>
          </w:p>
        </w:tc>
        <w:tc>
          <w:tcPr>
            <w:tcW w:w="893" w:type="pct"/>
            <w:gridSpan w:val="3"/>
            <w:vMerge/>
            <w:hideMark/>
          </w:tcPr>
          <w:p w:rsidR="0088637B" w:rsidRPr="007067AC" w:rsidRDefault="0088637B" w:rsidP="008740AA">
            <w:pPr>
              <w:ind w:left="0"/>
              <w:rPr>
                <w:rFonts w:eastAsia="Times New Roman"/>
                <w:kern w:val="16"/>
              </w:rPr>
            </w:pPr>
          </w:p>
        </w:tc>
        <w:tc>
          <w:tcPr>
            <w:tcW w:w="1016" w:type="pct"/>
            <w:vMerge/>
            <w:hideMark/>
          </w:tcPr>
          <w:p w:rsidR="0088637B" w:rsidRPr="007067AC" w:rsidRDefault="0088637B" w:rsidP="008740AA">
            <w:pPr>
              <w:ind w:left="0"/>
              <w:rPr>
                <w:rFonts w:eastAsia="Times New Roman"/>
                <w:kern w:val="16"/>
              </w:rPr>
            </w:pPr>
          </w:p>
        </w:tc>
      </w:tr>
      <w:tr w:rsidR="00217BA4" w:rsidRPr="00392F46" w:rsidTr="008740AA">
        <w:trPr>
          <w:trHeight w:val="80"/>
        </w:trPr>
        <w:tc>
          <w:tcPr>
            <w:tcW w:w="939" w:type="pct"/>
            <w:hideMark/>
          </w:tcPr>
          <w:p w:rsidR="0088637B" w:rsidRPr="007067AC" w:rsidRDefault="0088637B" w:rsidP="008740AA">
            <w:pPr>
              <w:ind w:left="0"/>
              <w:rPr>
                <w:rFonts w:eastAsia="Times New Roman"/>
              </w:rPr>
            </w:pPr>
            <w:r w:rsidRPr="007067AC">
              <w:rPr>
                <w:lang w:eastAsia="en-AU"/>
              </w:rPr>
              <w:t>OCT1</w:t>
            </w:r>
          </w:p>
        </w:tc>
        <w:tc>
          <w:tcPr>
            <w:tcW w:w="564" w:type="pct"/>
            <w:hideMark/>
          </w:tcPr>
          <w:p w:rsidR="0088637B" w:rsidRPr="007067AC" w:rsidRDefault="0088637B" w:rsidP="008740AA">
            <w:pPr>
              <w:ind w:left="0"/>
              <w:rPr>
                <w:rFonts w:eastAsia="Times New Roman"/>
              </w:rPr>
            </w:pPr>
            <w:r w:rsidRPr="007067AC">
              <w:rPr>
                <w:lang w:eastAsia="en-AU"/>
              </w:rPr>
              <w:t>76.8</w:t>
            </w:r>
          </w:p>
        </w:tc>
        <w:tc>
          <w:tcPr>
            <w:tcW w:w="835" w:type="pct"/>
            <w:gridSpan w:val="2"/>
            <w:hideMark/>
          </w:tcPr>
          <w:p w:rsidR="0088637B" w:rsidRPr="007067AC" w:rsidRDefault="0088637B" w:rsidP="008740AA">
            <w:pPr>
              <w:ind w:left="0"/>
              <w:rPr>
                <w:rFonts w:eastAsia="Times New Roman"/>
              </w:rPr>
            </w:pPr>
            <w:r w:rsidRPr="007067AC">
              <w:rPr>
                <w:lang w:eastAsia="en-AU"/>
              </w:rPr>
              <w:t>38.4 µM</w:t>
            </w:r>
          </w:p>
        </w:tc>
        <w:tc>
          <w:tcPr>
            <w:tcW w:w="753" w:type="pct"/>
            <w:vMerge/>
            <w:hideMark/>
          </w:tcPr>
          <w:p w:rsidR="0088637B" w:rsidRPr="007067AC" w:rsidRDefault="0088637B" w:rsidP="008740AA">
            <w:pPr>
              <w:ind w:left="0"/>
              <w:rPr>
                <w:rFonts w:eastAsia="Times New Roman"/>
                <w:kern w:val="16"/>
              </w:rPr>
            </w:pPr>
          </w:p>
        </w:tc>
        <w:tc>
          <w:tcPr>
            <w:tcW w:w="893" w:type="pct"/>
            <w:gridSpan w:val="3"/>
            <w:vMerge/>
            <w:hideMark/>
          </w:tcPr>
          <w:p w:rsidR="0088637B" w:rsidRPr="007067AC" w:rsidRDefault="0088637B" w:rsidP="008740AA">
            <w:pPr>
              <w:ind w:left="0"/>
              <w:rPr>
                <w:rFonts w:eastAsia="Times New Roman"/>
                <w:kern w:val="16"/>
              </w:rPr>
            </w:pPr>
          </w:p>
        </w:tc>
        <w:tc>
          <w:tcPr>
            <w:tcW w:w="1016" w:type="pct"/>
            <w:vMerge/>
            <w:hideMark/>
          </w:tcPr>
          <w:p w:rsidR="0088637B" w:rsidRPr="007067AC" w:rsidRDefault="0088637B" w:rsidP="008740AA">
            <w:pPr>
              <w:ind w:left="0"/>
              <w:rPr>
                <w:rFonts w:eastAsia="Times New Roman"/>
                <w:kern w:val="16"/>
              </w:rPr>
            </w:pPr>
          </w:p>
        </w:tc>
      </w:tr>
      <w:tr w:rsidR="00217BA4" w:rsidRPr="00392F46" w:rsidTr="008740AA">
        <w:trPr>
          <w:trHeight w:val="80"/>
        </w:trPr>
        <w:tc>
          <w:tcPr>
            <w:tcW w:w="939" w:type="pct"/>
            <w:hideMark/>
          </w:tcPr>
          <w:p w:rsidR="0088637B" w:rsidRPr="007067AC" w:rsidRDefault="0088637B" w:rsidP="008740AA">
            <w:pPr>
              <w:ind w:left="0"/>
              <w:rPr>
                <w:rFonts w:eastAsia="Times New Roman"/>
              </w:rPr>
            </w:pPr>
            <w:r w:rsidRPr="007067AC">
              <w:rPr>
                <w:lang w:eastAsia="en-AU"/>
              </w:rPr>
              <w:t>OCT2</w:t>
            </w:r>
          </w:p>
        </w:tc>
        <w:tc>
          <w:tcPr>
            <w:tcW w:w="564" w:type="pct"/>
            <w:hideMark/>
          </w:tcPr>
          <w:p w:rsidR="0088637B" w:rsidRPr="007067AC" w:rsidRDefault="0088637B" w:rsidP="008740AA">
            <w:pPr>
              <w:ind w:left="0"/>
              <w:rPr>
                <w:rFonts w:eastAsia="Times New Roman"/>
              </w:rPr>
            </w:pPr>
            <w:r w:rsidRPr="007067AC">
              <w:rPr>
                <w:lang w:eastAsia="en-AU"/>
              </w:rPr>
              <w:t>&gt;80</w:t>
            </w:r>
          </w:p>
        </w:tc>
        <w:tc>
          <w:tcPr>
            <w:tcW w:w="835" w:type="pct"/>
            <w:gridSpan w:val="2"/>
            <w:hideMark/>
          </w:tcPr>
          <w:p w:rsidR="0088637B" w:rsidRPr="007067AC" w:rsidRDefault="0088637B" w:rsidP="008740AA">
            <w:pPr>
              <w:ind w:left="0"/>
              <w:rPr>
                <w:rFonts w:eastAsia="Times New Roman"/>
              </w:rPr>
            </w:pPr>
            <w:r w:rsidRPr="007067AC">
              <w:rPr>
                <w:lang w:eastAsia="en-AU"/>
              </w:rPr>
              <w:t>&gt;40 µM</w:t>
            </w:r>
          </w:p>
        </w:tc>
        <w:tc>
          <w:tcPr>
            <w:tcW w:w="753" w:type="pct"/>
            <w:vMerge/>
            <w:hideMark/>
          </w:tcPr>
          <w:p w:rsidR="0088637B" w:rsidRPr="007067AC" w:rsidRDefault="0088637B" w:rsidP="008740AA">
            <w:pPr>
              <w:ind w:left="0"/>
              <w:rPr>
                <w:rFonts w:eastAsia="Times New Roman"/>
                <w:kern w:val="16"/>
              </w:rPr>
            </w:pPr>
          </w:p>
        </w:tc>
        <w:tc>
          <w:tcPr>
            <w:tcW w:w="893" w:type="pct"/>
            <w:gridSpan w:val="3"/>
            <w:vMerge/>
            <w:hideMark/>
          </w:tcPr>
          <w:p w:rsidR="0088637B" w:rsidRPr="007067AC" w:rsidRDefault="0088637B" w:rsidP="008740AA">
            <w:pPr>
              <w:ind w:left="0"/>
              <w:rPr>
                <w:rFonts w:eastAsia="Times New Roman"/>
                <w:kern w:val="16"/>
              </w:rPr>
            </w:pPr>
          </w:p>
        </w:tc>
        <w:tc>
          <w:tcPr>
            <w:tcW w:w="1016" w:type="pct"/>
            <w:vMerge/>
            <w:hideMark/>
          </w:tcPr>
          <w:p w:rsidR="0088637B" w:rsidRPr="007067AC" w:rsidRDefault="0088637B" w:rsidP="008740AA">
            <w:pPr>
              <w:ind w:left="0"/>
              <w:rPr>
                <w:rFonts w:eastAsia="Times New Roman"/>
                <w:kern w:val="16"/>
              </w:rPr>
            </w:pPr>
          </w:p>
        </w:tc>
      </w:tr>
      <w:tr w:rsidR="0088637B" w:rsidRPr="00392F46" w:rsidTr="00C60B78">
        <w:trPr>
          <w:trHeight w:val="80"/>
        </w:trPr>
        <w:tc>
          <w:tcPr>
            <w:tcW w:w="5000" w:type="pct"/>
            <w:gridSpan w:val="9"/>
            <w:hideMark/>
          </w:tcPr>
          <w:p w:rsidR="0088637B" w:rsidRPr="007067AC" w:rsidRDefault="0088637B" w:rsidP="008740AA">
            <w:pPr>
              <w:ind w:left="0"/>
              <w:rPr>
                <w:rFonts w:eastAsia="Times New Roman"/>
              </w:rPr>
            </w:pPr>
            <w:r w:rsidRPr="007067AC">
              <w:rPr>
                <w:lang w:eastAsia="en-AU"/>
              </w:rPr>
              <w:t>Other transporters</w:t>
            </w:r>
          </w:p>
        </w:tc>
      </w:tr>
      <w:tr w:rsidR="00217BA4" w:rsidRPr="00392F46" w:rsidTr="008740AA">
        <w:trPr>
          <w:trHeight w:val="487"/>
        </w:trPr>
        <w:tc>
          <w:tcPr>
            <w:tcW w:w="939" w:type="pct"/>
            <w:hideMark/>
          </w:tcPr>
          <w:p w:rsidR="0088637B" w:rsidRPr="007067AC" w:rsidRDefault="0088637B" w:rsidP="008740AA">
            <w:pPr>
              <w:ind w:left="0"/>
              <w:rPr>
                <w:rFonts w:eastAsia="Times New Roman"/>
              </w:rPr>
            </w:pPr>
            <w:r w:rsidRPr="007067AC">
              <w:rPr>
                <w:lang w:eastAsia="en-AU"/>
              </w:rPr>
              <w:t>P-</w:t>
            </w:r>
            <w:proofErr w:type="spellStart"/>
            <w:r w:rsidRPr="007067AC">
              <w:rPr>
                <w:lang w:eastAsia="en-AU"/>
              </w:rPr>
              <w:t>gp</w:t>
            </w:r>
            <w:proofErr w:type="spellEnd"/>
          </w:p>
        </w:tc>
        <w:tc>
          <w:tcPr>
            <w:tcW w:w="564" w:type="pct"/>
            <w:hideMark/>
          </w:tcPr>
          <w:p w:rsidR="0088637B" w:rsidRPr="007067AC" w:rsidRDefault="0088637B" w:rsidP="008740AA">
            <w:pPr>
              <w:ind w:left="0"/>
              <w:rPr>
                <w:rFonts w:eastAsia="Times New Roman"/>
              </w:rPr>
            </w:pPr>
            <w:r w:rsidRPr="007067AC">
              <w:rPr>
                <w:lang w:eastAsia="en-AU"/>
              </w:rPr>
              <w:t>50.6</w:t>
            </w:r>
          </w:p>
        </w:tc>
        <w:tc>
          <w:tcPr>
            <w:tcW w:w="718" w:type="pct"/>
            <w:hideMark/>
          </w:tcPr>
          <w:p w:rsidR="0088637B" w:rsidRPr="007067AC" w:rsidRDefault="0088637B" w:rsidP="008740AA">
            <w:pPr>
              <w:ind w:left="0"/>
              <w:rPr>
                <w:rFonts w:eastAsia="Times New Roman"/>
              </w:rPr>
            </w:pPr>
            <w:r w:rsidRPr="007067AC">
              <w:rPr>
                <w:lang w:eastAsia="en-AU"/>
              </w:rPr>
              <w:t>25.3 µM</w:t>
            </w:r>
          </w:p>
        </w:tc>
        <w:tc>
          <w:tcPr>
            <w:tcW w:w="870" w:type="pct"/>
            <w:gridSpan w:val="2"/>
            <w:vMerge w:val="restart"/>
            <w:hideMark/>
          </w:tcPr>
          <w:p w:rsidR="0088637B" w:rsidRPr="007067AC" w:rsidRDefault="0088637B" w:rsidP="008740AA">
            <w:pPr>
              <w:ind w:left="0"/>
              <w:rPr>
                <w:rFonts w:eastAsia="Times New Roman"/>
                <w:lang w:eastAsia="en-AU"/>
              </w:rPr>
            </w:pPr>
            <w:r w:rsidRPr="007067AC">
              <w:rPr>
                <w:lang w:eastAsia="en-AU"/>
              </w:rPr>
              <w:t>1070 µM:</w:t>
            </w:r>
          </w:p>
          <w:p w:rsidR="0088637B" w:rsidRPr="007067AC" w:rsidRDefault="0088637B" w:rsidP="008740AA">
            <w:pPr>
              <w:ind w:left="0"/>
              <w:rPr>
                <w:rFonts w:eastAsia="Times New Roman"/>
              </w:rPr>
            </w:pPr>
            <w:r w:rsidRPr="007067AC">
              <w:rPr>
                <w:lang w:eastAsia="en-AU"/>
              </w:rPr>
              <w:t>estimated intestinal concentration</w:t>
            </w:r>
          </w:p>
        </w:tc>
        <w:tc>
          <w:tcPr>
            <w:tcW w:w="893" w:type="pct"/>
            <w:gridSpan w:val="3"/>
            <w:vMerge w:val="restart"/>
            <w:hideMark/>
          </w:tcPr>
          <w:p w:rsidR="0088637B" w:rsidRPr="007067AC" w:rsidRDefault="0088637B" w:rsidP="008740AA">
            <w:pPr>
              <w:ind w:left="0"/>
              <w:rPr>
                <w:rFonts w:eastAsia="Times New Roman"/>
                <w:lang w:eastAsia="en-AU"/>
              </w:rPr>
            </w:pPr>
            <w:r w:rsidRPr="007067AC">
              <w:rPr>
                <w:lang w:eastAsia="en-AU"/>
              </w:rPr>
              <w:t>107 µM</w:t>
            </w:r>
          </w:p>
          <w:p w:rsidR="0088637B" w:rsidRPr="007067AC" w:rsidRDefault="0088637B" w:rsidP="008740AA">
            <w:pPr>
              <w:ind w:left="0"/>
              <w:rPr>
                <w:rFonts w:eastAsia="Times New Roman"/>
              </w:rPr>
            </w:pPr>
            <w:r w:rsidRPr="007067AC">
              <w:rPr>
                <w:lang w:eastAsia="en-AU"/>
              </w:rPr>
              <w:t>(107 µM x 0.1)*</w:t>
            </w:r>
          </w:p>
        </w:tc>
        <w:tc>
          <w:tcPr>
            <w:tcW w:w="1016" w:type="pct"/>
            <w:vMerge w:val="restart"/>
            <w:hideMark/>
          </w:tcPr>
          <w:p w:rsidR="0088637B" w:rsidRPr="007067AC" w:rsidRDefault="0088637B" w:rsidP="008740AA">
            <w:pPr>
              <w:ind w:left="0"/>
              <w:rPr>
                <w:rFonts w:eastAsia="Times New Roman"/>
              </w:rPr>
            </w:pPr>
            <w:r w:rsidRPr="007067AC">
              <w:rPr>
                <w:lang w:eastAsia="en-AU"/>
              </w:rPr>
              <w:t xml:space="preserve">Yes. Potential to affect oral absorption of co-administered drugs that are substrates for these </w:t>
            </w:r>
            <w:r w:rsidRPr="007067AC">
              <w:rPr>
                <w:lang w:eastAsia="en-AU"/>
              </w:rPr>
              <w:lastRenderedPageBreak/>
              <w:t>transporters</w:t>
            </w:r>
          </w:p>
        </w:tc>
      </w:tr>
      <w:tr w:rsidR="00217BA4" w:rsidRPr="00392F46" w:rsidTr="008740AA">
        <w:trPr>
          <w:trHeight w:val="487"/>
        </w:trPr>
        <w:tc>
          <w:tcPr>
            <w:tcW w:w="939" w:type="pct"/>
            <w:hideMark/>
          </w:tcPr>
          <w:p w:rsidR="0088637B" w:rsidRPr="007067AC" w:rsidRDefault="0088637B" w:rsidP="008740AA">
            <w:pPr>
              <w:ind w:left="0"/>
              <w:rPr>
                <w:rFonts w:eastAsia="Times New Roman"/>
              </w:rPr>
            </w:pPr>
            <w:r w:rsidRPr="007067AC">
              <w:rPr>
                <w:lang w:eastAsia="en-AU"/>
              </w:rPr>
              <w:t>BCRP</w:t>
            </w:r>
          </w:p>
        </w:tc>
        <w:tc>
          <w:tcPr>
            <w:tcW w:w="564" w:type="pct"/>
            <w:hideMark/>
          </w:tcPr>
          <w:p w:rsidR="0088637B" w:rsidRPr="007067AC" w:rsidRDefault="0088637B" w:rsidP="008740AA">
            <w:pPr>
              <w:ind w:left="0"/>
              <w:rPr>
                <w:rFonts w:eastAsia="Times New Roman"/>
              </w:rPr>
            </w:pPr>
            <w:r w:rsidRPr="007067AC">
              <w:rPr>
                <w:lang w:eastAsia="en-AU"/>
              </w:rPr>
              <w:t>&gt;50</w:t>
            </w:r>
          </w:p>
        </w:tc>
        <w:tc>
          <w:tcPr>
            <w:tcW w:w="718" w:type="pct"/>
            <w:hideMark/>
          </w:tcPr>
          <w:p w:rsidR="0088637B" w:rsidRPr="007067AC" w:rsidRDefault="0088637B" w:rsidP="008740AA">
            <w:pPr>
              <w:ind w:left="0"/>
              <w:rPr>
                <w:rFonts w:eastAsia="Times New Roman"/>
              </w:rPr>
            </w:pPr>
            <w:r w:rsidRPr="007067AC">
              <w:rPr>
                <w:lang w:eastAsia="en-AU"/>
              </w:rPr>
              <w:t>&gt;25 µM</w:t>
            </w:r>
          </w:p>
        </w:tc>
        <w:tc>
          <w:tcPr>
            <w:tcW w:w="870" w:type="pct"/>
            <w:gridSpan w:val="2"/>
            <w:vMerge/>
            <w:hideMark/>
          </w:tcPr>
          <w:p w:rsidR="0088637B" w:rsidRPr="007067AC" w:rsidRDefault="0088637B" w:rsidP="008740AA">
            <w:pPr>
              <w:ind w:left="0"/>
              <w:rPr>
                <w:rFonts w:eastAsia="Times New Roman"/>
                <w:kern w:val="16"/>
              </w:rPr>
            </w:pPr>
          </w:p>
        </w:tc>
        <w:tc>
          <w:tcPr>
            <w:tcW w:w="893" w:type="pct"/>
            <w:gridSpan w:val="3"/>
            <w:vMerge/>
            <w:hideMark/>
          </w:tcPr>
          <w:p w:rsidR="0088637B" w:rsidRPr="007067AC" w:rsidRDefault="0088637B" w:rsidP="008740AA">
            <w:pPr>
              <w:ind w:left="0"/>
              <w:rPr>
                <w:rFonts w:eastAsia="Times New Roman"/>
                <w:kern w:val="16"/>
              </w:rPr>
            </w:pPr>
          </w:p>
        </w:tc>
        <w:tc>
          <w:tcPr>
            <w:tcW w:w="1016" w:type="pct"/>
            <w:vMerge/>
            <w:hideMark/>
          </w:tcPr>
          <w:p w:rsidR="0088637B" w:rsidRPr="007067AC" w:rsidRDefault="0088637B" w:rsidP="008740AA">
            <w:pPr>
              <w:ind w:left="0"/>
              <w:rPr>
                <w:rFonts w:eastAsia="Times New Roman"/>
                <w:kern w:val="16"/>
              </w:rPr>
            </w:pPr>
          </w:p>
        </w:tc>
      </w:tr>
      <w:tr w:rsidR="00217BA4" w:rsidRPr="00392F46" w:rsidTr="008740AA">
        <w:trPr>
          <w:trHeight w:val="397"/>
        </w:trPr>
        <w:tc>
          <w:tcPr>
            <w:tcW w:w="939" w:type="pct"/>
            <w:hideMark/>
          </w:tcPr>
          <w:p w:rsidR="0088637B" w:rsidRPr="007067AC" w:rsidRDefault="0088637B" w:rsidP="008740AA">
            <w:pPr>
              <w:ind w:left="0"/>
              <w:rPr>
                <w:rFonts w:eastAsia="Times New Roman"/>
              </w:rPr>
            </w:pPr>
            <w:r w:rsidRPr="007067AC">
              <w:rPr>
                <w:lang w:eastAsia="en-AU"/>
              </w:rPr>
              <w:lastRenderedPageBreak/>
              <w:t>MRP2</w:t>
            </w:r>
          </w:p>
        </w:tc>
        <w:tc>
          <w:tcPr>
            <w:tcW w:w="564" w:type="pct"/>
            <w:hideMark/>
          </w:tcPr>
          <w:p w:rsidR="0088637B" w:rsidRPr="007067AC" w:rsidRDefault="0088637B" w:rsidP="008740AA">
            <w:pPr>
              <w:ind w:left="0"/>
              <w:rPr>
                <w:rFonts w:eastAsia="Times New Roman"/>
              </w:rPr>
            </w:pPr>
            <w:r w:rsidRPr="007067AC">
              <w:rPr>
                <w:lang w:eastAsia="en-AU"/>
              </w:rPr>
              <w:t>94.8</w:t>
            </w:r>
          </w:p>
        </w:tc>
        <w:tc>
          <w:tcPr>
            <w:tcW w:w="718" w:type="pct"/>
            <w:hideMark/>
          </w:tcPr>
          <w:p w:rsidR="0088637B" w:rsidRPr="007067AC" w:rsidRDefault="0088637B" w:rsidP="008740AA">
            <w:pPr>
              <w:ind w:left="0"/>
              <w:rPr>
                <w:rFonts w:eastAsia="Times New Roman"/>
              </w:rPr>
            </w:pPr>
            <w:r w:rsidRPr="007067AC">
              <w:rPr>
                <w:lang w:eastAsia="en-AU"/>
              </w:rPr>
              <w:t>47.4 µM</w:t>
            </w:r>
          </w:p>
        </w:tc>
        <w:tc>
          <w:tcPr>
            <w:tcW w:w="870" w:type="pct"/>
            <w:gridSpan w:val="2"/>
            <w:vMerge w:val="restart"/>
            <w:hideMark/>
          </w:tcPr>
          <w:p w:rsidR="0088637B" w:rsidRPr="007067AC" w:rsidRDefault="0088637B" w:rsidP="008740AA">
            <w:pPr>
              <w:ind w:left="0"/>
              <w:rPr>
                <w:rFonts w:eastAsia="Times New Roman"/>
              </w:rPr>
            </w:pPr>
            <w:r w:rsidRPr="007067AC">
              <w:rPr>
                <w:lang w:eastAsia="en-AU"/>
              </w:rPr>
              <w:t>4 µM:</w:t>
            </w:r>
            <w:r w:rsidR="00DF3309" w:rsidRPr="007067AC">
              <w:rPr>
                <w:lang w:eastAsia="en-AU"/>
              </w:rPr>
              <w:t xml:space="preserve"> </w:t>
            </w:r>
            <w:r w:rsidRPr="007067AC">
              <w:rPr>
                <w:lang w:eastAsia="en-AU"/>
              </w:rPr>
              <w:t>predicted unbound liver concentration</w:t>
            </w:r>
          </w:p>
        </w:tc>
        <w:tc>
          <w:tcPr>
            <w:tcW w:w="893" w:type="pct"/>
            <w:gridSpan w:val="3"/>
            <w:vMerge w:val="restart"/>
            <w:hideMark/>
          </w:tcPr>
          <w:p w:rsidR="0088637B" w:rsidRPr="007067AC" w:rsidRDefault="0088637B" w:rsidP="008740AA">
            <w:pPr>
              <w:ind w:left="0"/>
              <w:rPr>
                <w:rFonts w:eastAsia="Times New Roman"/>
              </w:rPr>
            </w:pPr>
            <w:r w:rsidRPr="007067AC">
              <w:rPr>
                <w:lang w:eastAsia="en-AU"/>
              </w:rPr>
              <w:t>4 µM</w:t>
            </w:r>
          </w:p>
        </w:tc>
        <w:tc>
          <w:tcPr>
            <w:tcW w:w="1016" w:type="pct"/>
            <w:vMerge w:val="restart"/>
            <w:hideMark/>
          </w:tcPr>
          <w:p w:rsidR="0088637B" w:rsidRPr="007067AC" w:rsidRDefault="0088637B" w:rsidP="008740AA">
            <w:pPr>
              <w:ind w:left="0"/>
              <w:rPr>
                <w:rFonts w:eastAsia="Times New Roman"/>
              </w:rPr>
            </w:pPr>
            <w:r w:rsidRPr="007067AC">
              <w:rPr>
                <w:lang w:eastAsia="en-AU"/>
              </w:rPr>
              <w:t>No. Risk of inhibition of these transporters low.</w:t>
            </w:r>
          </w:p>
        </w:tc>
      </w:tr>
      <w:tr w:rsidR="00217BA4" w:rsidRPr="00392F46" w:rsidTr="008740AA">
        <w:trPr>
          <w:trHeight w:val="397"/>
        </w:trPr>
        <w:tc>
          <w:tcPr>
            <w:tcW w:w="939" w:type="pct"/>
            <w:hideMark/>
          </w:tcPr>
          <w:p w:rsidR="0088637B" w:rsidRPr="00BA1372" w:rsidRDefault="0088637B" w:rsidP="008740AA">
            <w:pPr>
              <w:ind w:left="0"/>
              <w:rPr>
                <w:rFonts w:eastAsia="Times New Roman"/>
                <w:sz w:val="16"/>
                <w:szCs w:val="16"/>
              </w:rPr>
            </w:pPr>
            <w:r w:rsidRPr="00BA1372">
              <w:rPr>
                <w:sz w:val="16"/>
                <w:szCs w:val="16"/>
                <w:lang w:eastAsia="en-AU"/>
              </w:rPr>
              <w:t>BSEP</w:t>
            </w:r>
          </w:p>
        </w:tc>
        <w:tc>
          <w:tcPr>
            <w:tcW w:w="564" w:type="pct"/>
            <w:hideMark/>
          </w:tcPr>
          <w:p w:rsidR="0088637B" w:rsidRPr="00BA1372" w:rsidRDefault="0088637B" w:rsidP="008740AA">
            <w:pPr>
              <w:ind w:left="0"/>
              <w:rPr>
                <w:rFonts w:eastAsia="Times New Roman"/>
                <w:sz w:val="16"/>
                <w:szCs w:val="16"/>
              </w:rPr>
            </w:pPr>
            <w:r w:rsidRPr="00BA1372">
              <w:rPr>
                <w:sz w:val="16"/>
                <w:szCs w:val="16"/>
                <w:lang w:eastAsia="en-AU"/>
              </w:rPr>
              <w:t>8.81</w:t>
            </w:r>
          </w:p>
        </w:tc>
        <w:tc>
          <w:tcPr>
            <w:tcW w:w="718" w:type="pct"/>
            <w:hideMark/>
          </w:tcPr>
          <w:p w:rsidR="0088637B" w:rsidRPr="00BA1372" w:rsidRDefault="0088637B" w:rsidP="008740AA">
            <w:pPr>
              <w:ind w:left="0"/>
              <w:rPr>
                <w:rFonts w:eastAsia="Times New Roman"/>
                <w:sz w:val="16"/>
                <w:szCs w:val="16"/>
              </w:rPr>
            </w:pPr>
            <w:r w:rsidRPr="00BA1372">
              <w:rPr>
                <w:sz w:val="16"/>
                <w:szCs w:val="16"/>
                <w:lang w:eastAsia="en-AU"/>
              </w:rPr>
              <w:t>4.4 µM</w:t>
            </w:r>
          </w:p>
        </w:tc>
        <w:tc>
          <w:tcPr>
            <w:tcW w:w="870" w:type="pct"/>
            <w:gridSpan w:val="2"/>
            <w:vMerge/>
            <w:hideMark/>
          </w:tcPr>
          <w:p w:rsidR="0088637B" w:rsidRPr="00BA1372" w:rsidRDefault="0088637B" w:rsidP="008740AA">
            <w:pPr>
              <w:ind w:left="0"/>
              <w:rPr>
                <w:rFonts w:eastAsia="Times New Roman"/>
                <w:kern w:val="16"/>
                <w:sz w:val="18"/>
                <w:szCs w:val="18"/>
              </w:rPr>
            </w:pPr>
          </w:p>
        </w:tc>
        <w:tc>
          <w:tcPr>
            <w:tcW w:w="893" w:type="pct"/>
            <w:gridSpan w:val="3"/>
            <w:vMerge/>
            <w:hideMark/>
          </w:tcPr>
          <w:p w:rsidR="0088637B" w:rsidRPr="00BA1372" w:rsidRDefault="0088637B" w:rsidP="008740AA">
            <w:pPr>
              <w:ind w:left="0"/>
              <w:rPr>
                <w:rFonts w:eastAsia="Times New Roman"/>
                <w:kern w:val="16"/>
                <w:sz w:val="18"/>
                <w:szCs w:val="18"/>
              </w:rPr>
            </w:pPr>
          </w:p>
        </w:tc>
        <w:tc>
          <w:tcPr>
            <w:tcW w:w="1016" w:type="pct"/>
            <w:vMerge/>
            <w:hideMark/>
          </w:tcPr>
          <w:p w:rsidR="0088637B" w:rsidRPr="00BA1372" w:rsidRDefault="0088637B" w:rsidP="008740AA">
            <w:pPr>
              <w:ind w:left="0"/>
              <w:rPr>
                <w:rFonts w:eastAsia="Times New Roman"/>
                <w:kern w:val="16"/>
                <w:sz w:val="18"/>
                <w:szCs w:val="18"/>
              </w:rPr>
            </w:pPr>
          </w:p>
        </w:tc>
      </w:tr>
    </w:tbl>
    <w:p w:rsidR="0088637B" w:rsidRPr="00DF3309" w:rsidRDefault="0088637B" w:rsidP="00C60B78">
      <w:pPr>
        <w:pStyle w:val="TableDescription"/>
      </w:pPr>
      <w:r w:rsidRPr="00DF3309">
        <w:t>* = EMA guideline: CPMP/EWP/560/95/Rev. 1 Corr.* Guideline on the Investigation of Drug Interactions</w:t>
      </w:r>
    </w:p>
    <w:p w:rsidR="00C60B78" w:rsidRDefault="0088637B" w:rsidP="008740AA">
      <w:pPr>
        <w:rPr>
          <w:color w:val="3366CC"/>
        </w:rPr>
      </w:pPr>
      <w:proofErr w:type="spellStart"/>
      <w:r>
        <w:t>Asunaprevir</w:t>
      </w:r>
      <w:proofErr w:type="spellEnd"/>
      <w:r>
        <w:t xml:space="preserve"> inhibited uridine-</w:t>
      </w:r>
      <w:proofErr w:type="spellStart"/>
      <w:r>
        <w:t>diphosphoglucuronosyl</w:t>
      </w:r>
      <w:proofErr w:type="spellEnd"/>
      <w:r>
        <w:t xml:space="preserve"> </w:t>
      </w:r>
      <w:proofErr w:type="spellStart"/>
      <w:r>
        <w:t>transferase</w:t>
      </w:r>
      <w:proofErr w:type="spellEnd"/>
      <w:r>
        <w:t xml:space="preserve"> (UGT) 1A1 </w:t>
      </w:r>
      <w:r w:rsidRPr="00217BA4">
        <w:t>in vitro</w:t>
      </w:r>
      <w:r>
        <w:t xml:space="preserve"> (</w:t>
      </w:r>
      <w:r w:rsidR="000F1CA4">
        <w:t>IC</w:t>
      </w:r>
      <w:r w:rsidR="000F1CA4">
        <w:rPr>
          <w:vertAlign w:val="subscript"/>
        </w:rPr>
        <w:t>50</w:t>
      </w:r>
      <w:r>
        <w:t xml:space="preserve"> = 14.9 µM), however no consistent effects on total bilirubin have been observed in humans (bilirubin is a UGT1A1 substrate)</w:t>
      </w:r>
      <w:proofErr w:type="gramStart"/>
      <w:r>
        <w:t>,</w:t>
      </w:r>
      <w:proofErr w:type="gramEnd"/>
      <w:r>
        <w:t xml:space="preserve"> therefore UGT1A1-mediated </w:t>
      </w:r>
      <w:proofErr w:type="spellStart"/>
      <w:r>
        <w:t>glucuronidation</w:t>
      </w:r>
      <w:proofErr w:type="spellEnd"/>
      <w:r>
        <w:t xml:space="preserve"> may not be affected clinically.</w:t>
      </w:r>
    </w:p>
    <w:p w:rsidR="00C60B78" w:rsidRDefault="0088637B" w:rsidP="000A20FE">
      <w:r>
        <w:t xml:space="preserve">Overall, there is a strong indication that exposure to </w:t>
      </w:r>
      <w:proofErr w:type="spellStart"/>
      <w:r>
        <w:t>asunaprevir</w:t>
      </w:r>
      <w:proofErr w:type="spellEnd"/>
      <w:r>
        <w:t xml:space="preserve"> will affect and be affected by a wide range of drugs and this will warrant post-market monitoring of individual drug levels, particularly for drugs with a low therapeutic index.</w:t>
      </w:r>
    </w:p>
    <w:p w:rsidR="0088637B" w:rsidRDefault="0088637B" w:rsidP="000A20FE">
      <w:pPr>
        <w:pStyle w:val="Heading5"/>
      </w:pPr>
      <w:r>
        <w:t>Other HCV drug interactions</w:t>
      </w:r>
    </w:p>
    <w:p w:rsidR="0088637B" w:rsidRDefault="0088637B" w:rsidP="000A20FE">
      <w:pPr>
        <w:rPr>
          <w:kern w:val="2"/>
        </w:rPr>
      </w:pPr>
      <w:r>
        <w:t xml:space="preserve">Co-administration with </w:t>
      </w:r>
      <w:proofErr w:type="spellStart"/>
      <w:r>
        <w:t>daclastavir</w:t>
      </w:r>
      <w:proofErr w:type="spellEnd"/>
      <w:r>
        <w:t xml:space="preserve"> or BMS-791325 in rats (1 month), </w:t>
      </w:r>
      <w:proofErr w:type="spellStart"/>
      <w:r>
        <w:t>daclastavir</w:t>
      </w:r>
      <w:proofErr w:type="spellEnd"/>
      <w:r>
        <w:t xml:space="preserve"> in monkeys (1 and 3 months), and </w:t>
      </w:r>
      <w:proofErr w:type="spellStart"/>
      <w:r>
        <w:t>daclastavir</w:t>
      </w:r>
      <w:proofErr w:type="spellEnd"/>
      <w:r>
        <w:t xml:space="preserve"> + BMS-791325 in dogs (1 month) increased exposure to </w:t>
      </w:r>
      <w:proofErr w:type="spellStart"/>
      <w:r>
        <w:t>asunaprevir</w:t>
      </w:r>
      <w:proofErr w:type="spellEnd"/>
      <w:r>
        <w:t xml:space="preserve">. </w:t>
      </w:r>
      <w:r>
        <w:rPr>
          <w:kern w:val="2"/>
        </w:rPr>
        <w:t xml:space="preserve">Co-administration with </w:t>
      </w:r>
      <w:proofErr w:type="spellStart"/>
      <w:r>
        <w:rPr>
          <w:kern w:val="2"/>
        </w:rPr>
        <w:t>pegIFN</w:t>
      </w:r>
      <w:proofErr w:type="spellEnd"/>
      <w:r>
        <w:rPr>
          <w:kern w:val="2"/>
        </w:rPr>
        <w:t>α + ribavirin in monkeys (DS09019/DCN 930039091)</w:t>
      </w:r>
      <w:r w:rsidR="001F3724">
        <w:rPr>
          <w:kern w:val="2"/>
        </w:rPr>
        <w:t xml:space="preserve"> </w:t>
      </w:r>
      <w:r>
        <w:rPr>
          <w:kern w:val="2"/>
        </w:rPr>
        <w:t xml:space="preserve">did not lower exposure to </w:t>
      </w:r>
      <w:proofErr w:type="spellStart"/>
      <w:r>
        <w:rPr>
          <w:kern w:val="2"/>
        </w:rPr>
        <w:t>asunaprevir</w:t>
      </w:r>
      <w:proofErr w:type="spellEnd"/>
      <w:r>
        <w:rPr>
          <w:kern w:val="2"/>
        </w:rPr>
        <w:t xml:space="preserve"> (1 month), nor was there any evidence that </w:t>
      </w:r>
      <w:proofErr w:type="spellStart"/>
      <w:r>
        <w:rPr>
          <w:kern w:val="2"/>
        </w:rPr>
        <w:t>asunaprevir</w:t>
      </w:r>
      <w:proofErr w:type="spellEnd"/>
      <w:r>
        <w:rPr>
          <w:kern w:val="2"/>
        </w:rPr>
        <w:t xml:space="preserve"> reduced exposure to </w:t>
      </w:r>
      <w:proofErr w:type="spellStart"/>
      <w:r>
        <w:rPr>
          <w:kern w:val="2"/>
        </w:rPr>
        <w:t>pegIFN</w:t>
      </w:r>
      <w:proofErr w:type="spellEnd"/>
      <w:r>
        <w:rPr>
          <w:kern w:val="2"/>
        </w:rPr>
        <w:t xml:space="preserve">α or ribavirin. Co-administration with </w:t>
      </w:r>
      <w:proofErr w:type="spellStart"/>
      <w:r>
        <w:rPr>
          <w:kern w:val="2"/>
        </w:rPr>
        <w:t>daclatasvir</w:t>
      </w:r>
      <w:proofErr w:type="spellEnd"/>
      <w:r>
        <w:rPr>
          <w:kern w:val="2"/>
        </w:rPr>
        <w:t xml:space="preserve"> in rats (1 month) and monkeys (1 and 3 months) increased exposure to </w:t>
      </w:r>
      <w:proofErr w:type="spellStart"/>
      <w:r>
        <w:rPr>
          <w:kern w:val="2"/>
        </w:rPr>
        <w:t>daclatasvir</w:t>
      </w:r>
      <w:proofErr w:type="spellEnd"/>
      <w:r>
        <w:rPr>
          <w:kern w:val="2"/>
        </w:rPr>
        <w:t>.</w:t>
      </w:r>
    </w:p>
    <w:p w:rsidR="0088637B" w:rsidRDefault="0088637B" w:rsidP="000A20FE">
      <w:pPr>
        <w:rPr>
          <w:rFonts w:eastAsia="Calibri"/>
          <w:color w:val="000000"/>
        </w:rPr>
      </w:pPr>
      <w:r>
        <w:rPr>
          <w:rFonts w:eastAsia="Calibri"/>
          <w:color w:val="000000"/>
        </w:rPr>
        <w:t xml:space="preserve">Furthermore, since (like </w:t>
      </w:r>
      <w:proofErr w:type="spellStart"/>
      <w:r>
        <w:rPr>
          <w:rFonts w:eastAsia="Calibri"/>
          <w:color w:val="000000"/>
        </w:rPr>
        <w:t>asunaprevir</w:t>
      </w:r>
      <w:proofErr w:type="spellEnd"/>
      <w:r>
        <w:rPr>
          <w:rFonts w:eastAsia="Calibri"/>
          <w:color w:val="000000"/>
        </w:rPr>
        <w:t xml:space="preserve">) a significant fraction of </w:t>
      </w:r>
      <w:proofErr w:type="spellStart"/>
      <w:r>
        <w:rPr>
          <w:rFonts w:eastAsia="Calibri"/>
          <w:color w:val="000000"/>
        </w:rPr>
        <w:t>daclatasvir</w:t>
      </w:r>
      <w:proofErr w:type="spellEnd"/>
      <w:r>
        <w:rPr>
          <w:rFonts w:eastAsia="Calibri"/>
          <w:color w:val="000000"/>
        </w:rPr>
        <w:t xml:space="preserve"> elimination is mediated by CYP3A4, </w:t>
      </w:r>
      <w:proofErr w:type="spellStart"/>
      <w:r>
        <w:rPr>
          <w:rFonts w:eastAsia="Calibri"/>
          <w:color w:val="000000"/>
        </w:rPr>
        <w:t>daclatasvir</w:t>
      </w:r>
      <w:proofErr w:type="spellEnd"/>
      <w:r>
        <w:rPr>
          <w:rFonts w:eastAsia="Calibri"/>
          <w:color w:val="000000"/>
        </w:rPr>
        <w:t xml:space="preserve"> is a substrate of P-</w:t>
      </w:r>
      <w:proofErr w:type="spellStart"/>
      <w:r>
        <w:rPr>
          <w:rFonts w:eastAsia="Calibri"/>
          <w:color w:val="000000"/>
        </w:rPr>
        <w:t>gp</w:t>
      </w:r>
      <w:proofErr w:type="spellEnd"/>
      <w:r>
        <w:rPr>
          <w:rFonts w:eastAsia="Calibri"/>
          <w:color w:val="000000"/>
        </w:rPr>
        <w:t>, an inducer and inhibitor of CYP3A, and an inhibitor of P-</w:t>
      </w:r>
      <w:proofErr w:type="spellStart"/>
      <w:r>
        <w:rPr>
          <w:rFonts w:eastAsia="Calibri"/>
          <w:color w:val="000000"/>
        </w:rPr>
        <w:t>gp</w:t>
      </w:r>
      <w:proofErr w:type="spellEnd"/>
      <w:r>
        <w:rPr>
          <w:rFonts w:eastAsia="Calibri"/>
          <w:color w:val="000000"/>
        </w:rPr>
        <w:t xml:space="preserve"> and OATP, the potential exists for pharmacokinetic drug interactions to occur between </w:t>
      </w:r>
      <w:proofErr w:type="spellStart"/>
      <w:r>
        <w:rPr>
          <w:rFonts w:eastAsia="Calibri"/>
          <w:color w:val="000000"/>
        </w:rPr>
        <w:t>asunaprevir</w:t>
      </w:r>
      <w:proofErr w:type="spellEnd"/>
      <w:r>
        <w:rPr>
          <w:rFonts w:eastAsia="Calibri"/>
          <w:color w:val="000000"/>
        </w:rPr>
        <w:t xml:space="preserve"> and </w:t>
      </w:r>
      <w:proofErr w:type="spellStart"/>
      <w:r>
        <w:rPr>
          <w:rFonts w:eastAsia="Calibri"/>
          <w:color w:val="000000"/>
        </w:rPr>
        <w:t>daclatasvir</w:t>
      </w:r>
      <w:proofErr w:type="spellEnd"/>
      <w:r>
        <w:rPr>
          <w:rFonts w:eastAsia="Calibri"/>
          <w:color w:val="000000"/>
        </w:rPr>
        <w:t>.</w:t>
      </w:r>
    </w:p>
    <w:p w:rsidR="001B5C90" w:rsidRPr="001F3724" w:rsidRDefault="008E7846" w:rsidP="001F3724">
      <w:pPr>
        <w:pStyle w:val="Heading3"/>
      </w:pPr>
      <w:bookmarkStart w:id="57" w:name="_Toc438125705"/>
      <w:r>
        <w:t>Toxicology</w:t>
      </w:r>
      <w:bookmarkEnd w:id="53"/>
      <w:bookmarkEnd w:id="54"/>
      <w:bookmarkEnd w:id="57"/>
    </w:p>
    <w:p w:rsidR="00737073" w:rsidRPr="00D85066" w:rsidRDefault="00737073" w:rsidP="00737073">
      <w:r w:rsidRPr="00D85066">
        <w:t xml:space="preserve">A comprehensive package of toxicology studies was submitted in support of </w:t>
      </w:r>
      <w:proofErr w:type="spellStart"/>
      <w:r w:rsidRPr="00D85066">
        <w:t>asunaprevir</w:t>
      </w:r>
      <w:proofErr w:type="spellEnd"/>
      <w:r w:rsidRPr="00D85066">
        <w:t xml:space="preserve"> registration. These studies documented acute toxicity in mice, rats, and dogs, chronic toxicity in rats and dogs (up to 6</w:t>
      </w:r>
      <w:r w:rsidR="001F3724">
        <w:t xml:space="preserve"> to </w:t>
      </w:r>
      <w:r w:rsidRPr="00D85066">
        <w:t xml:space="preserve">9 months), </w:t>
      </w:r>
      <w:proofErr w:type="spellStart"/>
      <w:r w:rsidRPr="00D85066">
        <w:t>genotoxicity</w:t>
      </w:r>
      <w:proofErr w:type="spellEnd"/>
      <w:r w:rsidRPr="00D85066">
        <w:t xml:space="preserve"> in vitro and in vivo, reproductive toxicity in rodents, juvenile toxicity in rats, local tolerance, </w:t>
      </w:r>
      <w:proofErr w:type="spellStart"/>
      <w:r w:rsidRPr="00D85066">
        <w:t>phototoxicity</w:t>
      </w:r>
      <w:proofErr w:type="spellEnd"/>
      <w:r w:rsidRPr="00D85066">
        <w:t xml:space="preserve"> and carcinogenicity (transgenic mice and SD rats). Combination (</w:t>
      </w:r>
      <w:proofErr w:type="spellStart"/>
      <w:r w:rsidRPr="00D85066">
        <w:t>asunaprevir</w:t>
      </w:r>
      <w:proofErr w:type="spellEnd"/>
      <w:r w:rsidRPr="00D85066">
        <w:t xml:space="preserve"> + </w:t>
      </w:r>
      <w:proofErr w:type="spellStart"/>
      <w:r w:rsidRPr="00D85066">
        <w:t>daclatasvir</w:t>
      </w:r>
      <w:proofErr w:type="spellEnd"/>
      <w:r w:rsidRPr="00D85066">
        <w:t xml:space="preserve">, BMS-791325, or </w:t>
      </w:r>
      <w:proofErr w:type="spellStart"/>
      <w:r w:rsidRPr="00D85066">
        <w:t>pegIFN</w:t>
      </w:r>
      <w:proofErr w:type="spellEnd"/>
      <w:r w:rsidRPr="00D85066">
        <w:t xml:space="preserve">α/ribavirin) toxicity studies were performed in rats, dogs and monkey for up to 3 months. Pivotal nonclinical species examined were exposed to </w:t>
      </w:r>
      <w:proofErr w:type="spellStart"/>
      <w:r w:rsidRPr="00D85066">
        <w:t>asunaprevir</w:t>
      </w:r>
      <w:proofErr w:type="spellEnd"/>
      <w:r w:rsidRPr="00D85066">
        <w:t xml:space="preserve"> and its main human metabolites, and are therefore considered appropriate models for toxicity testing.</w:t>
      </w:r>
    </w:p>
    <w:p w:rsidR="00737073" w:rsidRPr="00D85066" w:rsidRDefault="00737073" w:rsidP="001F3724">
      <w:pPr>
        <w:pStyle w:val="Heading4"/>
      </w:pPr>
      <w:bookmarkStart w:id="58" w:name="_Toc294861727"/>
      <w:r w:rsidRPr="00D85066">
        <w:t>Acute toxicity</w:t>
      </w:r>
      <w:bookmarkEnd w:id="58"/>
    </w:p>
    <w:p w:rsidR="00737073" w:rsidRPr="00D85066" w:rsidRDefault="00737073" w:rsidP="00737073">
      <w:r w:rsidRPr="00D85066">
        <w:t xml:space="preserve">Deaths were observed after a single dose of 2000 mg/kg </w:t>
      </w:r>
      <w:proofErr w:type="spellStart"/>
      <w:r w:rsidRPr="00D85066">
        <w:t>asunaprevir</w:t>
      </w:r>
      <w:proofErr w:type="spellEnd"/>
      <w:r w:rsidRPr="00D85066">
        <w:t xml:space="preserve"> in mice. The maximum non</w:t>
      </w:r>
      <w:r w:rsidR="001F3724">
        <w:t>-</w:t>
      </w:r>
      <w:r w:rsidRPr="00D85066">
        <w:t xml:space="preserve">lethal acute doses of </w:t>
      </w:r>
      <w:proofErr w:type="spellStart"/>
      <w:r w:rsidRPr="00D85066">
        <w:t>asunaprevir</w:t>
      </w:r>
      <w:proofErr w:type="spellEnd"/>
      <w:r w:rsidRPr="00D85066">
        <w:t xml:space="preserve"> were 300 mg/kg in dog, 600 mg/kg in </w:t>
      </w:r>
      <w:r w:rsidRPr="00D85066">
        <w:lastRenderedPageBreak/>
        <w:t xml:space="preserve">mice and 2000 mg/kg in rat. </w:t>
      </w:r>
      <w:proofErr w:type="spellStart"/>
      <w:r w:rsidRPr="00D85066">
        <w:t>Asunaprevir</w:t>
      </w:r>
      <w:proofErr w:type="spellEnd"/>
      <w:r w:rsidRPr="00D85066">
        <w:t xml:space="preserve"> displayed a low order of acute toxicity by the clinical route.</w:t>
      </w:r>
    </w:p>
    <w:p w:rsidR="00737073" w:rsidRPr="00D85066" w:rsidRDefault="00737073" w:rsidP="001F3724">
      <w:pPr>
        <w:pStyle w:val="Heading4"/>
      </w:pPr>
      <w:bookmarkStart w:id="59" w:name="_Toc294861728"/>
      <w:r w:rsidRPr="00D85066">
        <w:t>Repeat-dose toxicity</w:t>
      </w:r>
      <w:bookmarkEnd w:id="59"/>
    </w:p>
    <w:p w:rsidR="00737073" w:rsidRPr="00D85066" w:rsidRDefault="00737073" w:rsidP="00737073">
      <w:r w:rsidRPr="00D85066">
        <w:t xml:space="preserve">Pivotal repeat-dose toxicity studies of up to 1 month duration in mice, 6 months duration in rats and 9 months duration in dogs, as well as combination studies (+ </w:t>
      </w:r>
      <w:proofErr w:type="spellStart"/>
      <w:r w:rsidRPr="00D85066">
        <w:t>daclatasvir</w:t>
      </w:r>
      <w:proofErr w:type="spellEnd"/>
      <w:r w:rsidRPr="00D85066">
        <w:t xml:space="preserve">, BMS-791325 or </w:t>
      </w:r>
      <w:proofErr w:type="spellStart"/>
      <w:r w:rsidRPr="00D85066">
        <w:t>pegIFN</w:t>
      </w:r>
      <w:proofErr w:type="spellEnd"/>
      <w:r w:rsidRPr="00D85066">
        <w:t xml:space="preserve">α/ribavirin) in rats, dogs, and monkeys were conducted. All pivotal toxicology studies complied with GLP, with </w:t>
      </w:r>
      <w:proofErr w:type="spellStart"/>
      <w:r w:rsidRPr="00D85066">
        <w:t>asunaprevir</w:t>
      </w:r>
      <w:proofErr w:type="spellEnd"/>
      <w:r w:rsidRPr="00D85066">
        <w:t xml:space="preserve"> administered orally (by gavage), consistent with the proposed clinical route of administration. Unless otherwise stated animals were dosed using an </w:t>
      </w:r>
      <w:proofErr w:type="spellStart"/>
      <w:r w:rsidRPr="00D85066">
        <w:t>asunaprevir</w:t>
      </w:r>
      <w:proofErr w:type="spellEnd"/>
      <w:r w:rsidRPr="00D85066">
        <w:t xml:space="preserve"> solution in a vehicle consisting of 60% polyethylene glycol-400 (PEG-400) and 40% vitamin E d-α </w:t>
      </w:r>
      <w:proofErr w:type="spellStart"/>
      <w:r w:rsidRPr="00D85066">
        <w:t>tocopheryl</w:t>
      </w:r>
      <w:proofErr w:type="spellEnd"/>
      <w:r w:rsidRPr="00D85066">
        <w:t xml:space="preserve"> polyethylene glycol 1000 succinate (TPGS).</w:t>
      </w:r>
      <w:r w:rsidR="004936B4">
        <w:t xml:space="preserve"> </w:t>
      </w:r>
      <w:r w:rsidRPr="00D85066">
        <w:t>The duration of the pivotal studies, the species used, group sizes and the use of both sexes were consistent with ICH guidelines</w:t>
      </w:r>
      <w:r w:rsidRPr="00D85066">
        <w:footnoteReference w:id="14"/>
      </w:r>
      <w:r w:rsidRPr="00D85066">
        <w:t xml:space="preserve">. While the clinical route (PO) was used in all studies, the clinical dosing regimen (twice daily) was not used. This is not expected to affect the validity of the toxicity studies, given the high exposures achieved, however it is a deficiency since the plasma half-life of </w:t>
      </w:r>
      <w:proofErr w:type="spellStart"/>
      <w:r w:rsidRPr="00D85066">
        <w:t>asunaprevir</w:t>
      </w:r>
      <w:proofErr w:type="spellEnd"/>
      <w:r w:rsidRPr="00D85066">
        <w:t xml:space="preserve"> in animals is significantly shorter than in human subjects. The duration of the pivotal toxicity studies (6</w:t>
      </w:r>
      <w:r w:rsidR="001F3724">
        <w:t xml:space="preserve"> or </w:t>
      </w:r>
      <w:r w:rsidRPr="00D85066">
        <w:t>9 months) was adequate to support the proposed duration of use (24 weeks) use in humans. Doses</w:t>
      </w:r>
      <w:r w:rsidR="004936B4">
        <w:t xml:space="preserve"> </w:t>
      </w:r>
      <w:r w:rsidRPr="00D85066">
        <w:t>used are considered generally acceptable, achieving high relative</w:t>
      </w:r>
      <w:r w:rsidR="001F3724">
        <w:t xml:space="preserve"> exposures to </w:t>
      </w:r>
      <w:proofErr w:type="spellStart"/>
      <w:r w:rsidR="001F3724">
        <w:t>asunaprevir</w:t>
      </w:r>
      <w:proofErr w:type="spellEnd"/>
      <w:r w:rsidR="001F3724">
        <w:t xml:space="preserve"> (see T</w:t>
      </w:r>
      <w:r w:rsidRPr="00D85066">
        <w:t xml:space="preserve">able </w:t>
      </w:r>
      <w:r w:rsidR="001F3724">
        <w:t xml:space="preserve">4 </w:t>
      </w:r>
      <w:r w:rsidRPr="00D85066">
        <w:t>below).</w:t>
      </w:r>
    </w:p>
    <w:p w:rsidR="00737073" w:rsidRPr="00D85066" w:rsidRDefault="00737073" w:rsidP="001F3724">
      <w:pPr>
        <w:pStyle w:val="Heading5"/>
      </w:pPr>
      <w:r w:rsidRPr="00D85066">
        <w:t>Relative exposure</w:t>
      </w:r>
    </w:p>
    <w:p w:rsidR="00737073" w:rsidRPr="00D85066" w:rsidRDefault="00737073" w:rsidP="00737073">
      <w:r w:rsidRPr="00D85066">
        <w:t>The level of the relative exposure in repeat dose toxicity studies was very high.</w:t>
      </w:r>
    </w:p>
    <w:p w:rsidR="00C9747E" w:rsidRDefault="00737073" w:rsidP="001F3724">
      <w:pPr>
        <w:pStyle w:val="TableTitle"/>
      </w:pPr>
      <w:r w:rsidRPr="00D85066">
        <w:t xml:space="preserve">Table </w:t>
      </w:r>
      <w:r w:rsidR="001F3724">
        <w:t>4:</w:t>
      </w:r>
      <w:r w:rsidRPr="00D85066">
        <w:t xml:space="preserve"> Relative exposure in repeat-dose toxicity and carcinogenicity studies†</w:t>
      </w:r>
    </w:p>
    <w:tbl>
      <w:tblPr>
        <w:tblStyle w:val="TableTGAblue"/>
        <w:tblW w:w="5008" w:type="pct"/>
        <w:tblLayout w:type="fixed"/>
        <w:tblLook w:val="01E0" w:firstRow="1" w:lastRow="1" w:firstColumn="1" w:lastColumn="1" w:noHBand="0" w:noVBand="0"/>
      </w:tblPr>
      <w:tblGrid>
        <w:gridCol w:w="2523"/>
        <w:gridCol w:w="1223"/>
        <w:gridCol w:w="1357"/>
        <w:gridCol w:w="1418"/>
        <w:gridCol w:w="966"/>
        <w:gridCol w:w="1247"/>
      </w:tblGrid>
      <w:tr w:rsidR="005622BF" w:rsidRPr="005622BF" w:rsidTr="008740AA">
        <w:trPr>
          <w:cnfStyle w:val="100000000000" w:firstRow="1" w:lastRow="0" w:firstColumn="0" w:lastColumn="0" w:oddVBand="0" w:evenVBand="0" w:oddHBand="0" w:evenHBand="0" w:firstRowFirstColumn="0" w:firstRowLastColumn="0" w:lastRowFirstColumn="0" w:lastRowLastColumn="0"/>
        </w:trPr>
        <w:tc>
          <w:tcPr>
            <w:tcW w:w="1444" w:type="pct"/>
            <w:vMerge w:val="restart"/>
          </w:tcPr>
          <w:p w:rsidR="005622BF" w:rsidRPr="00BA1372" w:rsidRDefault="005622BF" w:rsidP="008740AA">
            <w:pPr>
              <w:rPr>
                <w:b w:val="0"/>
              </w:rPr>
            </w:pPr>
            <w:r w:rsidRPr="00BA1372">
              <w:rPr>
                <w:b w:val="0"/>
              </w:rPr>
              <w:t>Species; study duration</w:t>
            </w:r>
          </w:p>
        </w:tc>
        <w:tc>
          <w:tcPr>
            <w:tcW w:w="700" w:type="pct"/>
            <w:vMerge w:val="restart"/>
          </w:tcPr>
          <w:p w:rsidR="005622BF" w:rsidRPr="00BA1372" w:rsidRDefault="005622BF" w:rsidP="008740AA">
            <w:pPr>
              <w:rPr>
                <w:b w:val="0"/>
              </w:rPr>
            </w:pPr>
            <w:r w:rsidRPr="00BA1372">
              <w:rPr>
                <w:b w:val="0"/>
              </w:rPr>
              <w:t>Dose</w:t>
            </w:r>
            <w:r w:rsidR="00593588" w:rsidRPr="00BA1372">
              <w:rPr>
                <w:b w:val="0"/>
              </w:rPr>
              <w:t xml:space="preserve"> </w:t>
            </w:r>
            <w:r w:rsidRPr="00BA1372">
              <w:rPr>
                <w:b w:val="0"/>
              </w:rPr>
              <w:t>mg/kg/day</w:t>
            </w:r>
          </w:p>
        </w:tc>
        <w:tc>
          <w:tcPr>
            <w:tcW w:w="1589" w:type="pct"/>
            <w:gridSpan w:val="2"/>
          </w:tcPr>
          <w:p w:rsidR="005622BF" w:rsidRPr="00BA1372" w:rsidRDefault="005622BF" w:rsidP="008740AA">
            <w:pPr>
              <w:rPr>
                <w:b w:val="0"/>
              </w:rPr>
            </w:pPr>
            <w:r w:rsidRPr="00BA1372">
              <w:rPr>
                <w:b w:val="0"/>
              </w:rPr>
              <w:t>AUC</w:t>
            </w:r>
            <w:r w:rsidRPr="00BA1372">
              <w:rPr>
                <w:b w:val="0"/>
                <w:vertAlign w:val="subscript"/>
              </w:rPr>
              <w:t>0–24 h</w:t>
            </w:r>
            <w:r w:rsidR="00593588" w:rsidRPr="00BA1372">
              <w:rPr>
                <w:b w:val="0"/>
                <w:vertAlign w:val="subscript"/>
              </w:rPr>
              <w:t xml:space="preserve"> </w:t>
            </w:r>
            <w:r w:rsidRPr="00BA1372">
              <w:rPr>
                <w:b w:val="0"/>
              </w:rPr>
              <w:t>µ</w:t>
            </w:r>
            <w:proofErr w:type="spellStart"/>
            <w:r w:rsidRPr="00BA1372">
              <w:rPr>
                <w:b w:val="0"/>
              </w:rPr>
              <w:t>g∙h</w:t>
            </w:r>
            <w:proofErr w:type="spellEnd"/>
            <w:r w:rsidRPr="00BA1372">
              <w:rPr>
                <w:b w:val="0"/>
              </w:rPr>
              <w:t>/mL</w:t>
            </w:r>
          </w:p>
        </w:tc>
        <w:tc>
          <w:tcPr>
            <w:tcW w:w="1267" w:type="pct"/>
            <w:gridSpan w:val="2"/>
          </w:tcPr>
          <w:p w:rsidR="005622BF" w:rsidRPr="00BA1372" w:rsidRDefault="005622BF" w:rsidP="008740AA">
            <w:pPr>
              <w:ind w:left="0"/>
              <w:rPr>
                <w:b w:val="0"/>
              </w:rPr>
            </w:pPr>
            <w:r w:rsidRPr="00BA1372">
              <w:rPr>
                <w:b w:val="0"/>
              </w:rPr>
              <w:t>Exposure ratio#</w:t>
            </w:r>
          </w:p>
        </w:tc>
      </w:tr>
      <w:tr w:rsidR="005622BF" w:rsidRPr="005622BF" w:rsidTr="008740AA">
        <w:tc>
          <w:tcPr>
            <w:tcW w:w="1444" w:type="pct"/>
            <w:vMerge/>
          </w:tcPr>
          <w:p w:rsidR="005622BF" w:rsidRPr="00BA1372" w:rsidRDefault="005622BF" w:rsidP="008740AA">
            <w:pPr>
              <w:rPr>
                <w:b/>
              </w:rPr>
            </w:pPr>
          </w:p>
        </w:tc>
        <w:tc>
          <w:tcPr>
            <w:tcW w:w="700" w:type="pct"/>
            <w:vMerge/>
          </w:tcPr>
          <w:p w:rsidR="005622BF" w:rsidRPr="00BA1372" w:rsidRDefault="005622BF" w:rsidP="008740AA">
            <w:pPr>
              <w:rPr>
                <w:b/>
              </w:rPr>
            </w:pPr>
          </w:p>
        </w:tc>
        <w:tc>
          <w:tcPr>
            <w:tcW w:w="777" w:type="pct"/>
          </w:tcPr>
          <w:p w:rsidR="005622BF" w:rsidRPr="00BA1372" w:rsidRDefault="005622BF" w:rsidP="008740AA">
            <w:pPr>
              <w:rPr>
                <w:b/>
              </w:rPr>
            </w:pPr>
            <w:r w:rsidRPr="00BA1372">
              <w:t>male</w:t>
            </w:r>
          </w:p>
        </w:tc>
        <w:tc>
          <w:tcPr>
            <w:tcW w:w="812" w:type="pct"/>
          </w:tcPr>
          <w:p w:rsidR="005622BF" w:rsidRPr="00BA1372" w:rsidRDefault="005622BF" w:rsidP="008740AA">
            <w:pPr>
              <w:rPr>
                <w:b/>
              </w:rPr>
            </w:pPr>
            <w:r w:rsidRPr="00BA1372">
              <w:t>female</w:t>
            </w:r>
          </w:p>
        </w:tc>
        <w:tc>
          <w:tcPr>
            <w:tcW w:w="553" w:type="pct"/>
          </w:tcPr>
          <w:p w:rsidR="005622BF" w:rsidRPr="00BA1372" w:rsidRDefault="005622BF" w:rsidP="008740AA">
            <w:pPr>
              <w:ind w:left="0"/>
              <w:rPr>
                <w:b/>
              </w:rPr>
            </w:pPr>
            <w:r w:rsidRPr="00BA1372">
              <w:t>male</w:t>
            </w:r>
          </w:p>
        </w:tc>
        <w:tc>
          <w:tcPr>
            <w:tcW w:w="714" w:type="pct"/>
          </w:tcPr>
          <w:p w:rsidR="005622BF" w:rsidRPr="00BA1372" w:rsidRDefault="005622BF" w:rsidP="008740AA">
            <w:pPr>
              <w:ind w:left="0"/>
              <w:rPr>
                <w:b/>
              </w:rPr>
            </w:pPr>
            <w:r w:rsidRPr="00BA1372">
              <w:t>female</w:t>
            </w:r>
          </w:p>
        </w:tc>
      </w:tr>
      <w:tr w:rsidR="005622BF" w:rsidRPr="005622BF" w:rsidTr="008740AA">
        <w:trPr>
          <w:trHeight w:val="227"/>
        </w:trPr>
        <w:tc>
          <w:tcPr>
            <w:tcW w:w="1444" w:type="pct"/>
            <w:vMerge w:val="restart"/>
          </w:tcPr>
          <w:p w:rsidR="008740AA" w:rsidRPr="008740AA" w:rsidRDefault="005622BF" w:rsidP="008740AA">
            <w:pPr>
              <w:rPr>
                <w:b/>
              </w:rPr>
            </w:pPr>
            <w:r w:rsidRPr="008740AA">
              <w:rPr>
                <w:b/>
              </w:rPr>
              <w:t>Rat</w:t>
            </w:r>
          </w:p>
          <w:p w:rsidR="005622BF" w:rsidRPr="008740AA" w:rsidRDefault="005622BF" w:rsidP="008740AA">
            <w:pPr>
              <w:rPr>
                <w:b/>
              </w:rPr>
            </w:pPr>
            <w:r w:rsidRPr="008740AA">
              <w:rPr>
                <w:b/>
              </w:rPr>
              <w:t>1 week, oral TK and tolerability study (TPGS-Free Formulation) (DM10042/930048998)</w:t>
            </w:r>
          </w:p>
        </w:tc>
        <w:tc>
          <w:tcPr>
            <w:tcW w:w="700" w:type="pct"/>
          </w:tcPr>
          <w:p w:rsidR="005622BF" w:rsidRPr="00BA1372" w:rsidRDefault="005622BF" w:rsidP="008740AA">
            <w:r w:rsidRPr="00BA1372">
              <w:t>60</w:t>
            </w:r>
          </w:p>
        </w:tc>
        <w:tc>
          <w:tcPr>
            <w:tcW w:w="777" w:type="pct"/>
          </w:tcPr>
          <w:p w:rsidR="005622BF" w:rsidRPr="00BA1372" w:rsidRDefault="005622BF" w:rsidP="008740AA">
            <w:r w:rsidRPr="00BA1372">
              <w:t>9.97</w:t>
            </w:r>
          </w:p>
        </w:tc>
        <w:tc>
          <w:tcPr>
            <w:tcW w:w="812" w:type="pct"/>
          </w:tcPr>
          <w:p w:rsidR="005622BF" w:rsidRPr="00BA1372" w:rsidRDefault="005622BF" w:rsidP="008740AA">
            <w:r w:rsidRPr="00BA1372">
              <w:t>15.4</w:t>
            </w:r>
          </w:p>
        </w:tc>
        <w:tc>
          <w:tcPr>
            <w:tcW w:w="553" w:type="pct"/>
          </w:tcPr>
          <w:p w:rsidR="005622BF" w:rsidRPr="00BA1372" w:rsidRDefault="005622BF" w:rsidP="008740AA">
            <w:pPr>
              <w:ind w:left="0"/>
            </w:pPr>
            <w:r w:rsidRPr="00BA1372">
              <w:t>2.7</w:t>
            </w:r>
          </w:p>
        </w:tc>
        <w:tc>
          <w:tcPr>
            <w:tcW w:w="714" w:type="pct"/>
          </w:tcPr>
          <w:p w:rsidR="005622BF" w:rsidRPr="008740AA" w:rsidRDefault="005622BF" w:rsidP="008740AA">
            <w:pPr>
              <w:ind w:left="0"/>
              <w:rPr>
                <w:b/>
              </w:rPr>
            </w:pPr>
            <w:r w:rsidRPr="008740AA">
              <w:rPr>
                <w:b/>
              </w:rPr>
              <w:t>4.2</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200</w:t>
            </w:r>
          </w:p>
        </w:tc>
        <w:tc>
          <w:tcPr>
            <w:tcW w:w="777" w:type="pct"/>
          </w:tcPr>
          <w:p w:rsidR="005622BF" w:rsidRPr="00BA1372" w:rsidRDefault="005622BF" w:rsidP="008740AA">
            <w:r w:rsidRPr="00BA1372">
              <w:t>75.3</w:t>
            </w:r>
          </w:p>
        </w:tc>
        <w:tc>
          <w:tcPr>
            <w:tcW w:w="812" w:type="pct"/>
          </w:tcPr>
          <w:p w:rsidR="005622BF" w:rsidRPr="00BA1372" w:rsidRDefault="005622BF" w:rsidP="008740AA">
            <w:r w:rsidRPr="00BA1372">
              <w:t>59.2</w:t>
            </w:r>
          </w:p>
        </w:tc>
        <w:tc>
          <w:tcPr>
            <w:tcW w:w="553" w:type="pct"/>
          </w:tcPr>
          <w:p w:rsidR="005622BF" w:rsidRPr="00BA1372" w:rsidRDefault="005622BF" w:rsidP="008740AA">
            <w:pPr>
              <w:ind w:left="0"/>
            </w:pPr>
            <w:r w:rsidRPr="00BA1372">
              <w:t>20</w:t>
            </w:r>
          </w:p>
        </w:tc>
        <w:tc>
          <w:tcPr>
            <w:tcW w:w="714" w:type="pct"/>
          </w:tcPr>
          <w:p w:rsidR="005622BF" w:rsidRPr="008740AA" w:rsidRDefault="005622BF" w:rsidP="008740AA">
            <w:pPr>
              <w:ind w:left="0"/>
              <w:rPr>
                <w:b/>
              </w:rPr>
            </w:pPr>
            <w:r w:rsidRPr="008740AA">
              <w:rPr>
                <w:b/>
              </w:rPr>
              <w:t>16</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600</w:t>
            </w:r>
          </w:p>
        </w:tc>
        <w:tc>
          <w:tcPr>
            <w:tcW w:w="777" w:type="pct"/>
          </w:tcPr>
          <w:p w:rsidR="005622BF" w:rsidRPr="00BA1372" w:rsidRDefault="005622BF" w:rsidP="008740AA">
            <w:r w:rsidRPr="00BA1372">
              <w:t>228</w:t>
            </w:r>
          </w:p>
        </w:tc>
        <w:tc>
          <w:tcPr>
            <w:tcW w:w="812" w:type="pct"/>
          </w:tcPr>
          <w:p w:rsidR="005622BF" w:rsidRPr="00BA1372" w:rsidRDefault="005622BF" w:rsidP="008740AA">
            <w:r w:rsidRPr="00BA1372">
              <w:t>170</w:t>
            </w:r>
          </w:p>
        </w:tc>
        <w:tc>
          <w:tcPr>
            <w:tcW w:w="553" w:type="pct"/>
          </w:tcPr>
          <w:p w:rsidR="005622BF" w:rsidRPr="00BA1372" w:rsidRDefault="005622BF" w:rsidP="008740AA">
            <w:pPr>
              <w:ind w:left="0"/>
            </w:pPr>
            <w:r w:rsidRPr="00BA1372">
              <w:t>62</w:t>
            </w:r>
          </w:p>
        </w:tc>
        <w:tc>
          <w:tcPr>
            <w:tcW w:w="714" w:type="pct"/>
          </w:tcPr>
          <w:p w:rsidR="005622BF" w:rsidRPr="008740AA" w:rsidRDefault="005622BF" w:rsidP="008740AA">
            <w:pPr>
              <w:ind w:left="0"/>
              <w:rPr>
                <w:b/>
              </w:rPr>
            </w:pPr>
            <w:r w:rsidRPr="008740AA">
              <w:rPr>
                <w:b/>
              </w:rPr>
              <w:t>46</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800</w:t>
            </w:r>
          </w:p>
        </w:tc>
        <w:tc>
          <w:tcPr>
            <w:tcW w:w="777" w:type="pct"/>
          </w:tcPr>
          <w:p w:rsidR="005622BF" w:rsidRPr="00BA1372" w:rsidRDefault="005622BF" w:rsidP="008740AA">
            <w:r w:rsidRPr="00BA1372">
              <w:t>485</w:t>
            </w:r>
          </w:p>
        </w:tc>
        <w:tc>
          <w:tcPr>
            <w:tcW w:w="812" w:type="pct"/>
          </w:tcPr>
          <w:p w:rsidR="005622BF" w:rsidRPr="00BA1372" w:rsidRDefault="005622BF" w:rsidP="008740AA">
            <w:r w:rsidRPr="00BA1372">
              <w:t>540</w:t>
            </w:r>
          </w:p>
        </w:tc>
        <w:tc>
          <w:tcPr>
            <w:tcW w:w="553" w:type="pct"/>
          </w:tcPr>
          <w:p w:rsidR="005622BF" w:rsidRPr="00BA1372" w:rsidRDefault="005622BF" w:rsidP="008740AA">
            <w:pPr>
              <w:ind w:left="0"/>
            </w:pPr>
            <w:r w:rsidRPr="00BA1372">
              <w:t>131</w:t>
            </w:r>
          </w:p>
        </w:tc>
        <w:tc>
          <w:tcPr>
            <w:tcW w:w="714" w:type="pct"/>
          </w:tcPr>
          <w:p w:rsidR="005622BF" w:rsidRPr="008740AA" w:rsidRDefault="005622BF" w:rsidP="008740AA">
            <w:pPr>
              <w:ind w:left="0"/>
              <w:rPr>
                <w:b/>
              </w:rPr>
            </w:pPr>
            <w:r w:rsidRPr="008740AA">
              <w:rPr>
                <w:b/>
              </w:rPr>
              <w:t>146</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1000</w:t>
            </w:r>
          </w:p>
        </w:tc>
        <w:tc>
          <w:tcPr>
            <w:tcW w:w="777" w:type="pct"/>
          </w:tcPr>
          <w:p w:rsidR="005622BF" w:rsidRPr="00BA1372" w:rsidRDefault="005622BF" w:rsidP="008740AA">
            <w:r w:rsidRPr="00BA1372">
              <w:t>572</w:t>
            </w:r>
          </w:p>
        </w:tc>
        <w:tc>
          <w:tcPr>
            <w:tcW w:w="812" w:type="pct"/>
          </w:tcPr>
          <w:p w:rsidR="005622BF" w:rsidRPr="00BA1372" w:rsidRDefault="005622BF" w:rsidP="008740AA">
            <w:r w:rsidRPr="00BA1372">
              <w:t>627</w:t>
            </w:r>
          </w:p>
        </w:tc>
        <w:tc>
          <w:tcPr>
            <w:tcW w:w="553" w:type="pct"/>
          </w:tcPr>
          <w:p w:rsidR="005622BF" w:rsidRPr="00BA1372" w:rsidRDefault="005622BF" w:rsidP="008740AA">
            <w:pPr>
              <w:ind w:left="0"/>
            </w:pPr>
            <w:r w:rsidRPr="00BA1372">
              <w:t>155</w:t>
            </w:r>
          </w:p>
        </w:tc>
        <w:tc>
          <w:tcPr>
            <w:tcW w:w="714" w:type="pct"/>
          </w:tcPr>
          <w:p w:rsidR="005622BF" w:rsidRPr="008740AA" w:rsidRDefault="005622BF" w:rsidP="008740AA">
            <w:pPr>
              <w:ind w:left="0"/>
              <w:rPr>
                <w:b/>
              </w:rPr>
            </w:pPr>
            <w:r w:rsidRPr="008740AA">
              <w:rPr>
                <w:b/>
              </w:rPr>
              <w:t>170</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1500</w:t>
            </w:r>
          </w:p>
        </w:tc>
        <w:tc>
          <w:tcPr>
            <w:tcW w:w="777" w:type="pct"/>
          </w:tcPr>
          <w:p w:rsidR="005622BF" w:rsidRPr="00BA1372" w:rsidRDefault="005622BF" w:rsidP="008740AA">
            <w:r w:rsidRPr="00BA1372">
              <w:t>NR</w:t>
            </w:r>
          </w:p>
        </w:tc>
        <w:tc>
          <w:tcPr>
            <w:tcW w:w="812" w:type="pct"/>
          </w:tcPr>
          <w:p w:rsidR="005622BF" w:rsidRPr="00BA1372" w:rsidRDefault="005622BF" w:rsidP="008740AA">
            <w:r w:rsidRPr="00BA1372">
              <w:t>NR</w:t>
            </w:r>
          </w:p>
        </w:tc>
        <w:tc>
          <w:tcPr>
            <w:tcW w:w="553" w:type="pct"/>
          </w:tcPr>
          <w:p w:rsidR="005622BF" w:rsidRPr="00BA1372" w:rsidRDefault="005622BF" w:rsidP="008740AA">
            <w:pPr>
              <w:ind w:left="0"/>
            </w:pPr>
            <w:r w:rsidRPr="00BA1372">
              <w:t>-</w:t>
            </w:r>
          </w:p>
        </w:tc>
        <w:tc>
          <w:tcPr>
            <w:tcW w:w="714" w:type="pct"/>
          </w:tcPr>
          <w:p w:rsidR="005622BF" w:rsidRPr="008740AA" w:rsidRDefault="005622BF" w:rsidP="008740AA">
            <w:pPr>
              <w:ind w:left="0"/>
              <w:rPr>
                <w:b/>
              </w:rPr>
            </w:pPr>
            <w:r w:rsidRPr="008740AA">
              <w:rPr>
                <w:b/>
              </w:rPr>
              <w:t>-</w:t>
            </w:r>
          </w:p>
        </w:tc>
      </w:tr>
      <w:tr w:rsidR="005622BF" w:rsidRPr="005622BF" w:rsidTr="008740AA">
        <w:trPr>
          <w:trHeight w:val="227"/>
        </w:trPr>
        <w:tc>
          <w:tcPr>
            <w:tcW w:w="1444" w:type="pct"/>
            <w:vMerge w:val="restart"/>
          </w:tcPr>
          <w:p w:rsidR="005622BF" w:rsidRPr="008740AA" w:rsidRDefault="005622BF" w:rsidP="008740AA">
            <w:pPr>
              <w:rPr>
                <w:b/>
              </w:rPr>
            </w:pPr>
            <w:r w:rsidRPr="008740AA">
              <w:rPr>
                <w:b/>
              </w:rPr>
              <w:t>Rat</w:t>
            </w:r>
          </w:p>
          <w:p w:rsidR="005622BF" w:rsidRPr="008740AA" w:rsidRDefault="005622BF" w:rsidP="008740AA">
            <w:pPr>
              <w:rPr>
                <w:b/>
              </w:rPr>
            </w:pPr>
            <w:r w:rsidRPr="008740AA">
              <w:rPr>
                <w:b/>
              </w:rPr>
              <w:t>2 weeks, oral TK (DM10016/DCN 930045886)</w:t>
            </w:r>
          </w:p>
        </w:tc>
        <w:tc>
          <w:tcPr>
            <w:tcW w:w="700" w:type="pct"/>
          </w:tcPr>
          <w:p w:rsidR="005622BF" w:rsidRPr="00BA1372" w:rsidRDefault="005622BF" w:rsidP="008740AA">
            <w:r w:rsidRPr="00BA1372">
              <w:t>60</w:t>
            </w:r>
          </w:p>
        </w:tc>
        <w:tc>
          <w:tcPr>
            <w:tcW w:w="777" w:type="pct"/>
          </w:tcPr>
          <w:p w:rsidR="005622BF" w:rsidRPr="00BA1372" w:rsidRDefault="005622BF" w:rsidP="008740AA">
            <w:r w:rsidRPr="00BA1372">
              <w:t>34.7</w:t>
            </w:r>
          </w:p>
        </w:tc>
        <w:tc>
          <w:tcPr>
            <w:tcW w:w="812" w:type="pct"/>
          </w:tcPr>
          <w:p w:rsidR="005622BF" w:rsidRPr="00BA1372" w:rsidRDefault="005622BF" w:rsidP="008740AA">
            <w:r w:rsidRPr="00BA1372">
              <w:t>27.8</w:t>
            </w:r>
          </w:p>
        </w:tc>
        <w:tc>
          <w:tcPr>
            <w:tcW w:w="553" w:type="pct"/>
          </w:tcPr>
          <w:p w:rsidR="005622BF" w:rsidRPr="00BA1372" w:rsidRDefault="005622BF" w:rsidP="008740AA">
            <w:pPr>
              <w:ind w:left="0"/>
            </w:pPr>
            <w:r w:rsidRPr="00BA1372">
              <w:t>9.4</w:t>
            </w:r>
          </w:p>
        </w:tc>
        <w:tc>
          <w:tcPr>
            <w:tcW w:w="714" w:type="pct"/>
          </w:tcPr>
          <w:p w:rsidR="005622BF" w:rsidRPr="008740AA" w:rsidRDefault="005622BF" w:rsidP="008740AA">
            <w:pPr>
              <w:ind w:left="0"/>
              <w:rPr>
                <w:b/>
              </w:rPr>
            </w:pPr>
            <w:r w:rsidRPr="008740AA">
              <w:rPr>
                <w:b/>
              </w:rPr>
              <w:t>7.5</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200</w:t>
            </w:r>
          </w:p>
        </w:tc>
        <w:tc>
          <w:tcPr>
            <w:tcW w:w="777" w:type="pct"/>
          </w:tcPr>
          <w:p w:rsidR="005622BF" w:rsidRPr="00BA1372" w:rsidRDefault="005622BF" w:rsidP="008740AA">
            <w:r w:rsidRPr="00BA1372">
              <w:t>104</w:t>
            </w:r>
          </w:p>
        </w:tc>
        <w:tc>
          <w:tcPr>
            <w:tcW w:w="812" w:type="pct"/>
          </w:tcPr>
          <w:p w:rsidR="005622BF" w:rsidRPr="00BA1372" w:rsidRDefault="005622BF" w:rsidP="008740AA">
            <w:r w:rsidRPr="00BA1372">
              <w:t>318</w:t>
            </w:r>
          </w:p>
        </w:tc>
        <w:tc>
          <w:tcPr>
            <w:tcW w:w="553" w:type="pct"/>
          </w:tcPr>
          <w:p w:rsidR="005622BF" w:rsidRPr="00BA1372" w:rsidRDefault="005622BF" w:rsidP="008740AA">
            <w:pPr>
              <w:ind w:left="0"/>
            </w:pPr>
            <w:r w:rsidRPr="00BA1372">
              <w:t>28</w:t>
            </w:r>
          </w:p>
        </w:tc>
        <w:tc>
          <w:tcPr>
            <w:tcW w:w="714" w:type="pct"/>
          </w:tcPr>
          <w:p w:rsidR="005622BF" w:rsidRPr="008740AA" w:rsidRDefault="005622BF" w:rsidP="008740AA">
            <w:pPr>
              <w:ind w:left="0"/>
              <w:rPr>
                <w:b/>
              </w:rPr>
            </w:pPr>
            <w:r w:rsidRPr="008740AA">
              <w:rPr>
                <w:b/>
              </w:rPr>
              <w:t>102</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600</w:t>
            </w:r>
          </w:p>
        </w:tc>
        <w:tc>
          <w:tcPr>
            <w:tcW w:w="777" w:type="pct"/>
          </w:tcPr>
          <w:p w:rsidR="005622BF" w:rsidRPr="00BA1372" w:rsidRDefault="005622BF" w:rsidP="008740AA">
            <w:r w:rsidRPr="00BA1372">
              <w:t>198</w:t>
            </w:r>
          </w:p>
        </w:tc>
        <w:tc>
          <w:tcPr>
            <w:tcW w:w="812" w:type="pct"/>
          </w:tcPr>
          <w:p w:rsidR="005622BF" w:rsidRPr="00BA1372" w:rsidRDefault="005622BF" w:rsidP="008740AA">
            <w:r w:rsidRPr="00BA1372">
              <w:t>206</w:t>
            </w:r>
          </w:p>
        </w:tc>
        <w:tc>
          <w:tcPr>
            <w:tcW w:w="553" w:type="pct"/>
          </w:tcPr>
          <w:p w:rsidR="005622BF" w:rsidRPr="00BA1372" w:rsidRDefault="005622BF" w:rsidP="008740AA">
            <w:pPr>
              <w:ind w:left="0"/>
            </w:pPr>
            <w:r w:rsidRPr="00BA1372">
              <w:t>54</w:t>
            </w:r>
          </w:p>
        </w:tc>
        <w:tc>
          <w:tcPr>
            <w:tcW w:w="714" w:type="pct"/>
          </w:tcPr>
          <w:p w:rsidR="005622BF" w:rsidRPr="008740AA" w:rsidRDefault="005622BF" w:rsidP="008740AA">
            <w:pPr>
              <w:ind w:left="0"/>
              <w:rPr>
                <w:b/>
              </w:rPr>
            </w:pPr>
            <w:r w:rsidRPr="008740AA">
              <w:rPr>
                <w:b/>
              </w:rPr>
              <w:t>56</w:t>
            </w:r>
          </w:p>
        </w:tc>
      </w:tr>
      <w:tr w:rsidR="005622BF" w:rsidRPr="005622BF" w:rsidTr="008740AA">
        <w:trPr>
          <w:trHeight w:val="227"/>
        </w:trPr>
        <w:tc>
          <w:tcPr>
            <w:tcW w:w="1444" w:type="pct"/>
            <w:vMerge w:val="restart"/>
          </w:tcPr>
          <w:p w:rsidR="005622BF" w:rsidRPr="008740AA" w:rsidRDefault="005622BF" w:rsidP="008740AA">
            <w:pPr>
              <w:rPr>
                <w:b/>
              </w:rPr>
            </w:pPr>
            <w:r w:rsidRPr="008740AA">
              <w:rPr>
                <w:b/>
              </w:rPr>
              <w:t>Rat</w:t>
            </w:r>
          </w:p>
          <w:p w:rsidR="005622BF" w:rsidRPr="008740AA" w:rsidRDefault="005622BF" w:rsidP="008740AA">
            <w:pPr>
              <w:rPr>
                <w:b/>
              </w:rPr>
            </w:pPr>
            <w:r w:rsidRPr="008740AA">
              <w:rPr>
                <w:b/>
              </w:rPr>
              <w:lastRenderedPageBreak/>
              <w:t>2 weeks, oral gavage (DN07002)</w:t>
            </w:r>
          </w:p>
        </w:tc>
        <w:tc>
          <w:tcPr>
            <w:tcW w:w="700" w:type="pct"/>
          </w:tcPr>
          <w:p w:rsidR="005622BF" w:rsidRPr="00BA1372" w:rsidRDefault="005622BF" w:rsidP="008740AA">
            <w:r w:rsidRPr="00BA1372">
              <w:lastRenderedPageBreak/>
              <w:t>30</w:t>
            </w:r>
          </w:p>
        </w:tc>
        <w:tc>
          <w:tcPr>
            <w:tcW w:w="777" w:type="pct"/>
          </w:tcPr>
          <w:p w:rsidR="005622BF" w:rsidRPr="00BA1372" w:rsidRDefault="005622BF" w:rsidP="008740AA">
            <w:r w:rsidRPr="00BA1372">
              <w:t>4.09</w:t>
            </w:r>
          </w:p>
        </w:tc>
        <w:tc>
          <w:tcPr>
            <w:tcW w:w="812" w:type="pct"/>
          </w:tcPr>
          <w:p w:rsidR="005622BF" w:rsidRPr="00BA1372" w:rsidRDefault="005622BF" w:rsidP="008740AA">
            <w:r w:rsidRPr="00BA1372">
              <w:t>4.2</w:t>
            </w:r>
          </w:p>
        </w:tc>
        <w:tc>
          <w:tcPr>
            <w:tcW w:w="553" w:type="pct"/>
          </w:tcPr>
          <w:p w:rsidR="005622BF" w:rsidRPr="00BA1372" w:rsidRDefault="005622BF" w:rsidP="008740AA">
            <w:pPr>
              <w:ind w:left="0"/>
            </w:pPr>
            <w:r w:rsidRPr="00BA1372">
              <w:t>1.1</w:t>
            </w:r>
          </w:p>
        </w:tc>
        <w:tc>
          <w:tcPr>
            <w:tcW w:w="714" w:type="pct"/>
          </w:tcPr>
          <w:p w:rsidR="005622BF" w:rsidRPr="008740AA" w:rsidRDefault="005622BF" w:rsidP="008740AA">
            <w:pPr>
              <w:ind w:left="0"/>
              <w:rPr>
                <w:b/>
              </w:rPr>
            </w:pPr>
            <w:r w:rsidRPr="008740AA">
              <w:rPr>
                <w:b/>
              </w:rPr>
              <w:t>1.1</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100</w:t>
            </w:r>
          </w:p>
        </w:tc>
        <w:tc>
          <w:tcPr>
            <w:tcW w:w="777" w:type="pct"/>
          </w:tcPr>
          <w:p w:rsidR="005622BF" w:rsidRPr="00BA1372" w:rsidRDefault="005622BF" w:rsidP="008740AA">
            <w:r w:rsidRPr="00BA1372">
              <w:t>135</w:t>
            </w:r>
          </w:p>
        </w:tc>
        <w:tc>
          <w:tcPr>
            <w:tcW w:w="812" w:type="pct"/>
          </w:tcPr>
          <w:p w:rsidR="005622BF" w:rsidRPr="00BA1372" w:rsidRDefault="005622BF" w:rsidP="008740AA">
            <w:r w:rsidRPr="00BA1372">
              <w:t>155</w:t>
            </w:r>
          </w:p>
        </w:tc>
        <w:tc>
          <w:tcPr>
            <w:tcW w:w="553" w:type="pct"/>
          </w:tcPr>
          <w:p w:rsidR="005622BF" w:rsidRPr="00BA1372" w:rsidRDefault="005622BF" w:rsidP="008740AA">
            <w:pPr>
              <w:ind w:left="0"/>
            </w:pPr>
            <w:r w:rsidRPr="00BA1372">
              <w:t>37</w:t>
            </w:r>
          </w:p>
        </w:tc>
        <w:tc>
          <w:tcPr>
            <w:tcW w:w="714" w:type="pct"/>
          </w:tcPr>
          <w:p w:rsidR="005622BF" w:rsidRPr="008740AA" w:rsidRDefault="005622BF" w:rsidP="008740AA">
            <w:pPr>
              <w:ind w:left="0"/>
              <w:rPr>
                <w:b/>
              </w:rPr>
            </w:pPr>
            <w:r w:rsidRPr="008740AA">
              <w:rPr>
                <w:b/>
              </w:rPr>
              <w:t>42</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300</w:t>
            </w:r>
          </w:p>
        </w:tc>
        <w:tc>
          <w:tcPr>
            <w:tcW w:w="777" w:type="pct"/>
          </w:tcPr>
          <w:p w:rsidR="005622BF" w:rsidRPr="00BA1372" w:rsidRDefault="005622BF" w:rsidP="008740AA">
            <w:r w:rsidRPr="00BA1372">
              <w:t>147</w:t>
            </w:r>
          </w:p>
        </w:tc>
        <w:tc>
          <w:tcPr>
            <w:tcW w:w="812" w:type="pct"/>
          </w:tcPr>
          <w:p w:rsidR="005622BF" w:rsidRPr="00BA1372" w:rsidRDefault="005622BF" w:rsidP="008740AA">
            <w:r w:rsidRPr="00BA1372">
              <w:t>294</w:t>
            </w:r>
          </w:p>
        </w:tc>
        <w:tc>
          <w:tcPr>
            <w:tcW w:w="553" w:type="pct"/>
          </w:tcPr>
          <w:p w:rsidR="005622BF" w:rsidRPr="00BA1372" w:rsidRDefault="005622BF" w:rsidP="008740AA">
            <w:pPr>
              <w:ind w:left="0"/>
            </w:pPr>
            <w:r w:rsidRPr="00BA1372">
              <w:t>40</w:t>
            </w:r>
          </w:p>
        </w:tc>
        <w:tc>
          <w:tcPr>
            <w:tcW w:w="714" w:type="pct"/>
          </w:tcPr>
          <w:p w:rsidR="005622BF" w:rsidRPr="008740AA" w:rsidRDefault="005622BF" w:rsidP="008740AA">
            <w:pPr>
              <w:ind w:left="0"/>
              <w:rPr>
                <w:b/>
              </w:rPr>
            </w:pPr>
            <w:r w:rsidRPr="008740AA">
              <w:rPr>
                <w:b/>
              </w:rPr>
              <w:t>80</w:t>
            </w:r>
          </w:p>
        </w:tc>
      </w:tr>
      <w:tr w:rsidR="005622BF" w:rsidRPr="005622BF" w:rsidTr="008740AA">
        <w:trPr>
          <w:trHeight w:val="227"/>
        </w:trPr>
        <w:tc>
          <w:tcPr>
            <w:tcW w:w="1444" w:type="pct"/>
            <w:vMerge w:val="restart"/>
          </w:tcPr>
          <w:p w:rsidR="005622BF" w:rsidRPr="008740AA" w:rsidRDefault="005622BF" w:rsidP="008740AA">
            <w:pPr>
              <w:rPr>
                <w:b/>
              </w:rPr>
            </w:pPr>
            <w:r w:rsidRPr="008740AA">
              <w:rPr>
                <w:b/>
              </w:rPr>
              <w:t>Rat</w:t>
            </w:r>
          </w:p>
          <w:p w:rsidR="00C60B78" w:rsidRPr="008740AA" w:rsidRDefault="005622BF" w:rsidP="008740AA">
            <w:pPr>
              <w:rPr>
                <w:b/>
              </w:rPr>
            </w:pPr>
            <w:r w:rsidRPr="008740AA">
              <w:rPr>
                <w:b/>
              </w:rPr>
              <w:t>1 month, oral gavage</w:t>
            </w:r>
          </w:p>
          <w:p w:rsidR="005622BF" w:rsidRPr="008740AA" w:rsidRDefault="005622BF" w:rsidP="008740AA">
            <w:pPr>
              <w:rPr>
                <w:b/>
              </w:rPr>
            </w:pPr>
            <w:r w:rsidRPr="008740AA">
              <w:rPr>
                <w:b/>
              </w:rPr>
              <w:t>(DM07024/ 930024094)</w:t>
            </w:r>
          </w:p>
        </w:tc>
        <w:tc>
          <w:tcPr>
            <w:tcW w:w="700" w:type="pct"/>
          </w:tcPr>
          <w:p w:rsidR="005622BF" w:rsidRPr="00BA1372" w:rsidRDefault="005622BF" w:rsidP="008740AA">
            <w:r w:rsidRPr="00BA1372">
              <w:t>30</w:t>
            </w:r>
          </w:p>
        </w:tc>
        <w:tc>
          <w:tcPr>
            <w:tcW w:w="777" w:type="pct"/>
          </w:tcPr>
          <w:p w:rsidR="005622BF" w:rsidRPr="00BA1372" w:rsidRDefault="005622BF" w:rsidP="008740AA">
            <w:r w:rsidRPr="00BA1372">
              <w:t>1.88</w:t>
            </w:r>
          </w:p>
        </w:tc>
        <w:tc>
          <w:tcPr>
            <w:tcW w:w="812" w:type="pct"/>
          </w:tcPr>
          <w:p w:rsidR="005622BF" w:rsidRPr="00BA1372" w:rsidRDefault="005622BF" w:rsidP="008740AA">
            <w:r w:rsidRPr="00BA1372">
              <w:t>1.34 (AUC0–12 h)</w:t>
            </w:r>
          </w:p>
        </w:tc>
        <w:tc>
          <w:tcPr>
            <w:tcW w:w="553" w:type="pct"/>
          </w:tcPr>
          <w:p w:rsidR="005622BF" w:rsidRPr="00BA1372" w:rsidRDefault="005622BF" w:rsidP="008740AA">
            <w:pPr>
              <w:ind w:left="0"/>
            </w:pPr>
            <w:r w:rsidRPr="00BA1372">
              <w:t>0.5</w:t>
            </w:r>
          </w:p>
        </w:tc>
        <w:tc>
          <w:tcPr>
            <w:tcW w:w="714" w:type="pct"/>
          </w:tcPr>
          <w:p w:rsidR="005622BF" w:rsidRPr="008740AA" w:rsidRDefault="005622BF" w:rsidP="008740AA">
            <w:pPr>
              <w:ind w:left="0"/>
              <w:rPr>
                <w:b/>
              </w:rPr>
            </w:pPr>
            <w:r w:rsidRPr="008740AA">
              <w:rPr>
                <w:b/>
              </w:rPr>
              <w:t>0.4</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100</w:t>
            </w:r>
          </w:p>
        </w:tc>
        <w:tc>
          <w:tcPr>
            <w:tcW w:w="777" w:type="pct"/>
          </w:tcPr>
          <w:p w:rsidR="005622BF" w:rsidRPr="00BA1372" w:rsidRDefault="005622BF" w:rsidP="008740AA">
            <w:r w:rsidRPr="00BA1372">
              <w:t>83.2</w:t>
            </w:r>
          </w:p>
        </w:tc>
        <w:tc>
          <w:tcPr>
            <w:tcW w:w="812" w:type="pct"/>
          </w:tcPr>
          <w:p w:rsidR="005622BF" w:rsidRPr="00BA1372" w:rsidRDefault="005622BF" w:rsidP="008740AA">
            <w:r w:rsidRPr="00BA1372">
              <w:t>98.2</w:t>
            </w:r>
          </w:p>
        </w:tc>
        <w:tc>
          <w:tcPr>
            <w:tcW w:w="553" w:type="pct"/>
          </w:tcPr>
          <w:p w:rsidR="005622BF" w:rsidRPr="00BA1372" w:rsidRDefault="005622BF" w:rsidP="008740AA">
            <w:pPr>
              <w:ind w:left="0"/>
            </w:pPr>
            <w:r w:rsidRPr="00BA1372">
              <w:t>23</w:t>
            </w:r>
          </w:p>
        </w:tc>
        <w:tc>
          <w:tcPr>
            <w:tcW w:w="714" w:type="pct"/>
          </w:tcPr>
          <w:p w:rsidR="005622BF" w:rsidRPr="008740AA" w:rsidRDefault="005622BF" w:rsidP="008740AA">
            <w:pPr>
              <w:ind w:left="0"/>
              <w:rPr>
                <w:b/>
              </w:rPr>
            </w:pPr>
            <w:r w:rsidRPr="008740AA">
              <w:rPr>
                <w:b/>
              </w:rPr>
              <w:t>27</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600</w:t>
            </w:r>
          </w:p>
        </w:tc>
        <w:tc>
          <w:tcPr>
            <w:tcW w:w="777" w:type="pct"/>
          </w:tcPr>
          <w:p w:rsidR="005622BF" w:rsidRPr="00BA1372" w:rsidRDefault="005622BF" w:rsidP="008740AA">
            <w:r w:rsidRPr="00BA1372">
              <w:t>227</w:t>
            </w:r>
          </w:p>
        </w:tc>
        <w:tc>
          <w:tcPr>
            <w:tcW w:w="812" w:type="pct"/>
          </w:tcPr>
          <w:p w:rsidR="005622BF" w:rsidRPr="00BA1372" w:rsidRDefault="005622BF" w:rsidP="008740AA">
            <w:r w:rsidRPr="00BA1372">
              <w:t>371</w:t>
            </w:r>
          </w:p>
        </w:tc>
        <w:tc>
          <w:tcPr>
            <w:tcW w:w="553" w:type="pct"/>
          </w:tcPr>
          <w:p w:rsidR="005622BF" w:rsidRPr="00BA1372" w:rsidRDefault="005622BF" w:rsidP="008740AA">
            <w:pPr>
              <w:ind w:left="0"/>
            </w:pPr>
            <w:r w:rsidRPr="00BA1372">
              <w:t>62</w:t>
            </w:r>
          </w:p>
        </w:tc>
        <w:tc>
          <w:tcPr>
            <w:tcW w:w="714" w:type="pct"/>
          </w:tcPr>
          <w:p w:rsidR="005622BF" w:rsidRPr="008740AA" w:rsidRDefault="005622BF" w:rsidP="008740AA">
            <w:pPr>
              <w:ind w:left="0"/>
              <w:rPr>
                <w:b/>
              </w:rPr>
            </w:pPr>
            <w:r w:rsidRPr="008740AA">
              <w:rPr>
                <w:b/>
              </w:rPr>
              <w:t>101</w:t>
            </w:r>
          </w:p>
        </w:tc>
      </w:tr>
      <w:tr w:rsidR="005622BF" w:rsidRPr="005622BF" w:rsidTr="008740AA">
        <w:trPr>
          <w:trHeight w:val="227"/>
        </w:trPr>
        <w:tc>
          <w:tcPr>
            <w:tcW w:w="1444" w:type="pct"/>
            <w:vMerge w:val="restart"/>
          </w:tcPr>
          <w:p w:rsidR="005622BF" w:rsidRPr="008740AA" w:rsidRDefault="005622BF" w:rsidP="008740AA">
            <w:pPr>
              <w:rPr>
                <w:b/>
              </w:rPr>
            </w:pPr>
            <w:r w:rsidRPr="008740AA">
              <w:rPr>
                <w:b/>
              </w:rPr>
              <w:t>Rat</w:t>
            </w:r>
          </w:p>
          <w:p w:rsidR="005622BF" w:rsidRPr="008740AA" w:rsidRDefault="005622BF" w:rsidP="008740AA">
            <w:pPr>
              <w:rPr>
                <w:b/>
              </w:rPr>
            </w:pPr>
            <w:r w:rsidRPr="008740AA">
              <w:rPr>
                <w:b/>
              </w:rPr>
              <w:t>6 months, oral gavage (DM08025)</w:t>
            </w:r>
          </w:p>
        </w:tc>
        <w:tc>
          <w:tcPr>
            <w:tcW w:w="700" w:type="pct"/>
          </w:tcPr>
          <w:p w:rsidR="005622BF" w:rsidRPr="00BA1372" w:rsidRDefault="005622BF" w:rsidP="008740AA">
            <w:r w:rsidRPr="00BA1372">
              <w:t>40</w:t>
            </w:r>
          </w:p>
        </w:tc>
        <w:tc>
          <w:tcPr>
            <w:tcW w:w="777" w:type="pct"/>
          </w:tcPr>
          <w:p w:rsidR="005622BF" w:rsidRPr="00BA1372" w:rsidRDefault="005622BF" w:rsidP="008740AA">
            <w:r w:rsidRPr="00BA1372">
              <w:t>3.99</w:t>
            </w:r>
          </w:p>
        </w:tc>
        <w:tc>
          <w:tcPr>
            <w:tcW w:w="812" w:type="pct"/>
          </w:tcPr>
          <w:p w:rsidR="005622BF" w:rsidRPr="00BA1372" w:rsidRDefault="005622BF" w:rsidP="008740AA">
            <w:r w:rsidRPr="00BA1372">
              <w:t>11.6</w:t>
            </w:r>
          </w:p>
        </w:tc>
        <w:tc>
          <w:tcPr>
            <w:tcW w:w="553" w:type="pct"/>
          </w:tcPr>
          <w:p w:rsidR="005622BF" w:rsidRPr="00BA1372" w:rsidRDefault="005622BF" w:rsidP="008740AA">
            <w:pPr>
              <w:ind w:left="0"/>
            </w:pPr>
            <w:r w:rsidRPr="00BA1372">
              <w:t>1.1</w:t>
            </w:r>
          </w:p>
        </w:tc>
        <w:tc>
          <w:tcPr>
            <w:tcW w:w="714" w:type="pct"/>
          </w:tcPr>
          <w:p w:rsidR="005622BF" w:rsidRPr="008740AA" w:rsidRDefault="005622BF" w:rsidP="008740AA">
            <w:pPr>
              <w:ind w:left="0"/>
              <w:rPr>
                <w:b/>
              </w:rPr>
            </w:pPr>
            <w:r w:rsidRPr="008740AA">
              <w:rPr>
                <w:b/>
              </w:rPr>
              <w:t>3.1</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80</w:t>
            </w:r>
          </w:p>
        </w:tc>
        <w:tc>
          <w:tcPr>
            <w:tcW w:w="777" w:type="pct"/>
          </w:tcPr>
          <w:p w:rsidR="005622BF" w:rsidRPr="00BA1372" w:rsidRDefault="005622BF" w:rsidP="008740AA">
            <w:r w:rsidRPr="00BA1372">
              <w:t>39.3</w:t>
            </w:r>
          </w:p>
        </w:tc>
        <w:tc>
          <w:tcPr>
            <w:tcW w:w="812" w:type="pct"/>
          </w:tcPr>
          <w:p w:rsidR="005622BF" w:rsidRPr="00BA1372" w:rsidRDefault="005622BF" w:rsidP="008740AA">
            <w:r w:rsidRPr="00BA1372">
              <w:t>144</w:t>
            </w:r>
          </w:p>
        </w:tc>
        <w:tc>
          <w:tcPr>
            <w:tcW w:w="553" w:type="pct"/>
          </w:tcPr>
          <w:p w:rsidR="005622BF" w:rsidRPr="00BA1372" w:rsidRDefault="005622BF" w:rsidP="008740AA">
            <w:pPr>
              <w:ind w:left="0"/>
            </w:pPr>
            <w:r w:rsidRPr="00BA1372">
              <w:t>11</w:t>
            </w:r>
          </w:p>
        </w:tc>
        <w:tc>
          <w:tcPr>
            <w:tcW w:w="714" w:type="pct"/>
          </w:tcPr>
          <w:p w:rsidR="005622BF" w:rsidRPr="008740AA" w:rsidRDefault="005622BF" w:rsidP="008740AA">
            <w:pPr>
              <w:ind w:left="0"/>
              <w:rPr>
                <w:b/>
              </w:rPr>
            </w:pPr>
            <w:r w:rsidRPr="008740AA">
              <w:rPr>
                <w:b/>
              </w:rPr>
              <w:t>39</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200</w:t>
            </w:r>
          </w:p>
        </w:tc>
        <w:tc>
          <w:tcPr>
            <w:tcW w:w="777" w:type="pct"/>
          </w:tcPr>
          <w:p w:rsidR="005622BF" w:rsidRPr="00BA1372" w:rsidRDefault="005622BF" w:rsidP="008740AA">
            <w:r w:rsidRPr="00BA1372">
              <w:t>321</w:t>
            </w:r>
          </w:p>
        </w:tc>
        <w:tc>
          <w:tcPr>
            <w:tcW w:w="812" w:type="pct"/>
          </w:tcPr>
          <w:p w:rsidR="005622BF" w:rsidRPr="00BA1372" w:rsidRDefault="005622BF" w:rsidP="008740AA">
            <w:r w:rsidRPr="00BA1372">
              <w:t>684</w:t>
            </w:r>
          </w:p>
        </w:tc>
        <w:tc>
          <w:tcPr>
            <w:tcW w:w="553" w:type="pct"/>
          </w:tcPr>
          <w:p w:rsidR="005622BF" w:rsidRPr="00BA1372" w:rsidRDefault="005622BF" w:rsidP="008740AA">
            <w:pPr>
              <w:ind w:left="0"/>
            </w:pPr>
            <w:r w:rsidRPr="00BA1372">
              <w:t>87</w:t>
            </w:r>
          </w:p>
        </w:tc>
        <w:tc>
          <w:tcPr>
            <w:tcW w:w="714" w:type="pct"/>
          </w:tcPr>
          <w:p w:rsidR="005622BF" w:rsidRPr="008740AA" w:rsidRDefault="005622BF" w:rsidP="008740AA">
            <w:pPr>
              <w:ind w:left="0"/>
              <w:rPr>
                <w:b/>
              </w:rPr>
            </w:pPr>
            <w:r w:rsidRPr="008740AA">
              <w:rPr>
                <w:b/>
              </w:rPr>
              <w:t>185</w:t>
            </w:r>
          </w:p>
        </w:tc>
      </w:tr>
      <w:tr w:rsidR="005622BF" w:rsidRPr="005622BF" w:rsidTr="008740AA">
        <w:trPr>
          <w:trHeight w:val="227"/>
        </w:trPr>
        <w:tc>
          <w:tcPr>
            <w:tcW w:w="1444" w:type="pct"/>
            <w:vMerge w:val="restart"/>
          </w:tcPr>
          <w:p w:rsidR="005622BF" w:rsidRPr="008740AA" w:rsidRDefault="005622BF" w:rsidP="008740AA">
            <w:pPr>
              <w:rPr>
                <w:b/>
              </w:rPr>
            </w:pPr>
            <w:r w:rsidRPr="008740AA">
              <w:rPr>
                <w:b/>
              </w:rPr>
              <w:t>Dog</w:t>
            </w:r>
          </w:p>
          <w:p w:rsidR="005622BF" w:rsidRPr="008740AA" w:rsidRDefault="005622BF" w:rsidP="008740AA">
            <w:pPr>
              <w:rPr>
                <w:b/>
              </w:rPr>
            </w:pPr>
            <w:r w:rsidRPr="008740AA">
              <w:rPr>
                <w:b/>
              </w:rPr>
              <w:t>1 month, Oral gavage (DM07020)</w:t>
            </w:r>
          </w:p>
        </w:tc>
        <w:tc>
          <w:tcPr>
            <w:tcW w:w="700" w:type="pct"/>
          </w:tcPr>
          <w:p w:rsidR="005622BF" w:rsidRPr="00BA1372" w:rsidRDefault="005622BF" w:rsidP="008740AA">
            <w:r w:rsidRPr="00BA1372">
              <w:t>20</w:t>
            </w:r>
          </w:p>
        </w:tc>
        <w:tc>
          <w:tcPr>
            <w:tcW w:w="777" w:type="pct"/>
          </w:tcPr>
          <w:p w:rsidR="005622BF" w:rsidRPr="00BA1372" w:rsidRDefault="005622BF" w:rsidP="008740AA">
            <w:r w:rsidRPr="00BA1372">
              <w:t>4.58</w:t>
            </w:r>
          </w:p>
        </w:tc>
        <w:tc>
          <w:tcPr>
            <w:tcW w:w="812" w:type="pct"/>
          </w:tcPr>
          <w:p w:rsidR="005622BF" w:rsidRPr="00BA1372" w:rsidRDefault="005622BF" w:rsidP="008740AA">
            <w:r w:rsidRPr="00BA1372">
              <w:t>16.3</w:t>
            </w:r>
          </w:p>
        </w:tc>
        <w:tc>
          <w:tcPr>
            <w:tcW w:w="553" w:type="pct"/>
          </w:tcPr>
          <w:p w:rsidR="005622BF" w:rsidRPr="00BA1372" w:rsidRDefault="005622BF" w:rsidP="008740AA">
            <w:pPr>
              <w:ind w:left="0"/>
            </w:pPr>
            <w:r w:rsidRPr="00BA1372">
              <w:t>1.2</w:t>
            </w:r>
          </w:p>
        </w:tc>
        <w:tc>
          <w:tcPr>
            <w:tcW w:w="714" w:type="pct"/>
          </w:tcPr>
          <w:p w:rsidR="005622BF" w:rsidRPr="008740AA" w:rsidRDefault="005622BF" w:rsidP="008740AA">
            <w:pPr>
              <w:ind w:left="0"/>
              <w:rPr>
                <w:b/>
              </w:rPr>
            </w:pPr>
            <w:r w:rsidRPr="008740AA">
              <w:rPr>
                <w:b/>
              </w:rPr>
              <w:t>4.4</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60</w:t>
            </w:r>
          </w:p>
        </w:tc>
        <w:tc>
          <w:tcPr>
            <w:tcW w:w="777" w:type="pct"/>
          </w:tcPr>
          <w:p w:rsidR="005622BF" w:rsidRPr="00BA1372" w:rsidRDefault="005622BF" w:rsidP="008740AA">
            <w:r w:rsidRPr="00BA1372">
              <w:t>102</w:t>
            </w:r>
          </w:p>
        </w:tc>
        <w:tc>
          <w:tcPr>
            <w:tcW w:w="812" w:type="pct"/>
          </w:tcPr>
          <w:p w:rsidR="005622BF" w:rsidRPr="00BA1372" w:rsidRDefault="005622BF" w:rsidP="008740AA">
            <w:r w:rsidRPr="00BA1372">
              <w:t>98.5</w:t>
            </w:r>
          </w:p>
        </w:tc>
        <w:tc>
          <w:tcPr>
            <w:tcW w:w="553" w:type="pct"/>
          </w:tcPr>
          <w:p w:rsidR="005622BF" w:rsidRPr="00BA1372" w:rsidRDefault="005622BF" w:rsidP="008740AA">
            <w:pPr>
              <w:ind w:left="0"/>
            </w:pPr>
            <w:r w:rsidRPr="00BA1372">
              <w:t>28</w:t>
            </w:r>
          </w:p>
        </w:tc>
        <w:tc>
          <w:tcPr>
            <w:tcW w:w="714" w:type="pct"/>
          </w:tcPr>
          <w:p w:rsidR="005622BF" w:rsidRPr="008740AA" w:rsidRDefault="005622BF" w:rsidP="008740AA">
            <w:pPr>
              <w:ind w:left="0"/>
              <w:rPr>
                <w:b/>
              </w:rPr>
            </w:pPr>
            <w:r w:rsidRPr="008740AA">
              <w:rPr>
                <w:b/>
              </w:rPr>
              <w:t>27</w:t>
            </w:r>
          </w:p>
        </w:tc>
      </w:tr>
      <w:tr w:rsidR="005622BF" w:rsidRPr="005622BF" w:rsidTr="008740AA">
        <w:trPr>
          <w:trHeight w:val="227"/>
        </w:trPr>
        <w:tc>
          <w:tcPr>
            <w:tcW w:w="1444" w:type="pct"/>
            <w:vMerge/>
          </w:tcPr>
          <w:p w:rsidR="005622BF" w:rsidRPr="008740AA" w:rsidRDefault="005622BF" w:rsidP="008740AA">
            <w:pPr>
              <w:rPr>
                <w:b/>
              </w:rPr>
            </w:pPr>
          </w:p>
        </w:tc>
        <w:tc>
          <w:tcPr>
            <w:tcW w:w="700" w:type="pct"/>
          </w:tcPr>
          <w:p w:rsidR="005622BF" w:rsidRPr="00BA1372" w:rsidRDefault="005622BF" w:rsidP="008740AA">
            <w:r w:rsidRPr="00BA1372">
              <w:t>300</w:t>
            </w:r>
          </w:p>
        </w:tc>
        <w:tc>
          <w:tcPr>
            <w:tcW w:w="777" w:type="pct"/>
          </w:tcPr>
          <w:p w:rsidR="005622BF" w:rsidRPr="00BA1372" w:rsidRDefault="005622BF" w:rsidP="008740AA">
            <w:r w:rsidRPr="00BA1372">
              <w:t>1410</w:t>
            </w:r>
          </w:p>
        </w:tc>
        <w:tc>
          <w:tcPr>
            <w:tcW w:w="812" w:type="pct"/>
          </w:tcPr>
          <w:p w:rsidR="005622BF" w:rsidRPr="00BA1372" w:rsidRDefault="005622BF" w:rsidP="008740AA">
            <w:r w:rsidRPr="00BA1372">
              <w:t>1360</w:t>
            </w:r>
          </w:p>
        </w:tc>
        <w:tc>
          <w:tcPr>
            <w:tcW w:w="553" w:type="pct"/>
          </w:tcPr>
          <w:p w:rsidR="005622BF" w:rsidRPr="00BA1372" w:rsidRDefault="005622BF" w:rsidP="008740AA">
            <w:pPr>
              <w:ind w:left="0"/>
            </w:pPr>
            <w:r w:rsidRPr="00BA1372">
              <w:t>382</w:t>
            </w:r>
          </w:p>
        </w:tc>
        <w:tc>
          <w:tcPr>
            <w:tcW w:w="714" w:type="pct"/>
          </w:tcPr>
          <w:p w:rsidR="005622BF" w:rsidRPr="008740AA" w:rsidRDefault="005622BF" w:rsidP="008740AA">
            <w:pPr>
              <w:ind w:left="0"/>
              <w:rPr>
                <w:b/>
              </w:rPr>
            </w:pPr>
            <w:r w:rsidRPr="008740AA">
              <w:rPr>
                <w:b/>
              </w:rPr>
              <w:t>369</w:t>
            </w:r>
          </w:p>
        </w:tc>
      </w:tr>
      <w:tr w:rsidR="005622BF" w:rsidRPr="005622BF" w:rsidTr="008740AA">
        <w:trPr>
          <w:trHeight w:val="227"/>
        </w:trPr>
        <w:tc>
          <w:tcPr>
            <w:tcW w:w="1444" w:type="pct"/>
            <w:vMerge w:val="restart"/>
          </w:tcPr>
          <w:p w:rsidR="005622BF" w:rsidRPr="008740AA" w:rsidRDefault="005622BF" w:rsidP="008740AA">
            <w:pPr>
              <w:rPr>
                <w:b/>
                <w:kern w:val="2"/>
              </w:rPr>
            </w:pPr>
            <w:r w:rsidRPr="008740AA">
              <w:rPr>
                <w:b/>
                <w:kern w:val="2"/>
              </w:rPr>
              <w:t>Dog</w:t>
            </w:r>
          </w:p>
          <w:p w:rsidR="005622BF" w:rsidRPr="008740AA" w:rsidRDefault="005622BF" w:rsidP="008740AA">
            <w:pPr>
              <w:rPr>
                <w:b/>
                <w:kern w:val="2"/>
              </w:rPr>
            </w:pPr>
            <w:r w:rsidRPr="008740AA">
              <w:rPr>
                <w:b/>
                <w:kern w:val="2"/>
              </w:rPr>
              <w:t>9 months, Oral gavage (DM08026/930038894)</w:t>
            </w:r>
          </w:p>
        </w:tc>
        <w:tc>
          <w:tcPr>
            <w:tcW w:w="700" w:type="pct"/>
          </w:tcPr>
          <w:p w:rsidR="005622BF" w:rsidRPr="00BA1372" w:rsidRDefault="005622BF" w:rsidP="008740AA">
            <w:pPr>
              <w:rPr>
                <w:kern w:val="2"/>
              </w:rPr>
            </w:pPr>
            <w:r w:rsidRPr="00BA1372">
              <w:rPr>
                <w:kern w:val="2"/>
              </w:rPr>
              <w:t>15</w:t>
            </w:r>
          </w:p>
        </w:tc>
        <w:tc>
          <w:tcPr>
            <w:tcW w:w="777" w:type="pct"/>
          </w:tcPr>
          <w:p w:rsidR="005622BF" w:rsidRPr="00BA1372" w:rsidRDefault="005622BF" w:rsidP="008740AA">
            <w:pPr>
              <w:rPr>
                <w:kern w:val="2"/>
              </w:rPr>
            </w:pPr>
            <w:r w:rsidRPr="00BA1372">
              <w:rPr>
                <w:kern w:val="2"/>
              </w:rPr>
              <w:t>5.46</w:t>
            </w:r>
          </w:p>
        </w:tc>
        <w:tc>
          <w:tcPr>
            <w:tcW w:w="812" w:type="pct"/>
          </w:tcPr>
          <w:p w:rsidR="005622BF" w:rsidRPr="00BA1372" w:rsidRDefault="005622BF" w:rsidP="008740AA">
            <w:pPr>
              <w:rPr>
                <w:kern w:val="2"/>
              </w:rPr>
            </w:pPr>
            <w:r w:rsidRPr="00BA1372">
              <w:rPr>
                <w:kern w:val="2"/>
              </w:rPr>
              <w:t>15.6</w:t>
            </w:r>
          </w:p>
        </w:tc>
        <w:tc>
          <w:tcPr>
            <w:tcW w:w="553" w:type="pct"/>
          </w:tcPr>
          <w:p w:rsidR="005622BF" w:rsidRPr="00BA1372" w:rsidRDefault="005622BF" w:rsidP="008740AA">
            <w:pPr>
              <w:ind w:left="0"/>
              <w:rPr>
                <w:kern w:val="2"/>
              </w:rPr>
            </w:pPr>
            <w:r w:rsidRPr="00BA1372">
              <w:rPr>
                <w:kern w:val="2"/>
              </w:rPr>
              <w:t>1.5</w:t>
            </w:r>
          </w:p>
        </w:tc>
        <w:tc>
          <w:tcPr>
            <w:tcW w:w="714" w:type="pct"/>
          </w:tcPr>
          <w:p w:rsidR="005622BF" w:rsidRPr="008740AA" w:rsidRDefault="005622BF" w:rsidP="008740AA">
            <w:pPr>
              <w:ind w:left="0"/>
              <w:rPr>
                <w:b/>
                <w:kern w:val="2"/>
              </w:rPr>
            </w:pPr>
            <w:r w:rsidRPr="008740AA">
              <w:rPr>
                <w:b/>
                <w:kern w:val="2"/>
              </w:rPr>
              <w:t>4.2</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BA1372" w:rsidRDefault="005622BF" w:rsidP="008740AA">
            <w:pPr>
              <w:rPr>
                <w:kern w:val="2"/>
              </w:rPr>
            </w:pPr>
            <w:r w:rsidRPr="00BA1372">
              <w:rPr>
                <w:kern w:val="2"/>
              </w:rPr>
              <w:t>50</w:t>
            </w:r>
          </w:p>
        </w:tc>
        <w:tc>
          <w:tcPr>
            <w:tcW w:w="777" w:type="pct"/>
          </w:tcPr>
          <w:p w:rsidR="005622BF" w:rsidRPr="00BA1372" w:rsidRDefault="005622BF" w:rsidP="008740AA">
            <w:pPr>
              <w:rPr>
                <w:kern w:val="2"/>
              </w:rPr>
            </w:pPr>
            <w:r w:rsidRPr="00BA1372">
              <w:rPr>
                <w:kern w:val="2"/>
              </w:rPr>
              <w:t>47.2</w:t>
            </w:r>
          </w:p>
        </w:tc>
        <w:tc>
          <w:tcPr>
            <w:tcW w:w="812" w:type="pct"/>
          </w:tcPr>
          <w:p w:rsidR="005622BF" w:rsidRPr="00BA1372" w:rsidRDefault="005622BF" w:rsidP="008740AA">
            <w:pPr>
              <w:rPr>
                <w:kern w:val="2"/>
              </w:rPr>
            </w:pPr>
            <w:r w:rsidRPr="00BA1372">
              <w:rPr>
                <w:kern w:val="2"/>
              </w:rPr>
              <w:t>80.9</w:t>
            </w:r>
          </w:p>
        </w:tc>
        <w:tc>
          <w:tcPr>
            <w:tcW w:w="553" w:type="pct"/>
          </w:tcPr>
          <w:p w:rsidR="005622BF" w:rsidRPr="00BA1372" w:rsidRDefault="005622BF" w:rsidP="008740AA">
            <w:pPr>
              <w:ind w:left="0"/>
              <w:rPr>
                <w:kern w:val="2"/>
              </w:rPr>
            </w:pPr>
            <w:r w:rsidRPr="00BA1372">
              <w:rPr>
                <w:kern w:val="2"/>
              </w:rPr>
              <w:t>13</w:t>
            </w:r>
          </w:p>
        </w:tc>
        <w:tc>
          <w:tcPr>
            <w:tcW w:w="714" w:type="pct"/>
          </w:tcPr>
          <w:p w:rsidR="005622BF" w:rsidRPr="008740AA" w:rsidRDefault="005622BF" w:rsidP="008740AA">
            <w:pPr>
              <w:ind w:left="0"/>
              <w:rPr>
                <w:b/>
                <w:kern w:val="2"/>
              </w:rPr>
            </w:pPr>
            <w:r w:rsidRPr="008740AA">
              <w:rPr>
                <w:b/>
                <w:kern w:val="2"/>
              </w:rPr>
              <w:t>22</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8740AA" w:rsidRDefault="005622BF" w:rsidP="008740AA">
            <w:pPr>
              <w:rPr>
                <w:b/>
                <w:kern w:val="2"/>
              </w:rPr>
            </w:pPr>
            <w:r w:rsidRPr="008740AA">
              <w:rPr>
                <w:b/>
                <w:kern w:val="2"/>
              </w:rPr>
              <w:t>100</w:t>
            </w:r>
          </w:p>
        </w:tc>
        <w:tc>
          <w:tcPr>
            <w:tcW w:w="777" w:type="pct"/>
          </w:tcPr>
          <w:p w:rsidR="005622BF" w:rsidRPr="00BA1372" w:rsidRDefault="005622BF" w:rsidP="008740AA">
            <w:pPr>
              <w:rPr>
                <w:kern w:val="2"/>
              </w:rPr>
            </w:pPr>
            <w:r w:rsidRPr="00BA1372">
              <w:rPr>
                <w:kern w:val="2"/>
              </w:rPr>
              <w:t>223</w:t>
            </w:r>
          </w:p>
        </w:tc>
        <w:tc>
          <w:tcPr>
            <w:tcW w:w="812" w:type="pct"/>
          </w:tcPr>
          <w:p w:rsidR="005622BF" w:rsidRPr="00BA1372" w:rsidRDefault="005622BF" w:rsidP="008740AA">
            <w:pPr>
              <w:rPr>
                <w:kern w:val="2"/>
              </w:rPr>
            </w:pPr>
            <w:r w:rsidRPr="00BA1372">
              <w:rPr>
                <w:kern w:val="2"/>
              </w:rPr>
              <w:t>380</w:t>
            </w:r>
          </w:p>
        </w:tc>
        <w:tc>
          <w:tcPr>
            <w:tcW w:w="553" w:type="pct"/>
          </w:tcPr>
          <w:p w:rsidR="005622BF" w:rsidRPr="00BA1372" w:rsidRDefault="005622BF" w:rsidP="008740AA">
            <w:pPr>
              <w:ind w:left="0"/>
              <w:rPr>
                <w:kern w:val="2"/>
              </w:rPr>
            </w:pPr>
            <w:r w:rsidRPr="00BA1372">
              <w:rPr>
                <w:kern w:val="2"/>
              </w:rPr>
              <w:t>60</w:t>
            </w:r>
          </w:p>
        </w:tc>
        <w:tc>
          <w:tcPr>
            <w:tcW w:w="714" w:type="pct"/>
          </w:tcPr>
          <w:p w:rsidR="005622BF" w:rsidRPr="008740AA" w:rsidRDefault="005622BF" w:rsidP="008740AA">
            <w:pPr>
              <w:ind w:left="0"/>
              <w:rPr>
                <w:b/>
                <w:kern w:val="2"/>
              </w:rPr>
            </w:pPr>
            <w:r w:rsidRPr="008740AA">
              <w:rPr>
                <w:b/>
                <w:kern w:val="2"/>
              </w:rPr>
              <w:t>103</w:t>
            </w:r>
          </w:p>
        </w:tc>
      </w:tr>
      <w:tr w:rsidR="005622BF" w:rsidRPr="005622BF" w:rsidTr="008740AA">
        <w:trPr>
          <w:trHeight w:val="227"/>
        </w:trPr>
        <w:tc>
          <w:tcPr>
            <w:tcW w:w="1444" w:type="pct"/>
            <w:vMerge w:val="restart"/>
          </w:tcPr>
          <w:p w:rsidR="005622BF" w:rsidRPr="008740AA" w:rsidRDefault="005622BF" w:rsidP="008740AA">
            <w:pPr>
              <w:rPr>
                <w:rFonts w:eastAsia="Times New Roman"/>
                <w:b/>
                <w:snapToGrid w:val="0"/>
                <w:kern w:val="2"/>
              </w:rPr>
            </w:pPr>
            <w:r w:rsidRPr="008740AA">
              <w:rPr>
                <w:rFonts w:eastAsia="Times New Roman"/>
                <w:b/>
                <w:snapToGrid w:val="0"/>
                <w:kern w:val="2"/>
              </w:rPr>
              <w:t>Monkey</w:t>
            </w:r>
          </w:p>
          <w:p w:rsidR="005622BF" w:rsidRPr="008740AA" w:rsidRDefault="005622BF" w:rsidP="008740AA">
            <w:pPr>
              <w:rPr>
                <w:rFonts w:eastAsia="Times New Roman"/>
                <w:b/>
                <w:snapToGrid w:val="0"/>
                <w:kern w:val="2"/>
              </w:rPr>
            </w:pPr>
            <w:r w:rsidRPr="008740AA">
              <w:rPr>
                <w:rFonts w:eastAsia="Times New Roman"/>
                <w:b/>
                <w:snapToGrid w:val="0"/>
                <w:kern w:val="2"/>
              </w:rPr>
              <w:t>1 week, oral gavage (DM08018)</w:t>
            </w:r>
          </w:p>
        </w:tc>
        <w:tc>
          <w:tcPr>
            <w:tcW w:w="700" w:type="pct"/>
          </w:tcPr>
          <w:p w:rsidR="005622BF" w:rsidRPr="00BA1372" w:rsidRDefault="005622BF" w:rsidP="008740AA">
            <w:pPr>
              <w:rPr>
                <w:kern w:val="2"/>
              </w:rPr>
            </w:pPr>
            <w:r w:rsidRPr="00BA1372">
              <w:rPr>
                <w:kern w:val="2"/>
              </w:rPr>
              <w:t>30</w:t>
            </w:r>
          </w:p>
        </w:tc>
        <w:tc>
          <w:tcPr>
            <w:tcW w:w="777" w:type="pct"/>
          </w:tcPr>
          <w:p w:rsidR="005622BF" w:rsidRPr="00BA1372" w:rsidRDefault="005622BF" w:rsidP="008740AA">
            <w:pPr>
              <w:rPr>
                <w:kern w:val="2"/>
              </w:rPr>
            </w:pPr>
            <w:r w:rsidRPr="00BA1372">
              <w:rPr>
                <w:kern w:val="2"/>
              </w:rPr>
              <w:t>0.483</w:t>
            </w:r>
          </w:p>
        </w:tc>
        <w:tc>
          <w:tcPr>
            <w:tcW w:w="812" w:type="pct"/>
          </w:tcPr>
          <w:p w:rsidR="005622BF" w:rsidRPr="00BA1372" w:rsidRDefault="005622BF" w:rsidP="008740AA">
            <w:pPr>
              <w:rPr>
                <w:kern w:val="2"/>
              </w:rPr>
            </w:pPr>
            <w:r w:rsidRPr="00BA1372">
              <w:rPr>
                <w:kern w:val="2"/>
              </w:rPr>
              <w:t>0.24</w:t>
            </w:r>
          </w:p>
        </w:tc>
        <w:tc>
          <w:tcPr>
            <w:tcW w:w="553" w:type="pct"/>
          </w:tcPr>
          <w:p w:rsidR="005622BF" w:rsidRPr="00BA1372" w:rsidRDefault="005622BF" w:rsidP="008740AA">
            <w:pPr>
              <w:ind w:left="0"/>
              <w:rPr>
                <w:kern w:val="2"/>
              </w:rPr>
            </w:pPr>
            <w:r w:rsidRPr="00BA1372">
              <w:rPr>
                <w:kern w:val="2"/>
              </w:rPr>
              <w:t>0.1</w:t>
            </w:r>
          </w:p>
        </w:tc>
        <w:tc>
          <w:tcPr>
            <w:tcW w:w="714" w:type="pct"/>
          </w:tcPr>
          <w:p w:rsidR="005622BF" w:rsidRPr="008740AA" w:rsidRDefault="005622BF" w:rsidP="008740AA">
            <w:pPr>
              <w:ind w:left="0"/>
              <w:rPr>
                <w:b/>
                <w:kern w:val="2"/>
              </w:rPr>
            </w:pPr>
            <w:r w:rsidRPr="008740AA">
              <w:rPr>
                <w:b/>
                <w:kern w:val="2"/>
              </w:rPr>
              <w:t>0.07</w:t>
            </w:r>
          </w:p>
        </w:tc>
      </w:tr>
      <w:tr w:rsidR="005622BF" w:rsidRPr="005622BF" w:rsidTr="008740AA">
        <w:trPr>
          <w:trHeight w:val="227"/>
        </w:trPr>
        <w:tc>
          <w:tcPr>
            <w:tcW w:w="1444" w:type="pct"/>
            <w:vMerge/>
          </w:tcPr>
          <w:p w:rsidR="005622BF" w:rsidRPr="008740AA" w:rsidRDefault="005622BF" w:rsidP="008740AA">
            <w:pPr>
              <w:rPr>
                <w:rFonts w:eastAsia="Times New Roman"/>
                <w:b/>
                <w:snapToGrid w:val="0"/>
                <w:kern w:val="2"/>
              </w:rPr>
            </w:pPr>
          </w:p>
        </w:tc>
        <w:tc>
          <w:tcPr>
            <w:tcW w:w="700" w:type="pct"/>
          </w:tcPr>
          <w:p w:rsidR="005622BF" w:rsidRPr="00BA1372" w:rsidRDefault="005622BF" w:rsidP="008740AA">
            <w:pPr>
              <w:rPr>
                <w:kern w:val="2"/>
              </w:rPr>
            </w:pPr>
            <w:r w:rsidRPr="00BA1372">
              <w:rPr>
                <w:kern w:val="2"/>
              </w:rPr>
              <w:t>150</w:t>
            </w:r>
          </w:p>
        </w:tc>
        <w:tc>
          <w:tcPr>
            <w:tcW w:w="777" w:type="pct"/>
          </w:tcPr>
          <w:p w:rsidR="005622BF" w:rsidRPr="00BA1372" w:rsidRDefault="005622BF" w:rsidP="008740AA">
            <w:pPr>
              <w:rPr>
                <w:kern w:val="2"/>
              </w:rPr>
            </w:pPr>
            <w:r w:rsidRPr="00BA1372">
              <w:rPr>
                <w:kern w:val="2"/>
              </w:rPr>
              <w:t>5.44</w:t>
            </w:r>
          </w:p>
        </w:tc>
        <w:tc>
          <w:tcPr>
            <w:tcW w:w="812" w:type="pct"/>
          </w:tcPr>
          <w:p w:rsidR="005622BF" w:rsidRPr="00BA1372" w:rsidRDefault="005622BF" w:rsidP="008740AA">
            <w:pPr>
              <w:rPr>
                <w:kern w:val="2"/>
              </w:rPr>
            </w:pPr>
            <w:r w:rsidRPr="00BA1372">
              <w:rPr>
                <w:kern w:val="2"/>
              </w:rPr>
              <w:t>6.16</w:t>
            </w:r>
          </w:p>
        </w:tc>
        <w:tc>
          <w:tcPr>
            <w:tcW w:w="553" w:type="pct"/>
          </w:tcPr>
          <w:p w:rsidR="005622BF" w:rsidRPr="00BA1372" w:rsidRDefault="005622BF" w:rsidP="008740AA">
            <w:pPr>
              <w:ind w:left="0"/>
              <w:rPr>
                <w:kern w:val="2"/>
              </w:rPr>
            </w:pPr>
            <w:r w:rsidRPr="00BA1372">
              <w:rPr>
                <w:kern w:val="2"/>
              </w:rPr>
              <w:t>1.5</w:t>
            </w:r>
          </w:p>
        </w:tc>
        <w:tc>
          <w:tcPr>
            <w:tcW w:w="714" w:type="pct"/>
          </w:tcPr>
          <w:p w:rsidR="005622BF" w:rsidRPr="008740AA" w:rsidRDefault="005622BF" w:rsidP="008740AA">
            <w:pPr>
              <w:ind w:left="0"/>
              <w:rPr>
                <w:b/>
                <w:kern w:val="2"/>
              </w:rPr>
            </w:pPr>
            <w:r w:rsidRPr="008740AA">
              <w:rPr>
                <w:b/>
                <w:kern w:val="2"/>
              </w:rPr>
              <w:t>1.7</w:t>
            </w:r>
          </w:p>
        </w:tc>
      </w:tr>
      <w:tr w:rsidR="005622BF" w:rsidRPr="005622BF" w:rsidTr="008740AA">
        <w:trPr>
          <w:trHeight w:val="227"/>
        </w:trPr>
        <w:tc>
          <w:tcPr>
            <w:tcW w:w="1444" w:type="pct"/>
            <w:vMerge/>
          </w:tcPr>
          <w:p w:rsidR="005622BF" w:rsidRPr="008740AA" w:rsidRDefault="005622BF" w:rsidP="008740AA">
            <w:pPr>
              <w:rPr>
                <w:rFonts w:eastAsia="Times New Roman" w:cs="Calibri"/>
                <w:b/>
                <w:lang w:eastAsia="en-AU"/>
              </w:rPr>
            </w:pPr>
          </w:p>
        </w:tc>
        <w:tc>
          <w:tcPr>
            <w:tcW w:w="700" w:type="pct"/>
          </w:tcPr>
          <w:p w:rsidR="005622BF" w:rsidRPr="00BA1372" w:rsidRDefault="005622BF" w:rsidP="008740AA">
            <w:pPr>
              <w:rPr>
                <w:kern w:val="2"/>
              </w:rPr>
            </w:pPr>
            <w:r w:rsidRPr="00BA1372">
              <w:rPr>
                <w:kern w:val="2"/>
              </w:rPr>
              <w:t>300</w:t>
            </w:r>
          </w:p>
        </w:tc>
        <w:tc>
          <w:tcPr>
            <w:tcW w:w="777" w:type="pct"/>
          </w:tcPr>
          <w:p w:rsidR="005622BF" w:rsidRPr="00BA1372" w:rsidRDefault="005622BF" w:rsidP="008740AA">
            <w:pPr>
              <w:rPr>
                <w:kern w:val="2"/>
              </w:rPr>
            </w:pPr>
            <w:r w:rsidRPr="00BA1372">
              <w:rPr>
                <w:kern w:val="2"/>
              </w:rPr>
              <w:t>982</w:t>
            </w:r>
          </w:p>
        </w:tc>
        <w:tc>
          <w:tcPr>
            <w:tcW w:w="812" w:type="pct"/>
          </w:tcPr>
          <w:p w:rsidR="005622BF" w:rsidRPr="00BA1372" w:rsidRDefault="005622BF" w:rsidP="008740AA">
            <w:pPr>
              <w:rPr>
                <w:kern w:val="2"/>
              </w:rPr>
            </w:pPr>
            <w:r w:rsidRPr="00BA1372">
              <w:rPr>
                <w:kern w:val="2"/>
              </w:rPr>
              <w:t>411</w:t>
            </w:r>
          </w:p>
        </w:tc>
        <w:tc>
          <w:tcPr>
            <w:tcW w:w="553" w:type="pct"/>
          </w:tcPr>
          <w:p w:rsidR="005622BF" w:rsidRPr="00BA1372" w:rsidRDefault="005622BF" w:rsidP="008740AA">
            <w:pPr>
              <w:ind w:left="0"/>
              <w:rPr>
                <w:kern w:val="2"/>
              </w:rPr>
            </w:pPr>
            <w:r w:rsidRPr="00BA1372">
              <w:rPr>
                <w:kern w:val="2"/>
              </w:rPr>
              <w:t>266</w:t>
            </w:r>
          </w:p>
        </w:tc>
        <w:tc>
          <w:tcPr>
            <w:tcW w:w="714" w:type="pct"/>
          </w:tcPr>
          <w:p w:rsidR="005622BF" w:rsidRPr="008740AA" w:rsidRDefault="005622BF" w:rsidP="008740AA">
            <w:pPr>
              <w:ind w:left="0"/>
              <w:rPr>
                <w:b/>
                <w:kern w:val="2"/>
              </w:rPr>
            </w:pPr>
            <w:r w:rsidRPr="008740AA">
              <w:rPr>
                <w:b/>
                <w:kern w:val="2"/>
              </w:rPr>
              <w:t>111</w:t>
            </w:r>
          </w:p>
        </w:tc>
      </w:tr>
      <w:tr w:rsidR="005622BF" w:rsidRPr="005622BF" w:rsidTr="008740AA">
        <w:trPr>
          <w:trHeight w:val="227"/>
        </w:trPr>
        <w:tc>
          <w:tcPr>
            <w:tcW w:w="1444" w:type="pct"/>
            <w:vMerge w:val="restart"/>
          </w:tcPr>
          <w:p w:rsidR="005622BF" w:rsidRPr="008740AA" w:rsidRDefault="005622BF" w:rsidP="008740AA">
            <w:pPr>
              <w:rPr>
                <w:b/>
                <w:kern w:val="2"/>
              </w:rPr>
            </w:pPr>
            <w:r w:rsidRPr="008740AA">
              <w:rPr>
                <w:b/>
                <w:kern w:val="2"/>
              </w:rPr>
              <w:t>Mouse, CByB6F1-Tg(HRAS)2Jic</w:t>
            </w:r>
          </w:p>
          <w:p w:rsidR="005622BF" w:rsidRPr="008740AA" w:rsidRDefault="005622BF" w:rsidP="008740AA">
            <w:pPr>
              <w:rPr>
                <w:rFonts w:eastAsia="Times New Roman"/>
                <w:b/>
                <w:kern w:val="2"/>
              </w:rPr>
            </w:pPr>
            <w:proofErr w:type="spellStart"/>
            <w:r w:rsidRPr="008740AA">
              <w:rPr>
                <w:rFonts w:eastAsia="Times New Roman"/>
                <w:b/>
                <w:kern w:val="2"/>
              </w:rPr>
              <w:t>Hemizygous</w:t>
            </w:r>
            <w:proofErr w:type="spellEnd"/>
            <w:r w:rsidRPr="008740AA">
              <w:rPr>
                <w:rFonts w:eastAsia="Times New Roman"/>
                <w:b/>
                <w:kern w:val="2"/>
              </w:rPr>
              <w:t xml:space="preserve"> (transgenic).</w:t>
            </w:r>
          </w:p>
          <w:p w:rsidR="005622BF" w:rsidRPr="008740AA" w:rsidRDefault="005622BF" w:rsidP="008740AA">
            <w:pPr>
              <w:rPr>
                <w:b/>
                <w:kern w:val="2"/>
              </w:rPr>
            </w:pPr>
            <w:r w:rsidRPr="008740AA">
              <w:rPr>
                <w:b/>
                <w:kern w:val="2"/>
              </w:rPr>
              <w:t>6 month (oral gavage), carcinogenicity (DM11012)</w:t>
            </w:r>
          </w:p>
        </w:tc>
        <w:tc>
          <w:tcPr>
            <w:tcW w:w="700" w:type="pct"/>
          </w:tcPr>
          <w:p w:rsidR="005622BF" w:rsidRPr="00BA1372" w:rsidRDefault="005622BF" w:rsidP="008740AA">
            <w:pPr>
              <w:rPr>
                <w:kern w:val="2"/>
              </w:rPr>
            </w:pPr>
            <w:r w:rsidRPr="00BA1372">
              <w:rPr>
                <w:kern w:val="2"/>
              </w:rPr>
              <w:t>25</w:t>
            </w:r>
          </w:p>
        </w:tc>
        <w:tc>
          <w:tcPr>
            <w:tcW w:w="777" w:type="pct"/>
          </w:tcPr>
          <w:p w:rsidR="005622BF" w:rsidRPr="00BA1372" w:rsidRDefault="005622BF" w:rsidP="008740AA">
            <w:pPr>
              <w:rPr>
                <w:kern w:val="2"/>
              </w:rPr>
            </w:pPr>
            <w:r w:rsidRPr="00BA1372">
              <w:rPr>
                <w:kern w:val="2"/>
              </w:rPr>
              <w:t>13.5</w:t>
            </w:r>
          </w:p>
        </w:tc>
        <w:tc>
          <w:tcPr>
            <w:tcW w:w="812" w:type="pct"/>
          </w:tcPr>
          <w:p w:rsidR="005622BF" w:rsidRPr="00BA1372" w:rsidRDefault="005622BF" w:rsidP="008740AA">
            <w:pPr>
              <w:rPr>
                <w:kern w:val="2"/>
              </w:rPr>
            </w:pPr>
            <w:r w:rsidRPr="00BA1372">
              <w:rPr>
                <w:kern w:val="2"/>
              </w:rPr>
              <w:t>13.8</w:t>
            </w:r>
          </w:p>
        </w:tc>
        <w:tc>
          <w:tcPr>
            <w:tcW w:w="553" w:type="pct"/>
          </w:tcPr>
          <w:p w:rsidR="005622BF" w:rsidRPr="00BA1372" w:rsidRDefault="005622BF" w:rsidP="008740AA">
            <w:pPr>
              <w:ind w:left="0"/>
              <w:rPr>
                <w:kern w:val="2"/>
              </w:rPr>
            </w:pPr>
            <w:r w:rsidRPr="00BA1372">
              <w:rPr>
                <w:kern w:val="2"/>
              </w:rPr>
              <w:t>3.7</w:t>
            </w:r>
          </w:p>
        </w:tc>
        <w:tc>
          <w:tcPr>
            <w:tcW w:w="714" w:type="pct"/>
          </w:tcPr>
          <w:p w:rsidR="005622BF" w:rsidRPr="008740AA" w:rsidRDefault="005622BF" w:rsidP="008740AA">
            <w:pPr>
              <w:ind w:left="0"/>
              <w:rPr>
                <w:b/>
                <w:kern w:val="2"/>
              </w:rPr>
            </w:pPr>
            <w:r w:rsidRPr="008740AA">
              <w:rPr>
                <w:b/>
                <w:kern w:val="2"/>
              </w:rPr>
              <w:t>3.7</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BA1372" w:rsidRDefault="005622BF" w:rsidP="008740AA">
            <w:pPr>
              <w:rPr>
                <w:kern w:val="2"/>
              </w:rPr>
            </w:pPr>
            <w:r w:rsidRPr="00BA1372">
              <w:rPr>
                <w:kern w:val="2"/>
              </w:rPr>
              <w:t>100</w:t>
            </w:r>
          </w:p>
        </w:tc>
        <w:tc>
          <w:tcPr>
            <w:tcW w:w="777" w:type="pct"/>
          </w:tcPr>
          <w:p w:rsidR="005622BF" w:rsidRPr="00BA1372" w:rsidRDefault="005622BF" w:rsidP="008740AA">
            <w:pPr>
              <w:rPr>
                <w:kern w:val="2"/>
              </w:rPr>
            </w:pPr>
            <w:r w:rsidRPr="00BA1372">
              <w:rPr>
                <w:kern w:val="2"/>
              </w:rPr>
              <w:t>256</w:t>
            </w:r>
          </w:p>
        </w:tc>
        <w:tc>
          <w:tcPr>
            <w:tcW w:w="812" w:type="pct"/>
          </w:tcPr>
          <w:p w:rsidR="005622BF" w:rsidRPr="00BA1372" w:rsidRDefault="005622BF" w:rsidP="008740AA">
            <w:pPr>
              <w:rPr>
                <w:kern w:val="2"/>
              </w:rPr>
            </w:pPr>
            <w:r w:rsidRPr="00BA1372">
              <w:rPr>
                <w:kern w:val="2"/>
              </w:rPr>
              <w:t>417</w:t>
            </w:r>
          </w:p>
        </w:tc>
        <w:tc>
          <w:tcPr>
            <w:tcW w:w="553" w:type="pct"/>
          </w:tcPr>
          <w:p w:rsidR="005622BF" w:rsidRPr="00BA1372" w:rsidRDefault="005622BF" w:rsidP="008740AA">
            <w:pPr>
              <w:ind w:left="0"/>
              <w:rPr>
                <w:kern w:val="2"/>
              </w:rPr>
            </w:pPr>
            <w:r w:rsidRPr="00BA1372">
              <w:rPr>
                <w:kern w:val="2"/>
              </w:rPr>
              <w:t>69</w:t>
            </w:r>
          </w:p>
        </w:tc>
        <w:tc>
          <w:tcPr>
            <w:tcW w:w="714" w:type="pct"/>
          </w:tcPr>
          <w:p w:rsidR="005622BF" w:rsidRPr="008740AA" w:rsidRDefault="005622BF" w:rsidP="008740AA">
            <w:pPr>
              <w:ind w:left="0"/>
              <w:rPr>
                <w:b/>
                <w:kern w:val="2"/>
              </w:rPr>
            </w:pPr>
            <w:r w:rsidRPr="008740AA">
              <w:rPr>
                <w:b/>
                <w:kern w:val="2"/>
              </w:rPr>
              <w:t>113</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BA1372" w:rsidRDefault="005622BF" w:rsidP="008740AA">
            <w:pPr>
              <w:rPr>
                <w:kern w:val="2"/>
              </w:rPr>
            </w:pPr>
            <w:r w:rsidRPr="00BA1372">
              <w:rPr>
                <w:kern w:val="2"/>
              </w:rPr>
              <w:t>200</w:t>
            </w:r>
          </w:p>
        </w:tc>
        <w:tc>
          <w:tcPr>
            <w:tcW w:w="777" w:type="pct"/>
          </w:tcPr>
          <w:p w:rsidR="005622BF" w:rsidRPr="00BA1372" w:rsidRDefault="005622BF" w:rsidP="008740AA">
            <w:pPr>
              <w:rPr>
                <w:kern w:val="2"/>
              </w:rPr>
            </w:pPr>
            <w:r w:rsidRPr="00BA1372">
              <w:rPr>
                <w:kern w:val="2"/>
              </w:rPr>
              <w:t>983</w:t>
            </w:r>
          </w:p>
        </w:tc>
        <w:tc>
          <w:tcPr>
            <w:tcW w:w="812" w:type="pct"/>
          </w:tcPr>
          <w:p w:rsidR="005622BF" w:rsidRPr="00BA1372" w:rsidRDefault="005622BF" w:rsidP="008740AA">
            <w:pPr>
              <w:rPr>
                <w:kern w:val="2"/>
              </w:rPr>
            </w:pPr>
            <w:r w:rsidRPr="00BA1372">
              <w:rPr>
                <w:kern w:val="2"/>
              </w:rPr>
              <w:t>1,600</w:t>
            </w:r>
          </w:p>
        </w:tc>
        <w:tc>
          <w:tcPr>
            <w:tcW w:w="553" w:type="pct"/>
          </w:tcPr>
          <w:p w:rsidR="005622BF" w:rsidRPr="00BA1372" w:rsidRDefault="005622BF" w:rsidP="008740AA">
            <w:pPr>
              <w:ind w:left="0"/>
              <w:rPr>
                <w:kern w:val="2"/>
              </w:rPr>
            </w:pPr>
            <w:r w:rsidRPr="00BA1372">
              <w:rPr>
                <w:kern w:val="2"/>
              </w:rPr>
              <w:t>266</w:t>
            </w:r>
          </w:p>
        </w:tc>
        <w:tc>
          <w:tcPr>
            <w:tcW w:w="714" w:type="pct"/>
          </w:tcPr>
          <w:p w:rsidR="005622BF" w:rsidRPr="008740AA" w:rsidRDefault="005622BF" w:rsidP="008740AA">
            <w:pPr>
              <w:ind w:left="0"/>
              <w:rPr>
                <w:b/>
                <w:kern w:val="2"/>
              </w:rPr>
            </w:pPr>
            <w:r w:rsidRPr="008740AA">
              <w:rPr>
                <w:b/>
                <w:kern w:val="2"/>
              </w:rPr>
              <w:t>434</w:t>
            </w:r>
          </w:p>
        </w:tc>
      </w:tr>
      <w:tr w:rsidR="005622BF" w:rsidRPr="005622BF" w:rsidTr="008740AA">
        <w:trPr>
          <w:trHeight w:val="227"/>
        </w:trPr>
        <w:tc>
          <w:tcPr>
            <w:tcW w:w="1444" w:type="pct"/>
            <w:vMerge w:val="restart"/>
          </w:tcPr>
          <w:p w:rsidR="005622BF" w:rsidRPr="008740AA" w:rsidRDefault="005622BF" w:rsidP="008740AA">
            <w:pPr>
              <w:rPr>
                <w:b/>
                <w:kern w:val="2"/>
              </w:rPr>
            </w:pPr>
            <w:r w:rsidRPr="008740AA">
              <w:rPr>
                <w:b/>
                <w:kern w:val="2"/>
              </w:rPr>
              <w:t>Rat,</w:t>
            </w:r>
          </w:p>
          <w:p w:rsidR="005622BF" w:rsidRPr="008740AA" w:rsidRDefault="005622BF" w:rsidP="008740AA">
            <w:pPr>
              <w:rPr>
                <w:b/>
                <w:kern w:val="2"/>
              </w:rPr>
            </w:pPr>
            <w:r w:rsidRPr="008740AA">
              <w:rPr>
                <w:b/>
                <w:kern w:val="2"/>
              </w:rPr>
              <w:t>2 year (oral</w:t>
            </w:r>
            <w:r w:rsidR="00DF3309" w:rsidRPr="008740AA">
              <w:rPr>
                <w:b/>
                <w:kern w:val="2"/>
              </w:rPr>
              <w:t xml:space="preserve"> </w:t>
            </w:r>
            <w:r w:rsidRPr="008740AA">
              <w:rPr>
                <w:b/>
                <w:kern w:val="2"/>
              </w:rPr>
              <w:t xml:space="preserve">gavage), carcinogenicity </w:t>
            </w:r>
            <w:r w:rsidRPr="008740AA">
              <w:rPr>
                <w:b/>
                <w:kern w:val="2"/>
              </w:rPr>
              <w:lastRenderedPageBreak/>
              <w:t>(DM11023)</w:t>
            </w:r>
          </w:p>
        </w:tc>
        <w:tc>
          <w:tcPr>
            <w:tcW w:w="700" w:type="pct"/>
          </w:tcPr>
          <w:p w:rsidR="005622BF" w:rsidRPr="00BA1372" w:rsidRDefault="005622BF" w:rsidP="008740AA">
            <w:pPr>
              <w:rPr>
                <w:kern w:val="2"/>
              </w:rPr>
            </w:pPr>
            <w:r w:rsidRPr="00BA1372">
              <w:rPr>
                <w:kern w:val="2"/>
              </w:rPr>
              <w:lastRenderedPageBreak/>
              <w:t>50 (M)</w:t>
            </w:r>
          </w:p>
        </w:tc>
        <w:tc>
          <w:tcPr>
            <w:tcW w:w="777" w:type="pct"/>
          </w:tcPr>
          <w:p w:rsidR="005622BF" w:rsidRPr="00BA1372" w:rsidRDefault="005622BF" w:rsidP="008740AA">
            <w:pPr>
              <w:rPr>
                <w:kern w:val="2"/>
              </w:rPr>
            </w:pPr>
            <w:r w:rsidRPr="00BA1372">
              <w:rPr>
                <w:kern w:val="2"/>
              </w:rPr>
              <w:t>20.7</w:t>
            </w:r>
          </w:p>
        </w:tc>
        <w:tc>
          <w:tcPr>
            <w:tcW w:w="812" w:type="pct"/>
          </w:tcPr>
          <w:p w:rsidR="005622BF" w:rsidRPr="00BA1372" w:rsidRDefault="005622BF" w:rsidP="008740AA">
            <w:pPr>
              <w:rPr>
                <w:kern w:val="2"/>
              </w:rPr>
            </w:pPr>
            <w:r w:rsidRPr="00BA1372">
              <w:rPr>
                <w:kern w:val="2"/>
              </w:rPr>
              <w:t>-</w:t>
            </w:r>
          </w:p>
        </w:tc>
        <w:tc>
          <w:tcPr>
            <w:tcW w:w="553" w:type="pct"/>
          </w:tcPr>
          <w:p w:rsidR="005622BF" w:rsidRPr="00BA1372" w:rsidRDefault="005622BF" w:rsidP="008740AA">
            <w:pPr>
              <w:ind w:left="0"/>
              <w:rPr>
                <w:kern w:val="2"/>
              </w:rPr>
            </w:pPr>
            <w:r w:rsidRPr="00BA1372">
              <w:rPr>
                <w:kern w:val="2"/>
              </w:rPr>
              <w:t>5.6</w:t>
            </w:r>
          </w:p>
        </w:tc>
        <w:tc>
          <w:tcPr>
            <w:tcW w:w="714" w:type="pct"/>
          </w:tcPr>
          <w:p w:rsidR="005622BF" w:rsidRPr="008740AA" w:rsidRDefault="005622BF" w:rsidP="008740AA">
            <w:pPr>
              <w:ind w:left="0"/>
              <w:rPr>
                <w:b/>
                <w:kern w:val="2"/>
              </w:rPr>
            </w:pPr>
            <w:r w:rsidRPr="008740AA">
              <w:rPr>
                <w:b/>
                <w:kern w:val="2"/>
              </w:rPr>
              <w:t>-</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BA1372" w:rsidRDefault="005622BF" w:rsidP="008740AA">
            <w:pPr>
              <w:rPr>
                <w:kern w:val="2"/>
              </w:rPr>
            </w:pPr>
            <w:r w:rsidRPr="00BA1372">
              <w:rPr>
                <w:kern w:val="2"/>
              </w:rPr>
              <w:t>75 (M)</w:t>
            </w:r>
          </w:p>
        </w:tc>
        <w:tc>
          <w:tcPr>
            <w:tcW w:w="777" w:type="pct"/>
          </w:tcPr>
          <w:p w:rsidR="005622BF" w:rsidRPr="00BA1372" w:rsidRDefault="005622BF" w:rsidP="008740AA">
            <w:pPr>
              <w:rPr>
                <w:kern w:val="2"/>
              </w:rPr>
            </w:pPr>
            <w:r w:rsidRPr="00BA1372">
              <w:rPr>
                <w:kern w:val="2"/>
              </w:rPr>
              <w:t>58.1</w:t>
            </w:r>
          </w:p>
        </w:tc>
        <w:tc>
          <w:tcPr>
            <w:tcW w:w="812" w:type="pct"/>
          </w:tcPr>
          <w:p w:rsidR="005622BF" w:rsidRPr="00BA1372" w:rsidRDefault="005622BF" w:rsidP="008740AA">
            <w:pPr>
              <w:rPr>
                <w:kern w:val="2"/>
              </w:rPr>
            </w:pPr>
            <w:r w:rsidRPr="00BA1372">
              <w:rPr>
                <w:kern w:val="2"/>
              </w:rPr>
              <w:t>-</w:t>
            </w:r>
          </w:p>
        </w:tc>
        <w:tc>
          <w:tcPr>
            <w:tcW w:w="553" w:type="pct"/>
          </w:tcPr>
          <w:p w:rsidR="005622BF" w:rsidRPr="00BA1372" w:rsidRDefault="005622BF" w:rsidP="008740AA">
            <w:pPr>
              <w:ind w:left="0"/>
              <w:rPr>
                <w:kern w:val="2"/>
              </w:rPr>
            </w:pPr>
            <w:r w:rsidRPr="00BA1372">
              <w:rPr>
                <w:kern w:val="2"/>
              </w:rPr>
              <w:t>16</w:t>
            </w:r>
          </w:p>
        </w:tc>
        <w:tc>
          <w:tcPr>
            <w:tcW w:w="714" w:type="pct"/>
          </w:tcPr>
          <w:p w:rsidR="005622BF" w:rsidRPr="008740AA" w:rsidRDefault="005622BF" w:rsidP="008740AA">
            <w:pPr>
              <w:ind w:left="0"/>
              <w:rPr>
                <w:b/>
                <w:kern w:val="2"/>
              </w:rPr>
            </w:pPr>
            <w:r w:rsidRPr="008740AA">
              <w:rPr>
                <w:b/>
                <w:kern w:val="2"/>
              </w:rPr>
              <w:t>-</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8740AA" w:rsidRDefault="005622BF" w:rsidP="008740AA">
            <w:pPr>
              <w:rPr>
                <w:b/>
                <w:kern w:val="2"/>
              </w:rPr>
            </w:pPr>
            <w:r w:rsidRPr="008740AA">
              <w:rPr>
                <w:b/>
                <w:kern w:val="2"/>
              </w:rPr>
              <w:t xml:space="preserve">125 </w:t>
            </w:r>
            <w:r w:rsidRPr="008740AA">
              <w:rPr>
                <w:b/>
                <w:kern w:val="2"/>
              </w:rPr>
              <w:lastRenderedPageBreak/>
              <w:t>(M)</w:t>
            </w:r>
          </w:p>
        </w:tc>
        <w:tc>
          <w:tcPr>
            <w:tcW w:w="777" w:type="pct"/>
          </w:tcPr>
          <w:p w:rsidR="005622BF" w:rsidRPr="00BA1372" w:rsidRDefault="005622BF" w:rsidP="008740AA">
            <w:pPr>
              <w:rPr>
                <w:kern w:val="2"/>
              </w:rPr>
            </w:pPr>
            <w:r w:rsidRPr="00BA1372">
              <w:rPr>
                <w:kern w:val="2"/>
              </w:rPr>
              <w:lastRenderedPageBreak/>
              <w:t>193</w:t>
            </w:r>
          </w:p>
        </w:tc>
        <w:tc>
          <w:tcPr>
            <w:tcW w:w="812" w:type="pct"/>
          </w:tcPr>
          <w:p w:rsidR="005622BF" w:rsidRPr="00BA1372" w:rsidRDefault="005622BF" w:rsidP="008740AA">
            <w:pPr>
              <w:rPr>
                <w:kern w:val="2"/>
              </w:rPr>
            </w:pPr>
            <w:r w:rsidRPr="00BA1372">
              <w:rPr>
                <w:kern w:val="2"/>
              </w:rPr>
              <w:t>-</w:t>
            </w:r>
          </w:p>
        </w:tc>
        <w:tc>
          <w:tcPr>
            <w:tcW w:w="553" w:type="pct"/>
          </w:tcPr>
          <w:p w:rsidR="005622BF" w:rsidRPr="00BA1372" w:rsidRDefault="005622BF" w:rsidP="008740AA">
            <w:pPr>
              <w:ind w:left="0"/>
              <w:rPr>
                <w:kern w:val="2"/>
              </w:rPr>
            </w:pPr>
            <w:r w:rsidRPr="00BA1372">
              <w:rPr>
                <w:kern w:val="2"/>
              </w:rPr>
              <w:t>52</w:t>
            </w:r>
          </w:p>
        </w:tc>
        <w:tc>
          <w:tcPr>
            <w:tcW w:w="714" w:type="pct"/>
          </w:tcPr>
          <w:p w:rsidR="005622BF" w:rsidRPr="008740AA" w:rsidRDefault="005622BF" w:rsidP="008740AA">
            <w:pPr>
              <w:ind w:left="0"/>
              <w:rPr>
                <w:b/>
                <w:kern w:val="2"/>
              </w:rPr>
            </w:pPr>
            <w:r w:rsidRPr="008740AA">
              <w:rPr>
                <w:b/>
                <w:kern w:val="2"/>
              </w:rPr>
              <w:t>-</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BA1372" w:rsidRDefault="005622BF" w:rsidP="008740AA">
            <w:pPr>
              <w:rPr>
                <w:kern w:val="2"/>
              </w:rPr>
            </w:pPr>
            <w:r w:rsidRPr="00BA1372">
              <w:rPr>
                <w:kern w:val="2"/>
              </w:rPr>
              <w:t>40 (F)</w:t>
            </w:r>
          </w:p>
        </w:tc>
        <w:tc>
          <w:tcPr>
            <w:tcW w:w="777" w:type="pct"/>
          </w:tcPr>
          <w:p w:rsidR="005622BF" w:rsidRPr="00BA1372" w:rsidRDefault="005622BF" w:rsidP="008740AA">
            <w:pPr>
              <w:rPr>
                <w:kern w:val="2"/>
              </w:rPr>
            </w:pPr>
            <w:r w:rsidRPr="00BA1372">
              <w:rPr>
                <w:kern w:val="2"/>
              </w:rPr>
              <w:t>-</w:t>
            </w:r>
          </w:p>
        </w:tc>
        <w:tc>
          <w:tcPr>
            <w:tcW w:w="812" w:type="pct"/>
          </w:tcPr>
          <w:p w:rsidR="005622BF" w:rsidRPr="00BA1372" w:rsidRDefault="005622BF" w:rsidP="008740AA">
            <w:pPr>
              <w:rPr>
                <w:kern w:val="2"/>
              </w:rPr>
            </w:pPr>
            <w:r w:rsidRPr="00BA1372">
              <w:rPr>
                <w:kern w:val="2"/>
              </w:rPr>
              <w:t>51.5</w:t>
            </w:r>
          </w:p>
        </w:tc>
        <w:tc>
          <w:tcPr>
            <w:tcW w:w="553" w:type="pct"/>
          </w:tcPr>
          <w:p w:rsidR="005622BF" w:rsidRPr="00BA1372" w:rsidRDefault="005622BF" w:rsidP="008740AA">
            <w:pPr>
              <w:ind w:left="0"/>
              <w:rPr>
                <w:kern w:val="2"/>
              </w:rPr>
            </w:pPr>
            <w:r w:rsidRPr="00BA1372">
              <w:rPr>
                <w:kern w:val="2"/>
              </w:rPr>
              <w:t>-</w:t>
            </w:r>
          </w:p>
        </w:tc>
        <w:tc>
          <w:tcPr>
            <w:tcW w:w="714" w:type="pct"/>
          </w:tcPr>
          <w:p w:rsidR="005622BF" w:rsidRPr="008740AA" w:rsidRDefault="005622BF" w:rsidP="008740AA">
            <w:pPr>
              <w:ind w:left="0"/>
              <w:rPr>
                <w:b/>
                <w:kern w:val="2"/>
              </w:rPr>
            </w:pPr>
            <w:r w:rsidRPr="008740AA">
              <w:rPr>
                <w:b/>
                <w:kern w:val="2"/>
              </w:rPr>
              <w:t>14</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BA1372" w:rsidRDefault="005622BF" w:rsidP="008740AA">
            <w:pPr>
              <w:rPr>
                <w:kern w:val="2"/>
              </w:rPr>
            </w:pPr>
            <w:r w:rsidRPr="00BA1372">
              <w:rPr>
                <w:kern w:val="2"/>
              </w:rPr>
              <w:t>60 (F)</w:t>
            </w:r>
          </w:p>
        </w:tc>
        <w:tc>
          <w:tcPr>
            <w:tcW w:w="777" w:type="pct"/>
          </w:tcPr>
          <w:p w:rsidR="005622BF" w:rsidRPr="00BA1372" w:rsidRDefault="005622BF" w:rsidP="008740AA">
            <w:pPr>
              <w:rPr>
                <w:kern w:val="2"/>
              </w:rPr>
            </w:pPr>
            <w:r w:rsidRPr="00BA1372">
              <w:rPr>
                <w:kern w:val="2"/>
              </w:rPr>
              <w:t>-</w:t>
            </w:r>
          </w:p>
        </w:tc>
        <w:tc>
          <w:tcPr>
            <w:tcW w:w="812" w:type="pct"/>
          </w:tcPr>
          <w:p w:rsidR="005622BF" w:rsidRPr="00BA1372" w:rsidRDefault="005622BF" w:rsidP="008740AA">
            <w:pPr>
              <w:rPr>
                <w:kern w:val="2"/>
              </w:rPr>
            </w:pPr>
            <w:r w:rsidRPr="00BA1372">
              <w:rPr>
                <w:kern w:val="2"/>
              </w:rPr>
              <w:t>162</w:t>
            </w:r>
          </w:p>
        </w:tc>
        <w:tc>
          <w:tcPr>
            <w:tcW w:w="553" w:type="pct"/>
          </w:tcPr>
          <w:p w:rsidR="005622BF" w:rsidRPr="00BA1372" w:rsidRDefault="005622BF" w:rsidP="008740AA">
            <w:pPr>
              <w:ind w:left="0"/>
              <w:rPr>
                <w:kern w:val="2"/>
              </w:rPr>
            </w:pPr>
            <w:r w:rsidRPr="00BA1372">
              <w:rPr>
                <w:kern w:val="2"/>
              </w:rPr>
              <w:t>-</w:t>
            </w:r>
          </w:p>
        </w:tc>
        <w:tc>
          <w:tcPr>
            <w:tcW w:w="714" w:type="pct"/>
          </w:tcPr>
          <w:p w:rsidR="005622BF" w:rsidRPr="008740AA" w:rsidRDefault="005622BF" w:rsidP="008740AA">
            <w:pPr>
              <w:ind w:left="0"/>
              <w:rPr>
                <w:b/>
                <w:kern w:val="2"/>
              </w:rPr>
            </w:pPr>
            <w:r w:rsidRPr="008740AA">
              <w:rPr>
                <w:b/>
                <w:kern w:val="2"/>
              </w:rPr>
              <w:t>44</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BA1372" w:rsidRDefault="005622BF" w:rsidP="008740AA">
            <w:pPr>
              <w:rPr>
                <w:kern w:val="2"/>
              </w:rPr>
            </w:pPr>
            <w:r w:rsidRPr="00BA1372">
              <w:rPr>
                <w:kern w:val="2"/>
              </w:rPr>
              <w:t>80 (F)</w:t>
            </w:r>
          </w:p>
        </w:tc>
        <w:tc>
          <w:tcPr>
            <w:tcW w:w="777" w:type="pct"/>
          </w:tcPr>
          <w:p w:rsidR="005622BF" w:rsidRPr="00BA1372" w:rsidRDefault="005622BF" w:rsidP="008740AA">
            <w:pPr>
              <w:rPr>
                <w:kern w:val="2"/>
              </w:rPr>
            </w:pPr>
            <w:r w:rsidRPr="00BA1372">
              <w:rPr>
                <w:kern w:val="2"/>
              </w:rPr>
              <w:t>-</w:t>
            </w:r>
          </w:p>
        </w:tc>
        <w:tc>
          <w:tcPr>
            <w:tcW w:w="812" w:type="pct"/>
          </w:tcPr>
          <w:p w:rsidR="005622BF" w:rsidRPr="00BA1372" w:rsidRDefault="005622BF" w:rsidP="008740AA">
            <w:pPr>
              <w:rPr>
                <w:kern w:val="2"/>
              </w:rPr>
            </w:pPr>
            <w:r w:rsidRPr="00BA1372">
              <w:rPr>
                <w:kern w:val="2"/>
              </w:rPr>
              <w:t>202</w:t>
            </w:r>
          </w:p>
        </w:tc>
        <w:tc>
          <w:tcPr>
            <w:tcW w:w="553" w:type="pct"/>
          </w:tcPr>
          <w:p w:rsidR="005622BF" w:rsidRPr="00BA1372" w:rsidRDefault="005622BF" w:rsidP="008740AA">
            <w:pPr>
              <w:ind w:left="0"/>
              <w:rPr>
                <w:kern w:val="2"/>
              </w:rPr>
            </w:pPr>
            <w:r w:rsidRPr="00BA1372">
              <w:rPr>
                <w:kern w:val="2"/>
              </w:rPr>
              <w:t>-</w:t>
            </w:r>
          </w:p>
        </w:tc>
        <w:tc>
          <w:tcPr>
            <w:tcW w:w="714" w:type="pct"/>
          </w:tcPr>
          <w:p w:rsidR="005622BF" w:rsidRPr="008740AA" w:rsidRDefault="005622BF" w:rsidP="008740AA">
            <w:pPr>
              <w:ind w:left="0"/>
              <w:rPr>
                <w:b/>
                <w:kern w:val="2"/>
              </w:rPr>
            </w:pPr>
            <w:r w:rsidRPr="008740AA">
              <w:rPr>
                <w:b/>
                <w:kern w:val="2"/>
              </w:rPr>
              <w:t>55</w:t>
            </w:r>
          </w:p>
        </w:tc>
      </w:tr>
      <w:tr w:rsidR="005622BF" w:rsidRPr="005622BF" w:rsidTr="008740AA">
        <w:trPr>
          <w:trHeight w:val="227"/>
        </w:trPr>
        <w:tc>
          <w:tcPr>
            <w:tcW w:w="1444" w:type="pct"/>
            <w:vMerge w:val="restart"/>
          </w:tcPr>
          <w:p w:rsidR="005622BF" w:rsidRPr="008740AA" w:rsidRDefault="005622BF" w:rsidP="008740AA">
            <w:pPr>
              <w:rPr>
                <w:b/>
                <w:kern w:val="2"/>
              </w:rPr>
            </w:pPr>
            <w:r w:rsidRPr="008740AA">
              <w:rPr>
                <w:b/>
                <w:kern w:val="2"/>
              </w:rPr>
              <w:t>CByB6F1 Hybrid Mice</w:t>
            </w:r>
          </w:p>
          <w:p w:rsidR="005622BF" w:rsidRPr="008740AA" w:rsidRDefault="005622BF" w:rsidP="008740AA">
            <w:pPr>
              <w:rPr>
                <w:b/>
                <w:kern w:val="2"/>
              </w:rPr>
            </w:pPr>
            <w:r w:rsidRPr="008740AA">
              <w:rPr>
                <w:b/>
                <w:kern w:val="2"/>
              </w:rPr>
              <w:t xml:space="preserve">2 weeks, oral </w:t>
            </w:r>
            <w:proofErr w:type="spellStart"/>
            <w:r w:rsidRPr="008740AA">
              <w:rPr>
                <w:b/>
                <w:kern w:val="2"/>
              </w:rPr>
              <w:t>Toxicokinetic</w:t>
            </w:r>
            <w:proofErr w:type="spellEnd"/>
            <w:r w:rsidRPr="008740AA">
              <w:rPr>
                <w:b/>
                <w:kern w:val="2"/>
              </w:rPr>
              <w:t>, TPGS-Free Formulation (DM10017/DCN 930047624)</w:t>
            </w:r>
          </w:p>
        </w:tc>
        <w:tc>
          <w:tcPr>
            <w:tcW w:w="700" w:type="pct"/>
          </w:tcPr>
          <w:p w:rsidR="005622BF" w:rsidRPr="00BA1372" w:rsidRDefault="005622BF" w:rsidP="008740AA">
            <w:pPr>
              <w:rPr>
                <w:kern w:val="2"/>
              </w:rPr>
            </w:pPr>
            <w:r w:rsidRPr="00BA1372">
              <w:rPr>
                <w:kern w:val="2"/>
              </w:rPr>
              <w:t>50</w:t>
            </w:r>
          </w:p>
        </w:tc>
        <w:tc>
          <w:tcPr>
            <w:tcW w:w="777" w:type="pct"/>
          </w:tcPr>
          <w:p w:rsidR="005622BF" w:rsidRPr="00BA1372" w:rsidRDefault="005622BF" w:rsidP="008740AA">
            <w:pPr>
              <w:rPr>
                <w:kern w:val="2"/>
              </w:rPr>
            </w:pPr>
            <w:r w:rsidRPr="00BA1372">
              <w:rPr>
                <w:kern w:val="2"/>
              </w:rPr>
              <w:t>16.4 (</w:t>
            </w:r>
            <w:r w:rsidRPr="00BA1372">
              <w:t>AUC</w:t>
            </w:r>
            <w:r w:rsidRPr="00BA1372">
              <w:rPr>
                <w:vertAlign w:val="subscript"/>
              </w:rPr>
              <w:t>0–8h</w:t>
            </w:r>
            <w:r w:rsidRPr="00BA1372">
              <w:rPr>
                <w:kern w:val="2"/>
              </w:rPr>
              <w:t>)</w:t>
            </w:r>
          </w:p>
        </w:tc>
        <w:tc>
          <w:tcPr>
            <w:tcW w:w="812" w:type="pct"/>
          </w:tcPr>
          <w:p w:rsidR="005622BF" w:rsidRPr="00BA1372" w:rsidRDefault="005622BF" w:rsidP="008740AA">
            <w:pPr>
              <w:rPr>
                <w:kern w:val="2"/>
              </w:rPr>
            </w:pPr>
            <w:r w:rsidRPr="00BA1372">
              <w:rPr>
                <w:kern w:val="2"/>
              </w:rPr>
              <w:t>18.6 (</w:t>
            </w:r>
            <w:r w:rsidRPr="00BA1372">
              <w:t>AUC</w:t>
            </w:r>
            <w:r w:rsidRPr="00BA1372">
              <w:rPr>
                <w:vertAlign w:val="subscript"/>
              </w:rPr>
              <w:t>0–8h</w:t>
            </w:r>
            <w:r w:rsidRPr="00BA1372">
              <w:rPr>
                <w:kern w:val="2"/>
              </w:rPr>
              <w:t>)</w:t>
            </w:r>
          </w:p>
        </w:tc>
        <w:tc>
          <w:tcPr>
            <w:tcW w:w="553" w:type="pct"/>
          </w:tcPr>
          <w:p w:rsidR="005622BF" w:rsidRPr="00BA1372" w:rsidRDefault="005622BF" w:rsidP="008740AA">
            <w:pPr>
              <w:ind w:left="0"/>
              <w:rPr>
                <w:rFonts w:eastAsia="Times New Roman"/>
                <w:snapToGrid w:val="0"/>
                <w:kern w:val="2"/>
              </w:rPr>
            </w:pPr>
            <w:r w:rsidRPr="00BA1372">
              <w:rPr>
                <w:rFonts w:eastAsia="Times New Roman"/>
                <w:snapToGrid w:val="0"/>
                <w:kern w:val="2"/>
              </w:rPr>
              <w:t>4.4</w:t>
            </w:r>
          </w:p>
        </w:tc>
        <w:tc>
          <w:tcPr>
            <w:tcW w:w="714" w:type="pct"/>
          </w:tcPr>
          <w:p w:rsidR="005622BF" w:rsidRPr="008740AA" w:rsidRDefault="005622BF" w:rsidP="008740AA">
            <w:pPr>
              <w:ind w:left="0"/>
              <w:rPr>
                <w:rFonts w:eastAsia="Times New Roman"/>
                <w:b/>
                <w:snapToGrid w:val="0"/>
                <w:kern w:val="2"/>
              </w:rPr>
            </w:pPr>
            <w:r w:rsidRPr="008740AA">
              <w:rPr>
                <w:rFonts w:eastAsia="Times New Roman"/>
                <w:b/>
                <w:snapToGrid w:val="0"/>
                <w:kern w:val="2"/>
              </w:rPr>
              <w:t>5.0</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BA1372" w:rsidRDefault="005622BF" w:rsidP="008740AA">
            <w:pPr>
              <w:rPr>
                <w:kern w:val="2"/>
              </w:rPr>
            </w:pPr>
            <w:r w:rsidRPr="00BA1372">
              <w:rPr>
                <w:kern w:val="2"/>
              </w:rPr>
              <w:t>150</w:t>
            </w:r>
          </w:p>
        </w:tc>
        <w:tc>
          <w:tcPr>
            <w:tcW w:w="777" w:type="pct"/>
          </w:tcPr>
          <w:p w:rsidR="005622BF" w:rsidRPr="00BA1372" w:rsidRDefault="005622BF" w:rsidP="008740AA">
            <w:pPr>
              <w:rPr>
                <w:kern w:val="2"/>
              </w:rPr>
            </w:pPr>
            <w:r w:rsidRPr="00BA1372">
              <w:rPr>
                <w:kern w:val="2"/>
              </w:rPr>
              <w:t>90.6 (</w:t>
            </w:r>
            <w:r w:rsidRPr="00BA1372">
              <w:t>AUC</w:t>
            </w:r>
            <w:r w:rsidRPr="00BA1372">
              <w:rPr>
                <w:vertAlign w:val="subscript"/>
              </w:rPr>
              <w:t>0–8h</w:t>
            </w:r>
            <w:r w:rsidRPr="00BA1372">
              <w:rPr>
                <w:kern w:val="2"/>
              </w:rPr>
              <w:t>)</w:t>
            </w:r>
          </w:p>
        </w:tc>
        <w:tc>
          <w:tcPr>
            <w:tcW w:w="812" w:type="pct"/>
          </w:tcPr>
          <w:p w:rsidR="005622BF" w:rsidRPr="00BA1372" w:rsidRDefault="005622BF" w:rsidP="008740AA">
            <w:pPr>
              <w:rPr>
                <w:kern w:val="2"/>
              </w:rPr>
            </w:pPr>
            <w:r w:rsidRPr="00BA1372">
              <w:rPr>
                <w:kern w:val="2"/>
              </w:rPr>
              <w:t>94.9</w:t>
            </w:r>
          </w:p>
        </w:tc>
        <w:tc>
          <w:tcPr>
            <w:tcW w:w="553" w:type="pct"/>
          </w:tcPr>
          <w:p w:rsidR="005622BF" w:rsidRPr="00BA1372" w:rsidRDefault="005622BF" w:rsidP="008740AA">
            <w:pPr>
              <w:ind w:left="0"/>
              <w:rPr>
                <w:rFonts w:eastAsia="Times New Roman"/>
                <w:snapToGrid w:val="0"/>
                <w:kern w:val="2"/>
              </w:rPr>
            </w:pPr>
            <w:r w:rsidRPr="00BA1372">
              <w:rPr>
                <w:rFonts w:eastAsia="Times New Roman"/>
                <w:snapToGrid w:val="0"/>
                <w:kern w:val="2"/>
              </w:rPr>
              <w:t>24.6</w:t>
            </w:r>
          </w:p>
        </w:tc>
        <w:tc>
          <w:tcPr>
            <w:tcW w:w="714" w:type="pct"/>
          </w:tcPr>
          <w:p w:rsidR="005622BF" w:rsidRPr="008740AA" w:rsidRDefault="005622BF" w:rsidP="008740AA">
            <w:pPr>
              <w:ind w:left="0"/>
              <w:rPr>
                <w:rFonts w:eastAsia="Times New Roman"/>
                <w:b/>
                <w:snapToGrid w:val="0"/>
                <w:kern w:val="2"/>
              </w:rPr>
            </w:pPr>
            <w:r w:rsidRPr="008740AA">
              <w:rPr>
                <w:rFonts w:eastAsia="Times New Roman"/>
                <w:b/>
                <w:snapToGrid w:val="0"/>
                <w:kern w:val="2"/>
              </w:rPr>
              <w:t>25.7</w:t>
            </w:r>
          </w:p>
        </w:tc>
      </w:tr>
      <w:tr w:rsidR="005622BF" w:rsidRPr="005622BF" w:rsidTr="008740AA">
        <w:trPr>
          <w:trHeight w:val="227"/>
        </w:trPr>
        <w:tc>
          <w:tcPr>
            <w:tcW w:w="1444" w:type="pct"/>
            <w:vMerge/>
          </w:tcPr>
          <w:p w:rsidR="005622BF" w:rsidRPr="008740AA" w:rsidRDefault="005622BF" w:rsidP="008740AA">
            <w:pPr>
              <w:rPr>
                <w:b/>
                <w:color w:val="00B050"/>
                <w:kern w:val="2"/>
              </w:rPr>
            </w:pPr>
          </w:p>
        </w:tc>
        <w:tc>
          <w:tcPr>
            <w:tcW w:w="700" w:type="pct"/>
          </w:tcPr>
          <w:p w:rsidR="005622BF" w:rsidRPr="00BA1372" w:rsidRDefault="005622BF" w:rsidP="008740AA">
            <w:pPr>
              <w:rPr>
                <w:kern w:val="2"/>
              </w:rPr>
            </w:pPr>
            <w:r w:rsidRPr="00BA1372">
              <w:rPr>
                <w:kern w:val="2"/>
              </w:rPr>
              <w:t>500</w:t>
            </w:r>
          </w:p>
        </w:tc>
        <w:tc>
          <w:tcPr>
            <w:tcW w:w="777" w:type="pct"/>
          </w:tcPr>
          <w:p w:rsidR="005622BF" w:rsidRPr="00BA1372" w:rsidRDefault="005622BF" w:rsidP="008740AA">
            <w:pPr>
              <w:rPr>
                <w:kern w:val="2"/>
              </w:rPr>
            </w:pPr>
            <w:r w:rsidRPr="00BA1372">
              <w:rPr>
                <w:kern w:val="2"/>
              </w:rPr>
              <w:t>382</w:t>
            </w:r>
          </w:p>
        </w:tc>
        <w:tc>
          <w:tcPr>
            <w:tcW w:w="812" w:type="pct"/>
          </w:tcPr>
          <w:p w:rsidR="005622BF" w:rsidRPr="00BA1372" w:rsidRDefault="005622BF" w:rsidP="008740AA">
            <w:pPr>
              <w:rPr>
                <w:kern w:val="2"/>
              </w:rPr>
            </w:pPr>
            <w:r w:rsidRPr="00BA1372">
              <w:rPr>
                <w:kern w:val="2"/>
              </w:rPr>
              <w:t>1220</w:t>
            </w:r>
          </w:p>
        </w:tc>
        <w:tc>
          <w:tcPr>
            <w:tcW w:w="553" w:type="pct"/>
          </w:tcPr>
          <w:p w:rsidR="005622BF" w:rsidRPr="00BA1372" w:rsidRDefault="005622BF" w:rsidP="008740AA">
            <w:pPr>
              <w:ind w:left="0"/>
              <w:rPr>
                <w:rFonts w:eastAsia="Times New Roman"/>
                <w:snapToGrid w:val="0"/>
                <w:kern w:val="2"/>
              </w:rPr>
            </w:pPr>
            <w:r w:rsidRPr="00BA1372">
              <w:rPr>
                <w:rFonts w:eastAsia="Times New Roman"/>
                <w:snapToGrid w:val="0"/>
                <w:kern w:val="2"/>
              </w:rPr>
              <w:t>103.5</w:t>
            </w:r>
          </w:p>
        </w:tc>
        <w:tc>
          <w:tcPr>
            <w:tcW w:w="714" w:type="pct"/>
          </w:tcPr>
          <w:p w:rsidR="005622BF" w:rsidRPr="008740AA" w:rsidRDefault="005622BF" w:rsidP="008740AA">
            <w:pPr>
              <w:ind w:left="0"/>
              <w:rPr>
                <w:rFonts w:eastAsia="Times New Roman"/>
                <w:b/>
                <w:snapToGrid w:val="0"/>
                <w:kern w:val="2"/>
              </w:rPr>
            </w:pPr>
            <w:r w:rsidRPr="008740AA">
              <w:rPr>
                <w:rFonts w:eastAsia="Times New Roman"/>
                <w:b/>
                <w:snapToGrid w:val="0"/>
                <w:kern w:val="2"/>
              </w:rPr>
              <w:t>330.6</w:t>
            </w:r>
          </w:p>
        </w:tc>
      </w:tr>
      <w:tr w:rsidR="005622BF" w:rsidRPr="005622BF" w:rsidTr="008740AA">
        <w:trPr>
          <w:trHeight w:val="227"/>
        </w:trPr>
        <w:tc>
          <w:tcPr>
            <w:tcW w:w="1444" w:type="pct"/>
            <w:vMerge w:val="restart"/>
          </w:tcPr>
          <w:p w:rsidR="005622BF" w:rsidRPr="008740AA" w:rsidRDefault="005622BF" w:rsidP="008740AA">
            <w:pPr>
              <w:rPr>
                <w:rFonts w:eastAsia="Times New Roman"/>
                <w:b/>
                <w:kern w:val="2"/>
              </w:rPr>
            </w:pPr>
            <w:r w:rsidRPr="008740AA">
              <w:rPr>
                <w:rFonts w:eastAsia="Times New Roman"/>
                <w:b/>
                <w:kern w:val="2"/>
              </w:rPr>
              <w:t xml:space="preserve">CByB6F1 Hybrid Mice (non-transgenic) 28-day oral exploratory </w:t>
            </w:r>
            <w:proofErr w:type="spellStart"/>
            <w:r w:rsidRPr="008740AA">
              <w:rPr>
                <w:rFonts w:eastAsia="Times New Roman"/>
                <w:b/>
                <w:kern w:val="2"/>
              </w:rPr>
              <w:t>tox</w:t>
            </w:r>
            <w:proofErr w:type="spellEnd"/>
            <w:r w:rsidRPr="008740AA">
              <w:rPr>
                <w:rFonts w:eastAsia="Times New Roman"/>
                <w:b/>
                <w:kern w:val="2"/>
              </w:rPr>
              <w:t xml:space="preserve"> study (DM09022/DCN 930050534)</w:t>
            </w:r>
          </w:p>
        </w:tc>
        <w:tc>
          <w:tcPr>
            <w:tcW w:w="700" w:type="pct"/>
          </w:tcPr>
          <w:p w:rsidR="005622BF" w:rsidRPr="00BA1372" w:rsidRDefault="005622BF" w:rsidP="008740AA">
            <w:pPr>
              <w:rPr>
                <w:kern w:val="2"/>
              </w:rPr>
            </w:pPr>
            <w:r w:rsidRPr="00BA1372">
              <w:rPr>
                <w:kern w:val="2"/>
              </w:rPr>
              <w:t>50</w:t>
            </w:r>
          </w:p>
        </w:tc>
        <w:tc>
          <w:tcPr>
            <w:tcW w:w="777" w:type="pct"/>
          </w:tcPr>
          <w:p w:rsidR="005622BF" w:rsidRPr="00BA1372" w:rsidRDefault="005622BF" w:rsidP="008740AA">
            <w:pPr>
              <w:rPr>
                <w:kern w:val="2"/>
              </w:rPr>
            </w:pPr>
            <w:r w:rsidRPr="00BA1372">
              <w:rPr>
                <w:kern w:val="2"/>
              </w:rPr>
              <w:t>16.1</w:t>
            </w:r>
          </w:p>
        </w:tc>
        <w:tc>
          <w:tcPr>
            <w:tcW w:w="812" w:type="pct"/>
          </w:tcPr>
          <w:p w:rsidR="005622BF" w:rsidRPr="00BA1372" w:rsidRDefault="005622BF" w:rsidP="008740AA">
            <w:pPr>
              <w:rPr>
                <w:kern w:val="2"/>
              </w:rPr>
            </w:pPr>
            <w:r w:rsidRPr="00BA1372">
              <w:rPr>
                <w:kern w:val="2"/>
              </w:rPr>
              <w:t>29</w:t>
            </w:r>
          </w:p>
        </w:tc>
        <w:tc>
          <w:tcPr>
            <w:tcW w:w="553" w:type="pct"/>
          </w:tcPr>
          <w:p w:rsidR="005622BF" w:rsidRPr="00BA1372" w:rsidRDefault="005622BF" w:rsidP="008740AA">
            <w:pPr>
              <w:ind w:left="0"/>
              <w:rPr>
                <w:rFonts w:eastAsia="Times New Roman"/>
                <w:snapToGrid w:val="0"/>
                <w:kern w:val="2"/>
              </w:rPr>
            </w:pPr>
            <w:r w:rsidRPr="00BA1372">
              <w:rPr>
                <w:rFonts w:eastAsia="Times New Roman"/>
                <w:snapToGrid w:val="0"/>
                <w:kern w:val="2"/>
              </w:rPr>
              <w:t>4.4</w:t>
            </w:r>
          </w:p>
        </w:tc>
        <w:tc>
          <w:tcPr>
            <w:tcW w:w="714" w:type="pct"/>
          </w:tcPr>
          <w:p w:rsidR="005622BF" w:rsidRPr="008740AA" w:rsidRDefault="005622BF" w:rsidP="008740AA">
            <w:pPr>
              <w:ind w:left="0"/>
              <w:rPr>
                <w:rFonts w:eastAsia="Times New Roman"/>
                <w:b/>
                <w:snapToGrid w:val="0"/>
                <w:kern w:val="2"/>
              </w:rPr>
            </w:pPr>
            <w:r w:rsidRPr="008740AA">
              <w:rPr>
                <w:rFonts w:eastAsia="Times New Roman"/>
                <w:b/>
                <w:snapToGrid w:val="0"/>
                <w:kern w:val="2"/>
              </w:rPr>
              <w:t>7.9</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BA1372" w:rsidRDefault="005622BF" w:rsidP="008740AA">
            <w:pPr>
              <w:rPr>
                <w:kern w:val="2"/>
              </w:rPr>
            </w:pPr>
            <w:r w:rsidRPr="00BA1372">
              <w:rPr>
                <w:kern w:val="2"/>
              </w:rPr>
              <w:t>150</w:t>
            </w:r>
          </w:p>
        </w:tc>
        <w:tc>
          <w:tcPr>
            <w:tcW w:w="777" w:type="pct"/>
          </w:tcPr>
          <w:p w:rsidR="005622BF" w:rsidRPr="00BA1372" w:rsidRDefault="005622BF" w:rsidP="008740AA">
            <w:pPr>
              <w:rPr>
                <w:kern w:val="2"/>
              </w:rPr>
            </w:pPr>
            <w:r w:rsidRPr="00BA1372">
              <w:rPr>
                <w:kern w:val="2"/>
              </w:rPr>
              <w:t>171</w:t>
            </w:r>
          </w:p>
        </w:tc>
        <w:tc>
          <w:tcPr>
            <w:tcW w:w="812" w:type="pct"/>
          </w:tcPr>
          <w:p w:rsidR="005622BF" w:rsidRPr="00BA1372" w:rsidRDefault="005622BF" w:rsidP="008740AA">
            <w:pPr>
              <w:rPr>
                <w:kern w:val="2"/>
              </w:rPr>
            </w:pPr>
            <w:r w:rsidRPr="00BA1372">
              <w:rPr>
                <w:kern w:val="2"/>
              </w:rPr>
              <w:t>426</w:t>
            </w:r>
          </w:p>
        </w:tc>
        <w:tc>
          <w:tcPr>
            <w:tcW w:w="553" w:type="pct"/>
          </w:tcPr>
          <w:p w:rsidR="005622BF" w:rsidRPr="00BA1372" w:rsidRDefault="005622BF" w:rsidP="008740AA">
            <w:pPr>
              <w:ind w:left="0"/>
              <w:rPr>
                <w:rFonts w:eastAsia="Times New Roman"/>
                <w:snapToGrid w:val="0"/>
                <w:kern w:val="2"/>
              </w:rPr>
            </w:pPr>
            <w:r w:rsidRPr="00BA1372">
              <w:rPr>
                <w:rFonts w:eastAsia="Times New Roman"/>
                <w:snapToGrid w:val="0"/>
                <w:kern w:val="2"/>
              </w:rPr>
              <w:t>46.3</w:t>
            </w:r>
          </w:p>
        </w:tc>
        <w:tc>
          <w:tcPr>
            <w:tcW w:w="714" w:type="pct"/>
          </w:tcPr>
          <w:p w:rsidR="005622BF" w:rsidRPr="008740AA" w:rsidRDefault="005622BF" w:rsidP="008740AA">
            <w:pPr>
              <w:ind w:left="0"/>
              <w:rPr>
                <w:rFonts w:eastAsia="Times New Roman"/>
                <w:b/>
                <w:snapToGrid w:val="0"/>
                <w:kern w:val="2"/>
              </w:rPr>
            </w:pPr>
            <w:r w:rsidRPr="008740AA">
              <w:rPr>
                <w:rFonts w:eastAsia="Times New Roman"/>
                <w:b/>
                <w:snapToGrid w:val="0"/>
                <w:kern w:val="2"/>
              </w:rPr>
              <w:t>115.4</w:t>
            </w:r>
          </w:p>
        </w:tc>
      </w:tr>
      <w:tr w:rsidR="005622BF" w:rsidRPr="005622BF" w:rsidTr="008740AA">
        <w:trPr>
          <w:trHeight w:val="227"/>
        </w:trPr>
        <w:tc>
          <w:tcPr>
            <w:tcW w:w="1444" w:type="pct"/>
            <w:vMerge/>
          </w:tcPr>
          <w:p w:rsidR="005622BF" w:rsidRPr="008740AA" w:rsidRDefault="005622BF" w:rsidP="008740AA">
            <w:pPr>
              <w:rPr>
                <w:b/>
                <w:kern w:val="2"/>
              </w:rPr>
            </w:pPr>
          </w:p>
        </w:tc>
        <w:tc>
          <w:tcPr>
            <w:tcW w:w="700" w:type="pct"/>
          </w:tcPr>
          <w:p w:rsidR="005622BF" w:rsidRPr="00BA1372" w:rsidRDefault="005622BF" w:rsidP="008740AA">
            <w:pPr>
              <w:rPr>
                <w:kern w:val="2"/>
              </w:rPr>
            </w:pPr>
            <w:r w:rsidRPr="00BA1372">
              <w:rPr>
                <w:kern w:val="2"/>
              </w:rPr>
              <w:t>500</w:t>
            </w:r>
          </w:p>
        </w:tc>
        <w:tc>
          <w:tcPr>
            <w:tcW w:w="777" w:type="pct"/>
          </w:tcPr>
          <w:p w:rsidR="005622BF" w:rsidRPr="00BA1372" w:rsidRDefault="005622BF" w:rsidP="008740AA">
            <w:pPr>
              <w:rPr>
                <w:kern w:val="2"/>
              </w:rPr>
            </w:pPr>
            <w:r w:rsidRPr="00BA1372">
              <w:rPr>
                <w:kern w:val="2"/>
              </w:rPr>
              <w:t>922</w:t>
            </w:r>
          </w:p>
        </w:tc>
        <w:tc>
          <w:tcPr>
            <w:tcW w:w="812" w:type="pct"/>
          </w:tcPr>
          <w:p w:rsidR="005622BF" w:rsidRPr="00BA1372" w:rsidRDefault="005622BF" w:rsidP="008740AA">
            <w:pPr>
              <w:rPr>
                <w:kern w:val="2"/>
              </w:rPr>
            </w:pPr>
            <w:r w:rsidRPr="00BA1372">
              <w:rPr>
                <w:kern w:val="2"/>
              </w:rPr>
              <w:t>2310</w:t>
            </w:r>
          </w:p>
        </w:tc>
        <w:tc>
          <w:tcPr>
            <w:tcW w:w="553" w:type="pct"/>
          </w:tcPr>
          <w:p w:rsidR="005622BF" w:rsidRPr="00BA1372" w:rsidRDefault="005622BF" w:rsidP="008740AA">
            <w:pPr>
              <w:ind w:left="0"/>
              <w:rPr>
                <w:rFonts w:eastAsia="Times New Roman"/>
                <w:snapToGrid w:val="0"/>
                <w:kern w:val="2"/>
              </w:rPr>
            </w:pPr>
            <w:r w:rsidRPr="00BA1372">
              <w:rPr>
                <w:rFonts w:eastAsia="Times New Roman"/>
                <w:snapToGrid w:val="0"/>
                <w:kern w:val="2"/>
              </w:rPr>
              <w:t>249.9</w:t>
            </w:r>
          </w:p>
        </w:tc>
        <w:tc>
          <w:tcPr>
            <w:tcW w:w="714" w:type="pct"/>
          </w:tcPr>
          <w:p w:rsidR="005622BF" w:rsidRPr="008740AA" w:rsidRDefault="005622BF" w:rsidP="008740AA">
            <w:pPr>
              <w:ind w:left="0"/>
              <w:rPr>
                <w:rFonts w:eastAsia="Times New Roman"/>
                <w:b/>
                <w:snapToGrid w:val="0"/>
                <w:kern w:val="2"/>
              </w:rPr>
            </w:pPr>
            <w:r w:rsidRPr="008740AA">
              <w:rPr>
                <w:rFonts w:eastAsia="Times New Roman"/>
                <w:b/>
                <w:snapToGrid w:val="0"/>
                <w:kern w:val="2"/>
              </w:rPr>
              <w:t>626.0</w:t>
            </w:r>
          </w:p>
        </w:tc>
      </w:tr>
      <w:tr w:rsidR="005622BF" w:rsidRPr="005622BF" w:rsidTr="008740AA">
        <w:trPr>
          <w:trHeight w:val="227"/>
        </w:trPr>
        <w:tc>
          <w:tcPr>
            <w:tcW w:w="1444" w:type="pct"/>
            <w:vMerge w:val="restart"/>
          </w:tcPr>
          <w:p w:rsidR="005622BF" w:rsidRPr="008740AA" w:rsidRDefault="005622BF" w:rsidP="008740AA">
            <w:pPr>
              <w:rPr>
                <w:rFonts w:eastAsia="Times New Roman"/>
                <w:b/>
                <w:kern w:val="2"/>
              </w:rPr>
            </w:pPr>
            <w:r w:rsidRPr="008740AA">
              <w:rPr>
                <w:rFonts w:eastAsia="Times New Roman"/>
                <w:b/>
                <w:kern w:val="2"/>
              </w:rPr>
              <w:t>Rat</w:t>
            </w:r>
            <w:r w:rsidR="00DF3309" w:rsidRPr="008740AA">
              <w:rPr>
                <w:rFonts w:eastAsia="Times New Roman"/>
                <w:b/>
                <w:kern w:val="2"/>
              </w:rPr>
              <w:t xml:space="preserve"> </w:t>
            </w:r>
            <w:r w:rsidRPr="008740AA">
              <w:rPr>
                <w:rFonts w:eastAsia="Times New Roman"/>
                <w:b/>
                <w:kern w:val="2"/>
              </w:rPr>
              <w:t>Juvenile Development</w:t>
            </w:r>
          </w:p>
          <w:p w:rsidR="005622BF" w:rsidRPr="008740AA" w:rsidRDefault="005622BF" w:rsidP="008740AA">
            <w:pPr>
              <w:rPr>
                <w:rFonts w:eastAsia="Times New Roman"/>
                <w:b/>
                <w:kern w:val="2"/>
              </w:rPr>
            </w:pPr>
            <w:r w:rsidRPr="008740AA">
              <w:rPr>
                <w:rFonts w:eastAsia="Times New Roman"/>
                <w:b/>
                <w:kern w:val="2"/>
              </w:rPr>
              <w:t>PND 21-90, oral</w:t>
            </w:r>
            <w:r w:rsidR="00DF3309" w:rsidRPr="008740AA">
              <w:rPr>
                <w:rFonts w:eastAsia="Times New Roman"/>
                <w:b/>
                <w:kern w:val="2"/>
              </w:rPr>
              <w:t xml:space="preserve"> </w:t>
            </w:r>
            <w:r w:rsidRPr="008740AA">
              <w:rPr>
                <w:rFonts w:eastAsia="Times New Roman"/>
                <w:b/>
                <w:kern w:val="2"/>
              </w:rPr>
              <w:t>(DN11187)</w:t>
            </w:r>
          </w:p>
        </w:tc>
        <w:tc>
          <w:tcPr>
            <w:tcW w:w="700" w:type="pct"/>
          </w:tcPr>
          <w:p w:rsidR="005622BF" w:rsidRPr="00BA1372" w:rsidRDefault="005622BF" w:rsidP="008740AA">
            <w:pPr>
              <w:rPr>
                <w:kern w:val="2"/>
              </w:rPr>
            </w:pPr>
            <w:r w:rsidRPr="00BA1372">
              <w:rPr>
                <w:kern w:val="2"/>
              </w:rPr>
              <w:t>40</w:t>
            </w:r>
          </w:p>
        </w:tc>
        <w:tc>
          <w:tcPr>
            <w:tcW w:w="777" w:type="pct"/>
          </w:tcPr>
          <w:p w:rsidR="005622BF" w:rsidRPr="00BA1372" w:rsidRDefault="005622BF" w:rsidP="008740AA">
            <w:pPr>
              <w:rPr>
                <w:kern w:val="2"/>
              </w:rPr>
            </w:pPr>
            <w:r w:rsidRPr="00BA1372">
              <w:rPr>
                <w:kern w:val="2"/>
              </w:rPr>
              <w:t>28</w:t>
            </w:r>
          </w:p>
        </w:tc>
        <w:tc>
          <w:tcPr>
            <w:tcW w:w="812" w:type="pct"/>
          </w:tcPr>
          <w:p w:rsidR="005622BF" w:rsidRPr="00BA1372" w:rsidRDefault="005622BF" w:rsidP="008740AA">
            <w:pPr>
              <w:rPr>
                <w:kern w:val="2"/>
              </w:rPr>
            </w:pPr>
            <w:r w:rsidRPr="00BA1372">
              <w:rPr>
                <w:kern w:val="2"/>
              </w:rPr>
              <w:t>21.6</w:t>
            </w:r>
          </w:p>
        </w:tc>
        <w:tc>
          <w:tcPr>
            <w:tcW w:w="553" w:type="pct"/>
          </w:tcPr>
          <w:p w:rsidR="005622BF" w:rsidRPr="00BA1372" w:rsidRDefault="005622BF" w:rsidP="008740AA">
            <w:pPr>
              <w:ind w:left="0"/>
              <w:rPr>
                <w:kern w:val="2"/>
              </w:rPr>
            </w:pPr>
            <w:r w:rsidRPr="00BA1372">
              <w:rPr>
                <w:kern w:val="2"/>
              </w:rPr>
              <w:t>7.6</w:t>
            </w:r>
          </w:p>
        </w:tc>
        <w:tc>
          <w:tcPr>
            <w:tcW w:w="714" w:type="pct"/>
          </w:tcPr>
          <w:p w:rsidR="005622BF" w:rsidRPr="008740AA" w:rsidRDefault="005622BF" w:rsidP="008740AA">
            <w:pPr>
              <w:ind w:left="0"/>
              <w:rPr>
                <w:b/>
                <w:kern w:val="2"/>
              </w:rPr>
            </w:pPr>
            <w:r w:rsidRPr="008740AA">
              <w:rPr>
                <w:b/>
                <w:kern w:val="2"/>
              </w:rPr>
              <w:t>5.9</w:t>
            </w:r>
          </w:p>
        </w:tc>
      </w:tr>
      <w:tr w:rsidR="005622BF" w:rsidRPr="005622BF" w:rsidTr="008740AA">
        <w:trPr>
          <w:trHeight w:val="227"/>
        </w:trPr>
        <w:tc>
          <w:tcPr>
            <w:tcW w:w="1444" w:type="pct"/>
            <w:vMerge/>
          </w:tcPr>
          <w:p w:rsidR="005622BF" w:rsidRPr="008740AA" w:rsidRDefault="005622BF" w:rsidP="008740AA">
            <w:pPr>
              <w:rPr>
                <w:rFonts w:eastAsia="Times New Roman"/>
                <w:b/>
                <w:kern w:val="2"/>
              </w:rPr>
            </w:pPr>
          </w:p>
        </w:tc>
        <w:tc>
          <w:tcPr>
            <w:tcW w:w="700" w:type="pct"/>
          </w:tcPr>
          <w:p w:rsidR="005622BF" w:rsidRPr="00BA1372" w:rsidRDefault="005622BF" w:rsidP="008740AA">
            <w:pPr>
              <w:rPr>
                <w:kern w:val="2"/>
              </w:rPr>
            </w:pPr>
            <w:r w:rsidRPr="00BA1372">
              <w:rPr>
                <w:kern w:val="2"/>
              </w:rPr>
              <w:t>125</w:t>
            </w:r>
          </w:p>
        </w:tc>
        <w:tc>
          <w:tcPr>
            <w:tcW w:w="777" w:type="pct"/>
          </w:tcPr>
          <w:p w:rsidR="005622BF" w:rsidRPr="00BA1372" w:rsidRDefault="005622BF" w:rsidP="008740AA">
            <w:pPr>
              <w:rPr>
                <w:kern w:val="2"/>
              </w:rPr>
            </w:pPr>
            <w:r w:rsidRPr="00BA1372">
              <w:rPr>
                <w:kern w:val="2"/>
              </w:rPr>
              <w:t>456</w:t>
            </w:r>
          </w:p>
        </w:tc>
        <w:tc>
          <w:tcPr>
            <w:tcW w:w="812" w:type="pct"/>
          </w:tcPr>
          <w:p w:rsidR="005622BF" w:rsidRPr="00BA1372" w:rsidRDefault="005622BF" w:rsidP="008740AA">
            <w:pPr>
              <w:rPr>
                <w:kern w:val="2"/>
              </w:rPr>
            </w:pPr>
            <w:r w:rsidRPr="00BA1372">
              <w:rPr>
                <w:kern w:val="2"/>
              </w:rPr>
              <w:t>268</w:t>
            </w:r>
          </w:p>
        </w:tc>
        <w:tc>
          <w:tcPr>
            <w:tcW w:w="553" w:type="pct"/>
          </w:tcPr>
          <w:p w:rsidR="005622BF" w:rsidRPr="00BA1372" w:rsidRDefault="005622BF" w:rsidP="008740AA">
            <w:pPr>
              <w:ind w:left="0"/>
              <w:rPr>
                <w:kern w:val="2"/>
              </w:rPr>
            </w:pPr>
            <w:r w:rsidRPr="00BA1372">
              <w:rPr>
                <w:kern w:val="2"/>
              </w:rPr>
              <w:t>124</w:t>
            </w:r>
          </w:p>
        </w:tc>
        <w:tc>
          <w:tcPr>
            <w:tcW w:w="714" w:type="pct"/>
          </w:tcPr>
          <w:p w:rsidR="005622BF" w:rsidRPr="008740AA" w:rsidRDefault="005622BF" w:rsidP="008740AA">
            <w:pPr>
              <w:ind w:left="0"/>
              <w:rPr>
                <w:b/>
                <w:kern w:val="2"/>
              </w:rPr>
            </w:pPr>
            <w:r w:rsidRPr="008740AA">
              <w:rPr>
                <w:b/>
                <w:kern w:val="2"/>
              </w:rPr>
              <w:t>73</w:t>
            </w:r>
          </w:p>
        </w:tc>
      </w:tr>
      <w:tr w:rsidR="005622BF" w:rsidRPr="005622BF" w:rsidTr="008740AA">
        <w:trPr>
          <w:trHeight w:val="227"/>
        </w:trPr>
        <w:tc>
          <w:tcPr>
            <w:tcW w:w="1444" w:type="pct"/>
            <w:vMerge/>
          </w:tcPr>
          <w:p w:rsidR="005622BF" w:rsidRPr="008740AA" w:rsidRDefault="005622BF" w:rsidP="008740AA">
            <w:pPr>
              <w:rPr>
                <w:rFonts w:eastAsia="Times New Roman"/>
                <w:b/>
                <w:kern w:val="2"/>
              </w:rPr>
            </w:pPr>
          </w:p>
        </w:tc>
        <w:tc>
          <w:tcPr>
            <w:tcW w:w="700" w:type="pct"/>
          </w:tcPr>
          <w:p w:rsidR="005622BF" w:rsidRPr="00BA1372" w:rsidRDefault="005622BF" w:rsidP="008740AA">
            <w:pPr>
              <w:rPr>
                <w:kern w:val="2"/>
              </w:rPr>
            </w:pPr>
            <w:r w:rsidRPr="00BA1372">
              <w:rPr>
                <w:kern w:val="2"/>
              </w:rPr>
              <w:t>400</w:t>
            </w:r>
          </w:p>
        </w:tc>
        <w:tc>
          <w:tcPr>
            <w:tcW w:w="777" w:type="pct"/>
          </w:tcPr>
          <w:p w:rsidR="005622BF" w:rsidRPr="00BA1372" w:rsidRDefault="005622BF" w:rsidP="008740AA">
            <w:pPr>
              <w:rPr>
                <w:kern w:val="2"/>
              </w:rPr>
            </w:pPr>
            <w:r w:rsidRPr="00BA1372">
              <w:rPr>
                <w:kern w:val="2"/>
              </w:rPr>
              <w:t>287</w:t>
            </w:r>
          </w:p>
        </w:tc>
        <w:tc>
          <w:tcPr>
            <w:tcW w:w="812" w:type="pct"/>
          </w:tcPr>
          <w:p w:rsidR="005622BF" w:rsidRPr="00BA1372" w:rsidRDefault="005622BF" w:rsidP="008740AA">
            <w:pPr>
              <w:rPr>
                <w:kern w:val="2"/>
              </w:rPr>
            </w:pPr>
            <w:r w:rsidRPr="00BA1372">
              <w:rPr>
                <w:kern w:val="2"/>
              </w:rPr>
              <w:t>196</w:t>
            </w:r>
          </w:p>
        </w:tc>
        <w:tc>
          <w:tcPr>
            <w:tcW w:w="553" w:type="pct"/>
          </w:tcPr>
          <w:p w:rsidR="005622BF" w:rsidRPr="00BA1372" w:rsidRDefault="005622BF" w:rsidP="008740AA">
            <w:pPr>
              <w:ind w:left="0"/>
              <w:rPr>
                <w:kern w:val="2"/>
              </w:rPr>
            </w:pPr>
            <w:r w:rsidRPr="00BA1372">
              <w:rPr>
                <w:kern w:val="2"/>
              </w:rPr>
              <w:t>78</w:t>
            </w:r>
          </w:p>
        </w:tc>
        <w:tc>
          <w:tcPr>
            <w:tcW w:w="714" w:type="pct"/>
          </w:tcPr>
          <w:p w:rsidR="005622BF" w:rsidRPr="008740AA" w:rsidRDefault="005622BF" w:rsidP="008740AA">
            <w:pPr>
              <w:ind w:left="0"/>
              <w:rPr>
                <w:b/>
                <w:kern w:val="2"/>
              </w:rPr>
            </w:pPr>
            <w:r w:rsidRPr="008740AA">
              <w:rPr>
                <w:b/>
                <w:kern w:val="2"/>
              </w:rPr>
              <w:t>53</w:t>
            </w:r>
          </w:p>
        </w:tc>
      </w:tr>
      <w:tr w:rsidR="005622BF" w:rsidRPr="005622BF" w:rsidTr="008740AA">
        <w:trPr>
          <w:trHeight w:val="227"/>
        </w:trPr>
        <w:tc>
          <w:tcPr>
            <w:tcW w:w="1444" w:type="pct"/>
          </w:tcPr>
          <w:p w:rsidR="005622BF" w:rsidRPr="008740AA" w:rsidRDefault="005622BF" w:rsidP="008740AA">
            <w:pPr>
              <w:rPr>
                <w:b/>
                <w:kern w:val="2"/>
              </w:rPr>
            </w:pPr>
            <w:r w:rsidRPr="008740AA">
              <w:rPr>
                <w:b/>
                <w:kern w:val="2"/>
              </w:rPr>
              <w:t>Human (HCV infected)</w:t>
            </w:r>
          </w:p>
        </w:tc>
        <w:tc>
          <w:tcPr>
            <w:tcW w:w="700" w:type="pct"/>
          </w:tcPr>
          <w:p w:rsidR="005622BF" w:rsidRPr="008740AA" w:rsidRDefault="005622BF" w:rsidP="008740AA">
            <w:pPr>
              <w:rPr>
                <w:b/>
                <w:color w:val="00B050"/>
                <w:kern w:val="2"/>
              </w:rPr>
            </w:pPr>
            <w:r w:rsidRPr="008740AA">
              <w:rPr>
                <w:b/>
                <w:kern w:val="2"/>
              </w:rPr>
              <w:t>100 mg BD</w:t>
            </w:r>
          </w:p>
        </w:tc>
        <w:tc>
          <w:tcPr>
            <w:tcW w:w="777" w:type="pct"/>
          </w:tcPr>
          <w:p w:rsidR="005622BF" w:rsidRPr="008740AA" w:rsidRDefault="005622BF" w:rsidP="008740AA">
            <w:pPr>
              <w:rPr>
                <w:b/>
                <w:kern w:val="2"/>
              </w:rPr>
            </w:pPr>
            <w:r w:rsidRPr="008740AA">
              <w:rPr>
                <w:b/>
                <w:kern w:val="2"/>
              </w:rPr>
              <w:t>3.69</w:t>
            </w:r>
          </w:p>
        </w:tc>
        <w:tc>
          <w:tcPr>
            <w:tcW w:w="812" w:type="pct"/>
          </w:tcPr>
          <w:p w:rsidR="005622BF" w:rsidRPr="00BA1372" w:rsidRDefault="005622BF" w:rsidP="008740AA">
            <w:pPr>
              <w:rPr>
                <w:kern w:val="2"/>
              </w:rPr>
            </w:pPr>
            <w:r w:rsidRPr="00BA1372">
              <w:rPr>
                <w:kern w:val="2"/>
              </w:rPr>
              <w:t>3.69</w:t>
            </w:r>
          </w:p>
        </w:tc>
        <w:tc>
          <w:tcPr>
            <w:tcW w:w="553" w:type="pct"/>
          </w:tcPr>
          <w:p w:rsidR="005622BF" w:rsidRPr="00BA1372" w:rsidRDefault="005622BF" w:rsidP="008740AA">
            <w:pPr>
              <w:ind w:left="0"/>
              <w:rPr>
                <w:kern w:val="2"/>
              </w:rPr>
            </w:pPr>
            <w:r w:rsidRPr="00BA1372">
              <w:rPr>
                <w:kern w:val="2"/>
              </w:rPr>
              <w:t>–</w:t>
            </w:r>
          </w:p>
        </w:tc>
        <w:tc>
          <w:tcPr>
            <w:tcW w:w="714" w:type="pct"/>
          </w:tcPr>
          <w:p w:rsidR="005622BF" w:rsidRPr="008740AA" w:rsidRDefault="005622BF" w:rsidP="008740AA">
            <w:pPr>
              <w:ind w:left="0"/>
              <w:rPr>
                <w:b/>
                <w:kern w:val="2"/>
              </w:rPr>
            </w:pPr>
            <w:r w:rsidRPr="008740AA">
              <w:rPr>
                <w:b/>
                <w:kern w:val="2"/>
              </w:rPr>
              <w:t>–</w:t>
            </w:r>
          </w:p>
        </w:tc>
      </w:tr>
    </w:tbl>
    <w:p w:rsidR="005622BF" w:rsidRPr="00DF3309" w:rsidRDefault="005622BF" w:rsidP="008740AA">
      <w:pPr>
        <w:pStyle w:val="TableDescription"/>
      </w:pPr>
      <w:r w:rsidRPr="00DF3309">
        <w:t xml:space="preserve">† = values obtained after dosing on the last day; # = </w:t>
      </w:r>
      <w:proofErr w:type="spellStart"/>
      <w:r w:rsidRPr="00DF3309">
        <w:t>animal:human</w:t>
      </w:r>
      <w:proofErr w:type="spellEnd"/>
      <w:r w:rsidRPr="00DF3309">
        <w:t xml:space="preserve"> plasma AUC0–24 h; bold doses are NOAEL; NR = not reported; DRF = dose range finding; EFD = </w:t>
      </w:r>
      <w:proofErr w:type="spellStart"/>
      <w:r w:rsidRPr="00DF3309">
        <w:t>embryofetal</w:t>
      </w:r>
      <w:proofErr w:type="spellEnd"/>
      <w:r w:rsidRPr="00DF3309">
        <w:t xml:space="preserve"> development; in HCV-infected subjects given 200 mg tablet twice per day (Study AI447016), the week 12 human </w:t>
      </w:r>
      <w:proofErr w:type="spellStart"/>
      <w:r w:rsidRPr="00DF3309">
        <w:t>Cmax</w:t>
      </w:r>
      <w:proofErr w:type="spellEnd"/>
      <w:r w:rsidRPr="00DF3309">
        <w:t xml:space="preserve"> value was 0.419 µg/mL (560 </w:t>
      </w:r>
      <w:proofErr w:type="spellStart"/>
      <w:r w:rsidRPr="00DF3309">
        <w:t>nM</w:t>
      </w:r>
      <w:proofErr w:type="spellEnd"/>
      <w:r w:rsidRPr="00DF3309">
        <w:t>) and the AUC (3.69 µ</w:t>
      </w:r>
      <w:proofErr w:type="spellStart"/>
      <w:r w:rsidRPr="00DF3309">
        <w:t>g.h</w:t>
      </w:r>
      <w:proofErr w:type="spellEnd"/>
      <w:r w:rsidRPr="00DF3309">
        <w:t>/mL).</w:t>
      </w:r>
    </w:p>
    <w:p w:rsidR="00737073" w:rsidRDefault="00737073" w:rsidP="00511E8B">
      <w:pPr>
        <w:pStyle w:val="TableTitle"/>
      </w:pPr>
      <w:proofErr w:type="gramStart"/>
      <w:r w:rsidRPr="00D85066">
        <w:t xml:space="preserve">Table </w:t>
      </w:r>
      <w:r w:rsidR="001F3724">
        <w:t>5</w:t>
      </w:r>
      <w:r w:rsidRPr="00D85066">
        <w:t>.</w:t>
      </w:r>
      <w:proofErr w:type="gramEnd"/>
      <w:r w:rsidRPr="00D85066">
        <w:t xml:space="preserve"> Relative exposure to </w:t>
      </w:r>
      <w:proofErr w:type="spellStart"/>
      <w:r w:rsidRPr="00D85066">
        <w:t>asunaprevir</w:t>
      </w:r>
      <w:proofErr w:type="spellEnd"/>
      <w:r w:rsidRPr="00D85066">
        <w:t xml:space="preserve"> in oral dual combination repeat-dose toxicity studies</w:t>
      </w:r>
    </w:p>
    <w:tbl>
      <w:tblPr>
        <w:tblStyle w:val="TableTGAblue"/>
        <w:tblW w:w="5000" w:type="pct"/>
        <w:tblLook w:val="01E0" w:firstRow="1" w:lastRow="1" w:firstColumn="1" w:lastColumn="1" w:noHBand="0" w:noVBand="0"/>
      </w:tblPr>
      <w:tblGrid>
        <w:gridCol w:w="1565"/>
        <w:gridCol w:w="1186"/>
        <w:gridCol w:w="671"/>
        <w:gridCol w:w="816"/>
        <w:gridCol w:w="1004"/>
        <w:gridCol w:w="816"/>
        <w:gridCol w:w="1004"/>
        <w:gridCol w:w="829"/>
        <w:gridCol w:w="829"/>
      </w:tblGrid>
      <w:tr w:rsidR="005622BF" w:rsidRPr="00045817" w:rsidTr="008740AA">
        <w:trPr>
          <w:cnfStyle w:val="100000000000" w:firstRow="1" w:lastRow="0" w:firstColumn="0" w:lastColumn="0" w:oddVBand="0" w:evenVBand="0" w:oddHBand="0" w:evenHBand="0" w:firstRowFirstColumn="0" w:firstRowLastColumn="0" w:lastRowFirstColumn="0" w:lastRowLastColumn="0"/>
          <w:trHeight w:val="401"/>
        </w:trPr>
        <w:tc>
          <w:tcPr>
            <w:tcW w:w="886" w:type="pct"/>
            <w:vMerge w:val="restart"/>
            <w:hideMark/>
          </w:tcPr>
          <w:p w:rsidR="005622BF" w:rsidRPr="00BA1372" w:rsidRDefault="005622BF" w:rsidP="008740AA">
            <w:pPr>
              <w:rPr>
                <w:b w:val="0"/>
              </w:rPr>
            </w:pPr>
            <w:r w:rsidRPr="00BA1372">
              <w:rPr>
                <w:b w:val="0"/>
              </w:rPr>
              <w:t>Species; study duration</w:t>
            </w:r>
          </w:p>
        </w:tc>
        <w:tc>
          <w:tcPr>
            <w:tcW w:w="745" w:type="pct"/>
            <w:vMerge w:val="restart"/>
            <w:hideMark/>
          </w:tcPr>
          <w:p w:rsidR="005622BF" w:rsidRPr="00BA1372" w:rsidRDefault="00DF3309" w:rsidP="008740AA">
            <w:pPr>
              <w:rPr>
                <w:b w:val="0"/>
              </w:rPr>
            </w:pPr>
            <w:r w:rsidRPr="00BA1372">
              <w:rPr>
                <w:b w:val="0"/>
              </w:rPr>
              <w:t xml:space="preserve">Dose </w:t>
            </w:r>
            <w:r w:rsidR="005622BF" w:rsidRPr="00BA1372">
              <w:rPr>
                <w:b w:val="0"/>
              </w:rPr>
              <w:t>mg/kg/day</w:t>
            </w:r>
          </w:p>
        </w:tc>
        <w:tc>
          <w:tcPr>
            <w:tcW w:w="286" w:type="pct"/>
            <w:vMerge w:val="restart"/>
            <w:hideMark/>
          </w:tcPr>
          <w:p w:rsidR="005622BF" w:rsidRPr="00BA1372" w:rsidRDefault="005622BF" w:rsidP="008740AA">
            <w:pPr>
              <w:rPr>
                <w:b w:val="0"/>
              </w:rPr>
            </w:pPr>
            <w:r w:rsidRPr="00BA1372">
              <w:rPr>
                <w:b w:val="0"/>
              </w:rPr>
              <w:t>Sex</w:t>
            </w:r>
          </w:p>
        </w:tc>
        <w:tc>
          <w:tcPr>
            <w:tcW w:w="495" w:type="pct"/>
            <w:vMerge w:val="restart"/>
            <w:hideMark/>
          </w:tcPr>
          <w:p w:rsidR="005622BF" w:rsidRPr="00BA1372" w:rsidRDefault="00DF3309" w:rsidP="008740AA">
            <w:pPr>
              <w:rPr>
                <w:b w:val="0"/>
              </w:rPr>
            </w:pPr>
            <w:proofErr w:type="spellStart"/>
            <w:r w:rsidRPr="00BA1372">
              <w:rPr>
                <w:b w:val="0"/>
              </w:rPr>
              <w:t>C</w:t>
            </w:r>
            <w:r w:rsidRPr="00BA1372">
              <w:rPr>
                <w:b w:val="0"/>
                <w:vertAlign w:val="subscript"/>
              </w:rPr>
              <w:t>max</w:t>
            </w:r>
            <w:proofErr w:type="spellEnd"/>
            <w:r w:rsidRPr="00BA1372">
              <w:rPr>
                <w:b w:val="0"/>
              </w:rPr>
              <w:t xml:space="preserve"> </w:t>
            </w:r>
            <w:r w:rsidR="005622BF" w:rsidRPr="00BA1372">
              <w:rPr>
                <w:b w:val="0"/>
              </w:rPr>
              <w:t>µg/ mL</w:t>
            </w:r>
          </w:p>
        </w:tc>
        <w:tc>
          <w:tcPr>
            <w:tcW w:w="611" w:type="pct"/>
            <w:vMerge w:val="restart"/>
            <w:hideMark/>
          </w:tcPr>
          <w:p w:rsidR="005622BF" w:rsidRPr="00BA1372" w:rsidRDefault="005622BF" w:rsidP="008740AA">
            <w:pPr>
              <w:rPr>
                <w:b w:val="0"/>
              </w:rPr>
            </w:pPr>
            <w:r w:rsidRPr="00BA1372">
              <w:rPr>
                <w:b w:val="0"/>
              </w:rPr>
              <w:t>AUC</w:t>
            </w:r>
            <w:r w:rsidRPr="00BA1372">
              <w:rPr>
                <w:b w:val="0"/>
                <w:vertAlign w:val="subscript"/>
              </w:rPr>
              <w:t>0-24h</w:t>
            </w:r>
            <w:r w:rsidRPr="00BA1372">
              <w:rPr>
                <w:b w:val="0"/>
              </w:rPr>
              <w:t xml:space="preserve"> </w:t>
            </w:r>
            <w:proofErr w:type="spellStart"/>
            <w:r w:rsidR="00DF3309" w:rsidRPr="00BA1372">
              <w:rPr>
                <w:b w:val="0"/>
              </w:rPr>
              <w:t>ng.h</w:t>
            </w:r>
            <w:proofErr w:type="spellEnd"/>
            <w:r w:rsidR="00DF3309" w:rsidRPr="00BA1372">
              <w:rPr>
                <w:b w:val="0"/>
              </w:rPr>
              <w:t>/mL</w:t>
            </w:r>
          </w:p>
        </w:tc>
        <w:tc>
          <w:tcPr>
            <w:tcW w:w="493" w:type="pct"/>
            <w:vMerge w:val="restart"/>
            <w:hideMark/>
          </w:tcPr>
          <w:p w:rsidR="005622BF" w:rsidRPr="00BA1372" w:rsidRDefault="00DF3309" w:rsidP="008740AA">
            <w:pPr>
              <w:rPr>
                <w:b w:val="0"/>
              </w:rPr>
            </w:pPr>
            <w:proofErr w:type="spellStart"/>
            <w:r w:rsidRPr="00BA1372">
              <w:rPr>
                <w:b w:val="0"/>
              </w:rPr>
              <w:t>C</w:t>
            </w:r>
            <w:r w:rsidRPr="00BA1372">
              <w:rPr>
                <w:b w:val="0"/>
                <w:vertAlign w:val="subscript"/>
              </w:rPr>
              <w:t>max</w:t>
            </w:r>
            <w:proofErr w:type="spellEnd"/>
            <w:r w:rsidRPr="00BA1372">
              <w:rPr>
                <w:b w:val="0"/>
              </w:rPr>
              <w:t xml:space="preserve"> </w:t>
            </w:r>
            <w:r w:rsidR="005622BF" w:rsidRPr="00BA1372">
              <w:rPr>
                <w:b w:val="0"/>
              </w:rPr>
              <w:t>µg/ mL</w:t>
            </w:r>
          </w:p>
        </w:tc>
        <w:tc>
          <w:tcPr>
            <w:tcW w:w="627" w:type="pct"/>
            <w:vMerge w:val="restart"/>
            <w:hideMark/>
          </w:tcPr>
          <w:p w:rsidR="005622BF" w:rsidRPr="00BA1372" w:rsidRDefault="005622BF" w:rsidP="008740AA">
            <w:pPr>
              <w:rPr>
                <w:b w:val="0"/>
              </w:rPr>
            </w:pPr>
            <w:r w:rsidRPr="00BA1372">
              <w:rPr>
                <w:b w:val="0"/>
              </w:rPr>
              <w:t>AUC</w:t>
            </w:r>
            <w:r w:rsidRPr="00BA1372">
              <w:rPr>
                <w:b w:val="0"/>
                <w:vertAlign w:val="subscript"/>
              </w:rPr>
              <w:t>0-24h</w:t>
            </w:r>
            <w:r w:rsidRPr="00BA1372">
              <w:rPr>
                <w:b w:val="0"/>
              </w:rPr>
              <w:t xml:space="preserve"> </w:t>
            </w:r>
            <w:proofErr w:type="spellStart"/>
            <w:r w:rsidRPr="00BA1372">
              <w:rPr>
                <w:b w:val="0"/>
              </w:rPr>
              <w:t>ng.h</w:t>
            </w:r>
            <w:proofErr w:type="spellEnd"/>
            <w:r w:rsidRPr="00BA1372">
              <w:rPr>
                <w:b w:val="0"/>
              </w:rPr>
              <w:t>/mL</w:t>
            </w:r>
          </w:p>
        </w:tc>
        <w:tc>
          <w:tcPr>
            <w:tcW w:w="857" w:type="pct"/>
            <w:gridSpan w:val="2"/>
            <w:hideMark/>
          </w:tcPr>
          <w:p w:rsidR="005622BF" w:rsidRPr="00BA1372" w:rsidRDefault="005622BF" w:rsidP="008740AA">
            <w:pPr>
              <w:rPr>
                <w:b w:val="0"/>
              </w:rPr>
            </w:pPr>
            <w:proofErr w:type="spellStart"/>
            <w:r w:rsidRPr="00BA1372">
              <w:rPr>
                <w:b w:val="0"/>
              </w:rPr>
              <w:t>Asunaprevir</w:t>
            </w:r>
            <w:proofErr w:type="spellEnd"/>
            <w:r w:rsidRPr="00BA1372">
              <w:rPr>
                <w:b w:val="0"/>
              </w:rPr>
              <w:t xml:space="preserve"> Relative Exposure</w:t>
            </w:r>
          </w:p>
        </w:tc>
      </w:tr>
      <w:tr w:rsidR="005622BF" w:rsidRPr="00045817" w:rsidTr="008740AA">
        <w:trPr>
          <w:trHeight w:val="401"/>
        </w:trPr>
        <w:tc>
          <w:tcPr>
            <w:tcW w:w="886" w:type="pct"/>
            <w:vMerge/>
            <w:hideMark/>
          </w:tcPr>
          <w:p w:rsidR="005622BF" w:rsidRPr="00BA1372" w:rsidRDefault="005622BF" w:rsidP="008740AA">
            <w:pPr>
              <w:rPr>
                <w:b/>
              </w:rPr>
            </w:pPr>
          </w:p>
        </w:tc>
        <w:tc>
          <w:tcPr>
            <w:tcW w:w="745" w:type="pct"/>
            <w:vMerge/>
            <w:hideMark/>
          </w:tcPr>
          <w:p w:rsidR="005622BF" w:rsidRPr="00BA1372" w:rsidRDefault="005622BF" w:rsidP="008740AA">
            <w:pPr>
              <w:rPr>
                <w:b/>
              </w:rPr>
            </w:pPr>
          </w:p>
        </w:tc>
        <w:tc>
          <w:tcPr>
            <w:tcW w:w="286" w:type="pct"/>
            <w:vMerge/>
            <w:hideMark/>
          </w:tcPr>
          <w:p w:rsidR="005622BF" w:rsidRPr="00BA1372" w:rsidRDefault="005622BF" w:rsidP="008740AA">
            <w:pPr>
              <w:rPr>
                <w:b/>
              </w:rPr>
            </w:pPr>
          </w:p>
        </w:tc>
        <w:tc>
          <w:tcPr>
            <w:tcW w:w="495" w:type="pct"/>
            <w:vMerge/>
            <w:hideMark/>
          </w:tcPr>
          <w:p w:rsidR="005622BF" w:rsidRPr="00BA1372" w:rsidRDefault="005622BF" w:rsidP="008740AA">
            <w:pPr>
              <w:rPr>
                <w:b/>
              </w:rPr>
            </w:pPr>
          </w:p>
        </w:tc>
        <w:tc>
          <w:tcPr>
            <w:tcW w:w="611" w:type="pct"/>
            <w:vMerge/>
            <w:hideMark/>
          </w:tcPr>
          <w:p w:rsidR="005622BF" w:rsidRPr="00BA1372" w:rsidRDefault="005622BF" w:rsidP="008740AA">
            <w:pPr>
              <w:rPr>
                <w:b/>
              </w:rPr>
            </w:pPr>
          </w:p>
        </w:tc>
        <w:tc>
          <w:tcPr>
            <w:tcW w:w="493" w:type="pct"/>
            <w:vMerge/>
            <w:hideMark/>
          </w:tcPr>
          <w:p w:rsidR="005622BF" w:rsidRPr="00BA1372" w:rsidRDefault="005622BF" w:rsidP="008740AA">
            <w:pPr>
              <w:rPr>
                <w:b/>
              </w:rPr>
            </w:pPr>
          </w:p>
        </w:tc>
        <w:tc>
          <w:tcPr>
            <w:tcW w:w="627" w:type="pct"/>
            <w:vMerge/>
            <w:hideMark/>
          </w:tcPr>
          <w:p w:rsidR="005622BF" w:rsidRPr="00BA1372" w:rsidRDefault="005622BF" w:rsidP="008740AA">
            <w:pPr>
              <w:rPr>
                <w:b/>
              </w:rPr>
            </w:pPr>
          </w:p>
        </w:tc>
        <w:tc>
          <w:tcPr>
            <w:tcW w:w="386" w:type="pct"/>
            <w:hideMark/>
          </w:tcPr>
          <w:p w:rsidR="005622BF" w:rsidRPr="00BA1372" w:rsidRDefault="005622BF" w:rsidP="008740AA">
            <w:pPr>
              <w:rPr>
                <w:b/>
              </w:rPr>
            </w:pPr>
            <w:proofErr w:type="spellStart"/>
            <w:r w:rsidRPr="00BA1372">
              <w:t>C</w:t>
            </w:r>
            <w:r w:rsidRPr="00BA1372">
              <w:rPr>
                <w:vertAlign w:val="subscript"/>
              </w:rPr>
              <w:t>max</w:t>
            </w:r>
            <w:proofErr w:type="spellEnd"/>
            <w:r w:rsidRPr="00BA1372">
              <w:t xml:space="preserve"> based</w:t>
            </w:r>
          </w:p>
        </w:tc>
        <w:tc>
          <w:tcPr>
            <w:tcW w:w="471" w:type="pct"/>
            <w:hideMark/>
          </w:tcPr>
          <w:p w:rsidR="005622BF" w:rsidRPr="00BA1372" w:rsidRDefault="005622BF" w:rsidP="008740AA">
            <w:pPr>
              <w:rPr>
                <w:b/>
              </w:rPr>
            </w:pPr>
            <w:r w:rsidRPr="00BA1372">
              <w:t>AUC based</w:t>
            </w:r>
          </w:p>
        </w:tc>
      </w:tr>
      <w:tr w:rsidR="005622BF" w:rsidRPr="00045817" w:rsidTr="008740AA">
        <w:trPr>
          <w:trHeight w:val="227"/>
        </w:trPr>
        <w:tc>
          <w:tcPr>
            <w:tcW w:w="886" w:type="pct"/>
            <w:vMerge w:val="restart"/>
            <w:hideMark/>
          </w:tcPr>
          <w:p w:rsidR="005622BF" w:rsidRPr="008740AA" w:rsidRDefault="005622BF" w:rsidP="008740AA">
            <w:pPr>
              <w:rPr>
                <w:b/>
              </w:rPr>
            </w:pPr>
            <w:r w:rsidRPr="008740AA">
              <w:rPr>
                <w:b/>
              </w:rPr>
              <w:lastRenderedPageBreak/>
              <w:t>Rat</w:t>
            </w:r>
          </w:p>
          <w:p w:rsidR="005622BF" w:rsidRPr="008740AA" w:rsidRDefault="005622BF" w:rsidP="008740AA">
            <w:pPr>
              <w:rPr>
                <w:b/>
              </w:rPr>
            </w:pPr>
            <w:r w:rsidRPr="008740AA">
              <w:rPr>
                <w:b/>
              </w:rPr>
              <w:t>1 month</w:t>
            </w:r>
            <w:r w:rsidR="008740AA" w:rsidRPr="008740AA">
              <w:rPr>
                <w:b/>
              </w:rPr>
              <w:t xml:space="preserve"> </w:t>
            </w:r>
          </w:p>
          <w:p w:rsidR="005622BF" w:rsidRPr="008740AA" w:rsidRDefault="005622BF" w:rsidP="008740AA">
            <w:pPr>
              <w:rPr>
                <w:b/>
              </w:rPr>
            </w:pPr>
            <w:proofErr w:type="spellStart"/>
            <w:r w:rsidRPr="008740AA">
              <w:rPr>
                <w:b/>
              </w:rPr>
              <w:t>Asunaprevir</w:t>
            </w:r>
            <w:proofErr w:type="spellEnd"/>
            <w:r w:rsidRPr="008740AA">
              <w:rPr>
                <w:b/>
              </w:rPr>
              <w:t xml:space="preserve"> and </w:t>
            </w:r>
            <w:proofErr w:type="spellStart"/>
            <w:r w:rsidRPr="008740AA">
              <w:rPr>
                <w:b/>
              </w:rPr>
              <w:t>Daclatasvir</w:t>
            </w:r>
            <w:proofErr w:type="spellEnd"/>
          </w:p>
          <w:p w:rsidR="005622BF" w:rsidRPr="008740AA" w:rsidRDefault="005622BF" w:rsidP="008740AA">
            <w:pPr>
              <w:rPr>
                <w:b/>
              </w:rPr>
            </w:pPr>
            <w:r w:rsidRPr="008740AA">
              <w:rPr>
                <w:b/>
              </w:rPr>
              <w:t>(DS08126/DCN 930035562)</w:t>
            </w:r>
          </w:p>
        </w:tc>
        <w:tc>
          <w:tcPr>
            <w:tcW w:w="745" w:type="pct"/>
          </w:tcPr>
          <w:p w:rsidR="005622BF" w:rsidRPr="00BA1372" w:rsidRDefault="005622BF" w:rsidP="008740AA"/>
        </w:tc>
        <w:tc>
          <w:tcPr>
            <w:tcW w:w="286" w:type="pct"/>
          </w:tcPr>
          <w:p w:rsidR="005622BF" w:rsidRPr="00BA1372" w:rsidRDefault="005622BF" w:rsidP="008740AA"/>
        </w:tc>
        <w:tc>
          <w:tcPr>
            <w:tcW w:w="1106" w:type="pct"/>
            <w:gridSpan w:val="2"/>
          </w:tcPr>
          <w:p w:rsidR="005622BF" w:rsidRPr="008740AA" w:rsidRDefault="005622BF" w:rsidP="008740AA">
            <w:pPr>
              <w:rPr>
                <w:b/>
              </w:rPr>
            </w:pPr>
            <w:proofErr w:type="spellStart"/>
            <w:r w:rsidRPr="008740AA">
              <w:rPr>
                <w:b/>
              </w:rPr>
              <w:t>Asunaprevir</w:t>
            </w:r>
            <w:proofErr w:type="spellEnd"/>
          </w:p>
        </w:tc>
        <w:tc>
          <w:tcPr>
            <w:tcW w:w="1120" w:type="pct"/>
            <w:gridSpan w:val="2"/>
            <w:hideMark/>
          </w:tcPr>
          <w:p w:rsidR="005622BF" w:rsidRPr="008740AA" w:rsidRDefault="005622BF" w:rsidP="008740AA">
            <w:pPr>
              <w:rPr>
                <w:b/>
              </w:rPr>
            </w:pPr>
            <w:proofErr w:type="spellStart"/>
            <w:r w:rsidRPr="008740AA">
              <w:rPr>
                <w:b/>
              </w:rPr>
              <w:t>Daclatasvir</w:t>
            </w:r>
            <w:proofErr w:type="spellEnd"/>
          </w:p>
        </w:tc>
        <w:tc>
          <w:tcPr>
            <w:tcW w:w="857" w:type="pct"/>
            <w:gridSpan w:val="2"/>
          </w:tcPr>
          <w:p w:rsidR="005622BF" w:rsidRPr="00BA1372" w:rsidRDefault="005622BF" w:rsidP="008740AA">
            <w:r w:rsidRPr="00BA1372">
              <w:t>-</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val="restart"/>
            <w:hideMark/>
          </w:tcPr>
          <w:p w:rsidR="005622BF" w:rsidRPr="00BA1372" w:rsidRDefault="005622BF" w:rsidP="008740AA">
            <w:r w:rsidRPr="00BA1372">
              <w:t>30/10</w:t>
            </w:r>
          </w:p>
        </w:tc>
        <w:tc>
          <w:tcPr>
            <w:tcW w:w="286" w:type="pct"/>
            <w:hideMark/>
          </w:tcPr>
          <w:p w:rsidR="005622BF" w:rsidRPr="00BA1372" w:rsidRDefault="005622BF" w:rsidP="008740AA">
            <w:r w:rsidRPr="00BA1372">
              <w:t>M</w:t>
            </w:r>
          </w:p>
        </w:tc>
        <w:tc>
          <w:tcPr>
            <w:tcW w:w="495" w:type="pct"/>
            <w:hideMark/>
          </w:tcPr>
          <w:p w:rsidR="005622BF" w:rsidRPr="00BA1372" w:rsidRDefault="005622BF" w:rsidP="008740AA">
            <w:r w:rsidRPr="00BA1372">
              <w:t>0.182</w:t>
            </w:r>
          </w:p>
        </w:tc>
        <w:tc>
          <w:tcPr>
            <w:tcW w:w="611" w:type="pct"/>
            <w:hideMark/>
          </w:tcPr>
          <w:p w:rsidR="005622BF" w:rsidRPr="00BA1372" w:rsidRDefault="005622BF" w:rsidP="008740AA">
            <w:r w:rsidRPr="00BA1372">
              <w:t>2.19</w:t>
            </w:r>
          </w:p>
        </w:tc>
        <w:tc>
          <w:tcPr>
            <w:tcW w:w="493" w:type="pct"/>
            <w:hideMark/>
          </w:tcPr>
          <w:p w:rsidR="005622BF" w:rsidRPr="00BA1372" w:rsidRDefault="005622BF" w:rsidP="008740AA">
            <w:r w:rsidRPr="00BA1372">
              <w:t>0.334</w:t>
            </w:r>
          </w:p>
        </w:tc>
        <w:tc>
          <w:tcPr>
            <w:tcW w:w="627" w:type="pct"/>
            <w:hideMark/>
          </w:tcPr>
          <w:p w:rsidR="005622BF" w:rsidRPr="00BA1372" w:rsidRDefault="005622BF" w:rsidP="008740AA">
            <w:r w:rsidRPr="00BA1372">
              <w:t>3.57</w:t>
            </w:r>
          </w:p>
        </w:tc>
        <w:tc>
          <w:tcPr>
            <w:tcW w:w="386" w:type="pct"/>
            <w:hideMark/>
          </w:tcPr>
          <w:p w:rsidR="005622BF" w:rsidRPr="00BA1372" w:rsidRDefault="005622BF" w:rsidP="008740AA">
            <w:r w:rsidRPr="00BA1372">
              <w:t>0.4</w:t>
            </w:r>
          </w:p>
        </w:tc>
        <w:tc>
          <w:tcPr>
            <w:tcW w:w="471" w:type="pct"/>
            <w:hideMark/>
          </w:tcPr>
          <w:p w:rsidR="005622BF" w:rsidRPr="008740AA" w:rsidRDefault="005622BF" w:rsidP="008740AA">
            <w:pPr>
              <w:rPr>
                <w:b/>
              </w:rPr>
            </w:pPr>
            <w:r w:rsidRPr="008740AA">
              <w:rPr>
                <w:b/>
              </w:rPr>
              <w:t>0.6</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hideMark/>
          </w:tcPr>
          <w:p w:rsidR="005622BF" w:rsidRPr="00BA1372" w:rsidRDefault="005622BF" w:rsidP="008740AA"/>
        </w:tc>
        <w:tc>
          <w:tcPr>
            <w:tcW w:w="286" w:type="pct"/>
            <w:hideMark/>
          </w:tcPr>
          <w:p w:rsidR="005622BF" w:rsidRPr="00BA1372" w:rsidRDefault="005622BF" w:rsidP="008740AA">
            <w:r w:rsidRPr="00BA1372">
              <w:t>F</w:t>
            </w:r>
          </w:p>
        </w:tc>
        <w:tc>
          <w:tcPr>
            <w:tcW w:w="495" w:type="pct"/>
            <w:hideMark/>
          </w:tcPr>
          <w:p w:rsidR="005622BF" w:rsidRPr="00BA1372" w:rsidRDefault="005622BF" w:rsidP="008740AA">
            <w:r w:rsidRPr="00BA1372">
              <w:t>0.433</w:t>
            </w:r>
          </w:p>
        </w:tc>
        <w:tc>
          <w:tcPr>
            <w:tcW w:w="611" w:type="pct"/>
            <w:hideMark/>
          </w:tcPr>
          <w:p w:rsidR="005622BF" w:rsidRPr="00BA1372" w:rsidRDefault="005622BF" w:rsidP="008740AA">
            <w:r w:rsidRPr="00BA1372">
              <w:t>2.11</w:t>
            </w:r>
          </w:p>
        </w:tc>
        <w:tc>
          <w:tcPr>
            <w:tcW w:w="493" w:type="pct"/>
            <w:hideMark/>
          </w:tcPr>
          <w:p w:rsidR="005622BF" w:rsidRPr="00BA1372" w:rsidRDefault="005622BF" w:rsidP="008740AA">
            <w:r w:rsidRPr="00BA1372">
              <w:t>0.584</w:t>
            </w:r>
          </w:p>
        </w:tc>
        <w:tc>
          <w:tcPr>
            <w:tcW w:w="627" w:type="pct"/>
            <w:hideMark/>
          </w:tcPr>
          <w:p w:rsidR="005622BF" w:rsidRPr="00BA1372" w:rsidRDefault="005622BF" w:rsidP="008740AA">
            <w:r w:rsidRPr="00BA1372">
              <w:t>3.55</w:t>
            </w:r>
          </w:p>
        </w:tc>
        <w:tc>
          <w:tcPr>
            <w:tcW w:w="386" w:type="pct"/>
            <w:hideMark/>
          </w:tcPr>
          <w:p w:rsidR="005622BF" w:rsidRPr="00BA1372" w:rsidRDefault="005622BF" w:rsidP="008740AA">
            <w:r w:rsidRPr="00BA1372">
              <w:t>1.0</w:t>
            </w:r>
          </w:p>
        </w:tc>
        <w:tc>
          <w:tcPr>
            <w:tcW w:w="471" w:type="pct"/>
            <w:hideMark/>
          </w:tcPr>
          <w:p w:rsidR="005622BF" w:rsidRPr="008740AA" w:rsidRDefault="005622BF" w:rsidP="008740AA">
            <w:pPr>
              <w:rPr>
                <w:b/>
              </w:rPr>
            </w:pPr>
            <w:r w:rsidRPr="008740AA">
              <w:rPr>
                <w:b/>
              </w:rPr>
              <w:t>0.6</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val="restart"/>
            <w:hideMark/>
          </w:tcPr>
          <w:p w:rsidR="005622BF" w:rsidRPr="00BA1372" w:rsidRDefault="005622BF" w:rsidP="008740AA">
            <w:r w:rsidRPr="00BA1372">
              <w:t>60/60</w:t>
            </w:r>
          </w:p>
        </w:tc>
        <w:tc>
          <w:tcPr>
            <w:tcW w:w="286" w:type="pct"/>
            <w:hideMark/>
          </w:tcPr>
          <w:p w:rsidR="005622BF" w:rsidRPr="00BA1372" w:rsidRDefault="005622BF" w:rsidP="008740AA">
            <w:r w:rsidRPr="00BA1372">
              <w:t>M</w:t>
            </w:r>
          </w:p>
        </w:tc>
        <w:tc>
          <w:tcPr>
            <w:tcW w:w="495" w:type="pct"/>
            <w:hideMark/>
          </w:tcPr>
          <w:p w:rsidR="005622BF" w:rsidRPr="00BA1372" w:rsidRDefault="005622BF" w:rsidP="008740AA">
            <w:r w:rsidRPr="00BA1372">
              <w:t>6.65</w:t>
            </w:r>
          </w:p>
        </w:tc>
        <w:tc>
          <w:tcPr>
            <w:tcW w:w="611" w:type="pct"/>
            <w:hideMark/>
          </w:tcPr>
          <w:p w:rsidR="005622BF" w:rsidRPr="00BA1372" w:rsidRDefault="005622BF" w:rsidP="008740AA">
            <w:r w:rsidRPr="00BA1372">
              <w:t>27.9</w:t>
            </w:r>
          </w:p>
        </w:tc>
        <w:tc>
          <w:tcPr>
            <w:tcW w:w="493" w:type="pct"/>
            <w:hideMark/>
          </w:tcPr>
          <w:p w:rsidR="005622BF" w:rsidRPr="00BA1372" w:rsidRDefault="005622BF" w:rsidP="008740AA">
            <w:r w:rsidRPr="00BA1372">
              <w:t>4.06</w:t>
            </w:r>
          </w:p>
        </w:tc>
        <w:tc>
          <w:tcPr>
            <w:tcW w:w="627" w:type="pct"/>
            <w:hideMark/>
          </w:tcPr>
          <w:p w:rsidR="005622BF" w:rsidRPr="00BA1372" w:rsidRDefault="005622BF" w:rsidP="008740AA">
            <w:r w:rsidRPr="00BA1372">
              <w:t>34.5</w:t>
            </w:r>
          </w:p>
        </w:tc>
        <w:tc>
          <w:tcPr>
            <w:tcW w:w="386" w:type="pct"/>
            <w:hideMark/>
          </w:tcPr>
          <w:p w:rsidR="005622BF" w:rsidRPr="00BA1372" w:rsidRDefault="005622BF" w:rsidP="008740AA">
            <w:r w:rsidRPr="00BA1372">
              <w:t>15.9</w:t>
            </w:r>
          </w:p>
        </w:tc>
        <w:tc>
          <w:tcPr>
            <w:tcW w:w="471" w:type="pct"/>
            <w:hideMark/>
          </w:tcPr>
          <w:p w:rsidR="005622BF" w:rsidRPr="008740AA" w:rsidRDefault="005622BF" w:rsidP="008740AA">
            <w:pPr>
              <w:rPr>
                <w:b/>
              </w:rPr>
            </w:pPr>
            <w:r w:rsidRPr="008740AA">
              <w:rPr>
                <w:b/>
              </w:rPr>
              <w:t>7.6</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hideMark/>
          </w:tcPr>
          <w:p w:rsidR="005622BF" w:rsidRPr="00BA1372" w:rsidRDefault="005622BF" w:rsidP="008740AA"/>
        </w:tc>
        <w:tc>
          <w:tcPr>
            <w:tcW w:w="286" w:type="pct"/>
            <w:hideMark/>
          </w:tcPr>
          <w:p w:rsidR="005622BF" w:rsidRPr="00BA1372" w:rsidRDefault="005622BF" w:rsidP="008740AA">
            <w:r w:rsidRPr="00BA1372">
              <w:t>F</w:t>
            </w:r>
          </w:p>
        </w:tc>
        <w:tc>
          <w:tcPr>
            <w:tcW w:w="495" w:type="pct"/>
            <w:hideMark/>
          </w:tcPr>
          <w:p w:rsidR="005622BF" w:rsidRPr="00BA1372" w:rsidRDefault="005622BF" w:rsidP="008740AA">
            <w:r w:rsidRPr="00BA1372">
              <w:t>10.8</w:t>
            </w:r>
          </w:p>
        </w:tc>
        <w:tc>
          <w:tcPr>
            <w:tcW w:w="611" w:type="pct"/>
            <w:hideMark/>
          </w:tcPr>
          <w:p w:rsidR="005622BF" w:rsidRPr="00BA1372" w:rsidRDefault="005622BF" w:rsidP="008740AA">
            <w:r w:rsidRPr="00BA1372">
              <w:t>54.9</w:t>
            </w:r>
          </w:p>
        </w:tc>
        <w:tc>
          <w:tcPr>
            <w:tcW w:w="493" w:type="pct"/>
            <w:hideMark/>
          </w:tcPr>
          <w:p w:rsidR="005622BF" w:rsidRPr="00BA1372" w:rsidRDefault="005622BF" w:rsidP="008740AA">
            <w:r w:rsidRPr="00BA1372">
              <w:t>5.16</w:t>
            </w:r>
          </w:p>
        </w:tc>
        <w:tc>
          <w:tcPr>
            <w:tcW w:w="627" w:type="pct"/>
            <w:hideMark/>
          </w:tcPr>
          <w:p w:rsidR="005622BF" w:rsidRPr="00BA1372" w:rsidRDefault="005622BF" w:rsidP="008740AA">
            <w:r w:rsidRPr="00BA1372">
              <w:t>35.6</w:t>
            </w:r>
          </w:p>
        </w:tc>
        <w:tc>
          <w:tcPr>
            <w:tcW w:w="386" w:type="pct"/>
            <w:hideMark/>
          </w:tcPr>
          <w:p w:rsidR="005622BF" w:rsidRPr="00BA1372" w:rsidRDefault="005622BF" w:rsidP="008740AA">
            <w:r w:rsidRPr="00BA1372">
              <w:t>25.8</w:t>
            </w:r>
          </w:p>
        </w:tc>
        <w:tc>
          <w:tcPr>
            <w:tcW w:w="471" w:type="pct"/>
            <w:hideMark/>
          </w:tcPr>
          <w:p w:rsidR="005622BF" w:rsidRPr="008740AA" w:rsidRDefault="005622BF" w:rsidP="008740AA">
            <w:pPr>
              <w:rPr>
                <w:b/>
              </w:rPr>
            </w:pPr>
            <w:r w:rsidRPr="008740AA">
              <w:rPr>
                <w:b/>
              </w:rPr>
              <w:t>14.9</w:t>
            </w:r>
          </w:p>
        </w:tc>
      </w:tr>
      <w:tr w:rsidR="005622BF" w:rsidRPr="00045817" w:rsidTr="008740AA">
        <w:trPr>
          <w:trHeight w:val="227"/>
        </w:trPr>
        <w:tc>
          <w:tcPr>
            <w:tcW w:w="886" w:type="pct"/>
            <w:vMerge w:val="restart"/>
            <w:hideMark/>
          </w:tcPr>
          <w:p w:rsidR="005622BF" w:rsidRPr="008740AA" w:rsidRDefault="005622BF" w:rsidP="008740AA">
            <w:pPr>
              <w:rPr>
                <w:b/>
              </w:rPr>
            </w:pPr>
            <w:r w:rsidRPr="008740AA">
              <w:rPr>
                <w:b/>
              </w:rPr>
              <w:t>Rat</w:t>
            </w:r>
          </w:p>
          <w:p w:rsidR="005622BF" w:rsidRPr="008740AA" w:rsidRDefault="005622BF" w:rsidP="008740AA">
            <w:pPr>
              <w:rPr>
                <w:b/>
              </w:rPr>
            </w:pPr>
            <w:r w:rsidRPr="008740AA">
              <w:rPr>
                <w:b/>
              </w:rPr>
              <w:t>1 month</w:t>
            </w:r>
          </w:p>
          <w:p w:rsidR="005622BF" w:rsidRPr="008740AA" w:rsidRDefault="005622BF" w:rsidP="008740AA">
            <w:pPr>
              <w:rPr>
                <w:b/>
              </w:rPr>
            </w:pPr>
            <w:proofErr w:type="spellStart"/>
            <w:r w:rsidRPr="008740AA">
              <w:rPr>
                <w:b/>
              </w:rPr>
              <w:t>Asunaprevir</w:t>
            </w:r>
            <w:proofErr w:type="spellEnd"/>
            <w:r w:rsidRPr="008740AA">
              <w:rPr>
                <w:b/>
              </w:rPr>
              <w:t xml:space="preserve"> and BMS-791325 (DM09003/DCN 930037771)</w:t>
            </w:r>
          </w:p>
        </w:tc>
        <w:tc>
          <w:tcPr>
            <w:tcW w:w="745" w:type="pct"/>
          </w:tcPr>
          <w:p w:rsidR="005622BF" w:rsidRPr="00BA1372" w:rsidRDefault="005622BF" w:rsidP="008740AA"/>
        </w:tc>
        <w:tc>
          <w:tcPr>
            <w:tcW w:w="286" w:type="pct"/>
          </w:tcPr>
          <w:p w:rsidR="005622BF" w:rsidRPr="00BA1372" w:rsidRDefault="005622BF" w:rsidP="008740AA"/>
        </w:tc>
        <w:tc>
          <w:tcPr>
            <w:tcW w:w="1106" w:type="pct"/>
            <w:gridSpan w:val="2"/>
          </w:tcPr>
          <w:p w:rsidR="005622BF" w:rsidRPr="008740AA" w:rsidRDefault="005622BF" w:rsidP="008740AA">
            <w:pPr>
              <w:rPr>
                <w:b/>
              </w:rPr>
            </w:pPr>
            <w:proofErr w:type="spellStart"/>
            <w:r w:rsidRPr="008740AA">
              <w:rPr>
                <w:b/>
              </w:rPr>
              <w:t>Asunaprevir</w:t>
            </w:r>
            <w:proofErr w:type="spellEnd"/>
          </w:p>
        </w:tc>
        <w:tc>
          <w:tcPr>
            <w:tcW w:w="1120" w:type="pct"/>
            <w:gridSpan w:val="2"/>
            <w:hideMark/>
          </w:tcPr>
          <w:p w:rsidR="005622BF" w:rsidRPr="008740AA" w:rsidRDefault="005622BF" w:rsidP="008740AA">
            <w:pPr>
              <w:rPr>
                <w:b/>
              </w:rPr>
            </w:pPr>
            <w:r w:rsidRPr="008740AA">
              <w:rPr>
                <w:b/>
              </w:rPr>
              <w:t>BMS-791325</w:t>
            </w:r>
          </w:p>
        </w:tc>
        <w:tc>
          <w:tcPr>
            <w:tcW w:w="857" w:type="pct"/>
            <w:gridSpan w:val="2"/>
          </w:tcPr>
          <w:p w:rsidR="005622BF" w:rsidRPr="008740AA" w:rsidRDefault="005622BF" w:rsidP="008740AA">
            <w:r w:rsidRPr="008740AA">
              <w:t>-</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val="restart"/>
            <w:hideMark/>
          </w:tcPr>
          <w:p w:rsidR="005622BF" w:rsidRPr="00BA1372" w:rsidRDefault="005622BF" w:rsidP="008740AA">
            <w:r w:rsidRPr="00BA1372">
              <w:t>30/15</w:t>
            </w:r>
          </w:p>
        </w:tc>
        <w:tc>
          <w:tcPr>
            <w:tcW w:w="286" w:type="pct"/>
            <w:hideMark/>
          </w:tcPr>
          <w:p w:rsidR="005622BF" w:rsidRPr="00BA1372" w:rsidRDefault="005622BF" w:rsidP="008740AA">
            <w:r w:rsidRPr="00BA1372">
              <w:t>M</w:t>
            </w:r>
          </w:p>
        </w:tc>
        <w:tc>
          <w:tcPr>
            <w:tcW w:w="495" w:type="pct"/>
            <w:hideMark/>
          </w:tcPr>
          <w:p w:rsidR="005622BF" w:rsidRPr="00BA1372" w:rsidRDefault="005622BF" w:rsidP="008740AA">
            <w:r w:rsidRPr="00BA1372">
              <w:t>0.704</w:t>
            </w:r>
          </w:p>
        </w:tc>
        <w:tc>
          <w:tcPr>
            <w:tcW w:w="611" w:type="pct"/>
            <w:hideMark/>
          </w:tcPr>
          <w:p w:rsidR="005622BF" w:rsidRPr="00BA1372" w:rsidRDefault="005622BF" w:rsidP="008740AA">
            <w:r w:rsidRPr="00BA1372">
              <w:t>4</w:t>
            </w:r>
          </w:p>
        </w:tc>
        <w:tc>
          <w:tcPr>
            <w:tcW w:w="493" w:type="pct"/>
            <w:hideMark/>
          </w:tcPr>
          <w:p w:rsidR="005622BF" w:rsidRPr="00BA1372" w:rsidRDefault="005622BF" w:rsidP="008740AA">
            <w:r w:rsidRPr="00BA1372">
              <w:t>5.76</w:t>
            </w:r>
          </w:p>
        </w:tc>
        <w:tc>
          <w:tcPr>
            <w:tcW w:w="627" w:type="pct"/>
            <w:hideMark/>
          </w:tcPr>
          <w:p w:rsidR="005622BF" w:rsidRPr="00BA1372" w:rsidRDefault="005622BF" w:rsidP="008740AA">
            <w:r w:rsidRPr="00BA1372">
              <w:t>59.6</w:t>
            </w:r>
          </w:p>
        </w:tc>
        <w:tc>
          <w:tcPr>
            <w:tcW w:w="386" w:type="pct"/>
            <w:hideMark/>
          </w:tcPr>
          <w:p w:rsidR="005622BF" w:rsidRPr="00BA1372" w:rsidRDefault="005622BF" w:rsidP="008740AA">
            <w:r w:rsidRPr="00BA1372">
              <w:t>1.7</w:t>
            </w:r>
          </w:p>
        </w:tc>
        <w:tc>
          <w:tcPr>
            <w:tcW w:w="471" w:type="pct"/>
            <w:hideMark/>
          </w:tcPr>
          <w:p w:rsidR="005622BF" w:rsidRPr="008740AA" w:rsidRDefault="005622BF" w:rsidP="008740AA">
            <w:pPr>
              <w:rPr>
                <w:b/>
              </w:rPr>
            </w:pPr>
            <w:r w:rsidRPr="008740AA">
              <w:rPr>
                <w:b/>
              </w:rPr>
              <w:t>1.1</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hideMark/>
          </w:tcPr>
          <w:p w:rsidR="005622BF" w:rsidRPr="00BA1372" w:rsidRDefault="005622BF" w:rsidP="008740AA"/>
        </w:tc>
        <w:tc>
          <w:tcPr>
            <w:tcW w:w="286" w:type="pct"/>
            <w:hideMark/>
          </w:tcPr>
          <w:p w:rsidR="005622BF" w:rsidRPr="00BA1372" w:rsidRDefault="005622BF" w:rsidP="008740AA">
            <w:r w:rsidRPr="00BA1372">
              <w:t>F</w:t>
            </w:r>
          </w:p>
        </w:tc>
        <w:tc>
          <w:tcPr>
            <w:tcW w:w="495" w:type="pct"/>
            <w:hideMark/>
          </w:tcPr>
          <w:p w:rsidR="005622BF" w:rsidRPr="00BA1372" w:rsidRDefault="005622BF" w:rsidP="008740AA">
            <w:r w:rsidRPr="00BA1372">
              <w:t>1.13</w:t>
            </w:r>
          </w:p>
        </w:tc>
        <w:tc>
          <w:tcPr>
            <w:tcW w:w="611" w:type="pct"/>
            <w:hideMark/>
          </w:tcPr>
          <w:p w:rsidR="005622BF" w:rsidRPr="00BA1372" w:rsidRDefault="005622BF" w:rsidP="008740AA">
            <w:r w:rsidRPr="00BA1372">
              <w:t>7.28</w:t>
            </w:r>
          </w:p>
        </w:tc>
        <w:tc>
          <w:tcPr>
            <w:tcW w:w="493" w:type="pct"/>
            <w:hideMark/>
          </w:tcPr>
          <w:p w:rsidR="005622BF" w:rsidRPr="00BA1372" w:rsidRDefault="005622BF" w:rsidP="008740AA">
            <w:r w:rsidRPr="00BA1372">
              <w:t>6.15</w:t>
            </w:r>
          </w:p>
        </w:tc>
        <w:tc>
          <w:tcPr>
            <w:tcW w:w="627" w:type="pct"/>
            <w:hideMark/>
          </w:tcPr>
          <w:p w:rsidR="005622BF" w:rsidRPr="00BA1372" w:rsidRDefault="005622BF" w:rsidP="008740AA">
            <w:r w:rsidRPr="00BA1372">
              <w:t>56.6</w:t>
            </w:r>
          </w:p>
        </w:tc>
        <w:tc>
          <w:tcPr>
            <w:tcW w:w="386" w:type="pct"/>
            <w:hideMark/>
          </w:tcPr>
          <w:p w:rsidR="005622BF" w:rsidRPr="00BA1372" w:rsidRDefault="005622BF" w:rsidP="008740AA">
            <w:r w:rsidRPr="00BA1372">
              <w:t>2.7</w:t>
            </w:r>
          </w:p>
        </w:tc>
        <w:tc>
          <w:tcPr>
            <w:tcW w:w="471" w:type="pct"/>
            <w:hideMark/>
          </w:tcPr>
          <w:p w:rsidR="005622BF" w:rsidRPr="008740AA" w:rsidRDefault="005622BF" w:rsidP="008740AA">
            <w:pPr>
              <w:rPr>
                <w:b/>
              </w:rPr>
            </w:pPr>
            <w:r w:rsidRPr="008740AA">
              <w:rPr>
                <w:b/>
              </w:rPr>
              <w:t>2.0</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val="restart"/>
            <w:hideMark/>
          </w:tcPr>
          <w:p w:rsidR="005622BF" w:rsidRPr="00BA1372" w:rsidRDefault="005622BF" w:rsidP="008740AA">
            <w:r w:rsidRPr="00BA1372">
              <w:t>60/30</w:t>
            </w:r>
          </w:p>
        </w:tc>
        <w:tc>
          <w:tcPr>
            <w:tcW w:w="286" w:type="pct"/>
            <w:hideMark/>
          </w:tcPr>
          <w:p w:rsidR="005622BF" w:rsidRPr="00BA1372" w:rsidRDefault="005622BF" w:rsidP="008740AA">
            <w:r w:rsidRPr="00BA1372">
              <w:t>M</w:t>
            </w:r>
          </w:p>
        </w:tc>
        <w:tc>
          <w:tcPr>
            <w:tcW w:w="495" w:type="pct"/>
            <w:hideMark/>
          </w:tcPr>
          <w:p w:rsidR="005622BF" w:rsidRPr="00BA1372" w:rsidRDefault="005622BF" w:rsidP="008740AA">
            <w:r w:rsidRPr="00BA1372">
              <w:t>7.68</w:t>
            </w:r>
          </w:p>
        </w:tc>
        <w:tc>
          <w:tcPr>
            <w:tcW w:w="611" w:type="pct"/>
            <w:hideMark/>
          </w:tcPr>
          <w:p w:rsidR="005622BF" w:rsidRPr="00BA1372" w:rsidRDefault="005622BF" w:rsidP="008740AA">
            <w:r w:rsidRPr="00BA1372">
              <w:t>61.6</w:t>
            </w:r>
          </w:p>
        </w:tc>
        <w:tc>
          <w:tcPr>
            <w:tcW w:w="493" w:type="pct"/>
            <w:hideMark/>
          </w:tcPr>
          <w:p w:rsidR="005622BF" w:rsidRPr="00BA1372" w:rsidRDefault="005622BF" w:rsidP="008740AA">
            <w:r w:rsidRPr="00BA1372">
              <w:t>15.5</w:t>
            </w:r>
          </w:p>
        </w:tc>
        <w:tc>
          <w:tcPr>
            <w:tcW w:w="627" w:type="pct"/>
            <w:hideMark/>
          </w:tcPr>
          <w:p w:rsidR="005622BF" w:rsidRPr="00BA1372" w:rsidRDefault="005622BF" w:rsidP="008740AA">
            <w:r w:rsidRPr="00BA1372">
              <w:t>191</w:t>
            </w:r>
          </w:p>
        </w:tc>
        <w:tc>
          <w:tcPr>
            <w:tcW w:w="386" w:type="pct"/>
            <w:hideMark/>
          </w:tcPr>
          <w:p w:rsidR="005622BF" w:rsidRPr="00BA1372" w:rsidRDefault="005622BF" w:rsidP="008740AA">
            <w:r w:rsidRPr="00BA1372">
              <w:t>18.3</w:t>
            </w:r>
          </w:p>
        </w:tc>
        <w:tc>
          <w:tcPr>
            <w:tcW w:w="471" w:type="pct"/>
            <w:hideMark/>
          </w:tcPr>
          <w:p w:rsidR="005622BF" w:rsidRPr="008740AA" w:rsidRDefault="005622BF" w:rsidP="008740AA">
            <w:pPr>
              <w:rPr>
                <w:b/>
              </w:rPr>
            </w:pPr>
            <w:r w:rsidRPr="008740AA">
              <w:rPr>
                <w:b/>
              </w:rPr>
              <w:t>16.7</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hideMark/>
          </w:tcPr>
          <w:p w:rsidR="005622BF" w:rsidRPr="00BA1372" w:rsidRDefault="005622BF" w:rsidP="008740AA"/>
        </w:tc>
        <w:tc>
          <w:tcPr>
            <w:tcW w:w="286" w:type="pct"/>
            <w:hideMark/>
          </w:tcPr>
          <w:p w:rsidR="005622BF" w:rsidRPr="00BA1372" w:rsidRDefault="005622BF" w:rsidP="008740AA">
            <w:r w:rsidRPr="00BA1372">
              <w:t>F</w:t>
            </w:r>
          </w:p>
        </w:tc>
        <w:tc>
          <w:tcPr>
            <w:tcW w:w="495" w:type="pct"/>
            <w:hideMark/>
          </w:tcPr>
          <w:p w:rsidR="005622BF" w:rsidRPr="00BA1372" w:rsidRDefault="005622BF" w:rsidP="008740AA">
            <w:r w:rsidRPr="00BA1372">
              <w:t>11</w:t>
            </w:r>
          </w:p>
        </w:tc>
        <w:tc>
          <w:tcPr>
            <w:tcW w:w="611" w:type="pct"/>
            <w:hideMark/>
          </w:tcPr>
          <w:p w:rsidR="005622BF" w:rsidRPr="00BA1372" w:rsidRDefault="005622BF" w:rsidP="008740AA">
            <w:r w:rsidRPr="00BA1372">
              <w:t>92.2</w:t>
            </w:r>
          </w:p>
        </w:tc>
        <w:tc>
          <w:tcPr>
            <w:tcW w:w="493" w:type="pct"/>
            <w:hideMark/>
          </w:tcPr>
          <w:p w:rsidR="005622BF" w:rsidRPr="00BA1372" w:rsidRDefault="005622BF" w:rsidP="008740AA">
            <w:r w:rsidRPr="00BA1372">
              <w:t>15.3</w:t>
            </w:r>
          </w:p>
        </w:tc>
        <w:tc>
          <w:tcPr>
            <w:tcW w:w="627" w:type="pct"/>
            <w:hideMark/>
          </w:tcPr>
          <w:p w:rsidR="005622BF" w:rsidRPr="00BA1372" w:rsidRDefault="005622BF" w:rsidP="008740AA">
            <w:r w:rsidRPr="00BA1372">
              <w:t>192</w:t>
            </w:r>
          </w:p>
        </w:tc>
        <w:tc>
          <w:tcPr>
            <w:tcW w:w="386" w:type="pct"/>
            <w:hideMark/>
          </w:tcPr>
          <w:p w:rsidR="005622BF" w:rsidRPr="00BA1372" w:rsidRDefault="005622BF" w:rsidP="008740AA">
            <w:r w:rsidRPr="00BA1372">
              <w:t>26.3</w:t>
            </w:r>
          </w:p>
        </w:tc>
        <w:tc>
          <w:tcPr>
            <w:tcW w:w="471" w:type="pct"/>
            <w:hideMark/>
          </w:tcPr>
          <w:p w:rsidR="005622BF" w:rsidRPr="008740AA" w:rsidRDefault="005622BF" w:rsidP="008740AA">
            <w:pPr>
              <w:rPr>
                <w:b/>
              </w:rPr>
            </w:pPr>
            <w:r w:rsidRPr="008740AA">
              <w:rPr>
                <w:b/>
              </w:rPr>
              <w:t>25.0</w:t>
            </w:r>
          </w:p>
        </w:tc>
      </w:tr>
      <w:tr w:rsidR="005622BF" w:rsidRPr="00045817" w:rsidTr="008740AA">
        <w:trPr>
          <w:trHeight w:val="227"/>
        </w:trPr>
        <w:tc>
          <w:tcPr>
            <w:tcW w:w="886" w:type="pct"/>
            <w:vMerge w:val="restart"/>
            <w:hideMark/>
          </w:tcPr>
          <w:p w:rsidR="005622BF" w:rsidRPr="008740AA" w:rsidRDefault="005622BF" w:rsidP="008740AA">
            <w:pPr>
              <w:rPr>
                <w:b/>
              </w:rPr>
            </w:pPr>
            <w:r w:rsidRPr="008740AA">
              <w:rPr>
                <w:b/>
              </w:rPr>
              <w:t>Monkey</w:t>
            </w:r>
          </w:p>
          <w:p w:rsidR="005622BF" w:rsidRPr="008740AA" w:rsidRDefault="005622BF" w:rsidP="008740AA">
            <w:pPr>
              <w:rPr>
                <w:b/>
              </w:rPr>
            </w:pPr>
            <w:r w:rsidRPr="008740AA">
              <w:rPr>
                <w:b/>
              </w:rPr>
              <w:t>1 month</w:t>
            </w:r>
          </w:p>
          <w:p w:rsidR="005622BF" w:rsidRPr="008740AA" w:rsidRDefault="005622BF" w:rsidP="008740AA">
            <w:pPr>
              <w:rPr>
                <w:b/>
              </w:rPr>
            </w:pPr>
            <w:proofErr w:type="spellStart"/>
            <w:r w:rsidRPr="008740AA">
              <w:rPr>
                <w:b/>
              </w:rPr>
              <w:t>Asunaprevir</w:t>
            </w:r>
            <w:proofErr w:type="spellEnd"/>
            <w:r w:rsidRPr="008740AA">
              <w:rPr>
                <w:b/>
              </w:rPr>
              <w:t xml:space="preserve"> and </w:t>
            </w:r>
            <w:proofErr w:type="spellStart"/>
            <w:r w:rsidRPr="008740AA">
              <w:rPr>
                <w:b/>
              </w:rPr>
              <w:t>Daclatasvir</w:t>
            </w:r>
            <w:proofErr w:type="spellEnd"/>
          </w:p>
          <w:p w:rsidR="005622BF" w:rsidRPr="008740AA" w:rsidRDefault="005622BF" w:rsidP="008740AA">
            <w:pPr>
              <w:rPr>
                <w:b/>
              </w:rPr>
            </w:pPr>
            <w:r w:rsidRPr="008740AA">
              <w:rPr>
                <w:b/>
              </w:rPr>
              <w:t>(DS08143/DCN 930035546)</w:t>
            </w:r>
          </w:p>
        </w:tc>
        <w:tc>
          <w:tcPr>
            <w:tcW w:w="745" w:type="pct"/>
          </w:tcPr>
          <w:p w:rsidR="005622BF" w:rsidRPr="00BA1372" w:rsidRDefault="005622BF" w:rsidP="008740AA"/>
        </w:tc>
        <w:tc>
          <w:tcPr>
            <w:tcW w:w="286" w:type="pct"/>
          </w:tcPr>
          <w:p w:rsidR="005622BF" w:rsidRPr="00BA1372" w:rsidRDefault="005622BF" w:rsidP="008740AA"/>
        </w:tc>
        <w:tc>
          <w:tcPr>
            <w:tcW w:w="1106" w:type="pct"/>
            <w:gridSpan w:val="2"/>
          </w:tcPr>
          <w:p w:rsidR="005622BF" w:rsidRPr="008740AA" w:rsidRDefault="005622BF" w:rsidP="008740AA">
            <w:pPr>
              <w:rPr>
                <w:b/>
              </w:rPr>
            </w:pPr>
            <w:proofErr w:type="spellStart"/>
            <w:r w:rsidRPr="008740AA">
              <w:rPr>
                <w:b/>
              </w:rPr>
              <w:t>Asunaprevir</w:t>
            </w:r>
            <w:proofErr w:type="spellEnd"/>
          </w:p>
        </w:tc>
        <w:tc>
          <w:tcPr>
            <w:tcW w:w="1120" w:type="pct"/>
            <w:gridSpan w:val="2"/>
            <w:hideMark/>
          </w:tcPr>
          <w:p w:rsidR="005622BF" w:rsidRPr="008740AA" w:rsidRDefault="005622BF" w:rsidP="008740AA">
            <w:pPr>
              <w:rPr>
                <w:b/>
              </w:rPr>
            </w:pPr>
            <w:proofErr w:type="spellStart"/>
            <w:r w:rsidRPr="008740AA">
              <w:rPr>
                <w:b/>
              </w:rPr>
              <w:t>Daclatasvir</w:t>
            </w:r>
            <w:proofErr w:type="spellEnd"/>
          </w:p>
        </w:tc>
        <w:tc>
          <w:tcPr>
            <w:tcW w:w="857" w:type="pct"/>
            <w:gridSpan w:val="2"/>
          </w:tcPr>
          <w:p w:rsidR="005622BF" w:rsidRPr="008740AA" w:rsidRDefault="005622BF" w:rsidP="008740AA">
            <w:r w:rsidRPr="008740AA">
              <w:t>-</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val="restart"/>
            <w:hideMark/>
          </w:tcPr>
          <w:p w:rsidR="005622BF" w:rsidRPr="00BA1372" w:rsidRDefault="005622BF" w:rsidP="008740AA">
            <w:r w:rsidRPr="00BA1372">
              <w:t>72/15</w:t>
            </w:r>
          </w:p>
        </w:tc>
        <w:tc>
          <w:tcPr>
            <w:tcW w:w="286" w:type="pct"/>
            <w:hideMark/>
          </w:tcPr>
          <w:p w:rsidR="005622BF" w:rsidRPr="00BA1372" w:rsidRDefault="005622BF" w:rsidP="008740AA">
            <w:r w:rsidRPr="00BA1372">
              <w:t>M</w:t>
            </w:r>
          </w:p>
        </w:tc>
        <w:tc>
          <w:tcPr>
            <w:tcW w:w="495" w:type="pct"/>
            <w:hideMark/>
          </w:tcPr>
          <w:p w:rsidR="005622BF" w:rsidRPr="00BA1372" w:rsidRDefault="005622BF" w:rsidP="008740AA">
            <w:r w:rsidRPr="00BA1372">
              <w:t>1.13</w:t>
            </w:r>
          </w:p>
        </w:tc>
        <w:tc>
          <w:tcPr>
            <w:tcW w:w="611" w:type="pct"/>
            <w:hideMark/>
          </w:tcPr>
          <w:p w:rsidR="005622BF" w:rsidRPr="00BA1372" w:rsidRDefault="005622BF" w:rsidP="008740AA">
            <w:r w:rsidRPr="00BA1372">
              <w:t>4.57</w:t>
            </w:r>
          </w:p>
        </w:tc>
        <w:tc>
          <w:tcPr>
            <w:tcW w:w="493" w:type="pct"/>
            <w:hideMark/>
          </w:tcPr>
          <w:p w:rsidR="005622BF" w:rsidRPr="00BA1372" w:rsidRDefault="005622BF" w:rsidP="008740AA">
            <w:r w:rsidRPr="00BA1372">
              <w:t>0.571</w:t>
            </w:r>
          </w:p>
        </w:tc>
        <w:tc>
          <w:tcPr>
            <w:tcW w:w="627" w:type="pct"/>
            <w:hideMark/>
          </w:tcPr>
          <w:p w:rsidR="005622BF" w:rsidRPr="00BA1372" w:rsidRDefault="005622BF" w:rsidP="008740AA">
            <w:r w:rsidRPr="00BA1372">
              <w:t>4.78</w:t>
            </w:r>
          </w:p>
        </w:tc>
        <w:tc>
          <w:tcPr>
            <w:tcW w:w="386" w:type="pct"/>
            <w:hideMark/>
          </w:tcPr>
          <w:p w:rsidR="005622BF" w:rsidRPr="00BA1372" w:rsidRDefault="005622BF" w:rsidP="008740AA">
            <w:r w:rsidRPr="00BA1372">
              <w:t>2.7</w:t>
            </w:r>
          </w:p>
        </w:tc>
        <w:tc>
          <w:tcPr>
            <w:tcW w:w="471" w:type="pct"/>
            <w:hideMark/>
          </w:tcPr>
          <w:p w:rsidR="005622BF" w:rsidRPr="008740AA" w:rsidRDefault="005622BF" w:rsidP="008740AA">
            <w:pPr>
              <w:rPr>
                <w:b/>
              </w:rPr>
            </w:pPr>
            <w:r w:rsidRPr="008740AA">
              <w:rPr>
                <w:b/>
              </w:rPr>
              <w:t>1.2</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tcPr>
          <w:p w:rsidR="005622BF" w:rsidRPr="00BA1372" w:rsidRDefault="005622BF" w:rsidP="008740AA"/>
        </w:tc>
        <w:tc>
          <w:tcPr>
            <w:tcW w:w="286" w:type="pct"/>
            <w:hideMark/>
          </w:tcPr>
          <w:p w:rsidR="005622BF" w:rsidRPr="00BA1372" w:rsidRDefault="005622BF" w:rsidP="008740AA">
            <w:r w:rsidRPr="00BA1372">
              <w:t>F</w:t>
            </w:r>
          </w:p>
        </w:tc>
        <w:tc>
          <w:tcPr>
            <w:tcW w:w="495" w:type="pct"/>
            <w:hideMark/>
          </w:tcPr>
          <w:p w:rsidR="005622BF" w:rsidRPr="00BA1372" w:rsidRDefault="005622BF" w:rsidP="008740AA">
            <w:r w:rsidRPr="00BA1372">
              <w:t>2.37</w:t>
            </w:r>
          </w:p>
        </w:tc>
        <w:tc>
          <w:tcPr>
            <w:tcW w:w="611" w:type="pct"/>
            <w:hideMark/>
          </w:tcPr>
          <w:p w:rsidR="005622BF" w:rsidRPr="00BA1372" w:rsidRDefault="005622BF" w:rsidP="008740AA">
            <w:r w:rsidRPr="00BA1372">
              <w:t>7.77</w:t>
            </w:r>
          </w:p>
        </w:tc>
        <w:tc>
          <w:tcPr>
            <w:tcW w:w="493" w:type="pct"/>
            <w:hideMark/>
          </w:tcPr>
          <w:p w:rsidR="005622BF" w:rsidRPr="00BA1372" w:rsidRDefault="005622BF" w:rsidP="008740AA">
            <w:r w:rsidRPr="00BA1372">
              <w:t>0.57</w:t>
            </w:r>
          </w:p>
        </w:tc>
        <w:tc>
          <w:tcPr>
            <w:tcW w:w="627" w:type="pct"/>
            <w:hideMark/>
          </w:tcPr>
          <w:p w:rsidR="005622BF" w:rsidRPr="00BA1372" w:rsidRDefault="005622BF" w:rsidP="008740AA">
            <w:r w:rsidRPr="00BA1372">
              <w:t>5.43</w:t>
            </w:r>
          </w:p>
        </w:tc>
        <w:tc>
          <w:tcPr>
            <w:tcW w:w="386" w:type="pct"/>
            <w:hideMark/>
          </w:tcPr>
          <w:p w:rsidR="005622BF" w:rsidRPr="00BA1372" w:rsidRDefault="005622BF" w:rsidP="008740AA">
            <w:r w:rsidRPr="00BA1372">
              <w:t>5.7</w:t>
            </w:r>
          </w:p>
        </w:tc>
        <w:tc>
          <w:tcPr>
            <w:tcW w:w="471" w:type="pct"/>
            <w:hideMark/>
          </w:tcPr>
          <w:p w:rsidR="005622BF" w:rsidRPr="008740AA" w:rsidRDefault="005622BF" w:rsidP="008740AA">
            <w:pPr>
              <w:rPr>
                <w:b/>
              </w:rPr>
            </w:pPr>
            <w:r w:rsidRPr="008740AA">
              <w:rPr>
                <w:b/>
              </w:rPr>
              <w:t>2.1</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val="restart"/>
            <w:hideMark/>
          </w:tcPr>
          <w:p w:rsidR="005622BF" w:rsidRPr="00BA1372" w:rsidRDefault="005622BF" w:rsidP="008740AA">
            <w:r w:rsidRPr="00BA1372">
              <w:t>129.5/50</w:t>
            </w:r>
          </w:p>
        </w:tc>
        <w:tc>
          <w:tcPr>
            <w:tcW w:w="286" w:type="pct"/>
            <w:hideMark/>
          </w:tcPr>
          <w:p w:rsidR="005622BF" w:rsidRPr="00BA1372" w:rsidRDefault="005622BF" w:rsidP="008740AA">
            <w:r w:rsidRPr="00BA1372">
              <w:t>M</w:t>
            </w:r>
          </w:p>
        </w:tc>
        <w:tc>
          <w:tcPr>
            <w:tcW w:w="495" w:type="pct"/>
            <w:hideMark/>
          </w:tcPr>
          <w:p w:rsidR="005622BF" w:rsidRPr="00BA1372" w:rsidRDefault="005622BF" w:rsidP="008740AA">
            <w:r w:rsidRPr="00BA1372">
              <w:t>9.64</w:t>
            </w:r>
          </w:p>
        </w:tc>
        <w:tc>
          <w:tcPr>
            <w:tcW w:w="611" w:type="pct"/>
            <w:hideMark/>
          </w:tcPr>
          <w:p w:rsidR="005622BF" w:rsidRPr="00BA1372" w:rsidRDefault="005622BF" w:rsidP="008740AA">
            <w:r w:rsidRPr="00BA1372">
              <w:t>73.9</w:t>
            </w:r>
          </w:p>
        </w:tc>
        <w:tc>
          <w:tcPr>
            <w:tcW w:w="493" w:type="pct"/>
            <w:hideMark/>
          </w:tcPr>
          <w:p w:rsidR="005622BF" w:rsidRPr="00BA1372" w:rsidRDefault="005622BF" w:rsidP="008740AA">
            <w:r w:rsidRPr="00BA1372">
              <w:t>2.65</w:t>
            </w:r>
          </w:p>
        </w:tc>
        <w:tc>
          <w:tcPr>
            <w:tcW w:w="627" w:type="pct"/>
            <w:hideMark/>
          </w:tcPr>
          <w:p w:rsidR="005622BF" w:rsidRPr="00BA1372" w:rsidRDefault="005622BF" w:rsidP="008740AA">
            <w:r w:rsidRPr="00BA1372">
              <w:t>36.8</w:t>
            </w:r>
          </w:p>
        </w:tc>
        <w:tc>
          <w:tcPr>
            <w:tcW w:w="386" w:type="pct"/>
            <w:hideMark/>
          </w:tcPr>
          <w:p w:rsidR="005622BF" w:rsidRPr="00BA1372" w:rsidRDefault="005622BF" w:rsidP="008740AA">
            <w:r w:rsidRPr="00BA1372">
              <w:t>23.0</w:t>
            </w:r>
          </w:p>
        </w:tc>
        <w:tc>
          <w:tcPr>
            <w:tcW w:w="471" w:type="pct"/>
            <w:hideMark/>
          </w:tcPr>
          <w:p w:rsidR="005622BF" w:rsidRPr="008740AA" w:rsidRDefault="005622BF" w:rsidP="008740AA">
            <w:pPr>
              <w:rPr>
                <w:b/>
              </w:rPr>
            </w:pPr>
            <w:r w:rsidRPr="008740AA">
              <w:rPr>
                <w:b/>
              </w:rPr>
              <w:t>20.0</w:t>
            </w:r>
          </w:p>
        </w:tc>
      </w:tr>
      <w:tr w:rsidR="005622BF" w:rsidRPr="00045817" w:rsidTr="008740AA">
        <w:trPr>
          <w:trHeight w:val="227"/>
        </w:trPr>
        <w:tc>
          <w:tcPr>
            <w:tcW w:w="886" w:type="pct"/>
            <w:vMerge/>
          </w:tcPr>
          <w:p w:rsidR="005622BF" w:rsidRPr="008740AA" w:rsidRDefault="005622BF" w:rsidP="008740AA">
            <w:pPr>
              <w:rPr>
                <w:b/>
              </w:rPr>
            </w:pPr>
          </w:p>
        </w:tc>
        <w:tc>
          <w:tcPr>
            <w:tcW w:w="745" w:type="pct"/>
            <w:vMerge/>
          </w:tcPr>
          <w:p w:rsidR="005622BF" w:rsidRPr="00BA1372" w:rsidRDefault="005622BF" w:rsidP="008740AA"/>
        </w:tc>
        <w:tc>
          <w:tcPr>
            <w:tcW w:w="286" w:type="pct"/>
            <w:hideMark/>
          </w:tcPr>
          <w:p w:rsidR="005622BF" w:rsidRPr="00BA1372" w:rsidRDefault="005622BF" w:rsidP="008740AA">
            <w:r w:rsidRPr="00BA1372">
              <w:t>F</w:t>
            </w:r>
          </w:p>
        </w:tc>
        <w:tc>
          <w:tcPr>
            <w:tcW w:w="495" w:type="pct"/>
            <w:hideMark/>
          </w:tcPr>
          <w:p w:rsidR="005622BF" w:rsidRPr="00BA1372" w:rsidRDefault="005622BF" w:rsidP="008740AA">
            <w:r w:rsidRPr="00BA1372">
              <w:t>10</w:t>
            </w:r>
          </w:p>
        </w:tc>
        <w:tc>
          <w:tcPr>
            <w:tcW w:w="611" w:type="pct"/>
            <w:hideMark/>
          </w:tcPr>
          <w:p w:rsidR="005622BF" w:rsidRPr="00BA1372" w:rsidRDefault="005622BF" w:rsidP="008740AA">
            <w:r w:rsidRPr="00BA1372">
              <w:t>60.2</w:t>
            </w:r>
          </w:p>
        </w:tc>
        <w:tc>
          <w:tcPr>
            <w:tcW w:w="493" w:type="pct"/>
            <w:hideMark/>
          </w:tcPr>
          <w:p w:rsidR="005622BF" w:rsidRPr="00BA1372" w:rsidRDefault="005622BF" w:rsidP="008740AA">
            <w:r w:rsidRPr="00BA1372">
              <w:t>3.18</w:t>
            </w:r>
          </w:p>
        </w:tc>
        <w:tc>
          <w:tcPr>
            <w:tcW w:w="627" w:type="pct"/>
            <w:hideMark/>
          </w:tcPr>
          <w:p w:rsidR="005622BF" w:rsidRPr="00BA1372" w:rsidRDefault="005622BF" w:rsidP="008740AA">
            <w:r w:rsidRPr="00BA1372">
              <w:t>35.2</w:t>
            </w:r>
          </w:p>
        </w:tc>
        <w:tc>
          <w:tcPr>
            <w:tcW w:w="386" w:type="pct"/>
            <w:hideMark/>
          </w:tcPr>
          <w:p w:rsidR="005622BF" w:rsidRPr="00BA1372" w:rsidRDefault="005622BF" w:rsidP="008740AA">
            <w:r w:rsidRPr="00BA1372">
              <w:t>23.9</w:t>
            </w:r>
          </w:p>
        </w:tc>
        <w:tc>
          <w:tcPr>
            <w:tcW w:w="471" w:type="pct"/>
            <w:hideMark/>
          </w:tcPr>
          <w:p w:rsidR="005622BF" w:rsidRPr="008740AA" w:rsidRDefault="005622BF" w:rsidP="008740AA">
            <w:pPr>
              <w:rPr>
                <w:b/>
              </w:rPr>
            </w:pPr>
            <w:r w:rsidRPr="008740AA">
              <w:rPr>
                <w:b/>
              </w:rPr>
              <w:t>16.3</w:t>
            </w:r>
          </w:p>
        </w:tc>
      </w:tr>
      <w:tr w:rsidR="005622BF" w:rsidRPr="00045817" w:rsidTr="008740AA">
        <w:trPr>
          <w:trHeight w:val="227"/>
        </w:trPr>
        <w:tc>
          <w:tcPr>
            <w:tcW w:w="886" w:type="pct"/>
            <w:vMerge w:val="restart"/>
            <w:hideMark/>
          </w:tcPr>
          <w:p w:rsidR="005622BF" w:rsidRPr="008740AA" w:rsidRDefault="005622BF" w:rsidP="008740AA">
            <w:pPr>
              <w:rPr>
                <w:b/>
              </w:rPr>
            </w:pPr>
            <w:r w:rsidRPr="008740AA">
              <w:rPr>
                <w:b/>
              </w:rPr>
              <w:t>Monkey</w:t>
            </w:r>
          </w:p>
          <w:p w:rsidR="005622BF" w:rsidRPr="008740AA" w:rsidRDefault="005622BF" w:rsidP="008740AA">
            <w:pPr>
              <w:rPr>
                <w:b/>
              </w:rPr>
            </w:pPr>
            <w:r w:rsidRPr="008740AA">
              <w:rPr>
                <w:b/>
              </w:rPr>
              <w:lastRenderedPageBreak/>
              <w:t>3 months</w:t>
            </w:r>
          </w:p>
          <w:p w:rsidR="005622BF" w:rsidRPr="008740AA" w:rsidRDefault="005622BF" w:rsidP="008740AA">
            <w:pPr>
              <w:rPr>
                <w:b/>
              </w:rPr>
            </w:pPr>
            <w:proofErr w:type="spellStart"/>
            <w:r w:rsidRPr="008740AA">
              <w:rPr>
                <w:b/>
              </w:rPr>
              <w:t>Asunaprevir</w:t>
            </w:r>
            <w:proofErr w:type="spellEnd"/>
            <w:r w:rsidRPr="008740AA">
              <w:rPr>
                <w:b/>
              </w:rPr>
              <w:t xml:space="preserve"> and </w:t>
            </w:r>
            <w:proofErr w:type="spellStart"/>
            <w:r w:rsidRPr="008740AA">
              <w:rPr>
                <w:b/>
              </w:rPr>
              <w:t>Daclatasvir</w:t>
            </w:r>
            <w:proofErr w:type="spellEnd"/>
          </w:p>
          <w:p w:rsidR="005622BF" w:rsidRPr="008740AA" w:rsidRDefault="005622BF" w:rsidP="008740AA">
            <w:pPr>
              <w:rPr>
                <w:b/>
              </w:rPr>
            </w:pPr>
            <w:r w:rsidRPr="008740AA">
              <w:rPr>
                <w:b/>
              </w:rPr>
              <w:t>(DM09008/DCN 930039780)</w:t>
            </w:r>
          </w:p>
        </w:tc>
        <w:tc>
          <w:tcPr>
            <w:tcW w:w="745" w:type="pct"/>
          </w:tcPr>
          <w:p w:rsidR="005622BF" w:rsidRPr="00BA1372" w:rsidRDefault="005622BF" w:rsidP="008740AA"/>
        </w:tc>
        <w:tc>
          <w:tcPr>
            <w:tcW w:w="286" w:type="pct"/>
          </w:tcPr>
          <w:p w:rsidR="005622BF" w:rsidRPr="00BA1372" w:rsidRDefault="005622BF" w:rsidP="008740AA"/>
        </w:tc>
        <w:tc>
          <w:tcPr>
            <w:tcW w:w="1106" w:type="pct"/>
            <w:gridSpan w:val="2"/>
          </w:tcPr>
          <w:p w:rsidR="005622BF" w:rsidRPr="008740AA" w:rsidRDefault="005622BF" w:rsidP="008740AA">
            <w:pPr>
              <w:rPr>
                <w:b/>
              </w:rPr>
            </w:pPr>
            <w:proofErr w:type="spellStart"/>
            <w:r w:rsidRPr="008740AA">
              <w:rPr>
                <w:b/>
              </w:rPr>
              <w:t>Asunaprevir</w:t>
            </w:r>
            <w:proofErr w:type="spellEnd"/>
          </w:p>
        </w:tc>
        <w:tc>
          <w:tcPr>
            <w:tcW w:w="1120" w:type="pct"/>
            <w:gridSpan w:val="2"/>
            <w:hideMark/>
          </w:tcPr>
          <w:p w:rsidR="005622BF" w:rsidRPr="008740AA" w:rsidRDefault="005622BF" w:rsidP="008740AA">
            <w:pPr>
              <w:rPr>
                <w:b/>
              </w:rPr>
            </w:pPr>
            <w:proofErr w:type="spellStart"/>
            <w:r w:rsidRPr="008740AA">
              <w:rPr>
                <w:b/>
              </w:rPr>
              <w:t>Daclatasvir</w:t>
            </w:r>
            <w:proofErr w:type="spellEnd"/>
          </w:p>
        </w:tc>
        <w:tc>
          <w:tcPr>
            <w:tcW w:w="857" w:type="pct"/>
            <w:gridSpan w:val="2"/>
          </w:tcPr>
          <w:p w:rsidR="005622BF" w:rsidRPr="008740AA" w:rsidRDefault="005622BF" w:rsidP="008740AA">
            <w:r w:rsidRPr="008740AA">
              <w:t>-</w:t>
            </w:r>
          </w:p>
        </w:tc>
      </w:tr>
      <w:tr w:rsidR="005622BF" w:rsidRPr="00045817" w:rsidTr="008740AA">
        <w:trPr>
          <w:trHeight w:val="227"/>
        </w:trPr>
        <w:tc>
          <w:tcPr>
            <w:tcW w:w="886" w:type="pct"/>
            <w:vMerge/>
          </w:tcPr>
          <w:p w:rsidR="005622BF" w:rsidRPr="00BA1372" w:rsidRDefault="005622BF" w:rsidP="008740AA"/>
        </w:tc>
        <w:tc>
          <w:tcPr>
            <w:tcW w:w="745" w:type="pct"/>
            <w:vMerge w:val="restart"/>
            <w:hideMark/>
          </w:tcPr>
          <w:p w:rsidR="005622BF" w:rsidRPr="00BA1372" w:rsidRDefault="005622BF" w:rsidP="008740AA">
            <w:r w:rsidRPr="00BA1372">
              <w:t>45/15</w:t>
            </w:r>
          </w:p>
        </w:tc>
        <w:tc>
          <w:tcPr>
            <w:tcW w:w="286" w:type="pct"/>
            <w:hideMark/>
          </w:tcPr>
          <w:p w:rsidR="005622BF" w:rsidRPr="00BA1372" w:rsidRDefault="005622BF" w:rsidP="008740AA">
            <w:r w:rsidRPr="00BA1372">
              <w:t>M</w:t>
            </w:r>
          </w:p>
        </w:tc>
        <w:tc>
          <w:tcPr>
            <w:tcW w:w="495" w:type="pct"/>
            <w:hideMark/>
          </w:tcPr>
          <w:p w:rsidR="005622BF" w:rsidRPr="00BA1372" w:rsidRDefault="005622BF" w:rsidP="008740AA">
            <w:r w:rsidRPr="00BA1372">
              <w:t>0.919</w:t>
            </w:r>
          </w:p>
        </w:tc>
        <w:tc>
          <w:tcPr>
            <w:tcW w:w="611" w:type="pct"/>
            <w:hideMark/>
          </w:tcPr>
          <w:p w:rsidR="005622BF" w:rsidRPr="00BA1372" w:rsidRDefault="005622BF" w:rsidP="008740AA">
            <w:r w:rsidRPr="00BA1372">
              <w:t>2.8</w:t>
            </w:r>
          </w:p>
        </w:tc>
        <w:tc>
          <w:tcPr>
            <w:tcW w:w="493" w:type="pct"/>
            <w:hideMark/>
          </w:tcPr>
          <w:p w:rsidR="005622BF" w:rsidRPr="00BA1372" w:rsidRDefault="005622BF" w:rsidP="008740AA">
            <w:r w:rsidRPr="00BA1372">
              <w:t>0.556</w:t>
            </w:r>
          </w:p>
        </w:tc>
        <w:tc>
          <w:tcPr>
            <w:tcW w:w="627" w:type="pct"/>
            <w:hideMark/>
          </w:tcPr>
          <w:p w:rsidR="005622BF" w:rsidRPr="00BA1372" w:rsidRDefault="005622BF" w:rsidP="008740AA">
            <w:r w:rsidRPr="00BA1372">
              <w:t>4.19</w:t>
            </w:r>
          </w:p>
        </w:tc>
        <w:tc>
          <w:tcPr>
            <w:tcW w:w="386" w:type="pct"/>
            <w:hideMark/>
          </w:tcPr>
          <w:p w:rsidR="005622BF" w:rsidRPr="00BA1372" w:rsidRDefault="005622BF" w:rsidP="008740AA">
            <w:r w:rsidRPr="00BA1372">
              <w:t>2.2</w:t>
            </w:r>
          </w:p>
        </w:tc>
        <w:tc>
          <w:tcPr>
            <w:tcW w:w="471" w:type="pct"/>
            <w:hideMark/>
          </w:tcPr>
          <w:p w:rsidR="005622BF" w:rsidRPr="008740AA" w:rsidRDefault="005622BF" w:rsidP="008740AA">
            <w:pPr>
              <w:rPr>
                <w:b/>
              </w:rPr>
            </w:pPr>
            <w:r w:rsidRPr="008740AA">
              <w:rPr>
                <w:b/>
              </w:rPr>
              <w:t>0.8</w:t>
            </w:r>
          </w:p>
        </w:tc>
      </w:tr>
      <w:tr w:rsidR="005622BF" w:rsidRPr="00045817" w:rsidTr="008740AA">
        <w:trPr>
          <w:trHeight w:val="227"/>
        </w:trPr>
        <w:tc>
          <w:tcPr>
            <w:tcW w:w="886" w:type="pct"/>
            <w:vMerge/>
          </w:tcPr>
          <w:p w:rsidR="005622BF" w:rsidRPr="00BA1372" w:rsidRDefault="005622BF" w:rsidP="008740AA"/>
        </w:tc>
        <w:tc>
          <w:tcPr>
            <w:tcW w:w="745" w:type="pct"/>
            <w:vMerge/>
          </w:tcPr>
          <w:p w:rsidR="005622BF" w:rsidRPr="00BA1372" w:rsidRDefault="005622BF" w:rsidP="008740AA"/>
        </w:tc>
        <w:tc>
          <w:tcPr>
            <w:tcW w:w="286" w:type="pct"/>
            <w:hideMark/>
          </w:tcPr>
          <w:p w:rsidR="005622BF" w:rsidRPr="00BA1372" w:rsidRDefault="005622BF" w:rsidP="008740AA">
            <w:r w:rsidRPr="00BA1372">
              <w:t>F</w:t>
            </w:r>
          </w:p>
        </w:tc>
        <w:tc>
          <w:tcPr>
            <w:tcW w:w="495" w:type="pct"/>
            <w:hideMark/>
          </w:tcPr>
          <w:p w:rsidR="005622BF" w:rsidRPr="00BA1372" w:rsidRDefault="005622BF" w:rsidP="008740AA">
            <w:r w:rsidRPr="00BA1372">
              <w:t>1.11</w:t>
            </w:r>
          </w:p>
        </w:tc>
        <w:tc>
          <w:tcPr>
            <w:tcW w:w="611" w:type="pct"/>
            <w:hideMark/>
          </w:tcPr>
          <w:p w:rsidR="005622BF" w:rsidRPr="00BA1372" w:rsidRDefault="005622BF" w:rsidP="008740AA">
            <w:r w:rsidRPr="00BA1372">
              <w:t>2.87</w:t>
            </w:r>
          </w:p>
        </w:tc>
        <w:tc>
          <w:tcPr>
            <w:tcW w:w="493" w:type="pct"/>
            <w:hideMark/>
          </w:tcPr>
          <w:p w:rsidR="005622BF" w:rsidRPr="00BA1372" w:rsidRDefault="005622BF" w:rsidP="008740AA">
            <w:r w:rsidRPr="00BA1372">
              <w:t>0.476</w:t>
            </w:r>
          </w:p>
        </w:tc>
        <w:tc>
          <w:tcPr>
            <w:tcW w:w="627" w:type="pct"/>
            <w:hideMark/>
          </w:tcPr>
          <w:p w:rsidR="005622BF" w:rsidRPr="00BA1372" w:rsidRDefault="005622BF" w:rsidP="008740AA">
            <w:r w:rsidRPr="00BA1372">
              <w:t>3.69</w:t>
            </w:r>
          </w:p>
        </w:tc>
        <w:tc>
          <w:tcPr>
            <w:tcW w:w="386" w:type="pct"/>
            <w:hideMark/>
          </w:tcPr>
          <w:p w:rsidR="005622BF" w:rsidRPr="00BA1372" w:rsidRDefault="005622BF" w:rsidP="008740AA">
            <w:r w:rsidRPr="00BA1372">
              <w:t>2.6</w:t>
            </w:r>
          </w:p>
        </w:tc>
        <w:tc>
          <w:tcPr>
            <w:tcW w:w="471" w:type="pct"/>
            <w:hideMark/>
          </w:tcPr>
          <w:p w:rsidR="005622BF" w:rsidRPr="008740AA" w:rsidRDefault="005622BF" w:rsidP="008740AA">
            <w:pPr>
              <w:rPr>
                <w:b/>
              </w:rPr>
            </w:pPr>
            <w:r w:rsidRPr="008740AA">
              <w:rPr>
                <w:b/>
              </w:rPr>
              <w:t>0.8</w:t>
            </w:r>
          </w:p>
        </w:tc>
      </w:tr>
      <w:tr w:rsidR="005622BF" w:rsidRPr="00045817" w:rsidTr="008740AA">
        <w:trPr>
          <w:trHeight w:val="227"/>
        </w:trPr>
        <w:tc>
          <w:tcPr>
            <w:tcW w:w="886" w:type="pct"/>
            <w:vMerge/>
          </w:tcPr>
          <w:p w:rsidR="005622BF" w:rsidRPr="00BA1372" w:rsidRDefault="005622BF" w:rsidP="008740AA"/>
        </w:tc>
        <w:tc>
          <w:tcPr>
            <w:tcW w:w="745" w:type="pct"/>
            <w:vMerge w:val="restart"/>
            <w:hideMark/>
          </w:tcPr>
          <w:p w:rsidR="005622BF" w:rsidRPr="00BA1372" w:rsidRDefault="005622BF" w:rsidP="008740AA">
            <w:r w:rsidRPr="00BA1372">
              <w:t>80/50</w:t>
            </w:r>
          </w:p>
        </w:tc>
        <w:tc>
          <w:tcPr>
            <w:tcW w:w="286" w:type="pct"/>
            <w:hideMark/>
          </w:tcPr>
          <w:p w:rsidR="005622BF" w:rsidRPr="00BA1372" w:rsidRDefault="005622BF" w:rsidP="008740AA">
            <w:r w:rsidRPr="00BA1372">
              <w:t>M</w:t>
            </w:r>
          </w:p>
        </w:tc>
        <w:tc>
          <w:tcPr>
            <w:tcW w:w="495" w:type="pct"/>
            <w:hideMark/>
          </w:tcPr>
          <w:p w:rsidR="005622BF" w:rsidRPr="00BA1372" w:rsidRDefault="005622BF" w:rsidP="008740AA">
            <w:r w:rsidRPr="00BA1372">
              <w:t>6.42</w:t>
            </w:r>
          </w:p>
        </w:tc>
        <w:tc>
          <w:tcPr>
            <w:tcW w:w="611" w:type="pct"/>
            <w:hideMark/>
          </w:tcPr>
          <w:p w:rsidR="005622BF" w:rsidRPr="00BA1372" w:rsidRDefault="005622BF" w:rsidP="008740AA">
            <w:r w:rsidRPr="00BA1372">
              <w:t>31.7</w:t>
            </w:r>
          </w:p>
        </w:tc>
        <w:tc>
          <w:tcPr>
            <w:tcW w:w="493" w:type="pct"/>
            <w:hideMark/>
          </w:tcPr>
          <w:p w:rsidR="005622BF" w:rsidRPr="00BA1372" w:rsidRDefault="005622BF" w:rsidP="008740AA">
            <w:r w:rsidRPr="00BA1372">
              <w:t>2.67</w:t>
            </w:r>
          </w:p>
        </w:tc>
        <w:tc>
          <w:tcPr>
            <w:tcW w:w="627" w:type="pct"/>
            <w:hideMark/>
          </w:tcPr>
          <w:p w:rsidR="005622BF" w:rsidRPr="00BA1372" w:rsidRDefault="005622BF" w:rsidP="008740AA">
            <w:r w:rsidRPr="00BA1372">
              <w:t>29.4</w:t>
            </w:r>
          </w:p>
        </w:tc>
        <w:tc>
          <w:tcPr>
            <w:tcW w:w="386" w:type="pct"/>
            <w:hideMark/>
          </w:tcPr>
          <w:p w:rsidR="005622BF" w:rsidRPr="00BA1372" w:rsidRDefault="005622BF" w:rsidP="008740AA">
            <w:r w:rsidRPr="00BA1372">
              <w:t>15.3</w:t>
            </w:r>
          </w:p>
        </w:tc>
        <w:tc>
          <w:tcPr>
            <w:tcW w:w="471" w:type="pct"/>
            <w:hideMark/>
          </w:tcPr>
          <w:p w:rsidR="005622BF" w:rsidRPr="008740AA" w:rsidRDefault="005622BF" w:rsidP="008740AA">
            <w:pPr>
              <w:rPr>
                <w:b/>
              </w:rPr>
            </w:pPr>
            <w:r w:rsidRPr="008740AA">
              <w:rPr>
                <w:b/>
              </w:rPr>
              <w:t>8.6</w:t>
            </w:r>
          </w:p>
        </w:tc>
      </w:tr>
      <w:tr w:rsidR="005622BF" w:rsidRPr="00045817" w:rsidTr="008740AA">
        <w:trPr>
          <w:trHeight w:val="227"/>
        </w:trPr>
        <w:tc>
          <w:tcPr>
            <w:tcW w:w="886" w:type="pct"/>
            <w:vMerge/>
          </w:tcPr>
          <w:p w:rsidR="005622BF" w:rsidRPr="00BA1372" w:rsidRDefault="005622BF" w:rsidP="008740AA"/>
        </w:tc>
        <w:tc>
          <w:tcPr>
            <w:tcW w:w="745" w:type="pct"/>
            <w:vMerge/>
          </w:tcPr>
          <w:p w:rsidR="005622BF" w:rsidRPr="00BA1372" w:rsidRDefault="005622BF" w:rsidP="008740AA"/>
        </w:tc>
        <w:tc>
          <w:tcPr>
            <w:tcW w:w="286" w:type="pct"/>
            <w:hideMark/>
          </w:tcPr>
          <w:p w:rsidR="005622BF" w:rsidRPr="00BA1372" w:rsidRDefault="005622BF" w:rsidP="008740AA">
            <w:r w:rsidRPr="00BA1372">
              <w:t>F</w:t>
            </w:r>
          </w:p>
        </w:tc>
        <w:tc>
          <w:tcPr>
            <w:tcW w:w="495" w:type="pct"/>
            <w:hideMark/>
          </w:tcPr>
          <w:p w:rsidR="005622BF" w:rsidRPr="00BA1372" w:rsidRDefault="005622BF" w:rsidP="008740AA">
            <w:r w:rsidRPr="00BA1372">
              <w:t>2.94</w:t>
            </w:r>
          </w:p>
        </w:tc>
        <w:tc>
          <w:tcPr>
            <w:tcW w:w="611" w:type="pct"/>
            <w:hideMark/>
          </w:tcPr>
          <w:p w:rsidR="005622BF" w:rsidRPr="00BA1372" w:rsidRDefault="005622BF" w:rsidP="008740AA">
            <w:r w:rsidRPr="00BA1372">
              <w:t>13.9</w:t>
            </w:r>
          </w:p>
        </w:tc>
        <w:tc>
          <w:tcPr>
            <w:tcW w:w="493" w:type="pct"/>
            <w:hideMark/>
          </w:tcPr>
          <w:p w:rsidR="005622BF" w:rsidRPr="00BA1372" w:rsidRDefault="005622BF" w:rsidP="008740AA">
            <w:r w:rsidRPr="00BA1372">
              <w:t>2.59</w:t>
            </w:r>
          </w:p>
        </w:tc>
        <w:tc>
          <w:tcPr>
            <w:tcW w:w="627" w:type="pct"/>
            <w:hideMark/>
          </w:tcPr>
          <w:p w:rsidR="005622BF" w:rsidRPr="00BA1372" w:rsidRDefault="005622BF" w:rsidP="008740AA">
            <w:r w:rsidRPr="00BA1372">
              <w:t>27.9</w:t>
            </w:r>
          </w:p>
        </w:tc>
        <w:tc>
          <w:tcPr>
            <w:tcW w:w="386" w:type="pct"/>
            <w:hideMark/>
          </w:tcPr>
          <w:p w:rsidR="005622BF" w:rsidRPr="00BA1372" w:rsidRDefault="005622BF" w:rsidP="008740AA">
            <w:r w:rsidRPr="00BA1372">
              <w:t>7.0</w:t>
            </w:r>
          </w:p>
        </w:tc>
        <w:tc>
          <w:tcPr>
            <w:tcW w:w="471" w:type="pct"/>
            <w:hideMark/>
          </w:tcPr>
          <w:p w:rsidR="005622BF" w:rsidRPr="008740AA" w:rsidRDefault="005622BF" w:rsidP="008740AA">
            <w:pPr>
              <w:rPr>
                <w:b/>
              </w:rPr>
            </w:pPr>
            <w:r w:rsidRPr="008740AA">
              <w:rPr>
                <w:b/>
              </w:rPr>
              <w:t>3.8</w:t>
            </w:r>
          </w:p>
        </w:tc>
      </w:tr>
    </w:tbl>
    <w:p w:rsidR="005622BF" w:rsidRPr="00593588" w:rsidRDefault="005622BF" w:rsidP="00593588">
      <w:pPr>
        <w:pStyle w:val="Tabletext"/>
        <w:keepNext/>
      </w:pPr>
      <w:r w:rsidRPr="00593588">
        <w:t xml:space="preserve">In HCV-infected subjects given 200 mg tablet twice per day (Study AI447016), the week 12 human </w:t>
      </w:r>
      <w:proofErr w:type="spellStart"/>
      <w:r w:rsidRPr="00593588">
        <w:t>Cmax</w:t>
      </w:r>
      <w:proofErr w:type="spellEnd"/>
      <w:r w:rsidRPr="00593588">
        <w:t xml:space="preserve"> value was 0.419 µg/mL (560 </w:t>
      </w:r>
      <w:proofErr w:type="spellStart"/>
      <w:r w:rsidRPr="00593588">
        <w:t>nM</w:t>
      </w:r>
      <w:proofErr w:type="spellEnd"/>
      <w:r w:rsidRPr="00593588">
        <w:t>) and the AUC (3.69 µ</w:t>
      </w:r>
      <w:proofErr w:type="spellStart"/>
      <w:r w:rsidRPr="00593588">
        <w:t>g.h</w:t>
      </w:r>
      <w:proofErr w:type="spellEnd"/>
      <w:r w:rsidRPr="00593588">
        <w:t>/mL).</w:t>
      </w:r>
    </w:p>
    <w:p w:rsidR="005622BF" w:rsidRDefault="00737073" w:rsidP="005622BF">
      <w:pPr>
        <w:pStyle w:val="TableTitle"/>
      </w:pPr>
      <w:r w:rsidRPr="00D85066">
        <w:t xml:space="preserve">Table </w:t>
      </w:r>
      <w:r w:rsidR="001F3724">
        <w:t>6:</w:t>
      </w:r>
      <w:r w:rsidRPr="00D85066">
        <w:t xml:space="preserve"> Relative exposure to </w:t>
      </w:r>
      <w:proofErr w:type="spellStart"/>
      <w:r w:rsidRPr="00D85066">
        <w:t>asunaprevir</w:t>
      </w:r>
      <w:proofErr w:type="spellEnd"/>
      <w:r w:rsidRPr="00D85066">
        <w:t xml:space="preserve"> in oral triple-combination repeat-dose toxicity studies</w:t>
      </w:r>
    </w:p>
    <w:tbl>
      <w:tblPr>
        <w:tblStyle w:val="TableTGAblue"/>
        <w:tblW w:w="5000" w:type="pct"/>
        <w:tblLook w:val="01E0" w:firstRow="1" w:lastRow="1" w:firstColumn="1" w:lastColumn="1" w:noHBand="0" w:noVBand="0"/>
      </w:tblPr>
      <w:tblGrid>
        <w:gridCol w:w="1252"/>
        <w:gridCol w:w="959"/>
        <w:gridCol w:w="648"/>
        <w:gridCol w:w="666"/>
        <w:gridCol w:w="927"/>
        <w:gridCol w:w="711"/>
        <w:gridCol w:w="796"/>
        <w:gridCol w:w="637"/>
        <w:gridCol w:w="796"/>
        <w:gridCol w:w="664"/>
        <w:gridCol w:w="664"/>
      </w:tblGrid>
      <w:tr w:rsidR="004A7EE6" w:rsidTr="004A7EE6">
        <w:trPr>
          <w:cnfStyle w:val="100000000000" w:firstRow="1" w:lastRow="0" w:firstColumn="0" w:lastColumn="0" w:oddVBand="0" w:evenVBand="0" w:oddHBand="0" w:evenHBand="0" w:firstRowFirstColumn="0" w:firstRowLastColumn="0" w:lastRowFirstColumn="0" w:lastRowLastColumn="0"/>
          <w:trHeight w:val="401"/>
        </w:trPr>
        <w:tc>
          <w:tcPr>
            <w:tcW w:w="720" w:type="pct"/>
            <w:vMerge w:val="restart"/>
            <w:hideMark/>
          </w:tcPr>
          <w:p w:rsidR="005622BF" w:rsidRPr="00BA1372" w:rsidRDefault="005622BF" w:rsidP="004A7EE6">
            <w:pPr>
              <w:pStyle w:val="TableHeader"/>
              <w:spacing w:line="240" w:lineRule="auto"/>
              <w:ind w:left="0"/>
              <w:rPr>
                <w:bCs/>
                <w:sz w:val="16"/>
                <w:szCs w:val="16"/>
              </w:rPr>
            </w:pPr>
            <w:r w:rsidRPr="00BA1372">
              <w:rPr>
                <w:bCs/>
                <w:sz w:val="16"/>
                <w:szCs w:val="16"/>
              </w:rPr>
              <w:t>Species; study duration</w:t>
            </w:r>
          </w:p>
        </w:tc>
        <w:tc>
          <w:tcPr>
            <w:tcW w:w="652" w:type="pct"/>
            <w:vMerge w:val="restart"/>
            <w:hideMark/>
          </w:tcPr>
          <w:p w:rsidR="005622BF" w:rsidRPr="00BA1372" w:rsidRDefault="005622BF" w:rsidP="004A7EE6">
            <w:pPr>
              <w:snapToGrid w:val="0"/>
              <w:spacing w:line="240" w:lineRule="auto"/>
              <w:ind w:left="23"/>
              <w:jc w:val="center"/>
              <w:rPr>
                <w:b w:val="0"/>
                <w:bCs/>
                <w:kern w:val="2"/>
                <w:sz w:val="16"/>
                <w:szCs w:val="16"/>
              </w:rPr>
            </w:pPr>
            <w:r w:rsidRPr="00BA1372">
              <w:rPr>
                <w:b w:val="0"/>
                <w:bCs/>
                <w:kern w:val="2"/>
                <w:sz w:val="16"/>
                <w:szCs w:val="16"/>
              </w:rPr>
              <w:t>Dose mg/kg/day</w:t>
            </w:r>
          </w:p>
        </w:tc>
        <w:tc>
          <w:tcPr>
            <w:tcW w:w="208" w:type="pct"/>
            <w:vMerge w:val="restart"/>
            <w:hideMark/>
          </w:tcPr>
          <w:p w:rsidR="005622BF" w:rsidRPr="00BA1372" w:rsidRDefault="005622BF" w:rsidP="00BA1372">
            <w:pPr>
              <w:pStyle w:val="TableHeader"/>
              <w:spacing w:line="240" w:lineRule="auto"/>
              <w:rPr>
                <w:bCs/>
                <w:sz w:val="16"/>
                <w:szCs w:val="16"/>
              </w:rPr>
            </w:pPr>
            <w:r w:rsidRPr="00BA1372">
              <w:rPr>
                <w:bCs/>
                <w:sz w:val="16"/>
                <w:szCs w:val="16"/>
              </w:rPr>
              <w:t>sex</w:t>
            </w:r>
          </w:p>
        </w:tc>
        <w:tc>
          <w:tcPr>
            <w:tcW w:w="310" w:type="pct"/>
            <w:vMerge w:val="restart"/>
            <w:hideMark/>
          </w:tcPr>
          <w:p w:rsidR="005622BF" w:rsidRPr="00BA1372" w:rsidRDefault="005622BF" w:rsidP="004A7EE6">
            <w:pPr>
              <w:widowControl w:val="0"/>
              <w:snapToGrid w:val="0"/>
              <w:spacing w:line="240" w:lineRule="auto"/>
              <w:ind w:left="0"/>
              <w:jc w:val="center"/>
              <w:rPr>
                <w:b w:val="0"/>
                <w:bCs/>
                <w:kern w:val="2"/>
                <w:sz w:val="16"/>
                <w:szCs w:val="16"/>
              </w:rPr>
            </w:pPr>
            <w:proofErr w:type="spellStart"/>
            <w:r w:rsidRPr="00BA1372">
              <w:rPr>
                <w:b w:val="0"/>
                <w:bCs/>
                <w:kern w:val="2"/>
                <w:sz w:val="16"/>
                <w:szCs w:val="16"/>
              </w:rPr>
              <w:t>Cmax</w:t>
            </w:r>
            <w:proofErr w:type="spellEnd"/>
            <w:r w:rsidRPr="00BA1372">
              <w:rPr>
                <w:b w:val="0"/>
                <w:bCs/>
                <w:kern w:val="2"/>
                <w:sz w:val="16"/>
                <w:szCs w:val="16"/>
              </w:rPr>
              <w:t xml:space="preserve"> µg/ mL</w:t>
            </w:r>
          </w:p>
        </w:tc>
        <w:tc>
          <w:tcPr>
            <w:tcW w:w="529" w:type="pct"/>
            <w:vMerge w:val="restart"/>
            <w:hideMark/>
          </w:tcPr>
          <w:p w:rsidR="005622BF" w:rsidRPr="00BA1372" w:rsidRDefault="005622BF" w:rsidP="00BA1372">
            <w:pPr>
              <w:widowControl w:val="0"/>
              <w:snapToGrid w:val="0"/>
              <w:spacing w:line="240" w:lineRule="auto"/>
              <w:jc w:val="center"/>
              <w:rPr>
                <w:b w:val="0"/>
                <w:bCs/>
                <w:kern w:val="2"/>
                <w:sz w:val="16"/>
                <w:szCs w:val="16"/>
              </w:rPr>
            </w:pPr>
            <w:r w:rsidRPr="00BA1372">
              <w:rPr>
                <w:b w:val="0"/>
                <w:bCs/>
                <w:kern w:val="2"/>
                <w:sz w:val="16"/>
                <w:szCs w:val="16"/>
              </w:rPr>
              <w:t>AUC</w:t>
            </w:r>
            <w:r w:rsidRPr="00BA1372">
              <w:rPr>
                <w:b w:val="0"/>
                <w:bCs/>
                <w:kern w:val="2"/>
                <w:sz w:val="16"/>
                <w:szCs w:val="16"/>
                <w:vertAlign w:val="subscript"/>
              </w:rPr>
              <w:t>0-t</w:t>
            </w:r>
            <w:r w:rsidRPr="00BA1372">
              <w:rPr>
                <w:b w:val="0"/>
                <w:bCs/>
                <w:kern w:val="2"/>
                <w:sz w:val="16"/>
                <w:szCs w:val="16"/>
              </w:rPr>
              <w:t xml:space="preserve"> * </w:t>
            </w:r>
            <w:proofErr w:type="spellStart"/>
            <w:r w:rsidRPr="00BA1372">
              <w:rPr>
                <w:b w:val="0"/>
                <w:bCs/>
                <w:kern w:val="2"/>
                <w:sz w:val="16"/>
                <w:szCs w:val="16"/>
              </w:rPr>
              <w:t>ng.h</w:t>
            </w:r>
            <w:proofErr w:type="spellEnd"/>
            <w:r w:rsidRPr="00BA1372">
              <w:rPr>
                <w:b w:val="0"/>
                <w:bCs/>
                <w:kern w:val="2"/>
                <w:sz w:val="16"/>
                <w:szCs w:val="16"/>
              </w:rPr>
              <w:t>/mL</w:t>
            </w:r>
          </w:p>
        </w:tc>
        <w:tc>
          <w:tcPr>
            <w:tcW w:w="412" w:type="pct"/>
            <w:vMerge w:val="restart"/>
            <w:hideMark/>
          </w:tcPr>
          <w:p w:rsidR="005622BF" w:rsidRPr="00BA1372" w:rsidRDefault="005622BF" w:rsidP="004A7EE6">
            <w:pPr>
              <w:widowControl w:val="0"/>
              <w:snapToGrid w:val="0"/>
              <w:spacing w:line="240" w:lineRule="auto"/>
              <w:ind w:left="21" w:hanging="21"/>
              <w:jc w:val="center"/>
              <w:rPr>
                <w:b w:val="0"/>
                <w:bCs/>
                <w:kern w:val="2"/>
                <w:sz w:val="16"/>
                <w:szCs w:val="16"/>
              </w:rPr>
            </w:pPr>
            <w:proofErr w:type="spellStart"/>
            <w:r w:rsidRPr="00BA1372">
              <w:rPr>
                <w:b w:val="0"/>
                <w:bCs/>
                <w:kern w:val="2"/>
                <w:sz w:val="16"/>
                <w:szCs w:val="16"/>
              </w:rPr>
              <w:t>Cmax</w:t>
            </w:r>
            <w:proofErr w:type="spellEnd"/>
            <w:r w:rsidRPr="00BA1372">
              <w:rPr>
                <w:b w:val="0"/>
                <w:bCs/>
                <w:kern w:val="2"/>
                <w:sz w:val="16"/>
                <w:szCs w:val="16"/>
              </w:rPr>
              <w:t xml:space="preserve"> µg/ mL</w:t>
            </w:r>
          </w:p>
        </w:tc>
        <w:tc>
          <w:tcPr>
            <w:tcW w:w="529" w:type="pct"/>
            <w:vMerge w:val="restart"/>
            <w:hideMark/>
          </w:tcPr>
          <w:p w:rsidR="005622BF" w:rsidRPr="00BA1372" w:rsidRDefault="005622BF" w:rsidP="004A7EE6">
            <w:pPr>
              <w:widowControl w:val="0"/>
              <w:snapToGrid w:val="0"/>
              <w:spacing w:line="240" w:lineRule="auto"/>
              <w:ind w:left="0"/>
              <w:jc w:val="center"/>
              <w:rPr>
                <w:b w:val="0"/>
                <w:bCs/>
                <w:kern w:val="2"/>
                <w:sz w:val="16"/>
                <w:szCs w:val="16"/>
              </w:rPr>
            </w:pPr>
            <w:r w:rsidRPr="00BA1372">
              <w:rPr>
                <w:b w:val="0"/>
                <w:bCs/>
                <w:kern w:val="2"/>
                <w:sz w:val="16"/>
                <w:szCs w:val="16"/>
              </w:rPr>
              <w:t>AUC</w:t>
            </w:r>
            <w:r w:rsidRPr="00BA1372">
              <w:rPr>
                <w:b w:val="0"/>
                <w:bCs/>
                <w:kern w:val="2"/>
                <w:sz w:val="16"/>
                <w:szCs w:val="16"/>
                <w:vertAlign w:val="subscript"/>
              </w:rPr>
              <w:t>0-t</w:t>
            </w:r>
            <w:r w:rsidRPr="00BA1372">
              <w:rPr>
                <w:b w:val="0"/>
                <w:bCs/>
                <w:kern w:val="2"/>
                <w:sz w:val="16"/>
                <w:szCs w:val="16"/>
              </w:rPr>
              <w:t xml:space="preserve"> * </w:t>
            </w:r>
            <w:proofErr w:type="spellStart"/>
            <w:r w:rsidRPr="00BA1372">
              <w:rPr>
                <w:b w:val="0"/>
                <w:bCs/>
                <w:kern w:val="2"/>
                <w:sz w:val="16"/>
                <w:szCs w:val="16"/>
              </w:rPr>
              <w:t>ng.h</w:t>
            </w:r>
            <w:proofErr w:type="spellEnd"/>
            <w:r w:rsidRPr="00BA1372">
              <w:rPr>
                <w:b w:val="0"/>
                <w:bCs/>
                <w:kern w:val="2"/>
                <w:sz w:val="16"/>
                <w:szCs w:val="16"/>
              </w:rPr>
              <w:t>/mL</w:t>
            </w:r>
          </w:p>
        </w:tc>
        <w:tc>
          <w:tcPr>
            <w:tcW w:w="393" w:type="pct"/>
            <w:vMerge w:val="restart"/>
            <w:hideMark/>
          </w:tcPr>
          <w:p w:rsidR="005622BF" w:rsidRPr="00BA1372" w:rsidRDefault="005622BF" w:rsidP="004A7EE6">
            <w:pPr>
              <w:widowControl w:val="0"/>
              <w:snapToGrid w:val="0"/>
              <w:spacing w:line="240" w:lineRule="auto"/>
              <w:ind w:left="37" w:hanging="37"/>
              <w:jc w:val="center"/>
              <w:rPr>
                <w:b w:val="0"/>
                <w:bCs/>
                <w:kern w:val="2"/>
                <w:sz w:val="16"/>
                <w:szCs w:val="16"/>
              </w:rPr>
            </w:pPr>
            <w:proofErr w:type="spellStart"/>
            <w:r w:rsidRPr="00BA1372">
              <w:rPr>
                <w:b w:val="0"/>
                <w:bCs/>
                <w:kern w:val="2"/>
                <w:sz w:val="16"/>
                <w:szCs w:val="16"/>
              </w:rPr>
              <w:t>Cmax</w:t>
            </w:r>
            <w:proofErr w:type="spellEnd"/>
            <w:r w:rsidRPr="00BA1372">
              <w:rPr>
                <w:b w:val="0"/>
                <w:bCs/>
                <w:kern w:val="2"/>
                <w:sz w:val="16"/>
                <w:szCs w:val="16"/>
              </w:rPr>
              <w:t xml:space="preserve"> µg/ mL</w:t>
            </w:r>
          </w:p>
        </w:tc>
        <w:tc>
          <w:tcPr>
            <w:tcW w:w="530" w:type="pct"/>
            <w:vMerge w:val="restart"/>
            <w:hideMark/>
          </w:tcPr>
          <w:p w:rsidR="005622BF" w:rsidRPr="00BA1372" w:rsidRDefault="005622BF" w:rsidP="004A7EE6">
            <w:pPr>
              <w:widowControl w:val="0"/>
              <w:snapToGrid w:val="0"/>
              <w:spacing w:line="240" w:lineRule="auto"/>
              <w:ind w:left="52" w:hanging="52"/>
              <w:jc w:val="center"/>
              <w:rPr>
                <w:b w:val="0"/>
                <w:bCs/>
                <w:kern w:val="2"/>
                <w:sz w:val="16"/>
                <w:szCs w:val="16"/>
              </w:rPr>
            </w:pPr>
            <w:r w:rsidRPr="00BA1372">
              <w:rPr>
                <w:b w:val="0"/>
                <w:bCs/>
                <w:kern w:val="2"/>
                <w:sz w:val="16"/>
                <w:szCs w:val="16"/>
              </w:rPr>
              <w:t>AUC</w:t>
            </w:r>
            <w:r w:rsidRPr="00BA1372">
              <w:rPr>
                <w:b w:val="0"/>
                <w:bCs/>
                <w:kern w:val="2"/>
                <w:sz w:val="16"/>
                <w:szCs w:val="16"/>
                <w:vertAlign w:val="subscript"/>
              </w:rPr>
              <w:t>0-t</w:t>
            </w:r>
            <w:r w:rsidRPr="00BA1372">
              <w:rPr>
                <w:b w:val="0"/>
                <w:bCs/>
                <w:kern w:val="2"/>
                <w:sz w:val="16"/>
                <w:szCs w:val="16"/>
              </w:rPr>
              <w:t xml:space="preserve"> * </w:t>
            </w:r>
            <w:proofErr w:type="spellStart"/>
            <w:r w:rsidRPr="00BA1372">
              <w:rPr>
                <w:b w:val="0"/>
                <w:bCs/>
                <w:kern w:val="2"/>
                <w:sz w:val="16"/>
                <w:szCs w:val="16"/>
              </w:rPr>
              <w:t>ng.h</w:t>
            </w:r>
            <w:proofErr w:type="spellEnd"/>
            <w:r w:rsidRPr="00BA1372">
              <w:rPr>
                <w:b w:val="0"/>
                <w:bCs/>
                <w:kern w:val="2"/>
                <w:sz w:val="16"/>
                <w:szCs w:val="16"/>
              </w:rPr>
              <w:t>/mL</w:t>
            </w:r>
          </w:p>
        </w:tc>
        <w:tc>
          <w:tcPr>
            <w:tcW w:w="717" w:type="pct"/>
            <w:gridSpan w:val="2"/>
            <w:hideMark/>
          </w:tcPr>
          <w:p w:rsidR="005622BF" w:rsidRPr="00BA1372" w:rsidRDefault="005622BF" w:rsidP="004A7EE6">
            <w:pPr>
              <w:pStyle w:val="TableHeader"/>
              <w:spacing w:line="240" w:lineRule="auto"/>
              <w:ind w:left="38" w:hanging="25"/>
              <w:rPr>
                <w:bCs/>
                <w:sz w:val="16"/>
                <w:szCs w:val="16"/>
              </w:rPr>
            </w:pPr>
            <w:proofErr w:type="spellStart"/>
            <w:r w:rsidRPr="00BA1372">
              <w:rPr>
                <w:bCs/>
                <w:sz w:val="16"/>
                <w:szCs w:val="16"/>
              </w:rPr>
              <w:t>Asunaprevir</w:t>
            </w:r>
            <w:proofErr w:type="spellEnd"/>
            <w:r w:rsidRPr="00BA1372">
              <w:rPr>
                <w:bCs/>
                <w:sz w:val="16"/>
                <w:szCs w:val="16"/>
              </w:rPr>
              <w:t xml:space="preserve"> Relative Exposure</w:t>
            </w:r>
          </w:p>
        </w:tc>
      </w:tr>
      <w:tr w:rsidR="004A7EE6" w:rsidTr="004A7EE6">
        <w:trPr>
          <w:trHeight w:val="401"/>
        </w:trPr>
        <w:tc>
          <w:tcPr>
            <w:tcW w:w="0" w:type="auto"/>
            <w:vMerge/>
            <w:hideMark/>
          </w:tcPr>
          <w:p w:rsidR="005622BF" w:rsidRPr="00BA1372" w:rsidRDefault="005622BF" w:rsidP="004A7EE6">
            <w:pPr>
              <w:spacing w:line="240" w:lineRule="auto"/>
              <w:ind w:left="0"/>
              <w:jc w:val="center"/>
              <w:rPr>
                <w:b/>
                <w:bCs/>
                <w:kern w:val="2"/>
                <w:sz w:val="16"/>
                <w:szCs w:val="16"/>
              </w:rPr>
            </w:pPr>
          </w:p>
        </w:tc>
        <w:tc>
          <w:tcPr>
            <w:tcW w:w="0" w:type="auto"/>
            <w:vMerge/>
            <w:hideMark/>
          </w:tcPr>
          <w:p w:rsidR="005622BF" w:rsidRPr="00BA1372" w:rsidRDefault="005622BF" w:rsidP="004A7EE6">
            <w:pPr>
              <w:spacing w:line="240" w:lineRule="auto"/>
              <w:ind w:left="23"/>
              <w:jc w:val="center"/>
              <w:rPr>
                <w:b/>
                <w:kern w:val="2"/>
                <w:sz w:val="16"/>
                <w:szCs w:val="16"/>
              </w:rPr>
            </w:pPr>
          </w:p>
        </w:tc>
        <w:tc>
          <w:tcPr>
            <w:tcW w:w="0" w:type="auto"/>
            <w:vMerge/>
            <w:hideMark/>
          </w:tcPr>
          <w:p w:rsidR="005622BF" w:rsidRPr="00BA1372" w:rsidRDefault="005622BF" w:rsidP="00BA1372">
            <w:pPr>
              <w:spacing w:line="240" w:lineRule="auto"/>
              <w:jc w:val="center"/>
              <w:rPr>
                <w:b/>
                <w:kern w:val="2"/>
                <w:sz w:val="16"/>
                <w:szCs w:val="16"/>
              </w:rPr>
            </w:pPr>
          </w:p>
        </w:tc>
        <w:tc>
          <w:tcPr>
            <w:tcW w:w="0" w:type="auto"/>
            <w:vMerge/>
            <w:hideMark/>
          </w:tcPr>
          <w:p w:rsidR="005622BF" w:rsidRPr="00BA1372" w:rsidRDefault="005622BF" w:rsidP="004A7EE6">
            <w:pPr>
              <w:spacing w:line="240" w:lineRule="auto"/>
              <w:ind w:left="0"/>
              <w:jc w:val="center"/>
              <w:rPr>
                <w:b/>
                <w:kern w:val="2"/>
                <w:sz w:val="16"/>
                <w:szCs w:val="16"/>
              </w:rPr>
            </w:pPr>
          </w:p>
        </w:tc>
        <w:tc>
          <w:tcPr>
            <w:tcW w:w="0" w:type="auto"/>
            <w:vMerge/>
            <w:hideMark/>
          </w:tcPr>
          <w:p w:rsidR="005622BF" w:rsidRPr="00BA1372" w:rsidRDefault="005622BF" w:rsidP="00BA1372">
            <w:pPr>
              <w:spacing w:line="240" w:lineRule="auto"/>
              <w:jc w:val="center"/>
              <w:rPr>
                <w:b/>
                <w:kern w:val="2"/>
                <w:sz w:val="16"/>
                <w:szCs w:val="16"/>
              </w:rPr>
            </w:pPr>
          </w:p>
        </w:tc>
        <w:tc>
          <w:tcPr>
            <w:tcW w:w="0" w:type="auto"/>
            <w:vMerge/>
            <w:hideMark/>
          </w:tcPr>
          <w:p w:rsidR="005622BF" w:rsidRPr="00BA1372" w:rsidRDefault="005622BF" w:rsidP="004A7EE6">
            <w:pPr>
              <w:spacing w:line="240" w:lineRule="auto"/>
              <w:ind w:left="21" w:hanging="21"/>
              <w:jc w:val="center"/>
              <w:rPr>
                <w:b/>
                <w:kern w:val="2"/>
                <w:sz w:val="16"/>
                <w:szCs w:val="16"/>
              </w:rPr>
            </w:pPr>
          </w:p>
        </w:tc>
        <w:tc>
          <w:tcPr>
            <w:tcW w:w="0" w:type="auto"/>
            <w:vMerge/>
            <w:hideMark/>
          </w:tcPr>
          <w:p w:rsidR="005622BF" w:rsidRPr="00BA1372" w:rsidRDefault="005622BF" w:rsidP="004A7EE6">
            <w:pPr>
              <w:spacing w:line="240" w:lineRule="auto"/>
              <w:ind w:left="0"/>
              <w:jc w:val="center"/>
              <w:rPr>
                <w:b/>
                <w:kern w:val="2"/>
                <w:sz w:val="16"/>
                <w:szCs w:val="16"/>
              </w:rPr>
            </w:pPr>
          </w:p>
        </w:tc>
        <w:tc>
          <w:tcPr>
            <w:tcW w:w="0" w:type="auto"/>
            <w:vMerge/>
            <w:hideMark/>
          </w:tcPr>
          <w:p w:rsidR="005622BF" w:rsidRPr="00BA1372" w:rsidRDefault="005622BF" w:rsidP="004A7EE6">
            <w:pPr>
              <w:spacing w:line="240" w:lineRule="auto"/>
              <w:ind w:left="37" w:hanging="37"/>
              <w:jc w:val="center"/>
              <w:rPr>
                <w:b/>
                <w:kern w:val="2"/>
                <w:sz w:val="16"/>
                <w:szCs w:val="16"/>
              </w:rPr>
            </w:pPr>
          </w:p>
        </w:tc>
        <w:tc>
          <w:tcPr>
            <w:tcW w:w="0" w:type="auto"/>
            <w:vMerge/>
            <w:hideMark/>
          </w:tcPr>
          <w:p w:rsidR="005622BF" w:rsidRPr="00BA1372" w:rsidRDefault="005622BF" w:rsidP="004A7EE6">
            <w:pPr>
              <w:spacing w:line="240" w:lineRule="auto"/>
              <w:ind w:left="52" w:hanging="52"/>
              <w:jc w:val="center"/>
              <w:rPr>
                <w:b/>
                <w:kern w:val="2"/>
                <w:sz w:val="16"/>
                <w:szCs w:val="16"/>
              </w:rPr>
            </w:pPr>
          </w:p>
        </w:tc>
        <w:tc>
          <w:tcPr>
            <w:tcW w:w="389" w:type="pct"/>
            <w:hideMark/>
          </w:tcPr>
          <w:p w:rsidR="005622BF" w:rsidRPr="00BA1372" w:rsidRDefault="005622BF" w:rsidP="004A7EE6">
            <w:pPr>
              <w:snapToGrid w:val="0"/>
              <w:spacing w:line="240" w:lineRule="auto"/>
              <w:ind w:left="38" w:hanging="25"/>
              <w:jc w:val="center"/>
              <w:rPr>
                <w:b/>
                <w:kern w:val="2"/>
                <w:sz w:val="16"/>
                <w:szCs w:val="16"/>
              </w:rPr>
            </w:pPr>
            <w:proofErr w:type="spellStart"/>
            <w:r w:rsidRPr="00BA1372">
              <w:rPr>
                <w:kern w:val="2"/>
                <w:sz w:val="16"/>
                <w:szCs w:val="16"/>
              </w:rPr>
              <w:t>Cmax</w:t>
            </w:r>
            <w:proofErr w:type="spellEnd"/>
            <w:r w:rsidRPr="00BA1372">
              <w:rPr>
                <w:kern w:val="2"/>
                <w:sz w:val="16"/>
                <w:szCs w:val="16"/>
              </w:rPr>
              <w:t xml:space="preserve"> based</w:t>
            </w:r>
          </w:p>
        </w:tc>
        <w:tc>
          <w:tcPr>
            <w:tcW w:w="329" w:type="pct"/>
            <w:hideMark/>
          </w:tcPr>
          <w:p w:rsidR="005622BF" w:rsidRPr="00BA1372" w:rsidRDefault="005622BF" w:rsidP="004A7EE6">
            <w:pPr>
              <w:snapToGrid w:val="0"/>
              <w:spacing w:line="240" w:lineRule="auto"/>
              <w:ind w:left="38" w:hanging="25"/>
              <w:jc w:val="center"/>
              <w:rPr>
                <w:b/>
                <w:bCs/>
                <w:kern w:val="2"/>
                <w:sz w:val="16"/>
                <w:szCs w:val="16"/>
              </w:rPr>
            </w:pPr>
            <w:r w:rsidRPr="00BA1372">
              <w:rPr>
                <w:bCs/>
                <w:kern w:val="2"/>
                <w:sz w:val="16"/>
                <w:szCs w:val="16"/>
              </w:rPr>
              <w:t>AUC based</w:t>
            </w:r>
          </w:p>
        </w:tc>
      </w:tr>
      <w:tr w:rsidR="004A7EE6" w:rsidTr="004A7EE6">
        <w:trPr>
          <w:trHeight w:val="227"/>
        </w:trPr>
        <w:tc>
          <w:tcPr>
            <w:tcW w:w="720" w:type="pct"/>
            <w:vMerge w:val="restart"/>
            <w:hideMark/>
          </w:tcPr>
          <w:p w:rsidR="005622BF" w:rsidRPr="00BA1372" w:rsidRDefault="005622BF" w:rsidP="004A7EE6">
            <w:pPr>
              <w:spacing w:line="240" w:lineRule="auto"/>
              <w:ind w:left="0"/>
              <w:jc w:val="center"/>
              <w:rPr>
                <w:rFonts w:eastAsia="Times New Roman" w:cs="Calibri"/>
                <w:b/>
                <w:bCs/>
                <w:sz w:val="16"/>
                <w:szCs w:val="16"/>
                <w:lang w:eastAsia="en-AU"/>
              </w:rPr>
            </w:pPr>
            <w:r w:rsidRPr="00BA1372">
              <w:rPr>
                <w:rFonts w:cs="Calibri"/>
                <w:b/>
                <w:bCs/>
                <w:sz w:val="16"/>
                <w:szCs w:val="16"/>
                <w:lang w:eastAsia="en-AU"/>
              </w:rPr>
              <w:t>Dogs</w:t>
            </w:r>
          </w:p>
          <w:p w:rsidR="005622BF" w:rsidRPr="00BA1372" w:rsidRDefault="005622BF" w:rsidP="004A7EE6">
            <w:pPr>
              <w:spacing w:line="240" w:lineRule="auto"/>
              <w:ind w:left="0"/>
              <w:jc w:val="center"/>
              <w:rPr>
                <w:rFonts w:cs="Calibri"/>
                <w:b/>
                <w:bCs/>
                <w:sz w:val="16"/>
                <w:szCs w:val="16"/>
                <w:lang w:eastAsia="en-AU"/>
              </w:rPr>
            </w:pPr>
            <w:r w:rsidRPr="00BA1372">
              <w:rPr>
                <w:rFonts w:cs="Calibri"/>
                <w:b/>
                <w:bCs/>
                <w:sz w:val="16"/>
                <w:szCs w:val="16"/>
                <w:lang w:eastAsia="en-AU"/>
              </w:rPr>
              <w:t>1 month</w:t>
            </w:r>
          </w:p>
          <w:p w:rsidR="005622BF" w:rsidRPr="00BA1372" w:rsidRDefault="005622BF" w:rsidP="004A7EE6">
            <w:pPr>
              <w:spacing w:line="240" w:lineRule="auto"/>
              <w:ind w:left="0"/>
              <w:jc w:val="center"/>
              <w:rPr>
                <w:rFonts w:eastAsia="Times New Roman" w:cs="Calibri"/>
                <w:b/>
                <w:bCs/>
                <w:sz w:val="16"/>
                <w:szCs w:val="16"/>
                <w:lang w:eastAsia="en-AU"/>
              </w:rPr>
            </w:pPr>
            <w:proofErr w:type="spellStart"/>
            <w:r w:rsidRPr="00BA1372">
              <w:rPr>
                <w:rFonts w:cs="Calibri"/>
                <w:b/>
                <w:bCs/>
                <w:sz w:val="16"/>
                <w:szCs w:val="16"/>
                <w:lang w:eastAsia="en-AU"/>
              </w:rPr>
              <w:t>Asunaprevir</w:t>
            </w:r>
            <w:proofErr w:type="spellEnd"/>
            <w:r w:rsidRPr="00BA1372">
              <w:rPr>
                <w:rFonts w:cs="Calibri"/>
                <w:b/>
                <w:bCs/>
                <w:sz w:val="16"/>
                <w:szCs w:val="16"/>
                <w:lang w:eastAsia="en-AU"/>
              </w:rPr>
              <w:t xml:space="preserve">, </w:t>
            </w:r>
            <w:proofErr w:type="spellStart"/>
            <w:r w:rsidRPr="00BA1372">
              <w:rPr>
                <w:rFonts w:cs="Calibri"/>
                <w:b/>
                <w:bCs/>
                <w:sz w:val="16"/>
                <w:szCs w:val="16"/>
                <w:lang w:eastAsia="en-AU"/>
              </w:rPr>
              <w:t>Daclatasvir</w:t>
            </w:r>
            <w:proofErr w:type="spellEnd"/>
            <w:r w:rsidRPr="00BA1372">
              <w:rPr>
                <w:rFonts w:cs="Calibri"/>
                <w:b/>
                <w:bCs/>
                <w:sz w:val="16"/>
                <w:szCs w:val="16"/>
                <w:lang w:eastAsia="en-AU"/>
              </w:rPr>
              <w:t>, and BMS-791325 (DM09009/DCN 930040309)</w:t>
            </w:r>
          </w:p>
        </w:tc>
        <w:tc>
          <w:tcPr>
            <w:tcW w:w="652" w:type="pct"/>
          </w:tcPr>
          <w:p w:rsidR="005622BF" w:rsidRPr="00BA1372" w:rsidRDefault="005622BF" w:rsidP="004A7EE6">
            <w:pPr>
              <w:pStyle w:val="Tabletext"/>
              <w:spacing w:line="240" w:lineRule="auto"/>
              <w:ind w:left="23"/>
              <w:rPr>
                <w:kern w:val="2"/>
                <w:sz w:val="16"/>
                <w:szCs w:val="16"/>
              </w:rPr>
            </w:pPr>
          </w:p>
        </w:tc>
        <w:tc>
          <w:tcPr>
            <w:tcW w:w="208" w:type="pct"/>
          </w:tcPr>
          <w:p w:rsidR="005622BF" w:rsidRPr="00BA1372" w:rsidRDefault="005622BF" w:rsidP="00BA1372">
            <w:pPr>
              <w:widowControl w:val="0"/>
              <w:snapToGrid w:val="0"/>
              <w:spacing w:line="240" w:lineRule="auto"/>
              <w:jc w:val="center"/>
              <w:rPr>
                <w:rFonts w:eastAsia="Times New Roman"/>
                <w:kern w:val="2"/>
                <w:sz w:val="16"/>
                <w:szCs w:val="16"/>
              </w:rPr>
            </w:pPr>
          </w:p>
        </w:tc>
        <w:tc>
          <w:tcPr>
            <w:tcW w:w="839" w:type="pct"/>
            <w:gridSpan w:val="2"/>
          </w:tcPr>
          <w:p w:rsidR="005622BF" w:rsidRPr="00BA1372" w:rsidRDefault="005622BF" w:rsidP="004A7EE6">
            <w:pPr>
              <w:snapToGrid w:val="0"/>
              <w:spacing w:line="240" w:lineRule="auto"/>
              <w:ind w:left="0"/>
              <w:jc w:val="center"/>
              <w:rPr>
                <w:rFonts w:eastAsia="Times New Roman" w:cs="Calibri"/>
                <w:sz w:val="16"/>
                <w:szCs w:val="16"/>
                <w:lang w:eastAsia="en-AU"/>
              </w:rPr>
            </w:pPr>
            <w:proofErr w:type="spellStart"/>
            <w:r w:rsidRPr="00BA1372">
              <w:rPr>
                <w:rFonts w:cs="Calibri"/>
                <w:b/>
                <w:bCs/>
                <w:sz w:val="16"/>
                <w:szCs w:val="16"/>
                <w:lang w:eastAsia="en-AU"/>
              </w:rPr>
              <w:t>Asunaprevir</w:t>
            </w:r>
            <w:proofErr w:type="spellEnd"/>
          </w:p>
        </w:tc>
        <w:tc>
          <w:tcPr>
            <w:tcW w:w="941" w:type="pct"/>
            <w:gridSpan w:val="2"/>
            <w:hideMark/>
          </w:tcPr>
          <w:p w:rsidR="005622BF" w:rsidRPr="00BA1372" w:rsidRDefault="005622BF" w:rsidP="004A7EE6">
            <w:pPr>
              <w:snapToGrid w:val="0"/>
              <w:spacing w:line="240" w:lineRule="auto"/>
              <w:ind w:left="0"/>
              <w:jc w:val="center"/>
              <w:rPr>
                <w:rFonts w:eastAsia="Times New Roman" w:cs="Calibri"/>
                <w:sz w:val="16"/>
                <w:szCs w:val="16"/>
                <w:lang w:eastAsia="en-AU"/>
              </w:rPr>
            </w:pPr>
            <w:proofErr w:type="spellStart"/>
            <w:r w:rsidRPr="00BA1372">
              <w:rPr>
                <w:rFonts w:cs="Calibri"/>
                <w:b/>
                <w:bCs/>
                <w:sz w:val="16"/>
                <w:szCs w:val="16"/>
                <w:lang w:eastAsia="en-AU"/>
              </w:rPr>
              <w:t>Daclatasvir</w:t>
            </w:r>
            <w:proofErr w:type="spellEnd"/>
          </w:p>
        </w:tc>
        <w:tc>
          <w:tcPr>
            <w:tcW w:w="923" w:type="pct"/>
            <w:gridSpan w:val="2"/>
            <w:hideMark/>
          </w:tcPr>
          <w:p w:rsidR="005622BF" w:rsidRPr="00BA1372" w:rsidRDefault="005622BF" w:rsidP="004A7EE6">
            <w:pPr>
              <w:widowControl w:val="0"/>
              <w:snapToGrid w:val="0"/>
              <w:spacing w:line="240" w:lineRule="auto"/>
              <w:ind w:left="52" w:hanging="52"/>
              <w:jc w:val="center"/>
              <w:rPr>
                <w:rFonts w:eastAsia="Times New Roman"/>
                <w:kern w:val="2"/>
                <w:sz w:val="16"/>
                <w:szCs w:val="16"/>
              </w:rPr>
            </w:pPr>
            <w:r w:rsidRPr="00BA1372">
              <w:rPr>
                <w:rFonts w:cs="Calibri"/>
                <w:b/>
                <w:bCs/>
                <w:sz w:val="16"/>
                <w:szCs w:val="16"/>
                <w:lang w:eastAsia="en-AU"/>
              </w:rPr>
              <w:t>BMS-791325</w:t>
            </w:r>
          </w:p>
        </w:tc>
        <w:tc>
          <w:tcPr>
            <w:tcW w:w="717" w:type="pct"/>
            <w:gridSpan w:val="2"/>
          </w:tcPr>
          <w:p w:rsidR="005622BF" w:rsidRPr="00BA1372" w:rsidRDefault="005622BF" w:rsidP="004A7EE6">
            <w:pPr>
              <w:widowControl w:val="0"/>
              <w:snapToGrid w:val="0"/>
              <w:spacing w:line="240" w:lineRule="auto"/>
              <w:ind w:left="38" w:hanging="25"/>
              <w:jc w:val="center"/>
              <w:rPr>
                <w:rFonts w:eastAsia="Times New Roman"/>
                <w:b/>
                <w:bCs/>
                <w:kern w:val="2"/>
                <w:sz w:val="16"/>
                <w:szCs w:val="16"/>
              </w:rPr>
            </w:pPr>
            <w:r w:rsidRPr="00BA1372">
              <w:rPr>
                <w:rFonts w:eastAsia="Times New Roman"/>
                <w:b/>
                <w:bCs/>
                <w:kern w:val="2"/>
                <w:sz w:val="16"/>
                <w:szCs w:val="16"/>
              </w:rPr>
              <w:t>-</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val="restart"/>
            <w:hideMark/>
          </w:tcPr>
          <w:p w:rsidR="005622BF" w:rsidRPr="00BA1372" w:rsidRDefault="005622BF" w:rsidP="004A7EE6">
            <w:pPr>
              <w:snapToGrid w:val="0"/>
              <w:spacing w:line="240" w:lineRule="auto"/>
              <w:ind w:left="23"/>
              <w:jc w:val="center"/>
              <w:rPr>
                <w:rFonts w:eastAsia="Times New Roman" w:cs="Calibri"/>
                <w:sz w:val="16"/>
                <w:szCs w:val="16"/>
                <w:lang w:eastAsia="en-AU"/>
              </w:rPr>
            </w:pPr>
            <w:r w:rsidRPr="00BA1372">
              <w:rPr>
                <w:rFonts w:cs="Calibri"/>
                <w:sz w:val="16"/>
                <w:szCs w:val="16"/>
                <w:lang w:eastAsia="en-AU"/>
              </w:rPr>
              <w:t>7.5/3/1.5</w:t>
            </w: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M</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0.48</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1.26</w:t>
            </w:r>
          </w:p>
        </w:tc>
        <w:tc>
          <w:tcPr>
            <w:tcW w:w="412" w:type="pct"/>
            <w:hideMark/>
          </w:tcPr>
          <w:p w:rsidR="005622BF" w:rsidRPr="00BA1372" w:rsidRDefault="005622BF" w:rsidP="004A7EE6">
            <w:pPr>
              <w:snapToGrid w:val="0"/>
              <w:spacing w:line="240" w:lineRule="auto"/>
              <w:ind w:left="21" w:hanging="21"/>
              <w:jc w:val="center"/>
              <w:rPr>
                <w:rFonts w:eastAsia="Times New Roman" w:cs="Calibri"/>
                <w:sz w:val="16"/>
                <w:szCs w:val="16"/>
                <w:lang w:eastAsia="en-AU"/>
              </w:rPr>
            </w:pPr>
            <w:r w:rsidRPr="00BA1372">
              <w:rPr>
                <w:rFonts w:cs="Calibri"/>
                <w:sz w:val="16"/>
                <w:szCs w:val="16"/>
                <w:lang w:eastAsia="en-AU"/>
              </w:rPr>
              <w:t>0.09</w:t>
            </w:r>
          </w:p>
        </w:tc>
        <w:tc>
          <w:tcPr>
            <w:tcW w:w="529"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1.04</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2.35</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39.2</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1.1</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0.3</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tcPr>
          <w:p w:rsidR="005622BF" w:rsidRPr="00BA1372" w:rsidRDefault="005622BF" w:rsidP="004A7EE6">
            <w:pPr>
              <w:snapToGrid w:val="0"/>
              <w:spacing w:line="240" w:lineRule="auto"/>
              <w:ind w:left="23"/>
              <w:jc w:val="center"/>
              <w:rPr>
                <w:rFonts w:eastAsia="Times New Roman" w:cs="Calibri"/>
                <w:sz w:val="16"/>
                <w:szCs w:val="16"/>
                <w:lang w:eastAsia="en-AU"/>
              </w:rPr>
            </w:pP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F</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0.725</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1.75</w:t>
            </w:r>
          </w:p>
        </w:tc>
        <w:tc>
          <w:tcPr>
            <w:tcW w:w="412" w:type="pct"/>
            <w:hideMark/>
          </w:tcPr>
          <w:p w:rsidR="005622BF" w:rsidRPr="00BA1372" w:rsidRDefault="005622BF" w:rsidP="004A7EE6">
            <w:pPr>
              <w:snapToGrid w:val="0"/>
              <w:spacing w:line="240" w:lineRule="auto"/>
              <w:ind w:left="21" w:hanging="21"/>
              <w:jc w:val="center"/>
              <w:rPr>
                <w:rFonts w:eastAsia="Times New Roman" w:cs="Calibri"/>
                <w:sz w:val="16"/>
                <w:szCs w:val="16"/>
                <w:lang w:eastAsia="en-AU"/>
              </w:rPr>
            </w:pPr>
            <w:r w:rsidRPr="00BA1372">
              <w:rPr>
                <w:rFonts w:cs="Calibri"/>
                <w:sz w:val="16"/>
                <w:szCs w:val="16"/>
                <w:lang w:eastAsia="en-AU"/>
              </w:rPr>
              <w:t>0.104</w:t>
            </w:r>
          </w:p>
        </w:tc>
        <w:tc>
          <w:tcPr>
            <w:tcW w:w="529"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0.894</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2.09</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30</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1.7</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0.5</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val="restart"/>
            <w:hideMark/>
          </w:tcPr>
          <w:p w:rsidR="005622BF" w:rsidRPr="00BA1372" w:rsidRDefault="005622BF" w:rsidP="004A7EE6">
            <w:pPr>
              <w:snapToGrid w:val="0"/>
              <w:spacing w:line="240" w:lineRule="auto"/>
              <w:ind w:left="23"/>
              <w:jc w:val="center"/>
              <w:rPr>
                <w:rFonts w:eastAsia="Times New Roman" w:cs="Calibri"/>
                <w:sz w:val="16"/>
                <w:szCs w:val="16"/>
                <w:lang w:eastAsia="en-AU"/>
              </w:rPr>
            </w:pPr>
            <w:r w:rsidRPr="00BA1372">
              <w:rPr>
                <w:rFonts w:cs="Calibri"/>
                <w:sz w:val="16"/>
                <w:szCs w:val="16"/>
                <w:lang w:eastAsia="en-AU"/>
              </w:rPr>
              <w:t>15/15/3</w:t>
            </w: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M</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2.82</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8.42</w:t>
            </w:r>
          </w:p>
        </w:tc>
        <w:tc>
          <w:tcPr>
            <w:tcW w:w="412" w:type="pct"/>
            <w:hideMark/>
          </w:tcPr>
          <w:p w:rsidR="005622BF" w:rsidRPr="00BA1372" w:rsidRDefault="005622BF" w:rsidP="004A7EE6">
            <w:pPr>
              <w:snapToGrid w:val="0"/>
              <w:spacing w:line="240" w:lineRule="auto"/>
              <w:ind w:left="21" w:hanging="21"/>
              <w:jc w:val="center"/>
              <w:rPr>
                <w:rFonts w:eastAsia="Times New Roman" w:cs="Calibri"/>
                <w:sz w:val="16"/>
                <w:szCs w:val="16"/>
                <w:lang w:eastAsia="en-AU"/>
              </w:rPr>
            </w:pPr>
            <w:r w:rsidRPr="00BA1372">
              <w:rPr>
                <w:rFonts w:cs="Calibri"/>
                <w:sz w:val="16"/>
                <w:szCs w:val="16"/>
                <w:lang w:eastAsia="en-AU"/>
              </w:rPr>
              <w:t>0.643</w:t>
            </w:r>
          </w:p>
        </w:tc>
        <w:tc>
          <w:tcPr>
            <w:tcW w:w="529"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7.08</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4.72</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85</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6.7</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2.3</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tcPr>
          <w:p w:rsidR="005622BF" w:rsidRPr="00BA1372" w:rsidRDefault="005622BF" w:rsidP="004A7EE6">
            <w:pPr>
              <w:snapToGrid w:val="0"/>
              <w:spacing w:line="240" w:lineRule="auto"/>
              <w:ind w:left="23"/>
              <w:jc w:val="center"/>
              <w:rPr>
                <w:rFonts w:eastAsia="Times New Roman" w:cs="Calibri"/>
                <w:sz w:val="16"/>
                <w:szCs w:val="16"/>
                <w:lang w:eastAsia="en-AU"/>
              </w:rPr>
            </w:pP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F</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5.7</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18</w:t>
            </w:r>
          </w:p>
        </w:tc>
        <w:tc>
          <w:tcPr>
            <w:tcW w:w="412" w:type="pct"/>
            <w:hideMark/>
          </w:tcPr>
          <w:p w:rsidR="005622BF" w:rsidRPr="00BA1372" w:rsidRDefault="005622BF" w:rsidP="004A7EE6">
            <w:pPr>
              <w:snapToGrid w:val="0"/>
              <w:spacing w:line="240" w:lineRule="auto"/>
              <w:ind w:left="21" w:hanging="21"/>
              <w:jc w:val="center"/>
              <w:rPr>
                <w:rFonts w:eastAsia="Times New Roman" w:cs="Calibri"/>
                <w:sz w:val="16"/>
                <w:szCs w:val="16"/>
                <w:lang w:eastAsia="en-AU"/>
              </w:rPr>
            </w:pPr>
            <w:r w:rsidRPr="00BA1372">
              <w:rPr>
                <w:rFonts w:cs="Calibri"/>
                <w:sz w:val="16"/>
                <w:szCs w:val="16"/>
                <w:lang w:eastAsia="en-AU"/>
              </w:rPr>
              <w:t>0.803</w:t>
            </w:r>
          </w:p>
        </w:tc>
        <w:tc>
          <w:tcPr>
            <w:tcW w:w="529"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9.17</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6.96</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120</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13.6</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4.9</w:t>
            </w:r>
          </w:p>
        </w:tc>
      </w:tr>
      <w:tr w:rsidR="004A7EE6" w:rsidTr="004A7EE6">
        <w:trPr>
          <w:trHeight w:val="227"/>
        </w:trPr>
        <w:tc>
          <w:tcPr>
            <w:tcW w:w="720" w:type="pct"/>
            <w:vMerge w:val="restart"/>
            <w:hideMark/>
          </w:tcPr>
          <w:p w:rsidR="005622BF" w:rsidRPr="00BA1372" w:rsidRDefault="005622BF" w:rsidP="004A7EE6">
            <w:pPr>
              <w:spacing w:line="240" w:lineRule="auto"/>
              <w:ind w:left="0"/>
              <w:jc w:val="center"/>
              <w:rPr>
                <w:rFonts w:eastAsia="Times New Roman" w:cs="Calibri"/>
                <w:b/>
                <w:bCs/>
                <w:sz w:val="16"/>
                <w:szCs w:val="16"/>
                <w:lang w:eastAsia="en-AU"/>
              </w:rPr>
            </w:pPr>
            <w:r w:rsidRPr="00BA1372">
              <w:rPr>
                <w:rFonts w:cs="Calibri"/>
                <w:b/>
                <w:bCs/>
                <w:sz w:val="16"/>
                <w:szCs w:val="16"/>
                <w:lang w:eastAsia="en-AU"/>
              </w:rPr>
              <w:t>Monkey</w:t>
            </w:r>
          </w:p>
          <w:p w:rsidR="005622BF" w:rsidRPr="00BA1372" w:rsidRDefault="005622BF" w:rsidP="004A7EE6">
            <w:pPr>
              <w:spacing w:line="240" w:lineRule="auto"/>
              <w:ind w:left="0"/>
              <w:jc w:val="center"/>
              <w:rPr>
                <w:rFonts w:cs="Calibri"/>
                <w:b/>
                <w:bCs/>
                <w:sz w:val="16"/>
                <w:szCs w:val="16"/>
                <w:lang w:eastAsia="en-AU"/>
              </w:rPr>
            </w:pPr>
            <w:r w:rsidRPr="00BA1372">
              <w:rPr>
                <w:rFonts w:cs="Calibri"/>
                <w:b/>
                <w:bCs/>
                <w:sz w:val="16"/>
                <w:szCs w:val="16"/>
                <w:lang w:eastAsia="en-AU"/>
              </w:rPr>
              <w:t>1 month</w:t>
            </w:r>
          </w:p>
          <w:p w:rsidR="005622BF" w:rsidRPr="00BA1372" w:rsidRDefault="005622BF" w:rsidP="004A7EE6">
            <w:pPr>
              <w:spacing w:line="240" w:lineRule="auto"/>
              <w:ind w:left="0"/>
              <w:jc w:val="center"/>
              <w:rPr>
                <w:rFonts w:eastAsia="Times New Roman" w:cs="Calibri"/>
                <w:b/>
                <w:bCs/>
                <w:sz w:val="16"/>
                <w:szCs w:val="16"/>
                <w:lang w:eastAsia="en-AU"/>
              </w:rPr>
            </w:pPr>
            <w:proofErr w:type="spellStart"/>
            <w:r w:rsidRPr="00BA1372">
              <w:rPr>
                <w:rFonts w:cs="Calibri"/>
                <w:b/>
                <w:bCs/>
                <w:sz w:val="16"/>
                <w:szCs w:val="16"/>
                <w:lang w:eastAsia="en-AU"/>
              </w:rPr>
              <w:t>Asunaprevir</w:t>
            </w:r>
            <w:proofErr w:type="spellEnd"/>
            <w:r w:rsidRPr="00BA1372">
              <w:rPr>
                <w:rFonts w:cs="Calibri"/>
                <w:b/>
                <w:bCs/>
                <w:sz w:val="16"/>
                <w:szCs w:val="16"/>
                <w:lang w:eastAsia="en-AU"/>
              </w:rPr>
              <w:t xml:space="preserve">, </w:t>
            </w:r>
            <w:proofErr w:type="spellStart"/>
            <w:r w:rsidRPr="00BA1372">
              <w:rPr>
                <w:rFonts w:cs="Calibri"/>
                <w:b/>
                <w:bCs/>
                <w:sz w:val="16"/>
                <w:szCs w:val="16"/>
                <w:lang w:eastAsia="en-AU"/>
              </w:rPr>
              <w:t>pegIFN</w:t>
            </w:r>
            <w:proofErr w:type="spellEnd"/>
            <w:r w:rsidRPr="00BA1372">
              <w:rPr>
                <w:rFonts w:cs="Calibri"/>
                <w:b/>
                <w:bCs/>
                <w:sz w:val="16"/>
                <w:szCs w:val="16"/>
                <w:lang w:eastAsia="en-AU"/>
              </w:rPr>
              <w:t>α and RBV (DS09019/DCN 930039091)</w:t>
            </w:r>
          </w:p>
        </w:tc>
        <w:tc>
          <w:tcPr>
            <w:tcW w:w="652" w:type="pct"/>
          </w:tcPr>
          <w:p w:rsidR="005622BF" w:rsidRPr="00BA1372" w:rsidRDefault="005622BF" w:rsidP="004A7EE6">
            <w:pPr>
              <w:snapToGrid w:val="0"/>
              <w:spacing w:line="240" w:lineRule="auto"/>
              <w:ind w:left="23"/>
              <w:jc w:val="center"/>
              <w:rPr>
                <w:rFonts w:eastAsia="Times New Roman" w:cs="Calibri"/>
                <w:sz w:val="16"/>
                <w:szCs w:val="16"/>
                <w:lang w:eastAsia="en-AU"/>
              </w:rPr>
            </w:pPr>
          </w:p>
        </w:tc>
        <w:tc>
          <w:tcPr>
            <w:tcW w:w="208" w:type="pct"/>
          </w:tcPr>
          <w:p w:rsidR="005622BF" w:rsidRPr="00BA1372" w:rsidRDefault="005622BF" w:rsidP="00BA1372">
            <w:pPr>
              <w:snapToGrid w:val="0"/>
              <w:spacing w:line="240" w:lineRule="auto"/>
              <w:jc w:val="center"/>
              <w:rPr>
                <w:rFonts w:eastAsia="Times New Roman" w:cs="Calibri"/>
                <w:sz w:val="16"/>
                <w:szCs w:val="16"/>
                <w:lang w:eastAsia="en-AU"/>
              </w:rPr>
            </w:pPr>
          </w:p>
        </w:tc>
        <w:tc>
          <w:tcPr>
            <w:tcW w:w="839" w:type="pct"/>
            <w:gridSpan w:val="2"/>
          </w:tcPr>
          <w:p w:rsidR="005622BF" w:rsidRPr="00BA1372" w:rsidRDefault="005622BF" w:rsidP="004A7EE6">
            <w:pPr>
              <w:snapToGrid w:val="0"/>
              <w:spacing w:line="240" w:lineRule="auto"/>
              <w:ind w:left="0"/>
              <w:jc w:val="center"/>
              <w:rPr>
                <w:rFonts w:eastAsia="Times New Roman" w:cs="Calibri"/>
                <w:sz w:val="16"/>
                <w:szCs w:val="16"/>
                <w:lang w:eastAsia="en-AU"/>
              </w:rPr>
            </w:pPr>
            <w:proofErr w:type="spellStart"/>
            <w:r w:rsidRPr="00BA1372">
              <w:rPr>
                <w:rFonts w:cs="Calibri"/>
                <w:b/>
                <w:bCs/>
                <w:sz w:val="16"/>
                <w:szCs w:val="16"/>
                <w:lang w:eastAsia="en-AU"/>
              </w:rPr>
              <w:t>Asunaprevir</w:t>
            </w:r>
            <w:proofErr w:type="spellEnd"/>
          </w:p>
        </w:tc>
        <w:tc>
          <w:tcPr>
            <w:tcW w:w="941" w:type="pct"/>
            <w:gridSpan w:val="2"/>
            <w:hideMark/>
          </w:tcPr>
          <w:p w:rsidR="005622BF" w:rsidRPr="00BA1372" w:rsidRDefault="005622BF" w:rsidP="004A7EE6">
            <w:pPr>
              <w:snapToGrid w:val="0"/>
              <w:spacing w:line="240" w:lineRule="auto"/>
              <w:ind w:left="0"/>
              <w:jc w:val="center"/>
              <w:rPr>
                <w:rFonts w:eastAsia="Times New Roman" w:cs="Calibri"/>
                <w:sz w:val="16"/>
                <w:szCs w:val="16"/>
                <w:lang w:eastAsia="en-AU"/>
              </w:rPr>
            </w:pPr>
            <w:proofErr w:type="spellStart"/>
            <w:r w:rsidRPr="00BA1372">
              <w:rPr>
                <w:rFonts w:cs="Calibri"/>
                <w:b/>
                <w:sz w:val="16"/>
                <w:szCs w:val="16"/>
                <w:lang w:eastAsia="en-AU"/>
              </w:rPr>
              <w:t>pegIFN</w:t>
            </w:r>
            <w:proofErr w:type="spellEnd"/>
            <w:r w:rsidRPr="00BA1372">
              <w:rPr>
                <w:rFonts w:cs="Calibri"/>
                <w:b/>
                <w:sz w:val="16"/>
                <w:szCs w:val="16"/>
                <w:lang w:eastAsia="en-AU"/>
              </w:rPr>
              <w:t>α</w:t>
            </w:r>
          </w:p>
        </w:tc>
        <w:tc>
          <w:tcPr>
            <w:tcW w:w="923" w:type="pct"/>
            <w:gridSpan w:val="2"/>
            <w:hideMark/>
          </w:tcPr>
          <w:p w:rsidR="005622BF" w:rsidRPr="00BA1372" w:rsidRDefault="005622BF" w:rsidP="004A7EE6">
            <w:pPr>
              <w:widowControl w:val="0"/>
              <w:snapToGrid w:val="0"/>
              <w:spacing w:line="240" w:lineRule="auto"/>
              <w:ind w:left="52" w:hanging="52"/>
              <w:jc w:val="center"/>
              <w:rPr>
                <w:rFonts w:eastAsia="Times New Roman" w:cs="Calibri"/>
                <w:sz w:val="16"/>
                <w:szCs w:val="16"/>
              </w:rPr>
            </w:pPr>
            <w:r w:rsidRPr="00BA1372">
              <w:rPr>
                <w:rFonts w:cs="Calibri"/>
                <w:b/>
                <w:sz w:val="16"/>
                <w:szCs w:val="16"/>
                <w:lang w:eastAsia="en-AU"/>
              </w:rPr>
              <w:t>Ribavirin</w:t>
            </w:r>
          </w:p>
        </w:tc>
        <w:tc>
          <w:tcPr>
            <w:tcW w:w="717" w:type="pct"/>
            <w:gridSpan w:val="2"/>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eastAsia="Times New Roman" w:cs="Calibri"/>
                <w:b/>
                <w:bCs/>
                <w:sz w:val="16"/>
                <w:szCs w:val="16"/>
              </w:rPr>
              <w:t>-</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val="restart"/>
            <w:hideMark/>
          </w:tcPr>
          <w:p w:rsidR="005622BF" w:rsidRPr="00BA1372" w:rsidRDefault="005622BF" w:rsidP="004A7EE6">
            <w:pPr>
              <w:snapToGrid w:val="0"/>
              <w:spacing w:line="240" w:lineRule="auto"/>
              <w:ind w:left="23"/>
              <w:jc w:val="center"/>
              <w:rPr>
                <w:rFonts w:eastAsia="Times New Roman" w:cs="Calibri"/>
                <w:sz w:val="16"/>
                <w:szCs w:val="16"/>
                <w:lang w:eastAsia="en-AU"/>
              </w:rPr>
            </w:pPr>
            <w:r w:rsidRPr="00BA1372">
              <w:rPr>
                <w:rFonts w:cs="Calibri"/>
                <w:sz w:val="16"/>
                <w:szCs w:val="16"/>
                <w:lang w:eastAsia="en-AU"/>
              </w:rPr>
              <w:t>0/4.5/40</w:t>
            </w: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M</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NA</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NA</w:t>
            </w:r>
          </w:p>
        </w:tc>
        <w:tc>
          <w:tcPr>
            <w:tcW w:w="412" w:type="pct"/>
            <w:hideMark/>
          </w:tcPr>
          <w:p w:rsidR="005622BF" w:rsidRPr="00BA1372" w:rsidRDefault="005622BF" w:rsidP="004A7EE6">
            <w:pPr>
              <w:widowControl w:val="0"/>
              <w:snapToGrid w:val="0"/>
              <w:spacing w:line="240" w:lineRule="auto"/>
              <w:ind w:left="21" w:hanging="21"/>
              <w:jc w:val="center"/>
              <w:rPr>
                <w:rFonts w:eastAsia="Times New Roman" w:cs="Calibri"/>
                <w:sz w:val="16"/>
                <w:szCs w:val="16"/>
              </w:rPr>
            </w:pPr>
            <w:r w:rsidRPr="00BA1372">
              <w:rPr>
                <w:rFonts w:cs="Calibri"/>
                <w:sz w:val="16"/>
                <w:szCs w:val="16"/>
              </w:rPr>
              <w:t>0.0104</w:t>
            </w:r>
          </w:p>
        </w:tc>
        <w:tc>
          <w:tcPr>
            <w:tcW w:w="529" w:type="pct"/>
            <w:hideMark/>
          </w:tcPr>
          <w:p w:rsidR="005622BF" w:rsidRPr="00BA1372" w:rsidRDefault="005622BF" w:rsidP="004A7EE6">
            <w:pPr>
              <w:widowControl w:val="0"/>
              <w:snapToGrid w:val="0"/>
              <w:spacing w:line="240" w:lineRule="auto"/>
              <w:ind w:left="0"/>
              <w:jc w:val="center"/>
              <w:rPr>
                <w:rFonts w:eastAsia="Times New Roman" w:cs="Calibri"/>
                <w:sz w:val="16"/>
                <w:szCs w:val="16"/>
              </w:rPr>
            </w:pPr>
            <w:r w:rsidRPr="00BA1372">
              <w:rPr>
                <w:rFonts w:cs="Calibri"/>
                <w:sz w:val="16"/>
                <w:szCs w:val="16"/>
              </w:rPr>
              <w:t>0.3120</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1.61</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28.6</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tcPr>
          <w:p w:rsidR="005622BF" w:rsidRPr="00BA1372" w:rsidRDefault="005622BF" w:rsidP="004A7EE6">
            <w:pPr>
              <w:snapToGrid w:val="0"/>
              <w:spacing w:line="240" w:lineRule="auto"/>
              <w:ind w:left="23"/>
              <w:jc w:val="center"/>
              <w:rPr>
                <w:rFonts w:eastAsia="Times New Roman" w:cs="Calibri"/>
                <w:sz w:val="16"/>
                <w:szCs w:val="16"/>
                <w:lang w:eastAsia="en-AU"/>
              </w:rPr>
            </w:pP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F</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NA</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NA</w:t>
            </w:r>
          </w:p>
        </w:tc>
        <w:tc>
          <w:tcPr>
            <w:tcW w:w="412" w:type="pct"/>
            <w:hideMark/>
          </w:tcPr>
          <w:p w:rsidR="005622BF" w:rsidRPr="00BA1372" w:rsidRDefault="005622BF" w:rsidP="004A7EE6">
            <w:pPr>
              <w:widowControl w:val="0"/>
              <w:snapToGrid w:val="0"/>
              <w:spacing w:line="240" w:lineRule="auto"/>
              <w:ind w:left="21" w:hanging="21"/>
              <w:jc w:val="center"/>
              <w:rPr>
                <w:rFonts w:eastAsia="Times New Roman" w:cs="Calibri"/>
                <w:sz w:val="16"/>
                <w:szCs w:val="16"/>
              </w:rPr>
            </w:pPr>
            <w:r w:rsidRPr="00BA1372">
              <w:rPr>
                <w:rFonts w:cs="Calibri"/>
                <w:sz w:val="16"/>
                <w:szCs w:val="16"/>
              </w:rPr>
              <w:t>0.0051</w:t>
            </w:r>
          </w:p>
        </w:tc>
        <w:tc>
          <w:tcPr>
            <w:tcW w:w="529" w:type="pct"/>
            <w:hideMark/>
          </w:tcPr>
          <w:p w:rsidR="005622BF" w:rsidRPr="00BA1372" w:rsidRDefault="005622BF" w:rsidP="004A7EE6">
            <w:pPr>
              <w:widowControl w:val="0"/>
              <w:snapToGrid w:val="0"/>
              <w:spacing w:line="240" w:lineRule="auto"/>
              <w:ind w:left="0"/>
              <w:jc w:val="center"/>
              <w:rPr>
                <w:rFonts w:eastAsia="Times New Roman" w:cs="Calibri"/>
                <w:sz w:val="16"/>
                <w:szCs w:val="16"/>
              </w:rPr>
            </w:pPr>
            <w:r w:rsidRPr="00BA1372">
              <w:rPr>
                <w:rFonts w:cs="Calibri"/>
                <w:sz w:val="16"/>
                <w:szCs w:val="16"/>
              </w:rPr>
              <w:t>0.0600</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1.55</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24.7</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val="restart"/>
            <w:hideMark/>
          </w:tcPr>
          <w:p w:rsidR="005622BF" w:rsidRPr="00BA1372" w:rsidRDefault="005622BF" w:rsidP="004A7EE6">
            <w:pPr>
              <w:snapToGrid w:val="0"/>
              <w:spacing w:line="240" w:lineRule="auto"/>
              <w:ind w:left="23"/>
              <w:jc w:val="center"/>
              <w:rPr>
                <w:rFonts w:eastAsia="Times New Roman" w:cs="Calibri"/>
                <w:sz w:val="16"/>
                <w:szCs w:val="16"/>
                <w:lang w:eastAsia="en-AU"/>
              </w:rPr>
            </w:pPr>
            <w:r w:rsidRPr="00BA1372">
              <w:rPr>
                <w:rFonts w:cs="Calibri"/>
                <w:sz w:val="16"/>
                <w:szCs w:val="16"/>
                <w:lang w:eastAsia="en-AU"/>
              </w:rPr>
              <w:t>45/4.5/40</w:t>
            </w: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M</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0.602</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2.81</w:t>
            </w:r>
          </w:p>
        </w:tc>
        <w:tc>
          <w:tcPr>
            <w:tcW w:w="412" w:type="pct"/>
            <w:hideMark/>
          </w:tcPr>
          <w:p w:rsidR="005622BF" w:rsidRPr="00BA1372" w:rsidRDefault="005622BF" w:rsidP="004A7EE6">
            <w:pPr>
              <w:widowControl w:val="0"/>
              <w:snapToGrid w:val="0"/>
              <w:spacing w:line="240" w:lineRule="auto"/>
              <w:ind w:left="21" w:hanging="21"/>
              <w:jc w:val="center"/>
              <w:rPr>
                <w:rFonts w:eastAsia="Times New Roman" w:cs="Calibri"/>
                <w:sz w:val="16"/>
                <w:szCs w:val="16"/>
              </w:rPr>
            </w:pPr>
            <w:r w:rsidRPr="00BA1372">
              <w:rPr>
                <w:rFonts w:cs="Calibri"/>
                <w:sz w:val="16"/>
                <w:szCs w:val="16"/>
              </w:rPr>
              <w:t>0.0095</w:t>
            </w:r>
          </w:p>
        </w:tc>
        <w:tc>
          <w:tcPr>
            <w:tcW w:w="529" w:type="pct"/>
            <w:hideMark/>
          </w:tcPr>
          <w:p w:rsidR="005622BF" w:rsidRPr="00BA1372" w:rsidRDefault="005622BF" w:rsidP="004A7EE6">
            <w:pPr>
              <w:widowControl w:val="0"/>
              <w:snapToGrid w:val="0"/>
              <w:spacing w:line="240" w:lineRule="auto"/>
              <w:ind w:left="0"/>
              <w:jc w:val="center"/>
              <w:rPr>
                <w:rFonts w:eastAsia="Times New Roman" w:cs="Calibri"/>
                <w:sz w:val="16"/>
                <w:szCs w:val="16"/>
              </w:rPr>
            </w:pPr>
            <w:r w:rsidRPr="00BA1372">
              <w:rPr>
                <w:rFonts w:cs="Calibri"/>
                <w:sz w:val="16"/>
                <w:szCs w:val="16"/>
              </w:rPr>
              <w:t>0.1950</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1.48</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31</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1.4</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0.8</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tcPr>
          <w:p w:rsidR="005622BF" w:rsidRPr="00BA1372" w:rsidRDefault="005622BF" w:rsidP="004A7EE6">
            <w:pPr>
              <w:snapToGrid w:val="0"/>
              <w:spacing w:line="240" w:lineRule="auto"/>
              <w:ind w:left="23"/>
              <w:jc w:val="center"/>
              <w:rPr>
                <w:rFonts w:eastAsia="Times New Roman" w:cs="Calibri"/>
                <w:sz w:val="16"/>
                <w:szCs w:val="16"/>
                <w:lang w:eastAsia="en-AU"/>
              </w:rPr>
            </w:pP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F</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0.721</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2.22</w:t>
            </w:r>
          </w:p>
        </w:tc>
        <w:tc>
          <w:tcPr>
            <w:tcW w:w="412" w:type="pct"/>
            <w:hideMark/>
          </w:tcPr>
          <w:p w:rsidR="005622BF" w:rsidRPr="00BA1372" w:rsidRDefault="005622BF" w:rsidP="004A7EE6">
            <w:pPr>
              <w:widowControl w:val="0"/>
              <w:snapToGrid w:val="0"/>
              <w:spacing w:line="240" w:lineRule="auto"/>
              <w:ind w:left="21" w:hanging="21"/>
              <w:jc w:val="center"/>
              <w:rPr>
                <w:rFonts w:eastAsia="Times New Roman" w:cs="Calibri"/>
                <w:sz w:val="16"/>
                <w:szCs w:val="16"/>
              </w:rPr>
            </w:pPr>
            <w:r w:rsidRPr="00BA1372">
              <w:rPr>
                <w:rFonts w:cs="Calibri"/>
                <w:sz w:val="16"/>
                <w:szCs w:val="16"/>
              </w:rPr>
              <w:t>0.0051</w:t>
            </w:r>
          </w:p>
        </w:tc>
        <w:tc>
          <w:tcPr>
            <w:tcW w:w="529" w:type="pct"/>
            <w:hideMark/>
          </w:tcPr>
          <w:p w:rsidR="005622BF" w:rsidRPr="00BA1372" w:rsidRDefault="005622BF" w:rsidP="004A7EE6">
            <w:pPr>
              <w:widowControl w:val="0"/>
              <w:snapToGrid w:val="0"/>
              <w:spacing w:line="240" w:lineRule="auto"/>
              <w:ind w:left="0"/>
              <w:jc w:val="center"/>
              <w:rPr>
                <w:rFonts w:eastAsia="Times New Roman" w:cs="Calibri"/>
                <w:sz w:val="16"/>
                <w:szCs w:val="16"/>
              </w:rPr>
            </w:pPr>
            <w:r w:rsidRPr="00BA1372">
              <w:rPr>
                <w:rFonts w:cs="Calibri"/>
                <w:sz w:val="16"/>
                <w:szCs w:val="16"/>
              </w:rPr>
              <w:t>0.0867</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1.34</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24.4</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1.7</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0.6</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val="restart"/>
            <w:hideMark/>
          </w:tcPr>
          <w:p w:rsidR="005622BF" w:rsidRPr="00BA1372" w:rsidRDefault="005622BF" w:rsidP="004A7EE6">
            <w:pPr>
              <w:snapToGrid w:val="0"/>
              <w:spacing w:line="240" w:lineRule="auto"/>
              <w:ind w:left="23"/>
              <w:jc w:val="center"/>
              <w:rPr>
                <w:rFonts w:eastAsia="Times New Roman" w:cs="Calibri"/>
                <w:sz w:val="16"/>
                <w:szCs w:val="16"/>
                <w:lang w:eastAsia="en-AU"/>
              </w:rPr>
            </w:pPr>
            <w:r w:rsidRPr="00BA1372">
              <w:rPr>
                <w:rFonts w:cs="Calibri"/>
                <w:sz w:val="16"/>
                <w:szCs w:val="16"/>
                <w:lang w:eastAsia="en-AU"/>
              </w:rPr>
              <w:t>80/4.5/40</w:t>
            </w: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M</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1.19</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6.95</w:t>
            </w:r>
          </w:p>
        </w:tc>
        <w:tc>
          <w:tcPr>
            <w:tcW w:w="412" w:type="pct"/>
            <w:hideMark/>
          </w:tcPr>
          <w:p w:rsidR="005622BF" w:rsidRPr="00BA1372" w:rsidRDefault="005622BF" w:rsidP="004A7EE6">
            <w:pPr>
              <w:widowControl w:val="0"/>
              <w:snapToGrid w:val="0"/>
              <w:spacing w:line="240" w:lineRule="auto"/>
              <w:ind w:left="21" w:hanging="21"/>
              <w:jc w:val="center"/>
              <w:rPr>
                <w:rFonts w:eastAsia="Times New Roman" w:cs="Calibri"/>
                <w:sz w:val="16"/>
                <w:szCs w:val="16"/>
              </w:rPr>
            </w:pPr>
            <w:r w:rsidRPr="00BA1372">
              <w:rPr>
                <w:rFonts w:cs="Calibri"/>
                <w:sz w:val="16"/>
                <w:szCs w:val="16"/>
              </w:rPr>
              <w:t>0.0092</w:t>
            </w:r>
          </w:p>
        </w:tc>
        <w:tc>
          <w:tcPr>
            <w:tcW w:w="529" w:type="pct"/>
            <w:hideMark/>
          </w:tcPr>
          <w:p w:rsidR="005622BF" w:rsidRPr="00BA1372" w:rsidRDefault="005622BF" w:rsidP="004A7EE6">
            <w:pPr>
              <w:widowControl w:val="0"/>
              <w:snapToGrid w:val="0"/>
              <w:spacing w:line="240" w:lineRule="auto"/>
              <w:ind w:left="0"/>
              <w:jc w:val="center"/>
              <w:rPr>
                <w:rFonts w:eastAsia="Times New Roman" w:cs="Calibri"/>
                <w:sz w:val="16"/>
                <w:szCs w:val="16"/>
              </w:rPr>
            </w:pPr>
            <w:r w:rsidRPr="00BA1372">
              <w:rPr>
                <w:rFonts w:cs="Calibri"/>
                <w:sz w:val="16"/>
                <w:szCs w:val="16"/>
              </w:rPr>
              <w:t>0.2470</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1.36</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26.8</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2.8</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1.9</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tcPr>
          <w:p w:rsidR="005622BF" w:rsidRPr="00BA1372" w:rsidRDefault="005622BF" w:rsidP="004A7EE6">
            <w:pPr>
              <w:snapToGrid w:val="0"/>
              <w:spacing w:line="240" w:lineRule="auto"/>
              <w:ind w:left="23"/>
              <w:jc w:val="center"/>
              <w:rPr>
                <w:rFonts w:eastAsia="Times New Roman" w:cs="Calibri"/>
                <w:sz w:val="16"/>
                <w:szCs w:val="16"/>
                <w:lang w:eastAsia="en-AU"/>
              </w:rPr>
            </w:pP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F</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0.816</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3.51</w:t>
            </w:r>
          </w:p>
        </w:tc>
        <w:tc>
          <w:tcPr>
            <w:tcW w:w="412" w:type="pct"/>
            <w:hideMark/>
          </w:tcPr>
          <w:p w:rsidR="005622BF" w:rsidRPr="00BA1372" w:rsidRDefault="005622BF" w:rsidP="004A7EE6">
            <w:pPr>
              <w:widowControl w:val="0"/>
              <w:snapToGrid w:val="0"/>
              <w:spacing w:line="240" w:lineRule="auto"/>
              <w:ind w:left="21" w:hanging="21"/>
              <w:jc w:val="center"/>
              <w:rPr>
                <w:rFonts w:eastAsia="Times New Roman" w:cs="Calibri"/>
                <w:sz w:val="16"/>
                <w:szCs w:val="16"/>
              </w:rPr>
            </w:pPr>
            <w:r w:rsidRPr="00BA1372">
              <w:rPr>
                <w:rFonts w:cs="Calibri"/>
                <w:sz w:val="16"/>
                <w:szCs w:val="16"/>
              </w:rPr>
              <w:t>0.0034</w:t>
            </w:r>
          </w:p>
        </w:tc>
        <w:tc>
          <w:tcPr>
            <w:tcW w:w="529" w:type="pct"/>
            <w:hideMark/>
          </w:tcPr>
          <w:p w:rsidR="005622BF" w:rsidRPr="00BA1372" w:rsidRDefault="005622BF" w:rsidP="004A7EE6">
            <w:pPr>
              <w:widowControl w:val="0"/>
              <w:snapToGrid w:val="0"/>
              <w:spacing w:line="240" w:lineRule="auto"/>
              <w:ind w:left="0"/>
              <w:jc w:val="center"/>
              <w:rPr>
                <w:rFonts w:eastAsia="Times New Roman" w:cs="Calibri"/>
                <w:sz w:val="16"/>
                <w:szCs w:val="16"/>
              </w:rPr>
            </w:pPr>
            <w:r w:rsidRPr="00BA1372">
              <w:rPr>
                <w:rFonts w:cs="Calibri"/>
                <w:sz w:val="16"/>
                <w:szCs w:val="16"/>
              </w:rPr>
              <w:t>0.0287</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1.25</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25.1</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1.9</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1.0</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val="restart"/>
            <w:hideMark/>
          </w:tcPr>
          <w:p w:rsidR="005622BF" w:rsidRPr="00BA1372" w:rsidRDefault="005622BF" w:rsidP="004A7EE6">
            <w:pPr>
              <w:snapToGrid w:val="0"/>
              <w:spacing w:line="240" w:lineRule="auto"/>
              <w:ind w:left="23"/>
              <w:jc w:val="center"/>
              <w:rPr>
                <w:rFonts w:eastAsia="Times New Roman" w:cs="Calibri"/>
                <w:sz w:val="16"/>
                <w:szCs w:val="16"/>
                <w:lang w:eastAsia="en-AU"/>
              </w:rPr>
            </w:pPr>
            <w:r w:rsidRPr="00BA1372">
              <w:rPr>
                <w:rFonts w:cs="Calibri"/>
                <w:sz w:val="16"/>
                <w:szCs w:val="16"/>
                <w:lang w:eastAsia="en-AU"/>
              </w:rPr>
              <w:t>80/0/0</w:t>
            </w:r>
          </w:p>
        </w:tc>
        <w:tc>
          <w:tcPr>
            <w:tcW w:w="208"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M</w:t>
            </w:r>
          </w:p>
        </w:tc>
        <w:tc>
          <w:tcPr>
            <w:tcW w:w="310"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1.91</w:t>
            </w:r>
          </w:p>
        </w:tc>
        <w:tc>
          <w:tcPr>
            <w:tcW w:w="529" w:type="pct"/>
            <w:hideMark/>
          </w:tcPr>
          <w:p w:rsidR="005622BF" w:rsidRPr="00BA1372" w:rsidRDefault="005622BF" w:rsidP="00BA1372">
            <w:pPr>
              <w:snapToGrid w:val="0"/>
              <w:spacing w:line="240" w:lineRule="auto"/>
              <w:jc w:val="center"/>
              <w:rPr>
                <w:rFonts w:eastAsia="Times New Roman" w:cs="Calibri"/>
                <w:sz w:val="16"/>
                <w:szCs w:val="16"/>
                <w:lang w:eastAsia="en-AU"/>
              </w:rPr>
            </w:pPr>
            <w:r w:rsidRPr="00BA1372">
              <w:rPr>
                <w:rFonts w:cs="Calibri"/>
                <w:sz w:val="16"/>
                <w:szCs w:val="16"/>
                <w:lang w:eastAsia="en-AU"/>
              </w:rPr>
              <w:t>5.53</w:t>
            </w:r>
          </w:p>
        </w:tc>
        <w:tc>
          <w:tcPr>
            <w:tcW w:w="412" w:type="pct"/>
            <w:hideMark/>
          </w:tcPr>
          <w:p w:rsidR="005622BF" w:rsidRPr="00BA1372" w:rsidRDefault="005622BF" w:rsidP="004A7EE6">
            <w:pPr>
              <w:snapToGrid w:val="0"/>
              <w:spacing w:line="240" w:lineRule="auto"/>
              <w:ind w:left="21" w:hanging="21"/>
              <w:jc w:val="center"/>
              <w:rPr>
                <w:rFonts w:eastAsia="Times New Roman" w:cs="Calibri"/>
                <w:sz w:val="16"/>
                <w:szCs w:val="16"/>
                <w:lang w:eastAsia="en-AU"/>
              </w:rPr>
            </w:pPr>
            <w:r w:rsidRPr="00BA1372">
              <w:rPr>
                <w:rFonts w:cs="Calibri"/>
                <w:sz w:val="16"/>
                <w:szCs w:val="16"/>
                <w:lang w:eastAsia="en-AU"/>
              </w:rPr>
              <w:t>NA</w:t>
            </w:r>
          </w:p>
        </w:tc>
        <w:tc>
          <w:tcPr>
            <w:tcW w:w="529" w:type="pct"/>
            <w:hideMark/>
          </w:tcPr>
          <w:p w:rsidR="005622BF" w:rsidRPr="00BA1372" w:rsidRDefault="005622BF" w:rsidP="004A7EE6">
            <w:pPr>
              <w:snapToGrid w:val="0"/>
              <w:spacing w:line="240" w:lineRule="auto"/>
              <w:ind w:left="0"/>
              <w:jc w:val="center"/>
              <w:rPr>
                <w:rFonts w:eastAsia="Times New Roman" w:cs="Calibri"/>
                <w:sz w:val="16"/>
                <w:szCs w:val="16"/>
                <w:lang w:eastAsia="en-AU"/>
              </w:rPr>
            </w:pPr>
            <w:r w:rsidRPr="00BA1372">
              <w:rPr>
                <w:rFonts w:cs="Calibri"/>
                <w:sz w:val="16"/>
                <w:szCs w:val="16"/>
                <w:lang w:eastAsia="en-AU"/>
              </w:rPr>
              <w:t>NA</w:t>
            </w:r>
          </w:p>
        </w:tc>
        <w:tc>
          <w:tcPr>
            <w:tcW w:w="393" w:type="pct"/>
            <w:hideMark/>
          </w:tcPr>
          <w:p w:rsidR="005622BF" w:rsidRPr="00BA1372" w:rsidRDefault="005622BF" w:rsidP="004A7EE6">
            <w:pPr>
              <w:snapToGrid w:val="0"/>
              <w:spacing w:line="240" w:lineRule="auto"/>
              <w:ind w:left="37" w:hanging="37"/>
              <w:jc w:val="center"/>
              <w:rPr>
                <w:rFonts w:eastAsia="Times New Roman" w:cs="Calibri"/>
                <w:sz w:val="16"/>
                <w:szCs w:val="16"/>
                <w:lang w:eastAsia="en-AU"/>
              </w:rPr>
            </w:pPr>
            <w:r w:rsidRPr="00BA1372">
              <w:rPr>
                <w:rFonts w:cs="Calibri"/>
                <w:sz w:val="16"/>
                <w:szCs w:val="16"/>
                <w:lang w:eastAsia="en-AU"/>
              </w:rPr>
              <w:t>NA</w:t>
            </w:r>
          </w:p>
        </w:tc>
        <w:tc>
          <w:tcPr>
            <w:tcW w:w="530" w:type="pct"/>
            <w:hideMark/>
          </w:tcPr>
          <w:p w:rsidR="005622BF" w:rsidRPr="00BA1372" w:rsidRDefault="005622BF" w:rsidP="004A7EE6">
            <w:pPr>
              <w:snapToGrid w:val="0"/>
              <w:spacing w:line="240" w:lineRule="auto"/>
              <w:ind w:left="52" w:hanging="52"/>
              <w:jc w:val="center"/>
              <w:rPr>
                <w:rFonts w:eastAsia="Times New Roman" w:cs="Calibri"/>
                <w:sz w:val="16"/>
                <w:szCs w:val="16"/>
                <w:lang w:eastAsia="en-AU"/>
              </w:rPr>
            </w:pPr>
            <w:r w:rsidRPr="00BA1372">
              <w:rPr>
                <w:rFonts w:cs="Calibri"/>
                <w:sz w:val="16"/>
                <w:szCs w:val="16"/>
                <w:lang w:eastAsia="en-AU"/>
              </w:rPr>
              <w:t>NA</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sz w:val="16"/>
                <w:szCs w:val="16"/>
              </w:rPr>
            </w:pPr>
            <w:r w:rsidRPr="00BA1372">
              <w:rPr>
                <w:rFonts w:cs="Calibri"/>
                <w:sz w:val="16"/>
                <w:szCs w:val="16"/>
              </w:rPr>
              <w:t>4.6</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1.5</w:t>
            </w:r>
          </w:p>
        </w:tc>
      </w:tr>
      <w:tr w:rsidR="004A7EE6" w:rsidTr="004A7EE6">
        <w:trPr>
          <w:trHeight w:val="227"/>
        </w:trPr>
        <w:tc>
          <w:tcPr>
            <w:tcW w:w="720" w:type="pct"/>
            <w:vMerge/>
          </w:tcPr>
          <w:p w:rsidR="005622BF" w:rsidRPr="00BA1372" w:rsidRDefault="005622BF" w:rsidP="004A7EE6">
            <w:pPr>
              <w:snapToGrid w:val="0"/>
              <w:spacing w:line="240" w:lineRule="auto"/>
              <w:ind w:left="0"/>
              <w:jc w:val="center"/>
              <w:rPr>
                <w:rFonts w:eastAsia="Times New Roman" w:cs="Calibri"/>
                <w:b/>
                <w:bCs/>
                <w:sz w:val="16"/>
                <w:szCs w:val="16"/>
                <w:lang w:eastAsia="en-AU"/>
              </w:rPr>
            </w:pPr>
          </w:p>
        </w:tc>
        <w:tc>
          <w:tcPr>
            <w:tcW w:w="652" w:type="pct"/>
            <w:vMerge/>
          </w:tcPr>
          <w:p w:rsidR="005622BF" w:rsidRPr="00BA1372" w:rsidRDefault="005622BF" w:rsidP="004A7EE6">
            <w:pPr>
              <w:snapToGrid w:val="0"/>
              <w:spacing w:line="240" w:lineRule="auto"/>
              <w:ind w:left="23"/>
              <w:jc w:val="center"/>
              <w:rPr>
                <w:rFonts w:eastAsia="Times New Roman" w:cs="Calibri"/>
                <w:b/>
                <w:bCs/>
                <w:sz w:val="16"/>
                <w:szCs w:val="16"/>
                <w:lang w:eastAsia="en-AU"/>
              </w:rPr>
            </w:pPr>
          </w:p>
        </w:tc>
        <w:tc>
          <w:tcPr>
            <w:tcW w:w="208" w:type="pct"/>
            <w:hideMark/>
          </w:tcPr>
          <w:p w:rsidR="005622BF" w:rsidRPr="00BA1372" w:rsidRDefault="005622BF" w:rsidP="00BA1372">
            <w:pPr>
              <w:snapToGrid w:val="0"/>
              <w:spacing w:line="240" w:lineRule="auto"/>
              <w:jc w:val="center"/>
              <w:rPr>
                <w:rFonts w:eastAsia="Times New Roman" w:cs="Calibri"/>
                <w:b/>
                <w:bCs/>
                <w:sz w:val="16"/>
                <w:szCs w:val="16"/>
                <w:lang w:eastAsia="en-AU"/>
              </w:rPr>
            </w:pPr>
            <w:r w:rsidRPr="00BA1372">
              <w:rPr>
                <w:rFonts w:cs="Calibri"/>
                <w:b/>
                <w:bCs/>
                <w:sz w:val="16"/>
                <w:szCs w:val="16"/>
                <w:lang w:eastAsia="en-AU"/>
              </w:rPr>
              <w:t>F</w:t>
            </w:r>
          </w:p>
        </w:tc>
        <w:tc>
          <w:tcPr>
            <w:tcW w:w="310" w:type="pct"/>
            <w:hideMark/>
          </w:tcPr>
          <w:p w:rsidR="005622BF" w:rsidRPr="00BA1372" w:rsidRDefault="005622BF" w:rsidP="004A7EE6">
            <w:pPr>
              <w:snapToGrid w:val="0"/>
              <w:spacing w:line="240" w:lineRule="auto"/>
              <w:ind w:left="0"/>
              <w:jc w:val="center"/>
              <w:rPr>
                <w:rFonts w:eastAsia="Times New Roman" w:cs="Calibri"/>
                <w:b/>
                <w:bCs/>
                <w:sz w:val="16"/>
                <w:szCs w:val="16"/>
                <w:lang w:eastAsia="en-AU"/>
              </w:rPr>
            </w:pPr>
            <w:r w:rsidRPr="00BA1372">
              <w:rPr>
                <w:rFonts w:cs="Calibri"/>
                <w:b/>
                <w:bCs/>
                <w:sz w:val="16"/>
                <w:szCs w:val="16"/>
                <w:lang w:eastAsia="en-AU"/>
              </w:rPr>
              <w:t>0.863</w:t>
            </w:r>
          </w:p>
        </w:tc>
        <w:tc>
          <w:tcPr>
            <w:tcW w:w="529" w:type="pct"/>
            <w:hideMark/>
          </w:tcPr>
          <w:p w:rsidR="005622BF" w:rsidRPr="00BA1372" w:rsidRDefault="005622BF" w:rsidP="00BA1372">
            <w:pPr>
              <w:snapToGrid w:val="0"/>
              <w:spacing w:line="240" w:lineRule="auto"/>
              <w:jc w:val="center"/>
              <w:rPr>
                <w:rFonts w:eastAsia="Times New Roman" w:cs="Calibri"/>
                <w:b/>
                <w:bCs/>
                <w:sz w:val="16"/>
                <w:szCs w:val="16"/>
                <w:lang w:eastAsia="en-AU"/>
              </w:rPr>
            </w:pPr>
            <w:r w:rsidRPr="00BA1372">
              <w:rPr>
                <w:rFonts w:cs="Calibri"/>
                <w:b/>
                <w:bCs/>
                <w:sz w:val="16"/>
                <w:szCs w:val="16"/>
                <w:lang w:eastAsia="en-AU"/>
              </w:rPr>
              <w:t>4.56</w:t>
            </w:r>
          </w:p>
        </w:tc>
        <w:tc>
          <w:tcPr>
            <w:tcW w:w="412" w:type="pct"/>
            <w:hideMark/>
          </w:tcPr>
          <w:p w:rsidR="005622BF" w:rsidRPr="00BA1372" w:rsidRDefault="005622BF" w:rsidP="004A7EE6">
            <w:pPr>
              <w:snapToGrid w:val="0"/>
              <w:spacing w:line="240" w:lineRule="auto"/>
              <w:ind w:left="21" w:hanging="21"/>
              <w:jc w:val="center"/>
              <w:rPr>
                <w:rFonts w:eastAsia="Times New Roman" w:cs="Calibri"/>
                <w:b/>
                <w:bCs/>
                <w:sz w:val="16"/>
                <w:szCs w:val="16"/>
                <w:lang w:eastAsia="en-AU"/>
              </w:rPr>
            </w:pPr>
            <w:r w:rsidRPr="00BA1372">
              <w:rPr>
                <w:rFonts w:cs="Calibri"/>
                <w:b/>
                <w:bCs/>
                <w:sz w:val="16"/>
                <w:szCs w:val="16"/>
                <w:lang w:eastAsia="en-AU"/>
              </w:rPr>
              <w:t>NA</w:t>
            </w:r>
          </w:p>
        </w:tc>
        <w:tc>
          <w:tcPr>
            <w:tcW w:w="529" w:type="pct"/>
            <w:hideMark/>
          </w:tcPr>
          <w:p w:rsidR="005622BF" w:rsidRPr="00BA1372" w:rsidRDefault="005622BF" w:rsidP="004A7EE6">
            <w:pPr>
              <w:snapToGrid w:val="0"/>
              <w:spacing w:line="240" w:lineRule="auto"/>
              <w:ind w:left="0"/>
              <w:jc w:val="center"/>
              <w:rPr>
                <w:rFonts w:eastAsia="Times New Roman" w:cs="Calibri"/>
                <w:b/>
                <w:bCs/>
                <w:sz w:val="16"/>
                <w:szCs w:val="16"/>
                <w:lang w:eastAsia="en-AU"/>
              </w:rPr>
            </w:pPr>
            <w:r w:rsidRPr="00BA1372">
              <w:rPr>
                <w:rFonts w:cs="Calibri"/>
                <w:b/>
                <w:bCs/>
                <w:sz w:val="16"/>
                <w:szCs w:val="16"/>
                <w:lang w:eastAsia="en-AU"/>
              </w:rPr>
              <w:t>NA</w:t>
            </w:r>
          </w:p>
        </w:tc>
        <w:tc>
          <w:tcPr>
            <w:tcW w:w="393" w:type="pct"/>
            <w:hideMark/>
          </w:tcPr>
          <w:p w:rsidR="005622BF" w:rsidRPr="00BA1372" w:rsidRDefault="005622BF" w:rsidP="004A7EE6">
            <w:pPr>
              <w:snapToGrid w:val="0"/>
              <w:spacing w:line="240" w:lineRule="auto"/>
              <w:ind w:left="37" w:hanging="37"/>
              <w:jc w:val="center"/>
              <w:rPr>
                <w:rFonts w:eastAsia="Times New Roman" w:cs="Calibri"/>
                <w:b/>
                <w:bCs/>
                <w:sz w:val="16"/>
                <w:szCs w:val="16"/>
                <w:lang w:eastAsia="en-AU"/>
              </w:rPr>
            </w:pPr>
            <w:r w:rsidRPr="00BA1372">
              <w:rPr>
                <w:rFonts w:cs="Calibri"/>
                <w:b/>
                <w:bCs/>
                <w:sz w:val="16"/>
                <w:szCs w:val="16"/>
                <w:lang w:eastAsia="en-AU"/>
              </w:rPr>
              <w:t>NA</w:t>
            </w:r>
          </w:p>
        </w:tc>
        <w:tc>
          <w:tcPr>
            <w:tcW w:w="530" w:type="pct"/>
            <w:hideMark/>
          </w:tcPr>
          <w:p w:rsidR="005622BF" w:rsidRPr="00BA1372" w:rsidRDefault="005622BF" w:rsidP="004A7EE6">
            <w:pPr>
              <w:snapToGrid w:val="0"/>
              <w:spacing w:line="240" w:lineRule="auto"/>
              <w:ind w:left="52" w:hanging="52"/>
              <w:jc w:val="center"/>
              <w:rPr>
                <w:rFonts w:eastAsia="Times New Roman" w:cs="Calibri"/>
                <w:b/>
                <w:bCs/>
                <w:sz w:val="16"/>
                <w:szCs w:val="16"/>
                <w:lang w:eastAsia="en-AU"/>
              </w:rPr>
            </w:pPr>
            <w:r w:rsidRPr="00BA1372">
              <w:rPr>
                <w:rFonts w:cs="Calibri"/>
                <w:b/>
                <w:bCs/>
                <w:sz w:val="16"/>
                <w:szCs w:val="16"/>
                <w:lang w:eastAsia="en-AU"/>
              </w:rPr>
              <w:t>NA</w:t>
            </w:r>
          </w:p>
        </w:tc>
        <w:tc>
          <w:tcPr>
            <w:tcW w:w="38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2.1</w:t>
            </w:r>
          </w:p>
        </w:tc>
        <w:tc>
          <w:tcPr>
            <w:tcW w:w="329" w:type="pct"/>
            <w:hideMark/>
          </w:tcPr>
          <w:p w:rsidR="005622BF" w:rsidRPr="00BA1372" w:rsidRDefault="005622BF" w:rsidP="004A7EE6">
            <w:pPr>
              <w:widowControl w:val="0"/>
              <w:snapToGrid w:val="0"/>
              <w:spacing w:line="240" w:lineRule="auto"/>
              <w:ind w:left="38" w:hanging="25"/>
              <w:jc w:val="center"/>
              <w:rPr>
                <w:rFonts w:eastAsia="Times New Roman" w:cs="Calibri"/>
                <w:b/>
                <w:bCs/>
                <w:sz w:val="16"/>
                <w:szCs w:val="16"/>
              </w:rPr>
            </w:pPr>
            <w:r w:rsidRPr="00BA1372">
              <w:rPr>
                <w:rFonts w:cs="Calibri"/>
                <w:b/>
                <w:bCs/>
                <w:sz w:val="16"/>
                <w:szCs w:val="16"/>
              </w:rPr>
              <w:t>1.2</w:t>
            </w:r>
          </w:p>
        </w:tc>
      </w:tr>
    </w:tbl>
    <w:p w:rsidR="005622BF" w:rsidRDefault="005622BF" w:rsidP="004A7EE6">
      <w:pPr>
        <w:pStyle w:val="TableDescription"/>
        <w:rPr>
          <w:rFonts w:eastAsia="Times New Roman"/>
          <w:szCs w:val="20"/>
        </w:rPr>
      </w:pPr>
      <w:r w:rsidRPr="00593588">
        <w:rPr>
          <w:rStyle w:val="TabletextChar"/>
        </w:rPr>
        <w:t xml:space="preserve">* = In the dog study </w:t>
      </w:r>
      <w:proofErr w:type="spellStart"/>
      <w:r w:rsidRPr="00593588">
        <w:rPr>
          <w:rStyle w:val="TabletextChar"/>
        </w:rPr>
        <w:t>Asunaprevir’s</w:t>
      </w:r>
      <w:proofErr w:type="spellEnd"/>
      <w:r w:rsidRPr="00593588">
        <w:rPr>
          <w:rStyle w:val="TabletextChar"/>
        </w:rPr>
        <w:t xml:space="preserve"> </w:t>
      </w:r>
      <w:proofErr w:type="gramStart"/>
      <w:r w:rsidRPr="00593588">
        <w:rPr>
          <w:rStyle w:val="TabletextChar"/>
        </w:rPr>
        <w:t>AUC</w:t>
      </w:r>
      <w:r w:rsidRPr="00593588">
        <w:rPr>
          <w:rStyle w:val="TabletextChar"/>
          <w:vertAlign w:val="subscript"/>
        </w:rPr>
        <w:t>(</w:t>
      </w:r>
      <w:proofErr w:type="gramEnd"/>
      <w:r w:rsidRPr="00593588">
        <w:rPr>
          <w:rStyle w:val="TabletextChar"/>
          <w:vertAlign w:val="subscript"/>
        </w:rPr>
        <w:t>0-T)</w:t>
      </w:r>
      <w:r w:rsidRPr="00593588">
        <w:rPr>
          <w:rStyle w:val="TabletextChar"/>
        </w:rPr>
        <w:t xml:space="preserve"> values, T = 4, 6, 8, or 24 hours in the 7.5/3/1.5-mg/kg/day dose group, T = 8 or 24 hours in the 15/15/3-mg/kg/day dose group. For </w:t>
      </w:r>
      <w:proofErr w:type="spellStart"/>
      <w:r w:rsidRPr="00593588">
        <w:rPr>
          <w:rStyle w:val="TabletextChar"/>
        </w:rPr>
        <w:t>pegIFN</w:t>
      </w:r>
      <w:proofErr w:type="spellEnd"/>
      <w:r w:rsidRPr="00593588">
        <w:rPr>
          <w:rStyle w:val="TabletextChar"/>
        </w:rPr>
        <w:t>α’s AUC</w:t>
      </w:r>
      <w:r w:rsidRPr="00593588">
        <w:rPr>
          <w:rStyle w:val="TabletextChar"/>
          <w:vertAlign w:val="subscript"/>
        </w:rPr>
        <w:t>(0-T)</w:t>
      </w:r>
      <w:r w:rsidRPr="00593588">
        <w:rPr>
          <w:rStyle w:val="TabletextChar"/>
        </w:rPr>
        <w:t xml:space="preserve"> values, T = 24 hours for individual dogs at all doses, except in 1 male and 1 female dog on Days 1 and 29, respectively, in the 3/7.5/1.5-mg/kg/day dose group, where T = 8 hours. For BMS-791325, </w:t>
      </w:r>
      <w:proofErr w:type="gramStart"/>
      <w:r w:rsidRPr="00593588">
        <w:rPr>
          <w:rStyle w:val="TabletextChar"/>
        </w:rPr>
        <w:t>AUC</w:t>
      </w:r>
      <w:r w:rsidRPr="00593588">
        <w:rPr>
          <w:rStyle w:val="TabletextChar"/>
          <w:vertAlign w:val="subscript"/>
        </w:rPr>
        <w:t>(</w:t>
      </w:r>
      <w:proofErr w:type="gramEnd"/>
      <w:r w:rsidRPr="00593588">
        <w:rPr>
          <w:rStyle w:val="TabletextChar"/>
          <w:vertAlign w:val="subscript"/>
        </w:rPr>
        <w:t>0-24h)</w:t>
      </w:r>
      <w:r w:rsidRPr="00593588">
        <w:rPr>
          <w:rStyle w:val="TabletextChar"/>
        </w:rPr>
        <w:t>. In the monkey study’s</w:t>
      </w:r>
      <w:r w:rsidRPr="00345105">
        <w:rPr>
          <w:rFonts w:eastAsia="Times New Roman"/>
          <w:snapToGrid w:val="0"/>
          <w:kern w:val="16"/>
          <w:sz w:val="18"/>
        </w:rPr>
        <w:t xml:space="preserve"> AUC</w:t>
      </w:r>
      <w:r w:rsidRPr="00593588">
        <w:rPr>
          <w:rFonts w:eastAsia="Times New Roman"/>
          <w:snapToGrid w:val="0"/>
          <w:kern w:val="16"/>
          <w:sz w:val="18"/>
          <w:vertAlign w:val="subscript"/>
        </w:rPr>
        <w:t>(0-T)</w:t>
      </w:r>
      <w:r w:rsidRPr="00345105">
        <w:rPr>
          <w:rFonts w:eastAsia="Times New Roman"/>
          <w:snapToGrid w:val="0"/>
          <w:kern w:val="16"/>
          <w:sz w:val="18"/>
        </w:rPr>
        <w:t xml:space="preserve">, T = 8 to 24 hours post dose for </w:t>
      </w:r>
      <w:proofErr w:type="spellStart"/>
      <w:r>
        <w:rPr>
          <w:rFonts w:eastAsia="Times New Roman"/>
          <w:snapToGrid w:val="0"/>
          <w:kern w:val="16"/>
          <w:sz w:val="18"/>
        </w:rPr>
        <w:t>asunaprevir</w:t>
      </w:r>
      <w:proofErr w:type="spellEnd"/>
      <w:r w:rsidRPr="00345105">
        <w:rPr>
          <w:rFonts w:eastAsia="Times New Roman"/>
          <w:snapToGrid w:val="0"/>
          <w:kern w:val="16"/>
          <w:sz w:val="18"/>
        </w:rPr>
        <w:t xml:space="preserve">; 8 to 48 hours post dose for </w:t>
      </w:r>
      <w:proofErr w:type="spellStart"/>
      <w:r w:rsidRPr="00345105">
        <w:rPr>
          <w:rFonts w:eastAsia="Times New Roman"/>
          <w:snapToGrid w:val="0"/>
          <w:kern w:val="16"/>
          <w:sz w:val="18"/>
        </w:rPr>
        <w:t>pegIFN</w:t>
      </w:r>
      <w:proofErr w:type="spellEnd"/>
      <w:r>
        <w:rPr>
          <w:rFonts w:eastAsia="Times New Roman"/>
          <w:snapToGrid w:val="0"/>
          <w:kern w:val="16"/>
          <w:sz w:val="18"/>
        </w:rPr>
        <w:t>α,</w:t>
      </w:r>
      <w:r w:rsidRPr="00345105">
        <w:rPr>
          <w:rFonts w:eastAsia="Times New Roman"/>
          <w:snapToGrid w:val="0"/>
          <w:kern w:val="16"/>
          <w:sz w:val="18"/>
        </w:rPr>
        <w:t xml:space="preserve"> and 24 hours post dose for RBV.</w:t>
      </w:r>
      <w:r>
        <w:rPr>
          <w:rFonts w:eastAsia="Times New Roman"/>
          <w:snapToGrid w:val="0"/>
          <w:kern w:val="16"/>
          <w:sz w:val="18"/>
        </w:rPr>
        <w:t xml:space="preserve"> </w:t>
      </w:r>
      <w:r w:rsidRPr="006F46CE">
        <w:rPr>
          <w:rFonts w:eastAsia="Times New Roman"/>
          <w:i/>
          <w:snapToGrid w:val="0"/>
          <w:kern w:val="16"/>
          <w:sz w:val="18"/>
        </w:rPr>
        <w:t>In HCV-infected subjects</w:t>
      </w:r>
      <w:r w:rsidRPr="004024C1">
        <w:rPr>
          <w:rFonts w:eastAsia="Times New Roman"/>
          <w:snapToGrid w:val="0"/>
          <w:kern w:val="16"/>
          <w:sz w:val="18"/>
        </w:rPr>
        <w:t xml:space="preserve"> given 200 mg tablet twice per day (Study AI447016), the week 12 human </w:t>
      </w:r>
      <w:proofErr w:type="spellStart"/>
      <w:r w:rsidRPr="004024C1">
        <w:rPr>
          <w:rFonts w:eastAsia="Times New Roman"/>
          <w:snapToGrid w:val="0"/>
          <w:kern w:val="16"/>
          <w:sz w:val="18"/>
        </w:rPr>
        <w:t>C</w:t>
      </w:r>
      <w:r w:rsidRPr="00593588">
        <w:rPr>
          <w:rFonts w:eastAsia="Times New Roman"/>
          <w:snapToGrid w:val="0"/>
          <w:kern w:val="16"/>
          <w:sz w:val="18"/>
          <w:vertAlign w:val="subscript"/>
        </w:rPr>
        <w:t>max</w:t>
      </w:r>
      <w:proofErr w:type="spellEnd"/>
      <w:r w:rsidRPr="004024C1">
        <w:rPr>
          <w:rFonts w:eastAsia="Times New Roman"/>
          <w:snapToGrid w:val="0"/>
          <w:kern w:val="16"/>
          <w:sz w:val="18"/>
        </w:rPr>
        <w:t xml:space="preserve"> value was 0.419 µg/mL (560 </w:t>
      </w:r>
      <w:proofErr w:type="spellStart"/>
      <w:r w:rsidRPr="004024C1">
        <w:rPr>
          <w:rFonts w:eastAsia="Times New Roman"/>
          <w:snapToGrid w:val="0"/>
          <w:kern w:val="16"/>
          <w:sz w:val="18"/>
        </w:rPr>
        <w:t>nM</w:t>
      </w:r>
      <w:proofErr w:type="spellEnd"/>
      <w:r w:rsidRPr="004024C1">
        <w:rPr>
          <w:rFonts w:eastAsia="Times New Roman"/>
          <w:snapToGrid w:val="0"/>
          <w:kern w:val="16"/>
          <w:sz w:val="18"/>
        </w:rPr>
        <w:t>) and the AUC (3.69 µ</w:t>
      </w:r>
      <w:proofErr w:type="spellStart"/>
      <w:r w:rsidRPr="004024C1">
        <w:rPr>
          <w:rFonts w:eastAsia="Times New Roman"/>
          <w:snapToGrid w:val="0"/>
          <w:kern w:val="16"/>
          <w:sz w:val="18"/>
        </w:rPr>
        <w:t>g.h</w:t>
      </w:r>
      <w:proofErr w:type="spellEnd"/>
      <w:r w:rsidRPr="004024C1">
        <w:rPr>
          <w:rFonts w:eastAsia="Times New Roman"/>
          <w:snapToGrid w:val="0"/>
          <w:kern w:val="16"/>
          <w:sz w:val="18"/>
        </w:rPr>
        <w:t>/mL).</w:t>
      </w:r>
    </w:p>
    <w:p w:rsidR="00737073" w:rsidRPr="00D85066" w:rsidRDefault="00737073" w:rsidP="001F3724">
      <w:pPr>
        <w:pStyle w:val="Heading5"/>
      </w:pPr>
      <w:r w:rsidRPr="00D85066">
        <w:t>Major toxicities</w:t>
      </w:r>
    </w:p>
    <w:p w:rsidR="00737073" w:rsidRPr="00D85066" w:rsidRDefault="00737073" w:rsidP="00737073">
      <w:r w:rsidRPr="00D85066">
        <w:t xml:space="preserve">Repeat-dose toxicity studies were conducted in mice (1 month), rats (up to 6 months) and dogs (up to 9 months) using the oral route. No consistent target organs for toxicity were identified at low relative exposures. At very high multiples of exposure, the gastrointestinal tract and the liver were target organs for </w:t>
      </w:r>
      <w:proofErr w:type="spellStart"/>
      <w:r w:rsidRPr="00D85066">
        <w:t>asunaprevir</w:t>
      </w:r>
      <w:proofErr w:type="spellEnd"/>
      <w:r w:rsidRPr="00D85066">
        <w:t xml:space="preserve"> in rats and dogs.</w:t>
      </w:r>
    </w:p>
    <w:p w:rsidR="00737073" w:rsidRPr="00D85066" w:rsidRDefault="00737073" w:rsidP="001F3724">
      <w:pPr>
        <w:pStyle w:val="Heading5"/>
      </w:pPr>
      <w:r w:rsidRPr="00D85066">
        <w:t>Liver</w:t>
      </w:r>
    </w:p>
    <w:p w:rsidR="00737073" w:rsidRPr="00D85066" w:rsidRDefault="00737073" w:rsidP="00737073">
      <w:r w:rsidRPr="00D85066">
        <w:t xml:space="preserve">Increased liver weight was observed in rats receiving </w:t>
      </w:r>
      <w:proofErr w:type="spellStart"/>
      <w:r w:rsidRPr="00D85066">
        <w:t>asunaprevir</w:t>
      </w:r>
      <w:proofErr w:type="spellEnd"/>
      <w:r w:rsidRPr="00D85066">
        <w:t xml:space="preserve"> for 1 month (≥100 mg/kg; relative exposure of ≥23) and 6 months (≥40 mg/kg; relative exposure ≥1), and this was only accompanied by increase in </w:t>
      </w:r>
      <w:r w:rsidR="001F3724">
        <w:t>alanine aminotransferase (</w:t>
      </w:r>
      <w:r w:rsidRPr="00D85066">
        <w:t>ALT</w:t>
      </w:r>
      <w:r w:rsidR="001F3724">
        <w:t>)</w:t>
      </w:r>
      <w:r w:rsidRPr="00D85066">
        <w:t xml:space="preserve"> and total bilirubin in rats receiving </w:t>
      </w:r>
      <w:proofErr w:type="spellStart"/>
      <w:r w:rsidRPr="00D85066">
        <w:t>asunaprevir</w:t>
      </w:r>
      <w:proofErr w:type="spellEnd"/>
      <w:r w:rsidRPr="00D85066">
        <w:t xml:space="preserve"> for 1 month at higher doses (600 mg/kg; relative exposure</w:t>
      </w:r>
      <w:r w:rsidR="004936B4">
        <w:t xml:space="preserve"> approximately</w:t>
      </w:r>
      <w:r w:rsidR="001F3724">
        <w:t xml:space="preserve"> </w:t>
      </w:r>
      <w:r w:rsidRPr="00D85066">
        <w:t>60</w:t>
      </w:r>
      <w:r w:rsidR="001F3724">
        <w:t xml:space="preserve"> to </w:t>
      </w:r>
      <w:r w:rsidRPr="00D85066">
        <w:t xml:space="preserve">100). Liver weight was not affected in dogs receiving </w:t>
      </w:r>
      <w:proofErr w:type="spellStart"/>
      <w:r w:rsidRPr="00D85066">
        <w:t>asunaprevir</w:t>
      </w:r>
      <w:proofErr w:type="spellEnd"/>
      <w:r w:rsidRPr="00D85066">
        <w:t xml:space="preserve"> for 1 month (≤300 mg/kg; relative exposure ≤370) or 9 months (100 mg/kg; relative exposure</w:t>
      </w:r>
      <w:r w:rsidR="004936B4">
        <w:t xml:space="preserve"> approximately</w:t>
      </w:r>
      <w:r w:rsidR="001F3724">
        <w:t xml:space="preserve"> </w:t>
      </w:r>
      <w:r w:rsidRPr="00D85066">
        <w:t>60</w:t>
      </w:r>
      <w:r w:rsidR="001F3724">
        <w:t xml:space="preserve"> to </w:t>
      </w:r>
      <w:r w:rsidRPr="00D85066">
        <w:t xml:space="preserve">100). Hepatocellular necrosis, increased ALT, total bilirubin </w:t>
      </w:r>
      <w:r w:rsidRPr="001F3724">
        <w:t xml:space="preserve">and </w:t>
      </w:r>
      <w:r w:rsidR="001F3724" w:rsidRPr="001F3724">
        <w:t>gamma-</w:t>
      </w:r>
      <w:proofErr w:type="spellStart"/>
      <w:r w:rsidR="001F3724" w:rsidRPr="001F3724">
        <w:t>glutamyl</w:t>
      </w:r>
      <w:proofErr w:type="spellEnd"/>
      <w:r w:rsidR="001F3724" w:rsidRPr="001F3724">
        <w:t xml:space="preserve"> </w:t>
      </w:r>
      <w:proofErr w:type="spellStart"/>
      <w:r w:rsidR="001F3724" w:rsidRPr="001F3724">
        <w:t>transferase</w:t>
      </w:r>
      <w:proofErr w:type="spellEnd"/>
      <w:r w:rsidR="001F3724" w:rsidRPr="001F3724">
        <w:t xml:space="preserve"> (</w:t>
      </w:r>
      <w:r w:rsidRPr="001F3724">
        <w:t>GGT</w:t>
      </w:r>
      <w:r w:rsidR="001F3724">
        <w:t>)</w:t>
      </w:r>
      <w:r w:rsidRPr="00D85066">
        <w:t xml:space="preserve"> were observed in dogs receiving </w:t>
      </w:r>
      <w:proofErr w:type="spellStart"/>
      <w:r w:rsidRPr="00D85066">
        <w:t>asunaprevir</w:t>
      </w:r>
      <w:proofErr w:type="spellEnd"/>
      <w:r w:rsidRPr="00D85066">
        <w:t xml:space="preserve"> for 1 month (300 mg/kg; relative exposure</w:t>
      </w:r>
      <w:r w:rsidR="004936B4">
        <w:t xml:space="preserve"> approximately</w:t>
      </w:r>
      <w:r w:rsidR="001F3724">
        <w:t xml:space="preserve"> </w:t>
      </w:r>
      <w:r w:rsidRPr="00D85066">
        <w:t>370). No clinically</w:t>
      </w:r>
      <w:r w:rsidR="001F3724">
        <w:t xml:space="preserve"> </w:t>
      </w:r>
      <w:r w:rsidRPr="00D85066">
        <w:t>relevant findings were seen in rats or dogs.</w:t>
      </w:r>
    </w:p>
    <w:p w:rsidR="00737073" w:rsidRPr="001F3724" w:rsidRDefault="00737073" w:rsidP="001F3724">
      <w:pPr>
        <w:pStyle w:val="Heading5"/>
      </w:pPr>
      <w:r w:rsidRPr="00D85066">
        <w:t>Gastro-intestinal tract (GIT)</w:t>
      </w:r>
    </w:p>
    <w:p w:rsidR="00C60B78" w:rsidRDefault="00737073" w:rsidP="00737073">
      <w:r w:rsidRPr="00D85066">
        <w:t xml:space="preserve">GIT effects observed in rats and dogs were likely due to local irritation. Administration of </w:t>
      </w:r>
      <w:proofErr w:type="spellStart"/>
      <w:r w:rsidRPr="00D85066">
        <w:t>asunaprevir</w:t>
      </w:r>
      <w:proofErr w:type="spellEnd"/>
      <w:r w:rsidRPr="00D85066">
        <w:t xml:space="preserve"> to rats for 1 month caused reversible small intestine enterocyte hypertrophy at a relative exposure of 81 based on AUC (62 for males and 101 for females).</w:t>
      </w:r>
    </w:p>
    <w:p w:rsidR="00C60B78" w:rsidRDefault="00737073" w:rsidP="00737073">
      <w:r w:rsidRPr="00D85066">
        <w:t xml:space="preserve">Repeat-dose administration of </w:t>
      </w:r>
      <w:proofErr w:type="spellStart"/>
      <w:r w:rsidRPr="00D85066">
        <w:t>asunaprevir</w:t>
      </w:r>
      <w:proofErr w:type="spellEnd"/>
      <w:r w:rsidRPr="00D85066">
        <w:t xml:space="preserve"> to rats for 6 months resulted only in soft faeces and increased food consumption, at relative exposure of 136 based on AUC (87 for males and 185 for females). Repeat-dose administration of </w:t>
      </w:r>
      <w:proofErr w:type="spellStart"/>
      <w:r w:rsidRPr="00D85066">
        <w:t>asunaprevir</w:t>
      </w:r>
      <w:proofErr w:type="spellEnd"/>
      <w:r w:rsidRPr="00D85066">
        <w:t xml:space="preserve"> to dogs for 1 month resulted only in emesis, at relative exposure of up to 375 based on AUC (382 for males and 369 for females), whereas administration for 9 months resulted only in </w:t>
      </w:r>
      <w:proofErr w:type="spellStart"/>
      <w:r w:rsidRPr="00D85066">
        <w:t>hypersalivation</w:t>
      </w:r>
      <w:proofErr w:type="spellEnd"/>
      <w:r w:rsidRPr="00D85066">
        <w:t>, at relative exposure of up to 81 based on AUC (60 for males and 103 for females).</w:t>
      </w:r>
    </w:p>
    <w:p w:rsidR="00737073" w:rsidRPr="00D85066" w:rsidRDefault="00737073" w:rsidP="001F3724">
      <w:pPr>
        <w:pStyle w:val="Heading5"/>
      </w:pPr>
      <w:r w:rsidRPr="00D85066">
        <w:t>Combination studies</w:t>
      </w:r>
    </w:p>
    <w:p w:rsidR="00C60B78" w:rsidRDefault="00737073" w:rsidP="00737073">
      <w:r w:rsidRPr="00D85066">
        <w:t xml:space="preserve">Repeat dose toxicity studies were conducted for </w:t>
      </w:r>
      <w:proofErr w:type="spellStart"/>
      <w:r w:rsidRPr="00D85066">
        <w:t>asunaprevir</w:t>
      </w:r>
      <w:proofErr w:type="spellEnd"/>
      <w:r w:rsidRPr="00D85066">
        <w:t xml:space="preserve"> in combination with other direct acting antivirals (</w:t>
      </w:r>
      <w:proofErr w:type="spellStart"/>
      <w:r w:rsidRPr="00D85066">
        <w:t>daclatasvir</w:t>
      </w:r>
      <w:proofErr w:type="spellEnd"/>
      <w:r w:rsidRPr="00D85066">
        <w:t xml:space="preserve"> for 1 month in rats and up to 3 months in monkeys; BMS-791325 for 1 month in rats </w:t>
      </w:r>
      <w:proofErr w:type="spellStart"/>
      <w:r w:rsidRPr="00D85066">
        <w:t>daclatasvir</w:t>
      </w:r>
      <w:proofErr w:type="spellEnd"/>
      <w:r w:rsidRPr="00D85066">
        <w:t xml:space="preserve"> plus BMS-791325 for 1 month in dogs) or </w:t>
      </w:r>
      <w:proofErr w:type="spellStart"/>
      <w:r w:rsidRPr="00D85066">
        <w:t>pegylated</w:t>
      </w:r>
      <w:proofErr w:type="spellEnd"/>
      <w:r w:rsidRPr="00D85066">
        <w:t xml:space="preserve"> interferon alpha (</w:t>
      </w:r>
      <w:proofErr w:type="spellStart"/>
      <w:r w:rsidRPr="00D85066">
        <w:t>pegIFN</w:t>
      </w:r>
      <w:proofErr w:type="spellEnd"/>
      <w:r w:rsidRPr="00D85066">
        <w:t>α) plus ribavirin (1 month in monkeys).</w:t>
      </w:r>
      <w:r w:rsidR="004936B4">
        <w:t xml:space="preserve"> </w:t>
      </w:r>
      <w:r w:rsidRPr="00D85066">
        <w:t xml:space="preserve">In all of these </w:t>
      </w:r>
      <w:r w:rsidRPr="00D85066">
        <w:lastRenderedPageBreak/>
        <w:t xml:space="preserve">combination studies, there was no evidence that the toxicity profile of </w:t>
      </w:r>
      <w:proofErr w:type="spellStart"/>
      <w:r w:rsidRPr="00D85066">
        <w:t>asunaprevir</w:t>
      </w:r>
      <w:proofErr w:type="spellEnd"/>
      <w:r w:rsidRPr="00D85066">
        <w:t xml:space="preserve"> was altered by co-administration with other HCV drugs.</w:t>
      </w:r>
      <w:r w:rsidR="004936B4">
        <w:t xml:space="preserve"> </w:t>
      </w:r>
      <w:r w:rsidRPr="00D85066">
        <w:t xml:space="preserve">The available combination studies in animals were adequate to assess the potential effect of other HCV drugs on the toxicity profile of </w:t>
      </w:r>
      <w:proofErr w:type="spellStart"/>
      <w:r w:rsidRPr="00D85066">
        <w:t>asunaprevir</w:t>
      </w:r>
      <w:proofErr w:type="spellEnd"/>
      <w:r w:rsidR="00EE45CA">
        <w:t>.</w:t>
      </w:r>
    </w:p>
    <w:p w:rsidR="00737073" w:rsidRPr="00D85066" w:rsidRDefault="00737073" w:rsidP="001F3724">
      <w:pPr>
        <w:pStyle w:val="Heading4"/>
      </w:pPr>
      <w:bookmarkStart w:id="60" w:name="_Toc294861729"/>
      <w:proofErr w:type="spellStart"/>
      <w:r w:rsidRPr="00D85066">
        <w:t>Genotoxicity</w:t>
      </w:r>
      <w:bookmarkEnd w:id="60"/>
      <w:proofErr w:type="spellEnd"/>
    </w:p>
    <w:p w:rsidR="00737073" w:rsidRPr="00D85066" w:rsidRDefault="00737073" w:rsidP="00737073">
      <w:r w:rsidRPr="00D85066">
        <w:t xml:space="preserve">The potential </w:t>
      </w:r>
      <w:proofErr w:type="spellStart"/>
      <w:r w:rsidRPr="00D85066">
        <w:t>genotoxicity</w:t>
      </w:r>
      <w:proofErr w:type="spellEnd"/>
      <w:r w:rsidRPr="00D85066">
        <w:t xml:space="preserve"> of </w:t>
      </w:r>
      <w:proofErr w:type="spellStart"/>
      <w:r w:rsidRPr="00D85066">
        <w:t>asunaprevir</w:t>
      </w:r>
      <w:proofErr w:type="spellEnd"/>
      <w:r w:rsidRPr="00D85066">
        <w:t xml:space="preserve"> was investigated in the standard battery of tests, conducted in accordance with ICH guidelines.</w:t>
      </w:r>
      <w:r w:rsidR="00EE45CA">
        <w:rPr>
          <w:rStyle w:val="FootnoteReference"/>
        </w:rPr>
        <w:footnoteReference w:id="15"/>
      </w:r>
      <w:r w:rsidRPr="00D85066">
        <w:t xml:space="preserve"> All assays were appropriately validated and conducted under GLP conditions. </w:t>
      </w:r>
      <w:proofErr w:type="spellStart"/>
      <w:r w:rsidRPr="00D85066">
        <w:t>Asunaprevir</w:t>
      </w:r>
      <w:proofErr w:type="spellEnd"/>
      <w:r w:rsidRPr="00D85066">
        <w:t xml:space="preserve"> was not mutagenic in bacterial mutation assays or </w:t>
      </w:r>
      <w:proofErr w:type="spellStart"/>
      <w:r w:rsidRPr="00D85066">
        <w:t>clastogenic</w:t>
      </w:r>
      <w:proofErr w:type="spellEnd"/>
      <w:r w:rsidRPr="00D85066">
        <w:t xml:space="preserve"> in vitro (in CHO cells) or in vivo (in the rat micronucleus test). Given the absence of mutagenic and </w:t>
      </w:r>
      <w:proofErr w:type="spellStart"/>
      <w:r w:rsidRPr="00D85066">
        <w:t>clastogenic</w:t>
      </w:r>
      <w:proofErr w:type="spellEnd"/>
      <w:r w:rsidRPr="00D85066">
        <w:t xml:space="preserve"> activity in in vitro assays and the absence of drug</w:t>
      </w:r>
      <w:r w:rsidR="00EE45CA">
        <w:t xml:space="preserve"> </w:t>
      </w:r>
      <w:r w:rsidRPr="00D85066">
        <w:t xml:space="preserve">related tumours in the mouse and rat carcinogenicity studies at relatively high exposures, the weight of evidence indicates </w:t>
      </w:r>
      <w:proofErr w:type="spellStart"/>
      <w:r w:rsidRPr="00D85066">
        <w:t>asunaprevir</w:t>
      </w:r>
      <w:proofErr w:type="spellEnd"/>
      <w:r w:rsidRPr="00D85066">
        <w:t xml:space="preserve"> is not </w:t>
      </w:r>
      <w:proofErr w:type="spellStart"/>
      <w:r w:rsidRPr="00D85066">
        <w:t>genotoxic</w:t>
      </w:r>
      <w:proofErr w:type="spellEnd"/>
      <w:r w:rsidRPr="00D85066">
        <w:t>.</w:t>
      </w:r>
    </w:p>
    <w:p w:rsidR="00737073" w:rsidRPr="00D85066" w:rsidRDefault="00737073" w:rsidP="00EE45CA">
      <w:pPr>
        <w:pStyle w:val="Heading4"/>
      </w:pPr>
      <w:bookmarkStart w:id="61" w:name="_Toc294861730"/>
      <w:r w:rsidRPr="00D85066">
        <w:t>Carcinogenicity</w:t>
      </w:r>
      <w:bookmarkEnd w:id="61"/>
    </w:p>
    <w:p w:rsidR="00737073" w:rsidRPr="00D85066" w:rsidRDefault="00737073" w:rsidP="00737073">
      <w:r w:rsidRPr="00D85066">
        <w:t xml:space="preserve">The </w:t>
      </w:r>
      <w:r w:rsidR="00EE45CA">
        <w:t>s</w:t>
      </w:r>
      <w:r w:rsidRPr="00D85066">
        <w:t xml:space="preserve">ponsor stated that carcinogenicity studies were initiated when the clinical treatment was believed to be as long as 48 weeks. The clinical duration for </w:t>
      </w:r>
      <w:proofErr w:type="spellStart"/>
      <w:r w:rsidRPr="00D85066">
        <w:t>asunaprevir</w:t>
      </w:r>
      <w:proofErr w:type="spellEnd"/>
      <w:r w:rsidRPr="00D85066">
        <w:t xml:space="preserve"> containing combination therapies is now ≤ 24 weeks, a duration for which carcinogenicity assessment are not required.</w:t>
      </w:r>
      <w:r w:rsidR="00EE45CA">
        <w:rPr>
          <w:rStyle w:val="FootnoteReference"/>
        </w:rPr>
        <w:footnoteReference w:id="16"/>
      </w:r>
    </w:p>
    <w:p w:rsidR="00C60B78" w:rsidRDefault="00737073" w:rsidP="00737073">
      <w:r w:rsidRPr="00D85066">
        <w:t xml:space="preserve">The carcinogenic potential of </w:t>
      </w:r>
      <w:proofErr w:type="spellStart"/>
      <w:r w:rsidRPr="00D85066">
        <w:t>asunaprevir</w:t>
      </w:r>
      <w:proofErr w:type="spellEnd"/>
      <w:r w:rsidRPr="00D85066">
        <w:t xml:space="preserve"> by the oral route was assessed in rats following daily dosing for 83 weeks and in transgenic Tg.rasH2 mice treated for 26 weeks at adequate exposure multiples of the human dos</w:t>
      </w:r>
      <w:r w:rsidR="00EE45CA">
        <w:t>age</w:t>
      </w:r>
      <w:r w:rsidRPr="00D85066">
        <w:t>. The doses selected for carcinogenicity studies were in accordance with recommendations from the Executive Carcinogenicity Assessment Committee (CAC) of US Food and Drug Administration (FDA) and were based upon a 28-day study in Tg-rasH2 non</w:t>
      </w:r>
      <w:r w:rsidR="00EE45CA">
        <w:t xml:space="preserve"> </w:t>
      </w:r>
      <w:r w:rsidRPr="00D85066">
        <w:t>transgenic mice and the 6</w:t>
      </w:r>
      <w:r w:rsidR="00EE45CA">
        <w:t xml:space="preserve"> </w:t>
      </w:r>
      <w:r w:rsidRPr="00D85066">
        <w:t>month study for rats. The group sizes used and duration of dosing were appropriate for the species. In the transgenic mouse study, a concurrent positive control group (N-nitroso-N-</w:t>
      </w:r>
      <w:proofErr w:type="spellStart"/>
      <w:r w:rsidRPr="00D85066">
        <w:t>methylurea</w:t>
      </w:r>
      <w:proofErr w:type="spellEnd"/>
      <w:r w:rsidRPr="00D85066">
        <w:t xml:space="preserve">-treated) was included and tumours expected from administration of a mutagen were observed, confirming the validity of the study. There were no </w:t>
      </w:r>
      <w:proofErr w:type="spellStart"/>
      <w:r w:rsidRPr="00D85066">
        <w:t>asunaprevir</w:t>
      </w:r>
      <w:proofErr w:type="spellEnd"/>
      <w:r w:rsidR="00EE45CA">
        <w:t xml:space="preserve"> </w:t>
      </w:r>
      <w:r w:rsidRPr="00D85066">
        <w:t xml:space="preserve">related neoplastic findings in any of the treated groups (≤200 mg/kg/day PO in mice and ≤80/125 mg/kg/day in rats; relative exposures &gt;260 and &gt;50, respectively). Therefore, based on these studies, </w:t>
      </w:r>
      <w:proofErr w:type="spellStart"/>
      <w:r w:rsidRPr="00D85066">
        <w:t>asunaprevir</w:t>
      </w:r>
      <w:proofErr w:type="spellEnd"/>
      <w:r w:rsidRPr="00D85066">
        <w:t xml:space="preserve"> is not expected to pose a carcinogenic risk during clinical use.</w:t>
      </w:r>
    </w:p>
    <w:p w:rsidR="00737073" w:rsidRPr="00D85066" w:rsidRDefault="00737073" w:rsidP="00EE45CA">
      <w:pPr>
        <w:pStyle w:val="Heading4"/>
      </w:pPr>
      <w:r w:rsidRPr="00D85066">
        <w:t>Reproductive toxicity</w:t>
      </w:r>
    </w:p>
    <w:p w:rsidR="00737073" w:rsidRPr="00D85066" w:rsidRDefault="00737073" w:rsidP="00737073">
      <w:r w:rsidRPr="00D85066">
        <w:t>A standard set of GLP</w:t>
      </w:r>
      <w:r w:rsidR="00EE45CA">
        <w:t xml:space="preserve"> </w:t>
      </w:r>
      <w:r w:rsidRPr="00D85066">
        <w:t xml:space="preserve">compliant reproductive toxicity studies was submitted and examined fertility (in rats), </w:t>
      </w:r>
      <w:proofErr w:type="spellStart"/>
      <w:r w:rsidRPr="00D85066">
        <w:t>embryofetal</w:t>
      </w:r>
      <w:proofErr w:type="spellEnd"/>
      <w:r w:rsidRPr="00D85066">
        <w:t xml:space="preserve"> toxicity (mice and rabbits) and pre/postnatal development (rats). Adequate animal numbers were used during appropriate gestational periods. Maximum doses in rats were acceptable, achieving several multiples of the clinical </w:t>
      </w:r>
      <w:proofErr w:type="spellStart"/>
      <w:r w:rsidRPr="00D85066">
        <w:t>asunaprevir</w:t>
      </w:r>
      <w:proofErr w:type="spellEnd"/>
      <w:r w:rsidRPr="00D85066">
        <w:t xml:space="preserve"> exposure (see table below), whereas exposure ratios in pregnant rabbits were generally low (maximum exposure ratio 1.2 at 200 mg/kg/day in the pivotal EFD study). It is nevertheless possible that significantly higher exposures were not achievable (possibly due to saturation of absorption) since a dose of 400 mg/kg (in the DRF study) produced a relative exposure 2.9, and a dose of 1000 mg/kg (in an exploratory study in non</w:t>
      </w:r>
      <w:r w:rsidR="00EE45CA">
        <w:t>-</w:t>
      </w:r>
      <w:r w:rsidRPr="00D85066">
        <w:t>pregnant female rabbits) produced a relative exposure of 3.3.</w:t>
      </w:r>
    </w:p>
    <w:p w:rsidR="00737073" w:rsidRPr="00D85066" w:rsidRDefault="00737073" w:rsidP="00737073">
      <w:r w:rsidRPr="00D85066">
        <w:t>Fertility was unaffected in rats when treated males were paired with treated females (≤600 mg/kg; relative exposure</w:t>
      </w:r>
      <w:r w:rsidR="004936B4">
        <w:t xml:space="preserve"> approximately</w:t>
      </w:r>
      <w:r w:rsidRPr="00D85066">
        <w:t xml:space="preserve">100 in both sexes). No adverse effects on fertility are predicted in patients. Placental transfer of </w:t>
      </w:r>
      <w:proofErr w:type="spellStart"/>
      <w:r w:rsidRPr="00D85066">
        <w:t>asunaprevir</w:t>
      </w:r>
      <w:proofErr w:type="spellEnd"/>
      <w:r w:rsidRPr="00D85066">
        <w:t xml:space="preserve"> and/or its metabolites </w:t>
      </w:r>
      <w:r w:rsidRPr="00D85066">
        <w:lastRenderedPageBreak/>
        <w:t xml:space="preserve">was observed in rats. No adverse </w:t>
      </w:r>
      <w:proofErr w:type="spellStart"/>
      <w:r w:rsidRPr="00D85066">
        <w:t>embryofetal</w:t>
      </w:r>
      <w:proofErr w:type="spellEnd"/>
      <w:r w:rsidRPr="00D85066">
        <w:t xml:space="preserve"> effects were observed in either mice or rabbits at the highest tested doses: 500 mg/kg PO (relative exposure 472) in mice and 200 mg/kg/day PO (relative exposure 1.2) in rabbits.</w:t>
      </w:r>
    </w:p>
    <w:p w:rsidR="00737073" w:rsidRDefault="00737073" w:rsidP="00737073">
      <w:r w:rsidRPr="00D85066">
        <w:t xml:space="preserve">Transfer of </w:t>
      </w:r>
      <w:proofErr w:type="spellStart"/>
      <w:r w:rsidRPr="00D85066">
        <w:t>asunaprevir</w:t>
      </w:r>
      <w:proofErr w:type="spellEnd"/>
      <w:r w:rsidR="00EE45CA">
        <w:t xml:space="preserve"> </w:t>
      </w:r>
      <w:r w:rsidRPr="00D85066">
        <w:t>related material into milk was shown. In a pre and postnatal development study in rats, decreased viability, body weight, and food consumption were evident in F1</w:t>
      </w:r>
      <w:r w:rsidR="000F1CA4">
        <w:rPr>
          <w:rStyle w:val="FootnoteReference"/>
        </w:rPr>
        <w:footnoteReference w:id="17"/>
      </w:r>
      <w:r w:rsidRPr="00D85066">
        <w:t xml:space="preserve"> litters at 400 mg/kg/day (relative exposure 193) but not at the relatively high dose of 125 mg/kg (relative exposure 76).</w:t>
      </w:r>
    </w:p>
    <w:p w:rsidR="00EE45CA" w:rsidRDefault="00EE45CA" w:rsidP="00EE45CA">
      <w:pPr>
        <w:pStyle w:val="TableTitle"/>
      </w:pPr>
      <w:r>
        <w:t>Table 7:</w:t>
      </w:r>
      <w:r w:rsidRPr="00EE45CA">
        <w:t xml:space="preserve"> </w:t>
      </w:r>
      <w:r w:rsidRPr="00855218">
        <w:t>Relative exposure</w:t>
      </w:r>
      <w:r>
        <w:t xml:space="preserve"> in reproductive studies</w:t>
      </w:r>
    </w:p>
    <w:tbl>
      <w:tblPr>
        <w:tblStyle w:val="TableTGAblue"/>
        <w:tblW w:w="4938" w:type="pct"/>
        <w:tblLook w:val="01E0" w:firstRow="1" w:lastRow="1" w:firstColumn="1" w:lastColumn="1" w:noHBand="0" w:noVBand="0"/>
      </w:tblPr>
      <w:tblGrid>
        <w:gridCol w:w="2880"/>
        <w:gridCol w:w="1796"/>
        <w:gridCol w:w="2037"/>
        <w:gridCol w:w="1899"/>
      </w:tblGrid>
      <w:tr w:rsidR="006F46CE" w:rsidRPr="00921F44" w:rsidTr="00F95AEB">
        <w:trPr>
          <w:cnfStyle w:val="100000000000" w:firstRow="1" w:lastRow="0" w:firstColumn="0" w:lastColumn="0" w:oddVBand="0" w:evenVBand="0" w:oddHBand="0" w:evenHBand="0" w:firstRowFirstColumn="0" w:firstRowLastColumn="0" w:lastRowFirstColumn="0" w:lastRowLastColumn="0"/>
        </w:trPr>
        <w:tc>
          <w:tcPr>
            <w:tcW w:w="1765" w:type="pct"/>
          </w:tcPr>
          <w:p w:rsidR="006F46CE" w:rsidRPr="00BA1372" w:rsidRDefault="006F46CE" w:rsidP="00F95AEB">
            <w:pPr>
              <w:rPr>
                <w:b w:val="0"/>
              </w:rPr>
            </w:pPr>
            <w:r w:rsidRPr="00BA1372">
              <w:rPr>
                <w:b w:val="0"/>
              </w:rPr>
              <w:t>Species; study duration</w:t>
            </w:r>
          </w:p>
        </w:tc>
        <w:tc>
          <w:tcPr>
            <w:tcW w:w="765" w:type="pct"/>
          </w:tcPr>
          <w:p w:rsidR="006F46CE" w:rsidRPr="00BA1372" w:rsidRDefault="006F46CE" w:rsidP="00F95AEB">
            <w:pPr>
              <w:rPr>
                <w:b w:val="0"/>
              </w:rPr>
            </w:pPr>
            <w:r w:rsidRPr="00BA1372">
              <w:rPr>
                <w:b w:val="0"/>
              </w:rPr>
              <w:t>Dose</w:t>
            </w:r>
            <w:r w:rsidR="00F95AEB">
              <w:rPr>
                <w:b w:val="0"/>
              </w:rPr>
              <w:t xml:space="preserve"> </w:t>
            </w:r>
            <w:r w:rsidRPr="00BA1372">
              <w:rPr>
                <w:b w:val="0"/>
              </w:rPr>
              <w:t>(mg/kg/day)</w:t>
            </w:r>
          </w:p>
        </w:tc>
        <w:tc>
          <w:tcPr>
            <w:tcW w:w="1275" w:type="pct"/>
          </w:tcPr>
          <w:p w:rsidR="006F46CE" w:rsidRPr="00BA1372" w:rsidRDefault="006F46CE" w:rsidP="00F95AEB">
            <w:pPr>
              <w:rPr>
                <w:b w:val="0"/>
              </w:rPr>
            </w:pPr>
            <w:r w:rsidRPr="00BA1372">
              <w:rPr>
                <w:b w:val="0"/>
              </w:rPr>
              <w:t>AUC</w:t>
            </w:r>
            <w:r w:rsidRPr="00BA1372">
              <w:rPr>
                <w:b w:val="0"/>
                <w:vertAlign w:val="subscript"/>
              </w:rPr>
              <w:t>0–24 h</w:t>
            </w:r>
            <w:r w:rsidR="00F95AEB">
              <w:rPr>
                <w:b w:val="0"/>
                <w:vertAlign w:val="subscript"/>
              </w:rPr>
              <w:t xml:space="preserve"> </w:t>
            </w:r>
            <w:r w:rsidRPr="00BA1372">
              <w:rPr>
                <w:b w:val="0"/>
              </w:rPr>
              <w:t>(µ</w:t>
            </w:r>
            <w:proofErr w:type="spellStart"/>
            <w:r w:rsidRPr="00BA1372">
              <w:rPr>
                <w:b w:val="0"/>
              </w:rPr>
              <w:t>g∙h</w:t>
            </w:r>
            <w:proofErr w:type="spellEnd"/>
            <w:r w:rsidRPr="00BA1372">
              <w:rPr>
                <w:b w:val="0"/>
              </w:rPr>
              <w:t>/mL)</w:t>
            </w:r>
          </w:p>
        </w:tc>
        <w:tc>
          <w:tcPr>
            <w:tcW w:w="1195" w:type="pct"/>
          </w:tcPr>
          <w:p w:rsidR="006F46CE" w:rsidRPr="00BA1372" w:rsidRDefault="006F46CE" w:rsidP="00F95AEB">
            <w:pPr>
              <w:rPr>
                <w:b w:val="0"/>
              </w:rPr>
            </w:pPr>
            <w:r w:rsidRPr="00BA1372">
              <w:rPr>
                <w:b w:val="0"/>
              </w:rPr>
              <w:t>Exposure ratio#</w:t>
            </w:r>
          </w:p>
        </w:tc>
      </w:tr>
      <w:tr w:rsidR="006F46CE" w:rsidRPr="00E25444" w:rsidTr="00F95AEB">
        <w:trPr>
          <w:trHeight w:val="227"/>
        </w:trPr>
        <w:tc>
          <w:tcPr>
            <w:tcW w:w="1765" w:type="pct"/>
            <w:vMerge w:val="restart"/>
          </w:tcPr>
          <w:p w:rsidR="006F46CE" w:rsidRPr="00BA1372" w:rsidRDefault="006F46CE" w:rsidP="00F95AEB">
            <w:r w:rsidRPr="00BA1372">
              <w:t>Rat</w:t>
            </w:r>
          </w:p>
          <w:p w:rsidR="006F46CE" w:rsidRPr="00BA1372" w:rsidRDefault="006F46CE" w:rsidP="00F95AEB">
            <w:r w:rsidRPr="00BA1372">
              <w:t>Oral Fertility and early EFD.</w:t>
            </w:r>
          </w:p>
          <w:p w:rsidR="006F46CE" w:rsidRPr="00BA1372" w:rsidRDefault="006F46CE" w:rsidP="00F95AEB">
            <w:r w:rsidRPr="00BA1372">
              <w:t>M: ≤ 64 days</w:t>
            </w:r>
          </w:p>
          <w:p w:rsidR="006F46CE" w:rsidRPr="00BA1372" w:rsidRDefault="006F46CE" w:rsidP="00F95AEB">
            <w:r w:rsidRPr="00BA1372">
              <w:t>F: 22-35 days (DN08069)</w:t>
            </w:r>
          </w:p>
        </w:tc>
        <w:tc>
          <w:tcPr>
            <w:tcW w:w="765" w:type="pct"/>
          </w:tcPr>
          <w:p w:rsidR="006F46CE" w:rsidRPr="00BA1372" w:rsidRDefault="006F46CE" w:rsidP="00F95AEB">
            <w:r w:rsidRPr="00BA1372">
              <w:t>50</w:t>
            </w:r>
          </w:p>
        </w:tc>
        <w:tc>
          <w:tcPr>
            <w:tcW w:w="1275" w:type="pct"/>
          </w:tcPr>
          <w:p w:rsidR="006F46CE" w:rsidRPr="00BA1372" w:rsidRDefault="006F46CE" w:rsidP="00F95AEB">
            <w:r w:rsidRPr="00BA1372">
              <w:t>53/29.9 (M/F)</w:t>
            </w:r>
          </w:p>
        </w:tc>
        <w:tc>
          <w:tcPr>
            <w:tcW w:w="1195" w:type="pct"/>
          </w:tcPr>
          <w:p w:rsidR="006F46CE" w:rsidRPr="00BA1372" w:rsidRDefault="006F46CE" w:rsidP="00F95AEB">
            <w:r w:rsidRPr="00BA1372">
              <w:t>14/8.1</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200</w:t>
            </w:r>
          </w:p>
        </w:tc>
        <w:tc>
          <w:tcPr>
            <w:tcW w:w="1275" w:type="pct"/>
          </w:tcPr>
          <w:p w:rsidR="006F46CE" w:rsidRPr="00BA1372" w:rsidRDefault="006F46CE" w:rsidP="00F95AEB">
            <w:r w:rsidRPr="00BA1372">
              <w:t>454/545 (M/F)</w:t>
            </w:r>
          </w:p>
        </w:tc>
        <w:tc>
          <w:tcPr>
            <w:tcW w:w="1195" w:type="pct"/>
          </w:tcPr>
          <w:p w:rsidR="006F46CE" w:rsidRPr="00BA1372" w:rsidRDefault="006F46CE" w:rsidP="00F95AEB">
            <w:r w:rsidRPr="00BA1372">
              <w:t>123/148</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600</w:t>
            </w:r>
          </w:p>
        </w:tc>
        <w:tc>
          <w:tcPr>
            <w:tcW w:w="1275" w:type="pct"/>
          </w:tcPr>
          <w:p w:rsidR="006F46CE" w:rsidRPr="00BA1372" w:rsidRDefault="006F46CE" w:rsidP="00F95AEB">
            <w:r w:rsidRPr="00BA1372">
              <w:t>386/373 (M/F)</w:t>
            </w:r>
          </w:p>
        </w:tc>
        <w:tc>
          <w:tcPr>
            <w:tcW w:w="1195" w:type="pct"/>
          </w:tcPr>
          <w:p w:rsidR="006F46CE" w:rsidRPr="00BA1372" w:rsidRDefault="006F46CE" w:rsidP="00F95AEB">
            <w:r w:rsidRPr="00BA1372">
              <w:t>105/101</w:t>
            </w:r>
          </w:p>
        </w:tc>
      </w:tr>
      <w:tr w:rsidR="006F46CE" w:rsidRPr="00E25444" w:rsidTr="00F95AEB">
        <w:trPr>
          <w:trHeight w:val="227"/>
        </w:trPr>
        <w:tc>
          <w:tcPr>
            <w:tcW w:w="1765" w:type="pct"/>
            <w:vMerge w:val="restart"/>
          </w:tcPr>
          <w:p w:rsidR="00C60B78" w:rsidRDefault="006F46CE" w:rsidP="00F95AEB">
            <w:r w:rsidRPr="00BA1372">
              <w:t>Pregnant mice</w:t>
            </w:r>
          </w:p>
          <w:p w:rsidR="006F46CE" w:rsidRPr="00BA1372" w:rsidRDefault="006F46CE" w:rsidP="00F95AEB">
            <w:r w:rsidRPr="00BA1372">
              <w:t>10-day oral DRF (DN08014/DCN 930068598)</w:t>
            </w:r>
          </w:p>
        </w:tc>
        <w:tc>
          <w:tcPr>
            <w:tcW w:w="765" w:type="pct"/>
          </w:tcPr>
          <w:p w:rsidR="006F46CE" w:rsidRPr="00BA1372" w:rsidRDefault="006F46CE" w:rsidP="00F95AEB">
            <w:r w:rsidRPr="00BA1372">
              <w:t>60</w:t>
            </w:r>
          </w:p>
        </w:tc>
        <w:tc>
          <w:tcPr>
            <w:tcW w:w="1275" w:type="pct"/>
          </w:tcPr>
          <w:p w:rsidR="006F46CE" w:rsidRPr="00BA1372" w:rsidRDefault="006F46CE" w:rsidP="00F95AEB">
            <w:r w:rsidRPr="00BA1372">
              <w:t>57.8</w:t>
            </w:r>
          </w:p>
        </w:tc>
        <w:tc>
          <w:tcPr>
            <w:tcW w:w="1195" w:type="pct"/>
          </w:tcPr>
          <w:p w:rsidR="006F46CE" w:rsidRPr="00BA1372" w:rsidRDefault="006F46CE" w:rsidP="00F95AEB">
            <w:r w:rsidRPr="00BA1372">
              <w:t>15.7</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125</w:t>
            </w:r>
          </w:p>
        </w:tc>
        <w:tc>
          <w:tcPr>
            <w:tcW w:w="1275" w:type="pct"/>
          </w:tcPr>
          <w:p w:rsidR="006F46CE" w:rsidRPr="00BA1372" w:rsidRDefault="006F46CE" w:rsidP="00F95AEB">
            <w:r w:rsidRPr="00BA1372">
              <w:t>603</w:t>
            </w:r>
          </w:p>
        </w:tc>
        <w:tc>
          <w:tcPr>
            <w:tcW w:w="1195" w:type="pct"/>
          </w:tcPr>
          <w:p w:rsidR="006F46CE" w:rsidRPr="00BA1372" w:rsidRDefault="006F46CE" w:rsidP="00F95AEB">
            <w:r w:rsidRPr="00BA1372">
              <w:t>163</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250</w:t>
            </w:r>
          </w:p>
        </w:tc>
        <w:tc>
          <w:tcPr>
            <w:tcW w:w="1275" w:type="pct"/>
          </w:tcPr>
          <w:p w:rsidR="006F46CE" w:rsidRPr="00BA1372" w:rsidRDefault="006F46CE" w:rsidP="00F95AEB">
            <w:r w:rsidRPr="00BA1372">
              <w:t>1810</w:t>
            </w:r>
          </w:p>
        </w:tc>
        <w:tc>
          <w:tcPr>
            <w:tcW w:w="1195" w:type="pct"/>
          </w:tcPr>
          <w:p w:rsidR="006F46CE" w:rsidRPr="00BA1372" w:rsidRDefault="006F46CE" w:rsidP="00F95AEB">
            <w:r w:rsidRPr="00BA1372">
              <w:t>491</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500</w:t>
            </w:r>
          </w:p>
        </w:tc>
        <w:tc>
          <w:tcPr>
            <w:tcW w:w="1275" w:type="pct"/>
          </w:tcPr>
          <w:p w:rsidR="006F46CE" w:rsidRPr="00BA1372" w:rsidRDefault="006F46CE" w:rsidP="00F95AEB">
            <w:r w:rsidRPr="00BA1372">
              <w:t>2380</w:t>
            </w:r>
          </w:p>
        </w:tc>
        <w:tc>
          <w:tcPr>
            <w:tcW w:w="1195" w:type="pct"/>
          </w:tcPr>
          <w:p w:rsidR="006F46CE" w:rsidRPr="00BA1372" w:rsidRDefault="006F46CE" w:rsidP="00F95AEB">
            <w:r w:rsidRPr="00BA1372">
              <w:t>645</w:t>
            </w:r>
          </w:p>
        </w:tc>
      </w:tr>
      <w:tr w:rsidR="006F46CE" w:rsidRPr="00E25444" w:rsidTr="00F95AEB">
        <w:trPr>
          <w:trHeight w:val="227"/>
        </w:trPr>
        <w:tc>
          <w:tcPr>
            <w:tcW w:w="1765" w:type="pct"/>
            <w:vMerge w:val="restart"/>
          </w:tcPr>
          <w:p w:rsidR="006F46CE" w:rsidRPr="00BA1372" w:rsidRDefault="006F46CE" w:rsidP="00F95AEB">
            <w:r w:rsidRPr="00BA1372">
              <w:t>Mouse</w:t>
            </w:r>
          </w:p>
          <w:p w:rsidR="006F46CE" w:rsidRPr="00BA1372" w:rsidRDefault="006F46CE" w:rsidP="00F95AEB">
            <w:r w:rsidRPr="00BA1372">
              <w:t>Oral EFD, 10 days GD15 (DN08022)</w:t>
            </w:r>
          </w:p>
        </w:tc>
        <w:tc>
          <w:tcPr>
            <w:tcW w:w="765" w:type="pct"/>
          </w:tcPr>
          <w:p w:rsidR="006F46CE" w:rsidRPr="00BA1372" w:rsidRDefault="006F46CE" w:rsidP="00F95AEB">
            <w:r w:rsidRPr="00BA1372">
              <w:t>10</w:t>
            </w:r>
          </w:p>
        </w:tc>
        <w:tc>
          <w:tcPr>
            <w:tcW w:w="1275" w:type="pct"/>
          </w:tcPr>
          <w:p w:rsidR="006F46CE" w:rsidRPr="00BA1372" w:rsidRDefault="006F46CE" w:rsidP="00F95AEB">
            <w:r w:rsidRPr="00BA1372">
              <w:t>0.851</w:t>
            </w:r>
          </w:p>
        </w:tc>
        <w:tc>
          <w:tcPr>
            <w:tcW w:w="1195" w:type="pct"/>
          </w:tcPr>
          <w:p w:rsidR="006F46CE" w:rsidRPr="00BA1372" w:rsidRDefault="006F46CE" w:rsidP="00F95AEB">
            <w:r w:rsidRPr="00BA1372">
              <w:t>0.2</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50</w:t>
            </w:r>
          </w:p>
        </w:tc>
        <w:tc>
          <w:tcPr>
            <w:tcW w:w="1275" w:type="pct"/>
          </w:tcPr>
          <w:p w:rsidR="006F46CE" w:rsidRPr="00BA1372" w:rsidRDefault="006F46CE" w:rsidP="00F95AEB">
            <w:r w:rsidRPr="00BA1372">
              <w:t>19.1</w:t>
            </w:r>
          </w:p>
        </w:tc>
        <w:tc>
          <w:tcPr>
            <w:tcW w:w="1195" w:type="pct"/>
          </w:tcPr>
          <w:p w:rsidR="006F46CE" w:rsidRPr="00BA1372" w:rsidRDefault="006F46CE" w:rsidP="00F95AEB">
            <w:r w:rsidRPr="00BA1372">
              <w:t>5.2</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250</w:t>
            </w:r>
          </w:p>
        </w:tc>
        <w:tc>
          <w:tcPr>
            <w:tcW w:w="1275" w:type="pct"/>
          </w:tcPr>
          <w:p w:rsidR="006F46CE" w:rsidRPr="00BA1372" w:rsidRDefault="006F46CE" w:rsidP="00F95AEB">
            <w:r w:rsidRPr="00BA1372">
              <w:t>737</w:t>
            </w:r>
          </w:p>
        </w:tc>
        <w:tc>
          <w:tcPr>
            <w:tcW w:w="1195" w:type="pct"/>
          </w:tcPr>
          <w:p w:rsidR="006F46CE" w:rsidRPr="00BA1372" w:rsidRDefault="006F46CE" w:rsidP="00F95AEB">
            <w:r w:rsidRPr="00BA1372">
              <w:t>200</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500</w:t>
            </w:r>
          </w:p>
        </w:tc>
        <w:tc>
          <w:tcPr>
            <w:tcW w:w="1275" w:type="pct"/>
          </w:tcPr>
          <w:p w:rsidR="006F46CE" w:rsidRPr="00BA1372" w:rsidRDefault="006F46CE" w:rsidP="00F95AEB">
            <w:r w:rsidRPr="00BA1372">
              <w:t>1740</w:t>
            </w:r>
          </w:p>
        </w:tc>
        <w:tc>
          <w:tcPr>
            <w:tcW w:w="1195" w:type="pct"/>
          </w:tcPr>
          <w:p w:rsidR="006F46CE" w:rsidRPr="00BA1372" w:rsidRDefault="006F46CE" w:rsidP="00F95AEB">
            <w:r w:rsidRPr="00BA1372">
              <w:t>472</w:t>
            </w:r>
          </w:p>
        </w:tc>
      </w:tr>
      <w:tr w:rsidR="006F46CE" w:rsidRPr="00E25444" w:rsidTr="00F95AEB">
        <w:trPr>
          <w:trHeight w:val="227"/>
        </w:trPr>
        <w:tc>
          <w:tcPr>
            <w:tcW w:w="1765" w:type="pct"/>
            <w:vMerge w:val="restart"/>
          </w:tcPr>
          <w:p w:rsidR="006F46CE" w:rsidRPr="00BA1372" w:rsidRDefault="006F46CE" w:rsidP="00F95AEB">
            <w:proofErr w:type="spellStart"/>
            <w:r w:rsidRPr="00BA1372">
              <w:t>Nonpregnant</w:t>
            </w:r>
            <w:proofErr w:type="spellEnd"/>
          </w:p>
          <w:p w:rsidR="006F46CE" w:rsidRPr="00BA1372" w:rsidRDefault="006F46CE" w:rsidP="00F95AEB">
            <w:r w:rsidRPr="00BA1372">
              <w:t>Rabbits</w:t>
            </w:r>
          </w:p>
          <w:p w:rsidR="006F46CE" w:rsidRPr="00BA1372" w:rsidRDefault="006F46CE" w:rsidP="00F95AEB">
            <w:r w:rsidRPr="00BA1372">
              <w:t>5 days oral Exploratory (DN08015/DCN 930068281)</w:t>
            </w:r>
          </w:p>
        </w:tc>
        <w:tc>
          <w:tcPr>
            <w:tcW w:w="765" w:type="pct"/>
          </w:tcPr>
          <w:p w:rsidR="006F46CE" w:rsidRPr="00BA1372" w:rsidRDefault="006F46CE" w:rsidP="00F95AEB">
            <w:r w:rsidRPr="00BA1372">
              <w:t>50</w:t>
            </w:r>
          </w:p>
        </w:tc>
        <w:tc>
          <w:tcPr>
            <w:tcW w:w="1275" w:type="pct"/>
          </w:tcPr>
          <w:p w:rsidR="006F46CE" w:rsidRPr="00BA1372" w:rsidRDefault="006F46CE" w:rsidP="00F95AEB">
            <w:r w:rsidRPr="00BA1372">
              <w:t>0.707</w:t>
            </w:r>
          </w:p>
        </w:tc>
        <w:tc>
          <w:tcPr>
            <w:tcW w:w="1195" w:type="pct"/>
          </w:tcPr>
          <w:p w:rsidR="006F46CE" w:rsidRPr="00BA1372" w:rsidRDefault="006F46CE" w:rsidP="00F95AEB">
            <w:r w:rsidRPr="00BA1372">
              <w:t>0.2</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150</w:t>
            </w:r>
          </w:p>
        </w:tc>
        <w:tc>
          <w:tcPr>
            <w:tcW w:w="1275" w:type="pct"/>
          </w:tcPr>
          <w:p w:rsidR="006F46CE" w:rsidRPr="00BA1372" w:rsidRDefault="006F46CE" w:rsidP="00F95AEB">
            <w:r w:rsidRPr="00BA1372">
              <w:t>2.55</w:t>
            </w:r>
          </w:p>
        </w:tc>
        <w:tc>
          <w:tcPr>
            <w:tcW w:w="1195" w:type="pct"/>
          </w:tcPr>
          <w:p w:rsidR="006F46CE" w:rsidRPr="00BA1372" w:rsidRDefault="006F46CE" w:rsidP="00F95AEB">
            <w:r w:rsidRPr="00BA1372">
              <w:t>0.7</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300</w:t>
            </w:r>
          </w:p>
        </w:tc>
        <w:tc>
          <w:tcPr>
            <w:tcW w:w="1275" w:type="pct"/>
          </w:tcPr>
          <w:p w:rsidR="006F46CE" w:rsidRPr="00BA1372" w:rsidRDefault="006F46CE" w:rsidP="00F95AEB">
            <w:r w:rsidRPr="00BA1372">
              <w:t>5.52</w:t>
            </w:r>
          </w:p>
        </w:tc>
        <w:tc>
          <w:tcPr>
            <w:tcW w:w="1195" w:type="pct"/>
          </w:tcPr>
          <w:p w:rsidR="006F46CE" w:rsidRPr="00BA1372" w:rsidRDefault="006F46CE" w:rsidP="00F95AEB">
            <w:r w:rsidRPr="00BA1372">
              <w:t>1.5</w:t>
            </w:r>
          </w:p>
        </w:tc>
      </w:tr>
      <w:tr w:rsidR="006F46CE" w:rsidRPr="00E25444" w:rsidTr="00F95AEB">
        <w:trPr>
          <w:trHeight w:val="227"/>
        </w:trPr>
        <w:tc>
          <w:tcPr>
            <w:tcW w:w="1765" w:type="pct"/>
            <w:vMerge w:val="restart"/>
          </w:tcPr>
          <w:p w:rsidR="006F46CE" w:rsidRPr="00BA1372" w:rsidRDefault="006F46CE" w:rsidP="00F95AEB">
            <w:proofErr w:type="spellStart"/>
            <w:r w:rsidRPr="00BA1372">
              <w:t>Nonpregnant</w:t>
            </w:r>
            <w:proofErr w:type="spellEnd"/>
          </w:p>
          <w:p w:rsidR="006F46CE" w:rsidRPr="00BA1372" w:rsidRDefault="006F46CE" w:rsidP="00F95AEB">
            <w:r w:rsidRPr="00BA1372">
              <w:t>Rabbits</w:t>
            </w:r>
          </w:p>
          <w:p w:rsidR="006F46CE" w:rsidRPr="00BA1372" w:rsidRDefault="006F46CE" w:rsidP="00F95AEB">
            <w:r w:rsidRPr="00BA1372">
              <w:t xml:space="preserve">7 days oral Exploratory (DN09022/DCN </w:t>
            </w:r>
            <w:r w:rsidRPr="00BA1372">
              <w:lastRenderedPageBreak/>
              <w:t>930068775)</w:t>
            </w:r>
          </w:p>
        </w:tc>
        <w:tc>
          <w:tcPr>
            <w:tcW w:w="765" w:type="pct"/>
          </w:tcPr>
          <w:p w:rsidR="006F46CE" w:rsidRPr="00BA1372" w:rsidRDefault="006F46CE" w:rsidP="00F95AEB">
            <w:r w:rsidRPr="00BA1372">
              <w:lastRenderedPageBreak/>
              <w:t>250</w:t>
            </w:r>
          </w:p>
        </w:tc>
        <w:tc>
          <w:tcPr>
            <w:tcW w:w="1275" w:type="pct"/>
          </w:tcPr>
          <w:p w:rsidR="006F46CE" w:rsidRPr="00BA1372" w:rsidRDefault="006F46CE" w:rsidP="00F95AEB">
            <w:r w:rsidRPr="00BA1372">
              <w:t>3.06</w:t>
            </w:r>
          </w:p>
        </w:tc>
        <w:tc>
          <w:tcPr>
            <w:tcW w:w="1195" w:type="pct"/>
          </w:tcPr>
          <w:p w:rsidR="006F46CE" w:rsidRPr="00BA1372" w:rsidRDefault="006F46CE" w:rsidP="00F95AEB">
            <w:r w:rsidRPr="00BA1372">
              <w:t>0.8</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500</w:t>
            </w:r>
          </w:p>
        </w:tc>
        <w:tc>
          <w:tcPr>
            <w:tcW w:w="1275" w:type="pct"/>
          </w:tcPr>
          <w:p w:rsidR="006F46CE" w:rsidRPr="00BA1372" w:rsidRDefault="006F46CE" w:rsidP="00F95AEB">
            <w:r w:rsidRPr="00BA1372">
              <w:t>4.11</w:t>
            </w:r>
          </w:p>
        </w:tc>
        <w:tc>
          <w:tcPr>
            <w:tcW w:w="1195" w:type="pct"/>
          </w:tcPr>
          <w:p w:rsidR="006F46CE" w:rsidRPr="00BA1372" w:rsidRDefault="006F46CE" w:rsidP="00F95AEB">
            <w:r w:rsidRPr="00BA1372">
              <w:t>1.1</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750</w:t>
            </w:r>
          </w:p>
        </w:tc>
        <w:tc>
          <w:tcPr>
            <w:tcW w:w="1275" w:type="pct"/>
          </w:tcPr>
          <w:p w:rsidR="006F46CE" w:rsidRPr="00BA1372" w:rsidRDefault="006F46CE" w:rsidP="00F95AEB">
            <w:r w:rsidRPr="00BA1372">
              <w:t>5.61</w:t>
            </w:r>
          </w:p>
        </w:tc>
        <w:tc>
          <w:tcPr>
            <w:tcW w:w="1195" w:type="pct"/>
          </w:tcPr>
          <w:p w:rsidR="006F46CE" w:rsidRPr="00BA1372" w:rsidRDefault="006F46CE" w:rsidP="00F95AEB">
            <w:r w:rsidRPr="00BA1372">
              <w:t>1.5</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1000</w:t>
            </w:r>
          </w:p>
        </w:tc>
        <w:tc>
          <w:tcPr>
            <w:tcW w:w="1275" w:type="pct"/>
          </w:tcPr>
          <w:p w:rsidR="006F46CE" w:rsidRPr="00BA1372" w:rsidRDefault="006F46CE" w:rsidP="00F95AEB">
            <w:r w:rsidRPr="00BA1372">
              <w:t>12.3</w:t>
            </w:r>
          </w:p>
        </w:tc>
        <w:tc>
          <w:tcPr>
            <w:tcW w:w="1195" w:type="pct"/>
          </w:tcPr>
          <w:p w:rsidR="006F46CE" w:rsidRPr="00BA1372" w:rsidRDefault="006F46CE" w:rsidP="00F95AEB">
            <w:r w:rsidRPr="00BA1372">
              <w:t>3.3</w:t>
            </w:r>
          </w:p>
        </w:tc>
      </w:tr>
      <w:tr w:rsidR="006F46CE" w:rsidRPr="00E25444" w:rsidTr="00F95AEB">
        <w:trPr>
          <w:trHeight w:val="227"/>
        </w:trPr>
        <w:tc>
          <w:tcPr>
            <w:tcW w:w="1765" w:type="pct"/>
            <w:vMerge w:val="restart"/>
          </w:tcPr>
          <w:p w:rsidR="00C60B78" w:rsidRDefault="006F46CE" w:rsidP="00F95AEB">
            <w:r w:rsidRPr="00BA1372">
              <w:lastRenderedPageBreak/>
              <w:t>Pregnant Rabbits 13-Day oral DRF,</w:t>
            </w:r>
          </w:p>
          <w:p w:rsidR="006F46CE" w:rsidRPr="00BA1372" w:rsidRDefault="006F46CE" w:rsidP="00F95AEB">
            <w:r w:rsidRPr="00BA1372">
              <w:t>GD19 (DN08021/DCN 930068624)</w:t>
            </w:r>
          </w:p>
        </w:tc>
        <w:tc>
          <w:tcPr>
            <w:tcW w:w="765" w:type="pct"/>
          </w:tcPr>
          <w:p w:rsidR="006F46CE" w:rsidRPr="00BA1372" w:rsidRDefault="006F46CE" w:rsidP="00F95AEB">
            <w:r w:rsidRPr="00BA1372">
              <w:t>50</w:t>
            </w:r>
          </w:p>
        </w:tc>
        <w:tc>
          <w:tcPr>
            <w:tcW w:w="1275" w:type="pct"/>
          </w:tcPr>
          <w:p w:rsidR="006F46CE" w:rsidRPr="00BA1372" w:rsidRDefault="006F46CE" w:rsidP="00F95AEB">
            <w:r w:rsidRPr="00BA1372">
              <w:t>0.76</w:t>
            </w:r>
          </w:p>
        </w:tc>
        <w:tc>
          <w:tcPr>
            <w:tcW w:w="1195" w:type="pct"/>
          </w:tcPr>
          <w:p w:rsidR="006F46CE" w:rsidRPr="00BA1372" w:rsidRDefault="006F46CE" w:rsidP="00F95AEB">
            <w:r w:rsidRPr="00BA1372">
              <w:t>0.2</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100</w:t>
            </w:r>
          </w:p>
        </w:tc>
        <w:tc>
          <w:tcPr>
            <w:tcW w:w="1275" w:type="pct"/>
          </w:tcPr>
          <w:p w:rsidR="006F46CE" w:rsidRPr="00BA1372" w:rsidRDefault="006F46CE" w:rsidP="00F95AEB">
            <w:r w:rsidRPr="00BA1372">
              <w:t>2.11</w:t>
            </w:r>
          </w:p>
        </w:tc>
        <w:tc>
          <w:tcPr>
            <w:tcW w:w="1195" w:type="pct"/>
          </w:tcPr>
          <w:p w:rsidR="006F46CE" w:rsidRPr="00BA1372" w:rsidRDefault="006F46CE" w:rsidP="00F95AEB">
            <w:r w:rsidRPr="00BA1372">
              <w:t>0.6</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200</w:t>
            </w:r>
          </w:p>
        </w:tc>
        <w:tc>
          <w:tcPr>
            <w:tcW w:w="1275" w:type="pct"/>
          </w:tcPr>
          <w:p w:rsidR="006F46CE" w:rsidRPr="00BA1372" w:rsidRDefault="006F46CE" w:rsidP="00F95AEB">
            <w:r w:rsidRPr="00BA1372">
              <w:t>5.02</w:t>
            </w:r>
          </w:p>
        </w:tc>
        <w:tc>
          <w:tcPr>
            <w:tcW w:w="1195" w:type="pct"/>
          </w:tcPr>
          <w:p w:rsidR="006F46CE" w:rsidRPr="00BA1372" w:rsidRDefault="006F46CE" w:rsidP="00F95AEB">
            <w:r w:rsidRPr="00BA1372">
              <w:t>1.4</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400</w:t>
            </w:r>
          </w:p>
        </w:tc>
        <w:tc>
          <w:tcPr>
            <w:tcW w:w="1275" w:type="pct"/>
          </w:tcPr>
          <w:p w:rsidR="006F46CE" w:rsidRPr="00BA1372" w:rsidRDefault="006F46CE" w:rsidP="00F95AEB">
            <w:r w:rsidRPr="00BA1372">
              <w:t>10.6</w:t>
            </w:r>
          </w:p>
        </w:tc>
        <w:tc>
          <w:tcPr>
            <w:tcW w:w="1195" w:type="pct"/>
          </w:tcPr>
          <w:p w:rsidR="006F46CE" w:rsidRPr="00BA1372" w:rsidRDefault="006F46CE" w:rsidP="00F95AEB">
            <w:r w:rsidRPr="00BA1372">
              <w:t>2.9</w:t>
            </w:r>
          </w:p>
        </w:tc>
      </w:tr>
      <w:tr w:rsidR="006F46CE" w:rsidRPr="00E25444" w:rsidTr="00F95AEB">
        <w:trPr>
          <w:trHeight w:val="227"/>
        </w:trPr>
        <w:tc>
          <w:tcPr>
            <w:tcW w:w="1765" w:type="pct"/>
            <w:vMerge w:val="restart"/>
          </w:tcPr>
          <w:p w:rsidR="006F46CE" w:rsidRPr="00BA1372" w:rsidRDefault="006F46CE" w:rsidP="00F95AEB">
            <w:r w:rsidRPr="00BA1372">
              <w:t>Rabbit</w:t>
            </w:r>
          </w:p>
          <w:p w:rsidR="006F46CE" w:rsidRPr="00BA1372" w:rsidRDefault="006F46CE" w:rsidP="00F95AEB">
            <w:r w:rsidRPr="00BA1372">
              <w:t>Oral EFD, 13 days  (GD7-GD19) (DN08056/DCN 930043164)</w:t>
            </w:r>
          </w:p>
        </w:tc>
        <w:tc>
          <w:tcPr>
            <w:tcW w:w="765" w:type="pct"/>
          </w:tcPr>
          <w:p w:rsidR="006F46CE" w:rsidRPr="00BA1372" w:rsidRDefault="006F46CE" w:rsidP="00F95AEB">
            <w:r w:rsidRPr="00BA1372">
              <w:t>50</w:t>
            </w:r>
          </w:p>
        </w:tc>
        <w:tc>
          <w:tcPr>
            <w:tcW w:w="1275" w:type="pct"/>
          </w:tcPr>
          <w:p w:rsidR="006F46CE" w:rsidRPr="00BA1372" w:rsidRDefault="006F46CE" w:rsidP="00F95AEB">
            <w:r w:rsidRPr="00BA1372">
              <w:t>1.17</w:t>
            </w:r>
          </w:p>
        </w:tc>
        <w:tc>
          <w:tcPr>
            <w:tcW w:w="1195" w:type="pct"/>
          </w:tcPr>
          <w:p w:rsidR="006F46CE" w:rsidRPr="00BA1372" w:rsidRDefault="006F46CE" w:rsidP="00F95AEB">
            <w:r w:rsidRPr="00BA1372">
              <w:t>0.3</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100</w:t>
            </w:r>
          </w:p>
        </w:tc>
        <w:tc>
          <w:tcPr>
            <w:tcW w:w="1275" w:type="pct"/>
          </w:tcPr>
          <w:p w:rsidR="006F46CE" w:rsidRPr="00BA1372" w:rsidRDefault="006F46CE" w:rsidP="00F95AEB">
            <w:r w:rsidRPr="00BA1372">
              <w:t>2.79</w:t>
            </w:r>
          </w:p>
        </w:tc>
        <w:tc>
          <w:tcPr>
            <w:tcW w:w="1195" w:type="pct"/>
          </w:tcPr>
          <w:p w:rsidR="006F46CE" w:rsidRPr="00BA1372" w:rsidRDefault="006F46CE" w:rsidP="00F95AEB">
            <w:r w:rsidRPr="00BA1372">
              <w:t>0.8</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200</w:t>
            </w:r>
          </w:p>
        </w:tc>
        <w:tc>
          <w:tcPr>
            <w:tcW w:w="1275" w:type="pct"/>
          </w:tcPr>
          <w:p w:rsidR="006F46CE" w:rsidRPr="00BA1372" w:rsidRDefault="006F46CE" w:rsidP="00F95AEB">
            <w:r w:rsidRPr="00BA1372">
              <w:t>4.4</w:t>
            </w:r>
          </w:p>
        </w:tc>
        <w:tc>
          <w:tcPr>
            <w:tcW w:w="1195" w:type="pct"/>
          </w:tcPr>
          <w:p w:rsidR="006F46CE" w:rsidRPr="00BA1372" w:rsidRDefault="006F46CE" w:rsidP="00F95AEB">
            <w:r w:rsidRPr="00BA1372">
              <w:t>1.2</w:t>
            </w:r>
          </w:p>
        </w:tc>
      </w:tr>
      <w:tr w:rsidR="006F46CE" w:rsidRPr="00E25444" w:rsidTr="00F95AEB">
        <w:trPr>
          <w:trHeight w:val="227"/>
        </w:trPr>
        <w:tc>
          <w:tcPr>
            <w:tcW w:w="1765" w:type="pct"/>
            <w:vMerge w:val="restart"/>
          </w:tcPr>
          <w:p w:rsidR="006F46CE" w:rsidRPr="00BA1372" w:rsidRDefault="006F46CE" w:rsidP="00F95AEB">
            <w:r w:rsidRPr="00BA1372">
              <w:t>Rat</w:t>
            </w:r>
          </w:p>
          <w:p w:rsidR="006F46CE" w:rsidRPr="00BA1372" w:rsidRDefault="006F46CE" w:rsidP="00F95AEB">
            <w:r w:rsidRPr="00BA1372">
              <w:t>Oral pre/postnatal development</w:t>
            </w:r>
          </w:p>
          <w:p w:rsidR="006F46CE" w:rsidRPr="00BA1372" w:rsidRDefault="006F46CE" w:rsidP="00F95AEB">
            <w:r w:rsidRPr="00BA1372">
              <w:t>GD 6-LD 20, (DN11186)</w:t>
            </w:r>
          </w:p>
        </w:tc>
        <w:tc>
          <w:tcPr>
            <w:tcW w:w="765" w:type="pct"/>
          </w:tcPr>
          <w:p w:rsidR="006F46CE" w:rsidRPr="00BA1372" w:rsidRDefault="006F46CE" w:rsidP="00F95AEB">
            <w:r w:rsidRPr="00BA1372">
              <w:t>40</w:t>
            </w:r>
          </w:p>
        </w:tc>
        <w:tc>
          <w:tcPr>
            <w:tcW w:w="1275" w:type="pct"/>
          </w:tcPr>
          <w:p w:rsidR="006F46CE" w:rsidRPr="00BA1372" w:rsidRDefault="006F46CE" w:rsidP="00F95AEB">
            <w:r w:rsidRPr="00BA1372">
              <w:t>26.8</w:t>
            </w:r>
          </w:p>
        </w:tc>
        <w:tc>
          <w:tcPr>
            <w:tcW w:w="1195" w:type="pct"/>
          </w:tcPr>
          <w:p w:rsidR="006F46CE" w:rsidRPr="00BA1372" w:rsidRDefault="006F46CE" w:rsidP="00F95AEB">
            <w:r w:rsidRPr="00BA1372">
              <w:t>7.3</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125</w:t>
            </w:r>
          </w:p>
        </w:tc>
        <w:tc>
          <w:tcPr>
            <w:tcW w:w="1275" w:type="pct"/>
          </w:tcPr>
          <w:p w:rsidR="006F46CE" w:rsidRPr="00BA1372" w:rsidRDefault="006F46CE" w:rsidP="00F95AEB">
            <w:r w:rsidRPr="00BA1372">
              <w:t>282</w:t>
            </w:r>
          </w:p>
        </w:tc>
        <w:tc>
          <w:tcPr>
            <w:tcW w:w="1195" w:type="pct"/>
          </w:tcPr>
          <w:p w:rsidR="006F46CE" w:rsidRPr="00BA1372" w:rsidRDefault="006F46CE" w:rsidP="00F95AEB">
            <w:r w:rsidRPr="00BA1372">
              <w:t>76</w:t>
            </w:r>
          </w:p>
        </w:tc>
      </w:tr>
      <w:tr w:rsidR="006F46CE" w:rsidRPr="00E25444" w:rsidTr="00F95AEB">
        <w:trPr>
          <w:trHeight w:val="227"/>
        </w:trPr>
        <w:tc>
          <w:tcPr>
            <w:tcW w:w="1765" w:type="pct"/>
            <w:vMerge/>
          </w:tcPr>
          <w:p w:rsidR="006F46CE" w:rsidRPr="00BA1372" w:rsidRDefault="006F46CE" w:rsidP="00F95AEB"/>
        </w:tc>
        <w:tc>
          <w:tcPr>
            <w:tcW w:w="765" w:type="pct"/>
          </w:tcPr>
          <w:p w:rsidR="006F46CE" w:rsidRPr="00BA1372" w:rsidRDefault="006F46CE" w:rsidP="00F95AEB">
            <w:r w:rsidRPr="00BA1372">
              <w:t>400</w:t>
            </w:r>
          </w:p>
        </w:tc>
        <w:tc>
          <w:tcPr>
            <w:tcW w:w="1275" w:type="pct"/>
          </w:tcPr>
          <w:p w:rsidR="006F46CE" w:rsidRPr="00BA1372" w:rsidRDefault="006F46CE" w:rsidP="00F95AEB">
            <w:r w:rsidRPr="00BA1372">
              <w:t>711</w:t>
            </w:r>
          </w:p>
        </w:tc>
        <w:tc>
          <w:tcPr>
            <w:tcW w:w="1195" w:type="pct"/>
          </w:tcPr>
          <w:p w:rsidR="006F46CE" w:rsidRPr="00BA1372" w:rsidRDefault="006F46CE" w:rsidP="00F95AEB">
            <w:r w:rsidRPr="00BA1372">
              <w:t>193</w:t>
            </w:r>
          </w:p>
        </w:tc>
      </w:tr>
      <w:tr w:rsidR="006F46CE" w:rsidRPr="007068A9" w:rsidTr="00F95AEB">
        <w:trPr>
          <w:trHeight w:val="227"/>
        </w:trPr>
        <w:tc>
          <w:tcPr>
            <w:tcW w:w="1765" w:type="pct"/>
          </w:tcPr>
          <w:p w:rsidR="006F46CE" w:rsidRPr="00BA1372" w:rsidRDefault="006F46CE" w:rsidP="00F95AEB">
            <w:r w:rsidRPr="00BA1372">
              <w:t>Human (HCV infected)</w:t>
            </w:r>
          </w:p>
        </w:tc>
        <w:tc>
          <w:tcPr>
            <w:tcW w:w="765" w:type="pct"/>
          </w:tcPr>
          <w:p w:rsidR="006F46CE" w:rsidRPr="00BA1372" w:rsidRDefault="006F46CE" w:rsidP="00F95AEB">
            <w:r w:rsidRPr="00BA1372">
              <w:t>100 mg BID</w:t>
            </w:r>
          </w:p>
        </w:tc>
        <w:tc>
          <w:tcPr>
            <w:tcW w:w="1275" w:type="pct"/>
          </w:tcPr>
          <w:p w:rsidR="006F46CE" w:rsidRPr="00BA1372" w:rsidRDefault="006F46CE" w:rsidP="00F95AEB">
            <w:r w:rsidRPr="00BA1372">
              <w:t>3.69</w:t>
            </w:r>
          </w:p>
        </w:tc>
        <w:tc>
          <w:tcPr>
            <w:tcW w:w="1195" w:type="pct"/>
          </w:tcPr>
          <w:p w:rsidR="006F46CE" w:rsidRPr="00BA1372" w:rsidRDefault="006F46CE" w:rsidP="00F95AEB">
            <w:r w:rsidRPr="00BA1372">
              <w:t>–</w:t>
            </w:r>
          </w:p>
        </w:tc>
      </w:tr>
    </w:tbl>
    <w:p w:rsidR="00C60B78" w:rsidRDefault="00737073" w:rsidP="00F95AEB">
      <w:pPr>
        <w:pStyle w:val="TableDescription"/>
      </w:pPr>
      <w:r w:rsidRPr="00D85066">
        <w:t>In HCV-infected subjects given 200 mg tablet twice per day (Study AI447016), the week 12 human</w:t>
      </w:r>
      <w:r w:rsidR="001F3724">
        <w:t xml:space="preserve"> </w:t>
      </w:r>
      <w:proofErr w:type="spellStart"/>
      <w:r w:rsidR="001F3724" w:rsidRPr="00D85066">
        <w:t>C</w:t>
      </w:r>
      <w:r w:rsidR="001F3724" w:rsidRPr="001F3724">
        <w:rPr>
          <w:vertAlign w:val="subscript"/>
        </w:rPr>
        <w:t>max</w:t>
      </w:r>
      <w:proofErr w:type="spellEnd"/>
      <w:r w:rsidRPr="00D85066">
        <w:t xml:space="preserve"> value was 0.419 µg/mL (560 </w:t>
      </w:r>
      <w:proofErr w:type="spellStart"/>
      <w:r w:rsidRPr="00D85066">
        <w:t>nM</w:t>
      </w:r>
      <w:proofErr w:type="spellEnd"/>
      <w:r w:rsidRPr="00D85066">
        <w:t>) and the AUC (3.69 µ</w:t>
      </w:r>
      <w:proofErr w:type="spellStart"/>
      <w:r w:rsidRPr="00D85066">
        <w:t>g.h</w:t>
      </w:r>
      <w:proofErr w:type="spellEnd"/>
      <w:r w:rsidRPr="00D85066">
        <w:t>/mL). # = animal:</w:t>
      </w:r>
      <w:r w:rsidR="000F1CA4">
        <w:t xml:space="preserve"> </w:t>
      </w:r>
      <w:r w:rsidRPr="00D85066">
        <w:t>human plasma AUC</w:t>
      </w:r>
      <w:r w:rsidRPr="00EE45CA">
        <w:rPr>
          <w:vertAlign w:val="subscript"/>
        </w:rPr>
        <w:t>0–24</w:t>
      </w:r>
      <w:r w:rsidRPr="00D85066">
        <w:t> h</w:t>
      </w:r>
    </w:p>
    <w:p w:rsidR="00737073" w:rsidRPr="00D85066" w:rsidRDefault="00737073" w:rsidP="00EE45CA">
      <w:pPr>
        <w:pStyle w:val="Heading6"/>
      </w:pPr>
      <w:r w:rsidRPr="00D85066">
        <w:t>Pregnancy classification</w:t>
      </w:r>
    </w:p>
    <w:p w:rsidR="00C60B78" w:rsidRDefault="00737073" w:rsidP="00737073">
      <w:r w:rsidRPr="00B70E14">
        <w:t xml:space="preserve">The sponsor has proposed Pregnancy Category ‘B’ for </w:t>
      </w:r>
      <w:proofErr w:type="spellStart"/>
      <w:r w:rsidRPr="00B70E14">
        <w:t>Sunvepra</w:t>
      </w:r>
      <w:proofErr w:type="spellEnd"/>
      <w:r w:rsidRPr="00B70E14">
        <w:t>® (which lacks ribavirin). Pregnancy Category B1</w:t>
      </w:r>
      <w:r w:rsidR="00B70E14" w:rsidRPr="00B70E14">
        <w:rPr>
          <w:rStyle w:val="FootnoteReference"/>
        </w:rPr>
        <w:footnoteReference w:id="18"/>
      </w:r>
      <w:r w:rsidRPr="00B70E14">
        <w:t xml:space="preserve"> is consistent with the absence of any </w:t>
      </w:r>
      <w:r w:rsidR="006E3E56">
        <w:t>drug related</w:t>
      </w:r>
      <w:r w:rsidRPr="00B70E14">
        <w:t xml:space="preserve"> findings in adequately conducted reproductive toxicity studies with </w:t>
      </w:r>
      <w:proofErr w:type="spellStart"/>
      <w:r w:rsidRPr="00B70E14">
        <w:t>asunaprevir</w:t>
      </w:r>
      <w:proofErr w:type="spellEnd"/>
      <w:r w:rsidRPr="00B70E14">
        <w:t xml:space="preserve">. </w:t>
      </w:r>
      <w:proofErr w:type="spellStart"/>
      <w:r w:rsidRPr="00B70E14">
        <w:t>Asunaprevir</w:t>
      </w:r>
      <w:proofErr w:type="spellEnd"/>
      <w:r w:rsidRPr="00B70E14">
        <w:t xml:space="preserve"> is proposed for use with </w:t>
      </w:r>
      <w:proofErr w:type="spellStart"/>
      <w:r w:rsidRPr="00B70E14">
        <w:t>daclatasvir</w:t>
      </w:r>
      <w:proofErr w:type="spellEnd"/>
      <w:r w:rsidRPr="00B70E14">
        <w:t xml:space="preserve"> (</w:t>
      </w:r>
      <w:r w:rsidR="00B70E14">
        <w:t xml:space="preserve">Category </w:t>
      </w:r>
      <w:r w:rsidRPr="00B70E14">
        <w:t>B3</w:t>
      </w:r>
      <w:r w:rsidR="00B70E14" w:rsidRPr="00B70E14">
        <w:rPr>
          <w:rStyle w:val="FootnoteReference"/>
        </w:rPr>
        <w:footnoteReference w:id="19"/>
      </w:r>
      <w:r w:rsidRPr="00B70E14">
        <w:t xml:space="preserve">), or </w:t>
      </w:r>
      <w:proofErr w:type="spellStart"/>
      <w:r w:rsidRPr="00B70E14">
        <w:t>daclatasvir</w:t>
      </w:r>
      <w:proofErr w:type="spellEnd"/>
      <w:r w:rsidRPr="00B70E14">
        <w:t xml:space="preserve"> and </w:t>
      </w:r>
      <w:proofErr w:type="spellStart"/>
      <w:r w:rsidRPr="00B70E14">
        <w:t>pegintreferon</w:t>
      </w:r>
      <w:proofErr w:type="spellEnd"/>
      <w:r w:rsidRPr="00B70E14">
        <w:t xml:space="preserve"> and ribavirin (</w:t>
      </w:r>
      <w:r w:rsidR="00EE45CA" w:rsidRPr="00B70E14">
        <w:t>C</w:t>
      </w:r>
      <w:r w:rsidRPr="00B70E14">
        <w:t>ategory X</w:t>
      </w:r>
      <w:r w:rsidR="00B70E14" w:rsidRPr="00B70E14">
        <w:rPr>
          <w:rStyle w:val="FootnoteReference"/>
        </w:rPr>
        <w:footnoteReference w:id="20"/>
      </w:r>
      <w:r w:rsidRPr="00B70E14">
        <w:t>), in which cases the most restrictive pregnancy category is applicable.</w:t>
      </w:r>
    </w:p>
    <w:p w:rsidR="00C60B78" w:rsidRDefault="00737073" w:rsidP="00737073">
      <w:r w:rsidRPr="00B70E14">
        <w:t>The sponsor h</w:t>
      </w:r>
      <w:r w:rsidR="00EE45CA" w:rsidRPr="00B70E14">
        <w:t xml:space="preserve">as proposed Pregnancy Category </w:t>
      </w:r>
      <w:r w:rsidRPr="00B70E14">
        <w:t xml:space="preserve">X for </w:t>
      </w:r>
      <w:proofErr w:type="spellStart"/>
      <w:r w:rsidRPr="00B70E14">
        <w:t>Sunvepra</w:t>
      </w:r>
      <w:proofErr w:type="spellEnd"/>
      <w:r w:rsidRPr="00B70E14">
        <w:t xml:space="preserve">® when used with </w:t>
      </w:r>
      <w:proofErr w:type="spellStart"/>
      <w:r w:rsidRPr="00B70E14">
        <w:t>peginterferon</w:t>
      </w:r>
      <w:proofErr w:type="spellEnd"/>
      <w:r w:rsidRPr="00B70E14">
        <w:t xml:space="preserve"> </w:t>
      </w:r>
      <w:proofErr w:type="spellStart"/>
      <w:r w:rsidRPr="00B70E14">
        <w:t>alfa</w:t>
      </w:r>
      <w:proofErr w:type="spellEnd"/>
      <w:r w:rsidRPr="00B70E14">
        <w:t xml:space="preserve"> and ribavirin</w:t>
      </w:r>
      <w:r w:rsidR="00EE45CA" w:rsidRPr="00B70E14">
        <w:t>. S</w:t>
      </w:r>
      <w:r w:rsidRPr="00B70E14">
        <w:t xml:space="preserve">ince </w:t>
      </w:r>
      <w:r w:rsidR="00D72688">
        <w:t xml:space="preserve">Category X </w:t>
      </w:r>
      <w:r w:rsidRPr="00B70E14">
        <w:t>is consistent with the pregnancy category for ribavirin, this is considered appropriate.</w:t>
      </w:r>
    </w:p>
    <w:p w:rsidR="00737073" w:rsidRPr="00D85066" w:rsidRDefault="00737073" w:rsidP="00737073">
      <w:r w:rsidRPr="00E630B8">
        <w:t xml:space="preserve">Pregnancy Category ‘B3’ applies for </w:t>
      </w:r>
      <w:proofErr w:type="spellStart"/>
      <w:r w:rsidRPr="00E630B8">
        <w:t>Sunvepra</w:t>
      </w:r>
      <w:proofErr w:type="spellEnd"/>
      <w:r w:rsidRPr="00E630B8">
        <w:t xml:space="preserve">® when used with </w:t>
      </w:r>
      <w:proofErr w:type="spellStart"/>
      <w:r w:rsidRPr="00E630B8">
        <w:t>daclatasvir</w:t>
      </w:r>
      <w:proofErr w:type="spellEnd"/>
      <w:r w:rsidRPr="00E630B8">
        <w:t xml:space="preserve">. Developmental toxicity has been observed with </w:t>
      </w:r>
      <w:proofErr w:type="spellStart"/>
      <w:r w:rsidRPr="00E630B8">
        <w:t>daclatasvir</w:t>
      </w:r>
      <w:proofErr w:type="spellEnd"/>
      <w:r w:rsidRPr="00E630B8">
        <w:t xml:space="preserve"> alone in rats and rabbits (see </w:t>
      </w:r>
      <w:proofErr w:type="spellStart"/>
      <w:r w:rsidR="00E630B8" w:rsidRPr="00E630B8">
        <w:lastRenderedPageBreak/>
        <w:t>AusPAR</w:t>
      </w:r>
      <w:proofErr w:type="spellEnd"/>
      <w:r w:rsidR="00E630B8" w:rsidRPr="00E630B8">
        <w:t xml:space="preserve"> for </w:t>
      </w:r>
      <w:proofErr w:type="spellStart"/>
      <w:r w:rsidR="00E630B8" w:rsidRPr="00E630B8">
        <w:t>Daklinza</w:t>
      </w:r>
      <w:proofErr w:type="spellEnd"/>
      <w:r w:rsidRPr="00E630B8">
        <w:t xml:space="preserve">) and the use of </w:t>
      </w:r>
      <w:proofErr w:type="spellStart"/>
      <w:r w:rsidRPr="00E630B8">
        <w:t>daclatasvir</w:t>
      </w:r>
      <w:proofErr w:type="spellEnd"/>
      <w:r w:rsidRPr="00E630B8">
        <w:t xml:space="preserve"> is not recommended in pregnant women or women of childbearing potential not using a highly effective method of contraception.</w:t>
      </w:r>
    </w:p>
    <w:p w:rsidR="00737073" w:rsidRPr="00D85066" w:rsidRDefault="00737073" w:rsidP="00D248DD">
      <w:pPr>
        <w:pStyle w:val="Heading4"/>
      </w:pPr>
      <w:r w:rsidRPr="00D85066">
        <w:t xml:space="preserve">Local tolerance and </w:t>
      </w:r>
      <w:proofErr w:type="spellStart"/>
      <w:r w:rsidRPr="00D85066">
        <w:t>phototoxicity</w:t>
      </w:r>
      <w:proofErr w:type="spellEnd"/>
    </w:p>
    <w:p w:rsidR="00C60B78" w:rsidRDefault="00737073" w:rsidP="00737073">
      <w:proofErr w:type="spellStart"/>
      <w:r w:rsidRPr="00D85066">
        <w:t>Asunaprevir</w:t>
      </w:r>
      <w:proofErr w:type="spellEnd"/>
      <w:r w:rsidRPr="00D85066">
        <w:t xml:space="preserve"> showed no evidence of skin irritation following topical application to the skin of rabbit, or of skin sensitization following topical application to the ears of mice.</w:t>
      </w:r>
      <w:r w:rsidR="004936B4">
        <w:t xml:space="preserve"> </w:t>
      </w:r>
      <w:r w:rsidRPr="00D85066">
        <w:t xml:space="preserve">The nonclinical overview states that </w:t>
      </w:r>
      <w:proofErr w:type="spellStart"/>
      <w:r w:rsidRPr="00D85066">
        <w:t>asunaprevir</w:t>
      </w:r>
      <w:proofErr w:type="spellEnd"/>
      <w:r w:rsidRPr="00D85066">
        <w:t xml:space="preserve"> absorbs light between 290 and 700 nm. In rats, </w:t>
      </w:r>
      <w:proofErr w:type="spellStart"/>
      <w:r w:rsidRPr="00D85066">
        <w:t>asunaprevir</w:t>
      </w:r>
      <w:proofErr w:type="spellEnd"/>
      <w:r w:rsidRPr="00D85066">
        <w:t xml:space="preserve"> distributed to pigmented and non</w:t>
      </w:r>
      <w:r w:rsidR="00D248DD">
        <w:t>-</w:t>
      </w:r>
      <w:r w:rsidRPr="00D85066">
        <w:t xml:space="preserve">pigmented skin but not to the eye. In </w:t>
      </w:r>
      <w:proofErr w:type="spellStart"/>
      <w:r w:rsidRPr="00D85066">
        <w:t>Balb</w:t>
      </w:r>
      <w:proofErr w:type="spellEnd"/>
      <w:r w:rsidRPr="00D85066">
        <w:t xml:space="preserve">/c 3T3 mouse fibroblasts, </w:t>
      </w:r>
      <w:proofErr w:type="spellStart"/>
      <w:r w:rsidRPr="00D85066">
        <w:t>asunaprevir</w:t>
      </w:r>
      <w:proofErr w:type="spellEnd"/>
      <w:r w:rsidRPr="00D85066">
        <w:t xml:space="preserve"> showed phototoxic potential, although it was not phototoxic after oral administration to pigmented rats at 600 mg/kg. </w:t>
      </w:r>
      <w:proofErr w:type="spellStart"/>
      <w:r w:rsidRPr="00D85066">
        <w:t>Asunaprevir</w:t>
      </w:r>
      <w:proofErr w:type="spellEnd"/>
      <w:r w:rsidRPr="00D85066">
        <w:t xml:space="preserve"> showed evidence of ocular irritation in the in vitro bovine corneal opacity and permeability assay.</w:t>
      </w:r>
    </w:p>
    <w:p w:rsidR="00737073" w:rsidRPr="00D85066" w:rsidRDefault="00737073" w:rsidP="00737073">
      <w:r w:rsidRPr="00D85066">
        <w:t xml:space="preserve">Taken together, </w:t>
      </w:r>
      <w:proofErr w:type="spellStart"/>
      <w:r w:rsidRPr="00D85066">
        <w:t>asunaprevir</w:t>
      </w:r>
      <w:proofErr w:type="spellEnd"/>
      <w:r w:rsidRPr="00D85066">
        <w:t xml:space="preserve"> is potentially phototoxic and an ocular irritant.</w:t>
      </w:r>
    </w:p>
    <w:p w:rsidR="00737073" w:rsidRPr="00D85066" w:rsidRDefault="00737073" w:rsidP="00D248DD">
      <w:pPr>
        <w:pStyle w:val="Heading4"/>
      </w:pPr>
      <w:r w:rsidRPr="00D85066">
        <w:t>Impurities</w:t>
      </w:r>
    </w:p>
    <w:p w:rsidR="00737073" w:rsidRPr="00D85066" w:rsidRDefault="00737073" w:rsidP="00737073">
      <w:r w:rsidRPr="00D85066">
        <w:t xml:space="preserve">The proposed specifications for impurities in the drug substance are below the ICH qualification thresholds. There are no </w:t>
      </w:r>
      <w:proofErr w:type="spellStart"/>
      <w:r w:rsidRPr="00D85066">
        <w:t>degradants</w:t>
      </w:r>
      <w:proofErr w:type="spellEnd"/>
      <w:r w:rsidRPr="00D85066">
        <w:t xml:space="preserve"> in the drug product requiring toxicological qualification.</w:t>
      </w:r>
    </w:p>
    <w:p w:rsidR="00737073" w:rsidRPr="00D85066" w:rsidRDefault="00737073" w:rsidP="00D248DD">
      <w:pPr>
        <w:pStyle w:val="Heading4"/>
      </w:pPr>
      <w:r w:rsidRPr="00D85066">
        <w:t>Paediatric use</w:t>
      </w:r>
    </w:p>
    <w:p w:rsidR="00737073" w:rsidRPr="00D85066" w:rsidRDefault="00737073" w:rsidP="00737073">
      <w:proofErr w:type="spellStart"/>
      <w:r w:rsidRPr="00D85066">
        <w:t>Asunaprevir</w:t>
      </w:r>
      <w:proofErr w:type="spellEnd"/>
      <w:r w:rsidRPr="00D85066">
        <w:t xml:space="preserve"> is not proposed for paediatric use. No particular concerns, including systems in development which are targets for toxicity at clinically relevant exposure levels were identified in a juvenile toxicity study or in general repeat-dose toxicity.</w:t>
      </w:r>
    </w:p>
    <w:p w:rsidR="008E7846" w:rsidRDefault="008E7846" w:rsidP="008E7846">
      <w:pPr>
        <w:pStyle w:val="Heading3"/>
      </w:pPr>
      <w:bookmarkStart w:id="62" w:name="_Toc247691515"/>
      <w:bookmarkStart w:id="63" w:name="_Toc314842499"/>
      <w:bookmarkStart w:id="64" w:name="_Toc438125706"/>
      <w:r>
        <w:t>Nonclinical summary and conclusions</w:t>
      </w:r>
      <w:bookmarkEnd w:id="62"/>
      <w:bookmarkEnd w:id="63"/>
      <w:bookmarkEnd w:id="64"/>
    </w:p>
    <w:p w:rsidR="00C60B78" w:rsidRDefault="0088637B" w:rsidP="000F1CA4">
      <w:pPr>
        <w:pStyle w:val="ListBullet"/>
      </w:pPr>
      <w:r>
        <w:t>The overall quality of the nonclinical dossier was good with all pivotal studies conducted according to GLP, and with high exposure margins employed.</w:t>
      </w:r>
    </w:p>
    <w:p w:rsidR="0088637B" w:rsidRDefault="0088637B" w:rsidP="000F1CA4">
      <w:pPr>
        <w:pStyle w:val="ListBullet"/>
      </w:pPr>
      <w:proofErr w:type="spellStart"/>
      <w:r>
        <w:t>Asunaprevir</w:t>
      </w:r>
      <w:proofErr w:type="spellEnd"/>
      <w:r>
        <w:t xml:space="preserve"> inhibits the RNA replication of HCV genotypes 1 and 4 by inhibiting the activity of the non-structural protein </w:t>
      </w:r>
      <w:proofErr w:type="gramStart"/>
      <w:r>
        <w:t>3 (NS3) protease</w:t>
      </w:r>
      <w:proofErr w:type="gramEnd"/>
      <w:r>
        <w:t>.</w:t>
      </w:r>
    </w:p>
    <w:p w:rsidR="00C60B78" w:rsidRDefault="0088637B" w:rsidP="000F1CA4">
      <w:pPr>
        <w:pStyle w:val="ListBullet"/>
      </w:pPr>
      <w:r w:rsidRPr="00D248DD">
        <w:t>In vitro,</w:t>
      </w:r>
      <w:r>
        <w:t xml:space="preserve"> </w:t>
      </w:r>
      <w:proofErr w:type="spellStart"/>
      <w:r>
        <w:t>asunaprevir</w:t>
      </w:r>
      <w:proofErr w:type="spellEnd"/>
      <w:r>
        <w:t xml:space="preserve"> inhibited the activity of purified NS3/4A protease enzyme complexes from HCV strains of genotypes 1b (</w:t>
      </w:r>
      <w:r w:rsidR="000F1CA4">
        <w:t>IC</w:t>
      </w:r>
      <w:r w:rsidR="000F1CA4">
        <w:rPr>
          <w:vertAlign w:val="subscript"/>
        </w:rPr>
        <w:t>50</w:t>
      </w:r>
      <w:r w:rsidR="004936B4">
        <w:t xml:space="preserve"> </w:t>
      </w:r>
      <w:r>
        <w:t xml:space="preserve">0.3 </w:t>
      </w:r>
      <w:proofErr w:type="spellStart"/>
      <w:r>
        <w:t>nM</w:t>
      </w:r>
      <w:proofErr w:type="spellEnd"/>
      <w:r>
        <w:t>), 1a (</w:t>
      </w:r>
      <w:r w:rsidR="000F1CA4">
        <w:t>IC</w:t>
      </w:r>
      <w:r w:rsidR="000F1CA4">
        <w:rPr>
          <w:vertAlign w:val="subscript"/>
        </w:rPr>
        <w:t>50</w:t>
      </w:r>
      <w:r w:rsidR="004936B4">
        <w:t xml:space="preserve"> </w:t>
      </w:r>
      <w:r>
        <w:t>0.7</w:t>
      </w:r>
      <w:r w:rsidR="000F1CA4">
        <w:t xml:space="preserve"> to </w:t>
      </w:r>
      <w:r>
        <w:t xml:space="preserve">1.8 </w:t>
      </w:r>
      <w:proofErr w:type="spellStart"/>
      <w:r>
        <w:t>nM</w:t>
      </w:r>
      <w:proofErr w:type="spellEnd"/>
      <w:r>
        <w:t>), 6a (</w:t>
      </w:r>
      <w:r w:rsidR="000F1CA4">
        <w:t>IC</w:t>
      </w:r>
      <w:r w:rsidR="000F1CA4">
        <w:rPr>
          <w:vertAlign w:val="subscript"/>
        </w:rPr>
        <w:t>50</w:t>
      </w:r>
      <w:r w:rsidR="004936B4">
        <w:t xml:space="preserve"> </w:t>
      </w:r>
      <w:r>
        <w:t xml:space="preserve">0.9 </w:t>
      </w:r>
      <w:proofErr w:type="spellStart"/>
      <w:r>
        <w:t>nM</w:t>
      </w:r>
      <w:proofErr w:type="spellEnd"/>
      <w:r>
        <w:t>), 4a (</w:t>
      </w:r>
      <w:r w:rsidR="000F1CA4">
        <w:t>IC</w:t>
      </w:r>
      <w:r w:rsidR="000F1CA4">
        <w:rPr>
          <w:vertAlign w:val="subscript"/>
        </w:rPr>
        <w:t>50</w:t>
      </w:r>
      <w:r w:rsidR="004936B4">
        <w:t xml:space="preserve"> </w:t>
      </w:r>
      <w:r>
        <w:t xml:space="preserve">1.6 </w:t>
      </w:r>
      <w:proofErr w:type="spellStart"/>
      <w:r>
        <w:t>nM</w:t>
      </w:r>
      <w:proofErr w:type="spellEnd"/>
      <w:r>
        <w:t>), 5a (</w:t>
      </w:r>
      <w:r w:rsidR="000F1CA4">
        <w:t>IC</w:t>
      </w:r>
      <w:r w:rsidR="000F1CA4">
        <w:rPr>
          <w:vertAlign w:val="subscript"/>
        </w:rPr>
        <w:t>50</w:t>
      </w:r>
      <w:r w:rsidR="004936B4">
        <w:t xml:space="preserve"> </w:t>
      </w:r>
      <w:r>
        <w:t xml:space="preserve">1.7 </w:t>
      </w:r>
      <w:proofErr w:type="spellStart"/>
      <w:r>
        <w:t>nM</w:t>
      </w:r>
      <w:proofErr w:type="spellEnd"/>
      <w:r>
        <w:t>) and with a significantly lower potency 2a (</w:t>
      </w:r>
      <w:r w:rsidR="000F1CA4">
        <w:t>IC</w:t>
      </w:r>
      <w:r w:rsidR="000F1CA4">
        <w:rPr>
          <w:vertAlign w:val="subscript"/>
        </w:rPr>
        <w:t>50</w:t>
      </w:r>
      <w:r w:rsidR="004936B4">
        <w:t xml:space="preserve"> </w:t>
      </w:r>
      <w:r>
        <w:t xml:space="preserve">15 </w:t>
      </w:r>
      <w:proofErr w:type="spellStart"/>
      <w:r>
        <w:t>nM</w:t>
      </w:r>
      <w:proofErr w:type="spellEnd"/>
      <w:r>
        <w:t>), 2b (</w:t>
      </w:r>
      <w:r w:rsidR="000F1CA4">
        <w:t>IC</w:t>
      </w:r>
      <w:r w:rsidR="000F1CA4">
        <w:rPr>
          <w:vertAlign w:val="subscript"/>
        </w:rPr>
        <w:t>50</w:t>
      </w:r>
      <w:r w:rsidR="004936B4">
        <w:t xml:space="preserve"> </w:t>
      </w:r>
      <w:r>
        <w:t xml:space="preserve">78 </w:t>
      </w:r>
      <w:proofErr w:type="spellStart"/>
      <w:r>
        <w:t>nM</w:t>
      </w:r>
      <w:proofErr w:type="spellEnd"/>
      <w:r>
        <w:t>) and 3a (</w:t>
      </w:r>
      <w:r w:rsidR="000F1CA4">
        <w:t>IC</w:t>
      </w:r>
      <w:r w:rsidR="000F1CA4">
        <w:rPr>
          <w:vertAlign w:val="subscript"/>
        </w:rPr>
        <w:t>50</w:t>
      </w:r>
      <w:r w:rsidR="004936B4">
        <w:t xml:space="preserve"> </w:t>
      </w:r>
      <w:r>
        <w:t xml:space="preserve">320 </w:t>
      </w:r>
      <w:proofErr w:type="spellStart"/>
      <w:r>
        <w:t>nM</w:t>
      </w:r>
      <w:proofErr w:type="spellEnd"/>
      <w:r>
        <w:t xml:space="preserve">). Except for genotype 2b, </w:t>
      </w:r>
      <w:proofErr w:type="spellStart"/>
      <w:r>
        <w:t>asunaprevir</w:t>
      </w:r>
      <w:proofErr w:type="spellEnd"/>
      <w:r>
        <w:t xml:space="preserve"> was more potent than </w:t>
      </w:r>
      <w:proofErr w:type="spellStart"/>
      <w:r>
        <w:t>telaprevir</w:t>
      </w:r>
      <w:proofErr w:type="spellEnd"/>
      <w:r>
        <w:t>.</w:t>
      </w:r>
    </w:p>
    <w:p w:rsidR="0088637B" w:rsidRDefault="0088637B" w:rsidP="000F1CA4">
      <w:pPr>
        <w:pStyle w:val="ListBullet"/>
      </w:pPr>
      <w:r>
        <w:t xml:space="preserve">In cell-based HCV replicon assays, </w:t>
      </w:r>
      <w:proofErr w:type="spellStart"/>
      <w:r>
        <w:t>asunaprevir</w:t>
      </w:r>
      <w:proofErr w:type="spellEnd"/>
      <w:r>
        <w:t xml:space="preserve"> inhibited HCV genotype 1a (</w:t>
      </w:r>
      <w:r w:rsidR="000F1CA4">
        <w:t>EC</w:t>
      </w:r>
      <w:r w:rsidR="000F1CA4">
        <w:rPr>
          <w:vertAlign w:val="subscript"/>
        </w:rPr>
        <w:t>50</w:t>
      </w:r>
      <w:r w:rsidR="004936B4">
        <w:t xml:space="preserve"> </w:t>
      </w:r>
      <w:r>
        <w:t xml:space="preserve">4 </w:t>
      </w:r>
      <w:proofErr w:type="spellStart"/>
      <w:r>
        <w:t>nM</w:t>
      </w:r>
      <w:proofErr w:type="spellEnd"/>
      <w:r>
        <w:t>), 1b (</w:t>
      </w:r>
      <w:r w:rsidR="000F1CA4">
        <w:t>EC</w:t>
      </w:r>
      <w:r w:rsidR="000F1CA4">
        <w:rPr>
          <w:vertAlign w:val="subscript"/>
        </w:rPr>
        <w:t>50</w:t>
      </w:r>
      <w:r w:rsidR="004936B4">
        <w:t xml:space="preserve"> </w:t>
      </w:r>
      <w:r>
        <w:t xml:space="preserve">1.2 </w:t>
      </w:r>
      <w:proofErr w:type="spellStart"/>
      <w:r>
        <w:t>nM</w:t>
      </w:r>
      <w:proofErr w:type="spellEnd"/>
      <w:r>
        <w:t>), and 2a (</w:t>
      </w:r>
      <w:r w:rsidR="000F1CA4">
        <w:t>EC</w:t>
      </w:r>
      <w:r w:rsidR="000F1CA4">
        <w:rPr>
          <w:vertAlign w:val="subscript"/>
        </w:rPr>
        <w:t>50</w:t>
      </w:r>
      <w:r w:rsidR="004936B4">
        <w:t xml:space="preserve"> </w:t>
      </w:r>
      <w:r>
        <w:t xml:space="preserve">230 </w:t>
      </w:r>
      <w:proofErr w:type="spellStart"/>
      <w:r>
        <w:t>nM</w:t>
      </w:r>
      <w:proofErr w:type="spellEnd"/>
      <w:r>
        <w:t xml:space="preserve">), replication. Hybrid replicons encoding the NS3 protease domain representing HCV genotype 4a were inhibited with </w:t>
      </w:r>
      <w:r w:rsidR="000F1CA4">
        <w:t>EC</w:t>
      </w:r>
      <w:r w:rsidR="000F1CA4">
        <w:rPr>
          <w:vertAlign w:val="subscript"/>
        </w:rPr>
        <w:t>50</w:t>
      </w:r>
      <w:r>
        <w:t xml:space="preserve"> values of 1.8</w:t>
      </w:r>
      <w:r w:rsidR="000F1CA4">
        <w:t xml:space="preserve"> to </w:t>
      </w:r>
      <w:r>
        <w:t xml:space="preserve">7.6 </w:t>
      </w:r>
      <w:proofErr w:type="spellStart"/>
      <w:r>
        <w:t>nM</w:t>
      </w:r>
      <w:proofErr w:type="spellEnd"/>
      <w:r>
        <w:t xml:space="preserve">, whereas GT-2b and GT-3a NS3 protease replicon hybrids were inhibited with </w:t>
      </w:r>
      <w:r w:rsidR="000F1CA4">
        <w:t>EC</w:t>
      </w:r>
      <w:r w:rsidR="000F1CA4">
        <w:rPr>
          <w:vertAlign w:val="subscript"/>
        </w:rPr>
        <w:t>50</w:t>
      </w:r>
      <w:r>
        <w:t xml:space="preserve"> values of 0.48 </w:t>
      </w:r>
      <w:proofErr w:type="spellStart"/>
      <w:r>
        <w:t>mM</w:t>
      </w:r>
      <w:proofErr w:type="spellEnd"/>
      <w:r>
        <w:t xml:space="preserve"> and 1.2 </w:t>
      </w:r>
      <w:proofErr w:type="spellStart"/>
      <w:r>
        <w:t>mM</w:t>
      </w:r>
      <w:proofErr w:type="spellEnd"/>
      <w:r>
        <w:t xml:space="preserve">, respectively. The potency of </w:t>
      </w:r>
      <w:proofErr w:type="spellStart"/>
      <w:r>
        <w:t>asunaprevir</w:t>
      </w:r>
      <w:proofErr w:type="spellEnd"/>
      <w:r>
        <w:t xml:space="preserve"> in </w:t>
      </w:r>
      <w:proofErr w:type="spellStart"/>
      <w:r>
        <w:t>subgenomic</w:t>
      </w:r>
      <w:proofErr w:type="spellEnd"/>
      <w:r>
        <w:t xml:space="preserve"> GT-1b (Con1) HCV replicon assays was reduced by</w:t>
      </w:r>
      <w:r w:rsidR="004936B4">
        <w:t xml:space="preserve"> approximately</w:t>
      </w:r>
      <w:r>
        <w:t xml:space="preserve">6.5 fold in the presence of 40% human serum, suggesting </w:t>
      </w:r>
      <w:proofErr w:type="spellStart"/>
      <w:r>
        <w:t>asunaprevir’s</w:t>
      </w:r>
      <w:proofErr w:type="spellEnd"/>
      <w:r>
        <w:t xml:space="preserve"> clinical efficacy can be attenuated by serum</w:t>
      </w:r>
      <w:r w:rsidR="00255438">
        <w:t xml:space="preserve"> </w:t>
      </w:r>
      <w:r>
        <w:t>protein binding..</w:t>
      </w:r>
    </w:p>
    <w:p w:rsidR="0088637B" w:rsidRDefault="0088637B" w:rsidP="000F1CA4">
      <w:pPr>
        <w:pStyle w:val="ListBullet"/>
      </w:pPr>
      <w:proofErr w:type="spellStart"/>
      <w:r>
        <w:t>Asunaprevir</w:t>
      </w:r>
      <w:proofErr w:type="spellEnd"/>
      <w:r>
        <w:t xml:space="preserve"> is unlikely to be active against genotype 2a, 2b and 3a at the proposed clinical dose (clinical</w:t>
      </w:r>
      <w:r w:rsidR="001F3724">
        <w:t xml:space="preserve"> </w:t>
      </w:r>
      <w:proofErr w:type="spellStart"/>
      <w:r w:rsidR="001F3724" w:rsidRPr="00D85066">
        <w:t>C</w:t>
      </w:r>
      <w:r w:rsidR="001F3724" w:rsidRPr="001F3724">
        <w:rPr>
          <w:vertAlign w:val="subscript"/>
        </w:rPr>
        <w:t>max</w:t>
      </w:r>
      <w:proofErr w:type="spellEnd"/>
      <w:r>
        <w:t xml:space="preserve"> was </w:t>
      </w:r>
      <w:r>
        <w:rPr>
          <w:rFonts w:eastAsia="Calibri"/>
          <w:color w:val="000000"/>
        </w:rPr>
        <w:t xml:space="preserve">0.419 µg/mL = 560 </w:t>
      </w:r>
      <w:proofErr w:type="spellStart"/>
      <w:r>
        <w:rPr>
          <w:rFonts w:eastAsia="Calibri"/>
          <w:color w:val="000000"/>
        </w:rPr>
        <w:t>nM</w:t>
      </w:r>
      <w:proofErr w:type="spellEnd"/>
      <w:r>
        <w:rPr>
          <w:rFonts w:eastAsia="Calibri"/>
          <w:color w:val="000000"/>
        </w:rPr>
        <w:t>)</w:t>
      </w:r>
      <w:r>
        <w:t>.</w:t>
      </w:r>
    </w:p>
    <w:p w:rsidR="0088637B" w:rsidRDefault="0088637B" w:rsidP="000F1CA4">
      <w:pPr>
        <w:pStyle w:val="ListBullet"/>
      </w:pPr>
      <w:r>
        <w:t xml:space="preserve">Treatment of HCV GT-1b replicon cells with combinations of </w:t>
      </w:r>
      <w:proofErr w:type="spellStart"/>
      <w:r>
        <w:t>asunaprevir</w:t>
      </w:r>
      <w:proofErr w:type="spellEnd"/>
      <w:r>
        <w:t xml:space="preserve"> and IFN alpha or RBV, and/or direct-acting antivirals targeting HCV NS5A (</w:t>
      </w:r>
      <w:proofErr w:type="spellStart"/>
      <w:r>
        <w:t>daclatasvir</w:t>
      </w:r>
      <w:proofErr w:type="spellEnd"/>
      <w:r>
        <w:t xml:space="preserve">) and/or HCV NS5B (BMS-791325) displayed additive to synergistic effects. </w:t>
      </w:r>
      <w:proofErr w:type="spellStart"/>
      <w:r>
        <w:t>Asunaprevir</w:t>
      </w:r>
      <w:proofErr w:type="spellEnd"/>
      <w:r>
        <w:t xml:space="preserve"> also </w:t>
      </w:r>
      <w:r>
        <w:lastRenderedPageBreak/>
        <w:t xml:space="preserve">showed additive and/or synergistic interactions with </w:t>
      </w:r>
      <w:proofErr w:type="spellStart"/>
      <w:r>
        <w:t>valopicitabine</w:t>
      </w:r>
      <w:proofErr w:type="spellEnd"/>
      <w:r>
        <w:t>, BMS-790453, HCV-796, BMS-762407, and Intron A in two or three</w:t>
      </w:r>
      <w:r w:rsidR="000F1CA4">
        <w:t xml:space="preserve"> </w:t>
      </w:r>
      <w:r>
        <w:t>drug combination studies. No antagonism of antiviral activity was observed.</w:t>
      </w:r>
    </w:p>
    <w:p w:rsidR="0088637B" w:rsidRDefault="0088637B" w:rsidP="000F1CA4">
      <w:pPr>
        <w:pStyle w:val="ListBullet"/>
      </w:pPr>
      <w:r>
        <w:t xml:space="preserve">Mutations in the NS3 protease domain at T40A, Q41E, V51A, R62K, D79E, T95A, I114V, R123G, R155K, D168G, I170T, N174Y, L175P, G176E (genotype 1a), Q41R, Q80R, Q86R, P89L, Y105C, D168A/G/H/V/Y, E173G, and E176G (genotype 1b), conferred resistance to </w:t>
      </w:r>
      <w:proofErr w:type="spellStart"/>
      <w:r>
        <w:t>asunaprevir</w:t>
      </w:r>
      <w:proofErr w:type="spellEnd"/>
      <w:r>
        <w:t>.</w:t>
      </w:r>
    </w:p>
    <w:p w:rsidR="00C60B78" w:rsidRDefault="0088637B" w:rsidP="000F1CA4">
      <w:pPr>
        <w:pStyle w:val="ListBullet"/>
      </w:pPr>
      <w:proofErr w:type="spellStart"/>
      <w:r>
        <w:t>Asunaprevir</w:t>
      </w:r>
      <w:proofErr w:type="spellEnd"/>
      <w:r>
        <w:t xml:space="preserve"> exhibited no to moderate cross-resistance against HCV replicons conferring resistance to NS3 inhibitors such as </w:t>
      </w:r>
      <w:proofErr w:type="spellStart"/>
      <w:r>
        <w:t>boceprevir</w:t>
      </w:r>
      <w:proofErr w:type="spellEnd"/>
      <w:r>
        <w:t xml:space="preserve"> and </w:t>
      </w:r>
      <w:proofErr w:type="spellStart"/>
      <w:r>
        <w:t>telaprevir</w:t>
      </w:r>
      <w:proofErr w:type="spellEnd"/>
      <w:r>
        <w:t>:</w:t>
      </w:r>
    </w:p>
    <w:p w:rsidR="0088637B" w:rsidRPr="000F1CA4" w:rsidRDefault="0088637B" w:rsidP="000F1CA4">
      <w:pPr>
        <w:pStyle w:val="ListBullet2"/>
      </w:pPr>
      <w:r w:rsidRPr="000F1CA4">
        <w:t xml:space="preserve">GT-1a replicons carrying NS3 protease substitutions at amino acid positions V36 (V36A/M), T54 (T54A/S), R155 (R155K), and V36-R155 (V36M- R155K): </w:t>
      </w:r>
      <w:r w:rsidR="000F1CA4">
        <w:t>EC</w:t>
      </w:r>
      <w:r w:rsidR="000F1CA4">
        <w:rPr>
          <w:vertAlign w:val="subscript"/>
        </w:rPr>
        <w:t>50</w:t>
      </w:r>
      <w:r w:rsidRPr="000F1CA4">
        <w:t xml:space="preserve"> values ranging from 0.33 to 42 </w:t>
      </w:r>
      <w:proofErr w:type="spellStart"/>
      <w:r w:rsidRPr="000F1CA4">
        <w:t>nM</w:t>
      </w:r>
      <w:proofErr w:type="spellEnd"/>
      <w:r w:rsidRPr="000F1CA4">
        <w:t xml:space="preserve"> (parent GT-1a replicon </w:t>
      </w:r>
      <w:r w:rsidR="000F1CA4">
        <w:t>EC</w:t>
      </w:r>
      <w:r w:rsidR="000F1CA4">
        <w:rPr>
          <w:vertAlign w:val="subscript"/>
        </w:rPr>
        <w:t>50</w:t>
      </w:r>
      <w:r w:rsidRPr="000F1CA4">
        <w:t xml:space="preserve"> = 0.76 </w:t>
      </w:r>
      <w:proofErr w:type="spellStart"/>
      <w:r w:rsidRPr="000F1CA4">
        <w:t>nM</w:t>
      </w:r>
      <w:proofErr w:type="spellEnd"/>
      <w:r w:rsidRPr="000F1CA4">
        <w:t>).</w:t>
      </w:r>
    </w:p>
    <w:p w:rsidR="0088637B" w:rsidRPr="000F1CA4" w:rsidRDefault="0088637B" w:rsidP="000F1CA4">
      <w:pPr>
        <w:pStyle w:val="ListBullet2"/>
      </w:pPr>
      <w:r w:rsidRPr="000F1CA4">
        <w:t xml:space="preserve">GT-1b replicons carrying NS3 protease substitutions at amino acid positions A156 (A156 to serine, threonine or valine), demonstrated low to moderate resistance with </w:t>
      </w:r>
      <w:r w:rsidR="000F1CA4">
        <w:t>EC</w:t>
      </w:r>
      <w:r w:rsidR="000F1CA4">
        <w:rPr>
          <w:vertAlign w:val="subscript"/>
        </w:rPr>
        <w:t>50</w:t>
      </w:r>
      <w:r w:rsidRPr="000F1CA4">
        <w:t xml:space="preserve"> values of 5.4 to 17 </w:t>
      </w:r>
      <w:proofErr w:type="spellStart"/>
      <w:r w:rsidRPr="000F1CA4">
        <w:t>nM</w:t>
      </w:r>
      <w:proofErr w:type="spellEnd"/>
      <w:r w:rsidRPr="000F1CA4">
        <w:t xml:space="preserve"> (parent GT-1b replicon </w:t>
      </w:r>
      <w:r w:rsidR="000F1CA4">
        <w:t>EC</w:t>
      </w:r>
      <w:r w:rsidR="000F1CA4">
        <w:rPr>
          <w:vertAlign w:val="subscript"/>
        </w:rPr>
        <w:t>50</w:t>
      </w:r>
      <w:r w:rsidRPr="000F1CA4">
        <w:t xml:space="preserve"> = 0.86 </w:t>
      </w:r>
      <w:proofErr w:type="spellStart"/>
      <w:r w:rsidRPr="000F1CA4">
        <w:t>nM</w:t>
      </w:r>
      <w:proofErr w:type="spellEnd"/>
      <w:r w:rsidRPr="000F1CA4">
        <w:t>).</w:t>
      </w:r>
    </w:p>
    <w:p w:rsidR="0088637B" w:rsidRDefault="0088637B" w:rsidP="000F1CA4">
      <w:pPr>
        <w:pStyle w:val="ListBullet"/>
        <w:rPr>
          <w:lang w:val="en-US"/>
        </w:rPr>
      </w:pPr>
      <w:r>
        <w:rPr>
          <w:lang w:val="en-US"/>
        </w:rPr>
        <w:t xml:space="preserve">The susceptibility of GT-1a to </w:t>
      </w:r>
      <w:proofErr w:type="spellStart"/>
      <w:r>
        <w:rPr>
          <w:lang w:val="en-US"/>
        </w:rPr>
        <w:t>asunaprevir</w:t>
      </w:r>
      <w:proofErr w:type="spellEnd"/>
      <w:r>
        <w:rPr>
          <w:lang w:val="en-US"/>
        </w:rPr>
        <w:t xml:space="preserve"> was decreased by 373 and 713 fold due to NS3 substitutions D168V and Q80K+D168V, respectively. The susceptibility of GT-1b to </w:t>
      </w:r>
      <w:proofErr w:type="spellStart"/>
      <w:r>
        <w:rPr>
          <w:lang w:val="en-US"/>
        </w:rPr>
        <w:t>asunaprevir</w:t>
      </w:r>
      <w:proofErr w:type="spellEnd"/>
      <w:r>
        <w:rPr>
          <w:lang w:val="en-US"/>
        </w:rPr>
        <w:t xml:space="preserve"> was decreased by 127</w:t>
      </w:r>
      <w:r w:rsidR="00255438">
        <w:rPr>
          <w:lang w:val="en-US"/>
        </w:rPr>
        <w:t xml:space="preserve"> to </w:t>
      </w:r>
      <w:r>
        <w:rPr>
          <w:lang w:val="en-US"/>
        </w:rPr>
        <w:t>280 fold due to NS3 substitutions D168A, D168Y, and D168V.</w:t>
      </w:r>
    </w:p>
    <w:p w:rsidR="0088637B" w:rsidRDefault="0088637B" w:rsidP="000F1CA4">
      <w:pPr>
        <w:pStyle w:val="ListBullet"/>
      </w:pPr>
      <w:r>
        <w:t xml:space="preserve">Treatment of HCV GT-1a replicons and HCV GT-1a replicons carrying the NS3 substitution R155K with a combination of </w:t>
      </w:r>
      <w:proofErr w:type="spellStart"/>
      <w:r>
        <w:t>asunaprevir</w:t>
      </w:r>
      <w:proofErr w:type="spellEnd"/>
      <w:r>
        <w:t xml:space="preserve">, </w:t>
      </w:r>
      <w:proofErr w:type="spellStart"/>
      <w:r>
        <w:t>daclatasvir</w:t>
      </w:r>
      <w:proofErr w:type="spellEnd"/>
      <w:r>
        <w:t>, and interferon-</w:t>
      </w:r>
      <w:proofErr w:type="spellStart"/>
      <w:r>
        <w:t>alfa</w:t>
      </w:r>
      <w:proofErr w:type="spellEnd"/>
      <w:r>
        <w:t xml:space="preserve"> similarly suppressed HCV RNA replication. Furthermore, combinations of </w:t>
      </w:r>
      <w:proofErr w:type="spellStart"/>
      <w:r>
        <w:t>asunaprevir</w:t>
      </w:r>
      <w:proofErr w:type="spellEnd"/>
      <w:r>
        <w:t xml:space="preserve"> with other classes of HCV inhibitors including interferons </w:t>
      </w:r>
      <w:proofErr w:type="spellStart"/>
      <w:r>
        <w:t>alfa</w:t>
      </w:r>
      <w:proofErr w:type="spellEnd"/>
      <w:r>
        <w:t xml:space="preserve"> and lambda, ribavirin, NS5A, NS5B nucleoside and NS5B allosteric inhibitors showed additive to synergistic antiviral activity </w:t>
      </w:r>
      <w:r w:rsidRPr="00255438">
        <w:t>in vitro</w:t>
      </w:r>
      <w:r>
        <w:t xml:space="preserve">. This suggests that drugs targeting multiple viral targets are of potential value against emerging resistant virus. It is noted that </w:t>
      </w:r>
      <w:proofErr w:type="spellStart"/>
      <w:r>
        <w:t>asunaprevir</w:t>
      </w:r>
      <w:proofErr w:type="spellEnd"/>
      <w:r>
        <w:t xml:space="preserve"> is not indicated as monotherapy due to the propensity for resistance. Cross-resistance with </w:t>
      </w:r>
      <w:proofErr w:type="spellStart"/>
      <w:r>
        <w:t>daclatasvir</w:t>
      </w:r>
      <w:proofErr w:type="spellEnd"/>
      <w:r>
        <w:t xml:space="preserve">, </w:t>
      </w:r>
      <w:proofErr w:type="spellStart"/>
      <w:r>
        <w:t>peginterferon</w:t>
      </w:r>
      <w:proofErr w:type="spellEnd"/>
      <w:r>
        <w:t xml:space="preserve"> </w:t>
      </w:r>
      <w:proofErr w:type="spellStart"/>
      <w:r>
        <w:t>alfa</w:t>
      </w:r>
      <w:proofErr w:type="spellEnd"/>
      <w:r>
        <w:t xml:space="preserve"> and ribavirin is not expected due to their differing mechanisms of action.</w:t>
      </w:r>
    </w:p>
    <w:p w:rsidR="0088637B" w:rsidRDefault="0088637B" w:rsidP="000F1CA4">
      <w:pPr>
        <w:pStyle w:val="ListBullet"/>
      </w:pPr>
      <w:proofErr w:type="spellStart"/>
      <w:r>
        <w:t>Asunaprevir</w:t>
      </w:r>
      <w:proofErr w:type="spellEnd"/>
      <w:r>
        <w:t xml:space="preserve"> exerted minimal to no activity against the closely related viral serine protease, GBV-B NS3 protease (</w:t>
      </w:r>
      <w:r w:rsidR="000F1CA4">
        <w:t>IC</w:t>
      </w:r>
      <w:r w:rsidR="000F1CA4">
        <w:rPr>
          <w:vertAlign w:val="subscript"/>
        </w:rPr>
        <w:t>50</w:t>
      </w:r>
      <w:r>
        <w:t xml:space="preserve"> 21 µM) and a panel of 10 human serine and cysteine proteases. No off-target activities are predicted during clinical use.</w:t>
      </w:r>
    </w:p>
    <w:p w:rsidR="0088637B" w:rsidRDefault="0088637B" w:rsidP="000F1CA4">
      <w:pPr>
        <w:pStyle w:val="ListBullet"/>
      </w:pPr>
      <w:r>
        <w:t>Based on findings in cardiovascular, CNS and respiratory endpoints evaluated as part of repeat-dose toxicity studie</w:t>
      </w:r>
      <w:r w:rsidR="00255438">
        <w:t>s</w:t>
      </w:r>
      <w:r>
        <w:t xml:space="preserve"> and dedicated cardiovascular safety studies</w:t>
      </w:r>
      <w:r w:rsidR="00255438">
        <w:t>,</w:t>
      </w:r>
      <w:r>
        <w:t xml:space="preserve"> </w:t>
      </w:r>
      <w:proofErr w:type="spellStart"/>
      <w:r>
        <w:t>asunaprevir</w:t>
      </w:r>
      <w:proofErr w:type="spellEnd"/>
      <w:r>
        <w:t xml:space="preserve"> is not expected to have any adverse effects on CNS, respiratory, gastrointestinal or cardiovascular function during clinical use. No </w:t>
      </w:r>
      <w:proofErr w:type="spellStart"/>
      <w:r>
        <w:t>asunaprevir</w:t>
      </w:r>
      <w:proofErr w:type="spellEnd"/>
      <w:r>
        <w:t xml:space="preserve"> metabolites were independently evaluated in safety pharmacology studies as there were no major metabolites.</w:t>
      </w:r>
    </w:p>
    <w:p w:rsidR="0088637B" w:rsidRDefault="0088637B" w:rsidP="000F1CA4">
      <w:pPr>
        <w:pStyle w:val="ListBullet"/>
      </w:pPr>
      <w:r>
        <w:t xml:space="preserve">Absorption of </w:t>
      </w:r>
      <w:proofErr w:type="spellStart"/>
      <w:r>
        <w:t>asunaprevir</w:t>
      </w:r>
      <w:proofErr w:type="spellEnd"/>
      <w:r>
        <w:t xml:space="preserve"> was variable within species following PO administration of </w:t>
      </w:r>
      <w:proofErr w:type="spellStart"/>
      <w:r>
        <w:t>asunaprevir</w:t>
      </w:r>
      <w:proofErr w:type="spellEnd"/>
      <w:r>
        <w:t xml:space="preserve"> solution, with peak concentration occurring with the first few (1</w:t>
      </w:r>
      <w:r w:rsidR="00255438">
        <w:t xml:space="preserve"> to </w:t>
      </w:r>
      <w:r>
        <w:t xml:space="preserve">6) </w:t>
      </w:r>
      <w:r w:rsidR="000F1CA4">
        <w:t>h</w:t>
      </w:r>
      <w:r>
        <w:t xml:space="preserve"> of administration. The oral bioavailability was moderate in mice (28%) and rats (1</w:t>
      </w:r>
      <w:r w:rsidR="00255438">
        <w:t xml:space="preserve"> to </w:t>
      </w:r>
      <w:r>
        <w:t>14%), high in dogs (42</w:t>
      </w:r>
      <w:r w:rsidR="00255438">
        <w:t xml:space="preserve"> to </w:t>
      </w:r>
      <w:r>
        <w:t xml:space="preserve">100%) and low in monkeys (10%). </w:t>
      </w:r>
      <w:proofErr w:type="spellStart"/>
      <w:r>
        <w:t>Asunaprevir’s</w:t>
      </w:r>
      <w:proofErr w:type="spellEnd"/>
      <w:r>
        <w:t xml:space="preserve"> bioavailability increased with increasing in dose in rats and dogs. Bioavailability was not affected by the formulation of </w:t>
      </w:r>
      <w:proofErr w:type="spellStart"/>
      <w:r>
        <w:t>asunaprevir</w:t>
      </w:r>
      <w:proofErr w:type="spellEnd"/>
      <w:r>
        <w:t xml:space="preserve">, but in dogs the administration of food </w:t>
      </w:r>
      <w:r w:rsidR="003B327F">
        <w:t xml:space="preserve">with </w:t>
      </w:r>
      <w:proofErr w:type="spellStart"/>
      <w:r w:rsidR="003B327F">
        <w:t>asunaprevir</w:t>
      </w:r>
      <w:proofErr w:type="spellEnd"/>
      <w:r w:rsidR="003B327F">
        <w:t xml:space="preserve"> (in a tablet form used in clinical treatment) </w:t>
      </w:r>
      <w:r>
        <w:t xml:space="preserve">significantly increased absorption of </w:t>
      </w:r>
      <w:r w:rsidR="003B327F">
        <w:t>the drug</w:t>
      </w:r>
      <w:r>
        <w:t>. Plasma protein binding was high in all nonclinical species and humans</w:t>
      </w:r>
      <w:r w:rsidR="000F1CA4">
        <w:t>;</w:t>
      </w:r>
      <w:r>
        <w:t xml:space="preserve"> </w:t>
      </w:r>
      <w:proofErr w:type="spellStart"/>
      <w:r>
        <w:t>asunaprevir</w:t>
      </w:r>
      <w:proofErr w:type="spellEnd"/>
      <w:r>
        <w:t xml:space="preserve"> being greater than 97 % plasma protein bound in all species. </w:t>
      </w:r>
      <w:proofErr w:type="spellStart"/>
      <w:r>
        <w:t>Asunaprevir</w:t>
      </w:r>
      <w:proofErr w:type="spellEnd"/>
      <w:r>
        <w:t xml:space="preserve"> is unlikely to cross the blood brain barrier. Highest concentrations of </w:t>
      </w:r>
      <w:proofErr w:type="spellStart"/>
      <w:r>
        <w:t>asunaprevir</w:t>
      </w:r>
      <w:proofErr w:type="spellEnd"/>
      <w:r>
        <w:t>-associated radioactivity appeared in bile and liver and not in eye or CNS tissues.</w:t>
      </w:r>
    </w:p>
    <w:p w:rsidR="0088637B" w:rsidRDefault="0088637B" w:rsidP="000F1CA4">
      <w:pPr>
        <w:pStyle w:val="ListBullet"/>
      </w:pPr>
      <w:r>
        <w:lastRenderedPageBreak/>
        <w:t xml:space="preserve">Comparison of AUC after IV and intra-portal vein administration in rats suggested that oral bioavailability of </w:t>
      </w:r>
      <w:proofErr w:type="spellStart"/>
      <w:r>
        <w:t>asunaprevir</w:t>
      </w:r>
      <w:proofErr w:type="spellEnd"/>
      <w:r>
        <w:t xml:space="preserve"> is not limited by first-pass metabolism.</w:t>
      </w:r>
    </w:p>
    <w:p w:rsidR="0088637B" w:rsidRDefault="0088637B" w:rsidP="000F1CA4">
      <w:pPr>
        <w:pStyle w:val="ListBullet"/>
        <w:rPr>
          <w:kern w:val="2"/>
        </w:rPr>
      </w:pPr>
      <w:r>
        <w:t xml:space="preserve">Inducers/inhibitors of P glycoprotein, OATP 1B1 and 2B1 or CYP3A may alter the systemic exposure to </w:t>
      </w:r>
      <w:proofErr w:type="spellStart"/>
      <w:r>
        <w:t>asunaprevir</w:t>
      </w:r>
      <w:proofErr w:type="spellEnd"/>
      <w:r>
        <w:t xml:space="preserve">. </w:t>
      </w:r>
      <w:r w:rsidRPr="00255438">
        <w:t>In vitro studies</w:t>
      </w:r>
      <w:r>
        <w:t xml:space="preserve"> indicate </w:t>
      </w:r>
      <w:proofErr w:type="spellStart"/>
      <w:r>
        <w:rPr>
          <w:kern w:val="2"/>
        </w:rPr>
        <w:t>asunaprevir</w:t>
      </w:r>
      <w:proofErr w:type="spellEnd"/>
      <w:r>
        <w:rPr>
          <w:kern w:val="2"/>
        </w:rPr>
        <w:t xml:space="preserve"> has the potential to affect </w:t>
      </w:r>
      <w:r>
        <w:t xml:space="preserve">the disposition of </w:t>
      </w:r>
      <w:r>
        <w:rPr>
          <w:kern w:val="2"/>
        </w:rPr>
        <w:t>co</w:t>
      </w:r>
      <w:r>
        <w:rPr>
          <w:kern w:val="2"/>
        </w:rPr>
        <w:noBreakHyphen/>
        <w:t>administered drugs that are substrates for</w:t>
      </w:r>
      <w:r>
        <w:t xml:space="preserve"> CYP2D6, CYP3A, and UGT1A1</w:t>
      </w:r>
      <w:r>
        <w:rPr>
          <w:kern w:val="2"/>
        </w:rPr>
        <w:t xml:space="preserve">. There is some potential for </w:t>
      </w:r>
      <w:proofErr w:type="spellStart"/>
      <w:r>
        <w:rPr>
          <w:kern w:val="2"/>
        </w:rPr>
        <w:t>asunaprevir</w:t>
      </w:r>
      <w:proofErr w:type="spellEnd"/>
      <w:r>
        <w:rPr>
          <w:kern w:val="2"/>
        </w:rPr>
        <w:t xml:space="preserve"> and </w:t>
      </w:r>
      <w:proofErr w:type="spellStart"/>
      <w:r>
        <w:rPr>
          <w:kern w:val="2"/>
        </w:rPr>
        <w:t>daclatasvir</w:t>
      </w:r>
      <w:proofErr w:type="spellEnd"/>
      <w:r>
        <w:rPr>
          <w:kern w:val="2"/>
        </w:rPr>
        <w:t xml:space="preserve"> to affect exposure to each other.</w:t>
      </w:r>
    </w:p>
    <w:p w:rsidR="0088637B" w:rsidRDefault="0088637B" w:rsidP="000F1CA4">
      <w:pPr>
        <w:pStyle w:val="ListBullet"/>
        <w:rPr>
          <w:kern w:val="2"/>
        </w:rPr>
      </w:pPr>
      <w:r>
        <w:t xml:space="preserve">Acute oral toxicity was assessed in a single dose studies with </w:t>
      </w:r>
      <w:proofErr w:type="spellStart"/>
      <w:r>
        <w:t>asunaprevir</w:t>
      </w:r>
      <w:proofErr w:type="spellEnd"/>
      <w:r>
        <w:t xml:space="preserve"> in mice, rats and dogs.</w:t>
      </w:r>
      <w:r w:rsidR="004936B4">
        <w:t xml:space="preserve"> </w:t>
      </w:r>
      <w:r>
        <w:t>Single doses up to 300 (dogs), 600 (mice) and 2000 (rats) mg/kg caused no mortality and had no notable effects</w:t>
      </w:r>
      <w:r>
        <w:rPr>
          <w:kern w:val="2"/>
        </w:rPr>
        <w:t xml:space="preserve"> indicating a low order of acute toxicity.</w:t>
      </w:r>
    </w:p>
    <w:p w:rsidR="0088637B" w:rsidRDefault="0088637B" w:rsidP="000F1CA4">
      <w:pPr>
        <w:pStyle w:val="ListBullet"/>
      </w:pPr>
      <w:r>
        <w:t>Repeat-dose toxicity studies were conducted in mice (1 month), rats (up to 6 months) and dogs (up to 9 months) using the oral route with once daily administration. Following PO dosing, the elimination half-life was shorter in dogs, monkeys, mice and rats (</w:t>
      </w:r>
      <w:r w:rsidR="000F1CA4">
        <w:t>t</w:t>
      </w:r>
      <w:r w:rsidR="000F1CA4" w:rsidRPr="000F1CA4">
        <w:rPr>
          <w:vertAlign w:val="subscript"/>
        </w:rPr>
        <w:t>½</w:t>
      </w:r>
      <w:r w:rsidR="000F1CA4">
        <w:t xml:space="preserve"> </w:t>
      </w:r>
      <w:r>
        <w:t>2.4, 1.1 h, 4.6 h and 4.5</w:t>
      </w:r>
      <w:r w:rsidR="00255438">
        <w:t xml:space="preserve"> to </w:t>
      </w:r>
      <w:r>
        <w:t xml:space="preserve">8 </w:t>
      </w:r>
      <w:r w:rsidR="000F1CA4">
        <w:t>h</w:t>
      </w:r>
      <w:r>
        <w:t>, respectively) than in human subjects (elimination half-life 17</w:t>
      </w:r>
      <w:r w:rsidR="00255438">
        <w:t xml:space="preserve"> to </w:t>
      </w:r>
      <w:r>
        <w:t>23 h) and therefore it would have been advisable to dose animals twice daily like the proposed dosing in humans, instead of once daily.</w:t>
      </w:r>
    </w:p>
    <w:p w:rsidR="0088637B" w:rsidRDefault="0088637B" w:rsidP="000F1CA4">
      <w:pPr>
        <w:pStyle w:val="ListBullet"/>
      </w:pPr>
      <w:r>
        <w:t xml:space="preserve">The liver was a target organ for toxicity in rats and dogs but only at very high multiples of exposure. Increased liver weight was observed in rats receiving </w:t>
      </w:r>
      <w:proofErr w:type="spellStart"/>
      <w:r>
        <w:t>asunaprevir</w:t>
      </w:r>
      <w:proofErr w:type="spellEnd"/>
      <w:r>
        <w:t xml:space="preserve"> for 1 month (≥100 mg/kg; relative exposure of ≥23) and 6 months (≥40 mg/kg; relative exposure ≥1), and this was only accompanied by increase in ALT and total bilirubin in rats receiving </w:t>
      </w:r>
      <w:proofErr w:type="spellStart"/>
      <w:r>
        <w:t>asunaprevir</w:t>
      </w:r>
      <w:proofErr w:type="spellEnd"/>
      <w:r>
        <w:t xml:space="preserve"> for 1 month at higher doses (600 mg/kg; relative exposure</w:t>
      </w:r>
      <w:r w:rsidR="004936B4">
        <w:t xml:space="preserve"> approximately</w:t>
      </w:r>
      <w:r w:rsidR="00255438">
        <w:t xml:space="preserve"> </w:t>
      </w:r>
      <w:r>
        <w:t>60</w:t>
      </w:r>
      <w:r w:rsidR="00255438">
        <w:t xml:space="preserve"> to </w:t>
      </w:r>
      <w:r>
        <w:t xml:space="preserve">100). Liver weight was not affected in dogs receiving </w:t>
      </w:r>
      <w:proofErr w:type="spellStart"/>
      <w:r>
        <w:t>asunaprevir</w:t>
      </w:r>
      <w:proofErr w:type="spellEnd"/>
      <w:r>
        <w:t xml:space="preserve"> for 1 month (≤300 mg/kg; relative exposure ≤370) or 9 months (100 mg/kg; relative exposure</w:t>
      </w:r>
      <w:r w:rsidR="004936B4">
        <w:t xml:space="preserve"> approximately</w:t>
      </w:r>
      <w:r w:rsidR="00255438">
        <w:t xml:space="preserve"> </w:t>
      </w:r>
      <w:r>
        <w:t>60</w:t>
      </w:r>
      <w:r w:rsidR="00255438">
        <w:t xml:space="preserve"> to </w:t>
      </w:r>
      <w:r>
        <w:t xml:space="preserve">100). Hepatocellular necrosis, increased ALT, total bilirubin and GGT were observed in dogs receiving </w:t>
      </w:r>
      <w:proofErr w:type="spellStart"/>
      <w:r>
        <w:t>asunaprevir</w:t>
      </w:r>
      <w:proofErr w:type="spellEnd"/>
      <w:r>
        <w:t xml:space="preserve"> for 1 month (300 mg/kg; relative exposure</w:t>
      </w:r>
      <w:r w:rsidR="004936B4">
        <w:t xml:space="preserve"> approximately</w:t>
      </w:r>
      <w:r>
        <w:t>370). No clinically</w:t>
      </w:r>
      <w:r w:rsidR="00255438">
        <w:t xml:space="preserve"> </w:t>
      </w:r>
      <w:r>
        <w:t>relevant findings were seen in rats or dogs.</w:t>
      </w:r>
    </w:p>
    <w:p w:rsidR="00F95AEB" w:rsidRPr="003E5452" w:rsidRDefault="00F95AEB" w:rsidP="00F95AEB">
      <w:pPr>
        <w:pStyle w:val="ListBullet"/>
      </w:pPr>
      <w:r w:rsidRPr="003E5452">
        <w:t xml:space="preserve">Repeat dose toxicity studies were also conducted with </w:t>
      </w:r>
      <w:proofErr w:type="spellStart"/>
      <w:r w:rsidRPr="003E5452">
        <w:t>asunaprevir</w:t>
      </w:r>
      <w:proofErr w:type="spellEnd"/>
      <w:r w:rsidRPr="003E5452">
        <w:t xml:space="preserve"> in combination with other direct acting antivirals (</w:t>
      </w:r>
      <w:proofErr w:type="spellStart"/>
      <w:r w:rsidRPr="003E5452">
        <w:t>daclatasvir</w:t>
      </w:r>
      <w:proofErr w:type="spellEnd"/>
      <w:r w:rsidRPr="003E5452">
        <w:t xml:space="preserve"> for 1 month in rats and up to 3 months in monkeys; BMS-791325 for 1 month in rats; </w:t>
      </w:r>
      <w:proofErr w:type="spellStart"/>
      <w:r w:rsidRPr="003E5452">
        <w:t>daclatasvir</w:t>
      </w:r>
      <w:proofErr w:type="spellEnd"/>
      <w:r w:rsidRPr="003E5452">
        <w:t xml:space="preserve"> plus BMS-791325 for 1 month in dogs) or </w:t>
      </w:r>
      <w:proofErr w:type="spellStart"/>
      <w:r w:rsidRPr="003E5452">
        <w:t>pegylated</w:t>
      </w:r>
      <w:proofErr w:type="spellEnd"/>
      <w:r w:rsidRPr="003E5452">
        <w:t xml:space="preserve"> interferon alpha (</w:t>
      </w:r>
      <w:proofErr w:type="spellStart"/>
      <w:r w:rsidRPr="003E5452">
        <w:t>pegIFN</w:t>
      </w:r>
      <w:proofErr w:type="spellEnd"/>
      <w:r w:rsidRPr="003E5452">
        <w:t xml:space="preserve">α) plus ribavirin (1 month in monkeys). There was no evidence that the toxicity profile of </w:t>
      </w:r>
      <w:proofErr w:type="spellStart"/>
      <w:r w:rsidRPr="003E5452">
        <w:t>asunaprevir</w:t>
      </w:r>
      <w:proofErr w:type="spellEnd"/>
      <w:r w:rsidRPr="003E5452">
        <w:t xml:space="preserve"> was altered by co-administration with other HCV drugs.</w:t>
      </w:r>
    </w:p>
    <w:p w:rsidR="00C60B78" w:rsidRDefault="0088637B" w:rsidP="000F1CA4">
      <w:pPr>
        <w:pStyle w:val="ListBullet"/>
      </w:pPr>
      <w:r>
        <w:t>A standard set of GLP</w:t>
      </w:r>
      <w:r w:rsidR="006E3E56">
        <w:t xml:space="preserve"> </w:t>
      </w:r>
      <w:r>
        <w:t xml:space="preserve">compliant reproductive toxicity studies was submitted and examined fertility (in rats), </w:t>
      </w:r>
      <w:proofErr w:type="spellStart"/>
      <w:r>
        <w:t>embryofetal</w:t>
      </w:r>
      <w:proofErr w:type="spellEnd"/>
      <w:r>
        <w:t xml:space="preserve"> toxicity (mice and rabbits) and pre/postnatal development (rats). There were no drug</w:t>
      </w:r>
      <w:r w:rsidR="00255438">
        <w:t xml:space="preserve"> </w:t>
      </w:r>
      <w:r>
        <w:t>related findings. Placental transfer and transfer of drug</w:t>
      </w:r>
      <w:r w:rsidR="00255438">
        <w:t xml:space="preserve"> </w:t>
      </w:r>
      <w:r>
        <w:t>related material into milk were shown in rats.</w:t>
      </w:r>
    </w:p>
    <w:p w:rsidR="0088637B" w:rsidRDefault="0088637B" w:rsidP="000F1CA4">
      <w:pPr>
        <w:pStyle w:val="ListBullet"/>
      </w:pPr>
      <w:r>
        <w:t xml:space="preserve">Pregnancy </w:t>
      </w:r>
      <w:r w:rsidR="00255438">
        <w:t>C</w:t>
      </w:r>
      <w:r>
        <w:t xml:space="preserve">ategory B1 is acceptable for </w:t>
      </w:r>
      <w:proofErr w:type="spellStart"/>
      <w:r>
        <w:t>asunaprevir</w:t>
      </w:r>
      <w:proofErr w:type="spellEnd"/>
      <w:r>
        <w:t>.</w:t>
      </w:r>
      <w:r w:rsidR="004936B4">
        <w:t xml:space="preserve"> </w:t>
      </w:r>
      <w:r>
        <w:t xml:space="preserve">When used in combination with </w:t>
      </w:r>
      <w:proofErr w:type="spellStart"/>
      <w:r>
        <w:t>daclatasvir</w:t>
      </w:r>
      <w:proofErr w:type="spellEnd"/>
      <w:r>
        <w:t xml:space="preserve"> (</w:t>
      </w:r>
      <w:r w:rsidR="00255438">
        <w:t xml:space="preserve">Category </w:t>
      </w:r>
      <w:r>
        <w:t xml:space="preserve">B3), or </w:t>
      </w:r>
      <w:proofErr w:type="spellStart"/>
      <w:r>
        <w:t>daclatasvir</w:t>
      </w:r>
      <w:proofErr w:type="spellEnd"/>
      <w:r>
        <w:t xml:space="preserve"> and </w:t>
      </w:r>
      <w:proofErr w:type="spellStart"/>
      <w:r>
        <w:t>peginterferon</w:t>
      </w:r>
      <w:proofErr w:type="spellEnd"/>
      <w:r>
        <w:t xml:space="preserve"> </w:t>
      </w:r>
      <w:proofErr w:type="spellStart"/>
      <w:r>
        <w:t>alfa</w:t>
      </w:r>
      <w:proofErr w:type="spellEnd"/>
      <w:r>
        <w:t xml:space="preserve"> and ribavirin (</w:t>
      </w:r>
      <w:r w:rsidR="00255438">
        <w:t>C</w:t>
      </w:r>
      <w:r>
        <w:t>ategory X), the most restrictive category is applicable.</w:t>
      </w:r>
    </w:p>
    <w:p w:rsidR="00C60B78" w:rsidRDefault="0088637B" w:rsidP="000F1CA4">
      <w:pPr>
        <w:pStyle w:val="ListBullet"/>
        <w:rPr>
          <w:kern w:val="2"/>
          <w:szCs w:val="20"/>
        </w:rPr>
      </w:pPr>
      <w:proofErr w:type="spellStart"/>
      <w:r>
        <w:t>Asunaprevir</w:t>
      </w:r>
      <w:proofErr w:type="spellEnd"/>
      <w:r>
        <w:t xml:space="preserve"> was not </w:t>
      </w:r>
      <w:proofErr w:type="spellStart"/>
      <w:r>
        <w:t>genotoxic</w:t>
      </w:r>
      <w:proofErr w:type="spellEnd"/>
      <w:r>
        <w:t xml:space="preserve"> in the standard battery of tests. No </w:t>
      </w:r>
      <w:r w:rsidR="006E3E56">
        <w:t>drug related</w:t>
      </w:r>
      <w:r>
        <w:t xml:space="preserve"> tumours were evident in rats treated with </w:t>
      </w:r>
      <w:proofErr w:type="spellStart"/>
      <w:r>
        <w:t>asunaprevir</w:t>
      </w:r>
      <w:proofErr w:type="spellEnd"/>
      <w:r>
        <w:t xml:space="preserve"> for 83 weeks or in transgenic Tg.rasH2 mice treated for 6 months </w:t>
      </w:r>
      <w:r>
        <w:rPr>
          <w:kern w:val="2"/>
        </w:rPr>
        <w:t>at adequate exposure multiples of the human dos</w:t>
      </w:r>
      <w:r w:rsidR="006E3E56">
        <w:rPr>
          <w:kern w:val="2"/>
        </w:rPr>
        <w:t>age</w:t>
      </w:r>
      <w:r>
        <w:t xml:space="preserve">. </w:t>
      </w:r>
      <w:proofErr w:type="spellStart"/>
      <w:r>
        <w:rPr>
          <w:kern w:val="2"/>
        </w:rPr>
        <w:t>Asunaprevir</w:t>
      </w:r>
      <w:proofErr w:type="spellEnd"/>
      <w:r>
        <w:rPr>
          <w:kern w:val="2"/>
        </w:rPr>
        <w:t xml:space="preserve"> is unlikely to pose a mutagenic, </w:t>
      </w:r>
      <w:proofErr w:type="spellStart"/>
      <w:r>
        <w:rPr>
          <w:kern w:val="2"/>
        </w:rPr>
        <w:t>clastogenic</w:t>
      </w:r>
      <w:proofErr w:type="spellEnd"/>
      <w:r>
        <w:rPr>
          <w:kern w:val="2"/>
        </w:rPr>
        <w:t xml:space="preserve"> or carcinogenic risk to humans</w:t>
      </w:r>
      <w:r>
        <w:rPr>
          <w:kern w:val="2"/>
          <w:szCs w:val="20"/>
        </w:rPr>
        <w:t>.</w:t>
      </w:r>
    </w:p>
    <w:p w:rsidR="0088637B" w:rsidRDefault="0088637B" w:rsidP="000F1CA4">
      <w:pPr>
        <w:pStyle w:val="ListBullet"/>
      </w:pPr>
      <w:r>
        <w:t>No particular targets for toxicity at clinically relevant exposure levels were identified in a juvenile toxicity study or in general repeat-dose toxicity studies.</w:t>
      </w:r>
    </w:p>
    <w:p w:rsidR="0088637B" w:rsidRDefault="0088637B" w:rsidP="000F1CA4">
      <w:pPr>
        <w:pStyle w:val="ListBullet"/>
        <w:rPr>
          <w:kern w:val="2"/>
        </w:rPr>
      </w:pPr>
      <w:proofErr w:type="spellStart"/>
      <w:r>
        <w:rPr>
          <w:kern w:val="2"/>
        </w:rPr>
        <w:t>Asunaprevir</w:t>
      </w:r>
      <w:proofErr w:type="spellEnd"/>
      <w:r>
        <w:rPr>
          <w:kern w:val="2"/>
        </w:rPr>
        <w:t xml:space="preserve"> did not produce skin irritation and did not cause skin sensitisation. </w:t>
      </w:r>
      <w:proofErr w:type="spellStart"/>
      <w:r>
        <w:rPr>
          <w:kern w:val="2"/>
        </w:rPr>
        <w:t>Asunaprevir</w:t>
      </w:r>
      <w:proofErr w:type="spellEnd"/>
      <w:r>
        <w:rPr>
          <w:kern w:val="2"/>
        </w:rPr>
        <w:t xml:space="preserve"> is potentially phototoxic and an ocular irritant.</w:t>
      </w:r>
    </w:p>
    <w:p w:rsidR="008E7846" w:rsidRDefault="0088637B" w:rsidP="006E3E56">
      <w:pPr>
        <w:pStyle w:val="ListBullet"/>
        <w:numPr>
          <w:ilvl w:val="0"/>
          <w:numId w:val="0"/>
        </w:numPr>
      </w:pPr>
      <w:r w:rsidRPr="006E3E56">
        <w:rPr>
          <w:kern w:val="2"/>
        </w:rPr>
        <w:lastRenderedPageBreak/>
        <w:t xml:space="preserve">There are nonclinical objections to the registration of </w:t>
      </w:r>
      <w:proofErr w:type="spellStart"/>
      <w:r w:rsidRPr="006E3E56">
        <w:rPr>
          <w:kern w:val="2"/>
        </w:rPr>
        <w:t>asunaprevir</w:t>
      </w:r>
      <w:proofErr w:type="spellEnd"/>
      <w:r w:rsidRPr="006E3E56">
        <w:rPr>
          <w:kern w:val="2"/>
        </w:rPr>
        <w:t>.</w:t>
      </w:r>
      <w:r w:rsidR="006E3E56" w:rsidRPr="006E3E56">
        <w:rPr>
          <w:kern w:val="2"/>
        </w:rPr>
        <w:t xml:space="preserve"> </w:t>
      </w:r>
      <w:r>
        <w:t>The draft Product Information should be amended as directed</w:t>
      </w:r>
      <w:r w:rsidR="00255438">
        <w:t xml:space="preserve"> [the details of these recommendations are beyond the scope of this </w:t>
      </w:r>
      <w:proofErr w:type="spellStart"/>
      <w:r w:rsidR="00255438">
        <w:t>AusPAR</w:t>
      </w:r>
      <w:proofErr w:type="spellEnd"/>
      <w:r w:rsidR="00255438">
        <w:t>].</w:t>
      </w:r>
    </w:p>
    <w:p w:rsidR="008E7846" w:rsidRPr="00254787" w:rsidRDefault="008E7846" w:rsidP="008E7846">
      <w:pPr>
        <w:pStyle w:val="Heading2"/>
      </w:pPr>
      <w:bookmarkStart w:id="65" w:name="_Toc196046462"/>
      <w:bookmarkStart w:id="66" w:name="_Toc247691516"/>
      <w:bookmarkStart w:id="67" w:name="_Toc314842500"/>
      <w:bookmarkStart w:id="68" w:name="_Toc163441353"/>
      <w:bookmarkStart w:id="69" w:name="_Toc163441348"/>
      <w:bookmarkStart w:id="70" w:name="_Toc438125707"/>
      <w:r>
        <w:t xml:space="preserve">IV. </w:t>
      </w:r>
      <w:r w:rsidRPr="00254787">
        <w:t>Clinical</w:t>
      </w:r>
      <w:bookmarkEnd w:id="65"/>
      <w:r>
        <w:t xml:space="preserve"> </w:t>
      </w:r>
      <w:r w:rsidR="003A7F6C">
        <w:t>f</w:t>
      </w:r>
      <w:r>
        <w:t>indings</w:t>
      </w:r>
      <w:bookmarkEnd w:id="66"/>
      <w:bookmarkEnd w:id="67"/>
      <w:bookmarkEnd w:id="70"/>
    </w:p>
    <w:p w:rsidR="00C80137" w:rsidRDefault="00C80137" w:rsidP="00D425BB">
      <w:bookmarkStart w:id="71"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72" w:name="_Toc247691517"/>
      <w:bookmarkStart w:id="73" w:name="_Toc314842501"/>
      <w:bookmarkStart w:id="74" w:name="_Toc438125708"/>
      <w:r w:rsidRPr="00254787">
        <w:t>Introduction</w:t>
      </w:r>
      <w:bookmarkEnd w:id="71"/>
      <w:bookmarkEnd w:id="72"/>
      <w:bookmarkEnd w:id="73"/>
      <w:bookmarkEnd w:id="74"/>
    </w:p>
    <w:p w:rsidR="00605AD4" w:rsidRDefault="00605AD4" w:rsidP="00605AD4">
      <w:pPr>
        <w:pStyle w:val="Heading4"/>
      </w:pPr>
      <w:bookmarkStart w:id="75" w:name="_Toc196046464"/>
      <w:bookmarkStart w:id="76" w:name="_Toc247691518"/>
      <w:bookmarkStart w:id="77" w:name="_Toc314842502"/>
      <w:r w:rsidRPr="00605AD4">
        <w:t xml:space="preserve">Clinical </w:t>
      </w:r>
      <w:r w:rsidR="00F95AEB">
        <w:t>r</w:t>
      </w:r>
      <w:r w:rsidRPr="00605AD4">
        <w:t>ationale</w:t>
      </w:r>
    </w:p>
    <w:p w:rsidR="00C21B0F" w:rsidRPr="00255438" w:rsidRDefault="00C21B0F" w:rsidP="00C21B0F">
      <w:pPr>
        <w:rPr>
          <w:i/>
        </w:rPr>
      </w:pPr>
      <w:r w:rsidRPr="00255438">
        <w:rPr>
          <w:i/>
        </w:rPr>
        <w:t>Approximately 150</w:t>
      </w:r>
      <w:r w:rsidR="00255438" w:rsidRPr="00255438">
        <w:rPr>
          <w:i/>
        </w:rPr>
        <w:t xml:space="preserve"> to </w:t>
      </w:r>
      <w:r w:rsidRPr="00255438">
        <w:rPr>
          <w:i/>
        </w:rPr>
        <w:t>160 million people worldwide are chronically infected with HCV. The majority of infected individuals progress to chronic hepatitis, which can lead to cirrhosis, liver failure, and hepatocellular carcinoma (HCC).</w:t>
      </w:r>
    </w:p>
    <w:p w:rsidR="00C21B0F" w:rsidRPr="00255438" w:rsidRDefault="00C21B0F" w:rsidP="00C21B0F">
      <w:pPr>
        <w:rPr>
          <w:i/>
        </w:rPr>
      </w:pPr>
      <w:r w:rsidRPr="00255438">
        <w:rPr>
          <w:i/>
        </w:rPr>
        <w:t xml:space="preserve">Chronic hepatitis C (CHC) infection is associated with variable degrees of hepatic inflammation and progression of fibrosis. Liver disease progression takes place over several decades, and is accelerated in the presence of co-factors such as alcohol consumption, diabetes mellitus, old age, HIV co-infection, or </w:t>
      </w:r>
      <w:proofErr w:type="spellStart"/>
      <w:r w:rsidRPr="00255438">
        <w:rPr>
          <w:i/>
        </w:rPr>
        <w:t>hepatotropic</w:t>
      </w:r>
      <w:proofErr w:type="spellEnd"/>
      <w:r w:rsidRPr="00255438">
        <w:rPr>
          <w:i/>
        </w:rPr>
        <w:t xml:space="preserve"> virus co-infection. Between 10-40% of patients with CHC will develop cirrhosis depending on the presence of these co-factors. Deaths, related to the complications of cirrhosis, occur at an incidence of approximately 4% per year, and HCC occurs in this population at an estimated incidence of 1-5% per year. Given that HCC often goes undiagnosed until late into the disease, once diagnosed with HCC, patients have an approximate 33% probability of death during the first year.</w:t>
      </w:r>
    </w:p>
    <w:p w:rsidR="00C21B0F" w:rsidRPr="00255438" w:rsidRDefault="00C21B0F" w:rsidP="00C21B0F">
      <w:pPr>
        <w:rPr>
          <w:i/>
        </w:rPr>
      </w:pPr>
      <w:r w:rsidRPr="00255438">
        <w:rPr>
          <w:i/>
        </w:rPr>
        <w:t xml:space="preserve">Various HCV genotypes (GT) have been described that respond differently to current treatment regimens. HCV GT-1 (subtypes 1a and 1b) is the most prevalent worldwide with a higher prevalence of GT-1a in the United States and GT-1b in Europe. GT-3 is the second most prevalent GT in some European countries and India, and is associated with an increased likelihood of developing hepatic complications, from </w:t>
      </w:r>
      <w:proofErr w:type="spellStart"/>
      <w:r w:rsidRPr="00255438">
        <w:rPr>
          <w:i/>
        </w:rPr>
        <w:t>steatosis</w:t>
      </w:r>
      <w:proofErr w:type="spellEnd"/>
      <w:r w:rsidRPr="00255438">
        <w:rPr>
          <w:i/>
        </w:rPr>
        <w:t xml:space="preserve"> to HCC. Due to the migration from North-East and Sub-Saharan Africa, HCV GT-4 accounts for up to 19% of cases in Mediterranean countries and in 5-8% in Central and Western European countries. GT-2 is found in clusters in the Mediterranean region, while GT-5 and GT-6 are more rarely found in Europe.</w:t>
      </w:r>
    </w:p>
    <w:p w:rsidR="00C21B0F" w:rsidRDefault="00C21B0F" w:rsidP="00255438">
      <w:pPr>
        <w:pStyle w:val="Comment"/>
        <w:ind w:left="1134" w:hanging="1134"/>
      </w:pPr>
      <w:r>
        <w:rPr>
          <w:b/>
        </w:rPr>
        <w:t>Comment:</w:t>
      </w:r>
      <w:r>
        <w:t xml:space="preserve"> There is no discussion of the prevalence of genotypes in Australia in </w:t>
      </w:r>
      <w:r w:rsidR="00255438">
        <w:t>the application</w:t>
      </w:r>
      <w:r>
        <w:t xml:space="preserve"> but in a reference quoted in the R</w:t>
      </w:r>
      <w:r w:rsidR="00255438">
        <w:t>isk Management Plan (R</w:t>
      </w:r>
      <w:r>
        <w:t>MP</w:t>
      </w:r>
      <w:r w:rsidR="00255438">
        <w:t>)</w:t>
      </w:r>
      <w:r>
        <w:t xml:space="preserve"> and supported by a publication not provided in the submission it is estimated that in Australia, approximately 32 </w:t>
      </w:r>
      <w:r w:rsidR="00255438">
        <w:t xml:space="preserve">to </w:t>
      </w:r>
      <w:r>
        <w:t xml:space="preserve">35% of people with hepatitis C have subtype GT-3 (mostly being GT-3a), 15 </w:t>
      </w:r>
      <w:r w:rsidR="00255438">
        <w:t>to</w:t>
      </w:r>
      <w:r>
        <w:t xml:space="preserve"> 35% have GT-1a, 15 </w:t>
      </w:r>
      <w:r w:rsidR="00255438">
        <w:t>to</w:t>
      </w:r>
      <w:r>
        <w:t xml:space="preserve"> 23% have GT-1b and 7 </w:t>
      </w:r>
      <w:r w:rsidR="006E3E56">
        <w:t xml:space="preserve">to </w:t>
      </w:r>
      <w:r>
        <w:t>9.3%,</w:t>
      </w:r>
      <w:r w:rsidR="004936B4">
        <w:t xml:space="preserve"> </w:t>
      </w:r>
      <w:r>
        <w:t>have GT-2, 5.5% have GT-4</w:t>
      </w:r>
      <w:r w:rsidR="004936B4">
        <w:t xml:space="preserve"> </w:t>
      </w:r>
      <w:r>
        <w:t xml:space="preserve">and 1.7% </w:t>
      </w:r>
      <w:r w:rsidRPr="00D72688">
        <w:t>have GT-6.</w:t>
      </w:r>
      <w:r w:rsidR="00D72688" w:rsidRPr="00D72688">
        <w:rPr>
          <w:rStyle w:val="FootnoteReference"/>
        </w:rPr>
        <w:footnoteReference w:id="21"/>
      </w:r>
      <w:r w:rsidR="00D72688" w:rsidRPr="00D72688">
        <w:rPr>
          <w:vertAlign w:val="superscript"/>
        </w:rPr>
        <w:t>,</w:t>
      </w:r>
      <w:r w:rsidR="00D72688" w:rsidRPr="00D72688">
        <w:rPr>
          <w:rStyle w:val="FootnoteReference"/>
        </w:rPr>
        <w:footnoteReference w:id="22"/>
      </w:r>
    </w:p>
    <w:p w:rsidR="00C21B0F" w:rsidRPr="003B73BB" w:rsidRDefault="00C21B0F" w:rsidP="00C21B0F">
      <w:pPr>
        <w:rPr>
          <w:i/>
        </w:rPr>
      </w:pPr>
      <w:proofErr w:type="spellStart"/>
      <w:r w:rsidRPr="003B73BB">
        <w:rPr>
          <w:i/>
        </w:rPr>
        <w:t>Peginterferon</w:t>
      </w:r>
      <w:proofErr w:type="spellEnd"/>
      <w:r w:rsidRPr="003B73BB">
        <w:rPr>
          <w:i/>
        </w:rPr>
        <w:t xml:space="preserve"> </w:t>
      </w:r>
      <w:proofErr w:type="spellStart"/>
      <w:r w:rsidRPr="003B73BB">
        <w:rPr>
          <w:i/>
        </w:rPr>
        <w:t>alfa</w:t>
      </w:r>
      <w:proofErr w:type="spellEnd"/>
      <w:r w:rsidRPr="003B73BB">
        <w:rPr>
          <w:i/>
        </w:rPr>
        <w:t xml:space="preserve"> in combination with ribavirin (</w:t>
      </w:r>
      <w:proofErr w:type="spellStart"/>
      <w:r w:rsidRPr="003B73BB">
        <w:rPr>
          <w:i/>
        </w:rPr>
        <w:t>pegIFN</w:t>
      </w:r>
      <w:proofErr w:type="spellEnd"/>
      <w:r w:rsidRPr="003B73BB">
        <w:rPr>
          <w:i/>
        </w:rPr>
        <w:t xml:space="preserve">α/RBV) was the traditional well accepted standard of care for the treatment of CHC until 2011. This treatment regimen is administered for either 48 weeks (GT-1, -4, -5, -6) or for 24 weeks (GT-2 and _3), inducing sustained </w:t>
      </w:r>
      <w:proofErr w:type="spellStart"/>
      <w:r w:rsidRPr="003B73BB">
        <w:rPr>
          <w:i/>
        </w:rPr>
        <w:t>virologic</w:t>
      </w:r>
      <w:proofErr w:type="spellEnd"/>
      <w:r w:rsidRPr="003B73BB">
        <w:rPr>
          <w:i/>
        </w:rPr>
        <w:t xml:space="preserve"> response at 24 weeks (SVR24) rates of 42% to 46% in patients with HCV GT-1 and GT-4, and 76% and 82% in patients with GT-2 and GT-3 infections.</w:t>
      </w:r>
    </w:p>
    <w:p w:rsidR="00C60B78" w:rsidRDefault="00C21B0F" w:rsidP="00C21B0F">
      <w:pPr>
        <w:rPr>
          <w:i/>
        </w:rPr>
      </w:pPr>
      <w:r w:rsidRPr="003B73BB">
        <w:rPr>
          <w:i/>
        </w:rPr>
        <w:lastRenderedPageBreak/>
        <w:t xml:space="preserve">In </w:t>
      </w:r>
      <w:r w:rsidRPr="00D72688">
        <w:rPr>
          <w:i/>
        </w:rPr>
        <w:t>recent years the introduction of DAAs, which target specific viral enzymes, have improved patient outcomes.</w:t>
      </w:r>
      <w:r w:rsidR="00D72688" w:rsidRPr="00D72688">
        <w:rPr>
          <w:rStyle w:val="FootnoteReference"/>
          <w:i/>
        </w:rPr>
        <w:footnoteReference w:id="23"/>
      </w:r>
      <w:r w:rsidR="00D72688" w:rsidRPr="00D72688">
        <w:rPr>
          <w:i/>
          <w:vertAlign w:val="superscript"/>
        </w:rPr>
        <w:t>,</w:t>
      </w:r>
      <w:r w:rsidR="00D72688" w:rsidRPr="00D72688">
        <w:rPr>
          <w:rStyle w:val="FootnoteReference"/>
          <w:i/>
        </w:rPr>
        <w:footnoteReference w:id="24"/>
      </w:r>
      <w:r w:rsidRPr="00D72688">
        <w:rPr>
          <w:i/>
        </w:rPr>
        <w:t xml:space="preserve"> In 2011</w:t>
      </w:r>
      <w:r w:rsidRPr="003B73BB">
        <w:rPr>
          <w:i/>
        </w:rPr>
        <w:t xml:space="preserve">, 2 DAA agents, the HCV NS3/4A protease inhibitors </w:t>
      </w:r>
      <w:proofErr w:type="spellStart"/>
      <w:r w:rsidRPr="003B73BB">
        <w:rPr>
          <w:i/>
        </w:rPr>
        <w:t>telaprevir</w:t>
      </w:r>
      <w:proofErr w:type="spellEnd"/>
      <w:r w:rsidRPr="003B73BB">
        <w:rPr>
          <w:i/>
        </w:rPr>
        <w:t xml:space="preserve"> (TVR) and </w:t>
      </w:r>
      <w:proofErr w:type="spellStart"/>
      <w:r w:rsidRPr="003B73BB">
        <w:rPr>
          <w:i/>
        </w:rPr>
        <w:t>boceprevir</w:t>
      </w:r>
      <w:proofErr w:type="spellEnd"/>
      <w:r w:rsidRPr="003B73BB">
        <w:rPr>
          <w:i/>
        </w:rPr>
        <w:t xml:space="preserve"> (BOC), added on to </w:t>
      </w:r>
      <w:proofErr w:type="spellStart"/>
      <w:r w:rsidRPr="003B73BB">
        <w:rPr>
          <w:i/>
        </w:rPr>
        <w:t>pegIFN</w:t>
      </w:r>
      <w:proofErr w:type="spellEnd"/>
      <w:r w:rsidRPr="003B73BB">
        <w:rPr>
          <w:i/>
        </w:rPr>
        <w:t xml:space="preserve">α/RBV were approved in the United States (US) and European Union (EU). These DAA/ </w:t>
      </w:r>
      <w:proofErr w:type="spellStart"/>
      <w:r w:rsidRPr="003B73BB">
        <w:rPr>
          <w:i/>
        </w:rPr>
        <w:t>pegIFN</w:t>
      </w:r>
      <w:proofErr w:type="spellEnd"/>
      <w:r w:rsidRPr="003B73BB">
        <w:rPr>
          <w:i/>
        </w:rPr>
        <w:t>α/RBV regimens were then considered the standard of care for treating CHC patients in the EU, US, Japan and other regions.</w:t>
      </w:r>
    </w:p>
    <w:p w:rsidR="00C21B0F" w:rsidRDefault="00C21B0F" w:rsidP="003B73BB">
      <w:pPr>
        <w:pStyle w:val="Comment"/>
        <w:ind w:left="1134" w:hanging="1134"/>
      </w:pPr>
      <w:r>
        <w:rPr>
          <w:b/>
        </w:rPr>
        <w:t>Comment:</w:t>
      </w:r>
      <w:r>
        <w:t xml:space="preserve"> </w:t>
      </w:r>
      <w:proofErr w:type="spellStart"/>
      <w:r w:rsidR="007A2E96">
        <w:t>B</w:t>
      </w:r>
      <w:r w:rsidR="007A2E96">
        <w:rPr>
          <w:rFonts w:eastAsia="TimesNewRoman" w:cs="TimesNewRoman"/>
        </w:rPr>
        <w:t>oceprevir</w:t>
      </w:r>
      <w:proofErr w:type="spellEnd"/>
      <w:r w:rsidR="007A2E96">
        <w:t xml:space="preserve"> (</w:t>
      </w:r>
      <w:r>
        <w:t>BOC</w:t>
      </w:r>
      <w:r w:rsidR="007A2E96">
        <w:t>)</w:t>
      </w:r>
      <w:r>
        <w:t xml:space="preserve"> and </w:t>
      </w:r>
      <w:proofErr w:type="spellStart"/>
      <w:r w:rsidR="007A2E96">
        <w:rPr>
          <w:rFonts w:eastAsia="TimesNewRoman" w:cs="TimesNewRoman"/>
        </w:rPr>
        <w:t>telaprevir</w:t>
      </w:r>
      <w:proofErr w:type="spellEnd"/>
      <w:r w:rsidR="007A2E96">
        <w:t xml:space="preserve"> (</w:t>
      </w:r>
      <w:r>
        <w:t>TVR</w:t>
      </w:r>
      <w:r w:rsidR="007A2E96">
        <w:t>)</w:t>
      </w:r>
      <w:r>
        <w:t xml:space="preserve"> have been approved for marketing in Australia and were entered into the Australia Register of Therapeutic Goods </w:t>
      </w:r>
      <w:r w:rsidR="003B73BB">
        <w:t>(</w:t>
      </w:r>
      <w:r>
        <w:t>ARTG</w:t>
      </w:r>
      <w:r w:rsidR="003B73BB">
        <w:t>)</w:t>
      </w:r>
      <w:r>
        <w:t xml:space="preserve"> in January 2012 and March 2013 respectively.</w:t>
      </w:r>
    </w:p>
    <w:p w:rsidR="00C21B0F" w:rsidRPr="003B73BB" w:rsidRDefault="00C21B0F" w:rsidP="00C21B0F">
      <w:pPr>
        <w:rPr>
          <w:i/>
        </w:rPr>
      </w:pPr>
      <w:r w:rsidRPr="003B73BB">
        <w:rPr>
          <w:i/>
        </w:rPr>
        <w:t xml:space="preserve">Recently, other agents including </w:t>
      </w:r>
      <w:proofErr w:type="spellStart"/>
      <w:r w:rsidRPr="003B73BB">
        <w:rPr>
          <w:i/>
        </w:rPr>
        <w:t>sofosbuvir</w:t>
      </w:r>
      <w:proofErr w:type="spellEnd"/>
      <w:r w:rsidRPr="003B73BB">
        <w:rPr>
          <w:i/>
        </w:rPr>
        <w:t xml:space="preserve"> (</w:t>
      </w:r>
      <w:proofErr w:type="spellStart"/>
      <w:r w:rsidRPr="003B73BB">
        <w:rPr>
          <w:i/>
        </w:rPr>
        <w:t>Sovaldi</w:t>
      </w:r>
      <w:proofErr w:type="spellEnd"/>
      <w:r w:rsidRPr="003B73BB">
        <w:rPr>
          <w:i/>
        </w:rPr>
        <w:t xml:space="preserve">) (SOF), a nucleoside NS5B polymerase inhibitor, and </w:t>
      </w:r>
      <w:proofErr w:type="spellStart"/>
      <w:r w:rsidRPr="003B73BB">
        <w:rPr>
          <w:i/>
        </w:rPr>
        <w:t>simeprevir</w:t>
      </w:r>
      <w:proofErr w:type="spellEnd"/>
      <w:r w:rsidRPr="003B73BB">
        <w:rPr>
          <w:i/>
        </w:rPr>
        <w:t xml:space="preserve"> (</w:t>
      </w:r>
      <w:proofErr w:type="spellStart"/>
      <w:r w:rsidRPr="003B73BB">
        <w:rPr>
          <w:i/>
        </w:rPr>
        <w:t>Olysio</w:t>
      </w:r>
      <w:proofErr w:type="spellEnd"/>
      <w:r w:rsidRPr="003B73BB">
        <w:rPr>
          <w:i/>
        </w:rPr>
        <w:t>) (SMV), an NS3/4A protease inhibitor, have been approved in the US offering new treatment options to patients with CHC.</w:t>
      </w:r>
    </w:p>
    <w:p w:rsidR="00C21B0F" w:rsidRDefault="00C21B0F" w:rsidP="003B73BB">
      <w:pPr>
        <w:pStyle w:val="Comment"/>
      </w:pPr>
      <w:r>
        <w:rPr>
          <w:b/>
        </w:rPr>
        <w:t>Comment:</w:t>
      </w:r>
      <w:r>
        <w:t xml:space="preserve"> SOF and SMV were approved in Australia in June and July 2014 respectively.</w:t>
      </w:r>
    </w:p>
    <w:p w:rsidR="00C21B0F" w:rsidRPr="003B73BB" w:rsidRDefault="00C21B0F" w:rsidP="00C21B0F">
      <w:pPr>
        <w:rPr>
          <w:i/>
        </w:rPr>
      </w:pPr>
      <w:r w:rsidRPr="003B73BB">
        <w:rPr>
          <w:i/>
        </w:rPr>
        <w:t xml:space="preserve">The introduction of these newer options has provided an improvement over the use of IFN-based therapies alone for patients with GT-1. However, there is still a need for improved efficacy in HCV GT-1 patients, particularly in patients with limited response to </w:t>
      </w:r>
      <w:proofErr w:type="spellStart"/>
      <w:r w:rsidRPr="003B73BB">
        <w:rPr>
          <w:i/>
        </w:rPr>
        <w:t>pegIFN</w:t>
      </w:r>
      <w:proofErr w:type="spellEnd"/>
      <w:r w:rsidRPr="003B73BB">
        <w:rPr>
          <w:i/>
        </w:rPr>
        <w:t>α/RBV or in patients who are intolerant or ineligible for IFN based therapy, and for patients who have failed current protease inhibitor therapies.</w:t>
      </w:r>
    </w:p>
    <w:p w:rsidR="00C21B0F" w:rsidRPr="003B73BB" w:rsidRDefault="00C21B0F" w:rsidP="00C21B0F">
      <w:pPr>
        <w:rPr>
          <w:i/>
        </w:rPr>
      </w:pPr>
      <w:r w:rsidRPr="003B73BB">
        <w:rPr>
          <w:i/>
        </w:rPr>
        <w:t xml:space="preserve">Treatment duration with </w:t>
      </w:r>
      <w:proofErr w:type="spellStart"/>
      <w:r w:rsidRPr="003B73BB">
        <w:rPr>
          <w:i/>
        </w:rPr>
        <w:t>pegIFN</w:t>
      </w:r>
      <w:proofErr w:type="spellEnd"/>
      <w:r w:rsidRPr="003B73BB">
        <w:rPr>
          <w:i/>
        </w:rPr>
        <w:t xml:space="preserve">α/RBV can be long (24 to 48 weeks) depending on the GT, and because </w:t>
      </w:r>
      <w:proofErr w:type="spellStart"/>
      <w:r w:rsidRPr="003B73BB">
        <w:rPr>
          <w:i/>
        </w:rPr>
        <w:t>pegIFN</w:t>
      </w:r>
      <w:proofErr w:type="spellEnd"/>
      <w:r w:rsidRPr="003B73BB">
        <w:rPr>
          <w:i/>
        </w:rPr>
        <w:t>α requires parenteral administration, treatment adherence, compliance, and complications arising from injections can be a challenge.</w:t>
      </w:r>
    </w:p>
    <w:p w:rsidR="00C21B0F" w:rsidRPr="003B73BB" w:rsidRDefault="00C21B0F" w:rsidP="00C21B0F">
      <w:pPr>
        <w:rPr>
          <w:i/>
        </w:rPr>
      </w:pPr>
      <w:r w:rsidRPr="003B73BB">
        <w:rPr>
          <w:i/>
        </w:rPr>
        <w:t xml:space="preserve">Side effects associated with </w:t>
      </w:r>
      <w:proofErr w:type="spellStart"/>
      <w:r w:rsidRPr="003B73BB">
        <w:rPr>
          <w:i/>
        </w:rPr>
        <w:t>pegIFN</w:t>
      </w:r>
      <w:proofErr w:type="spellEnd"/>
      <w:r w:rsidRPr="003B73BB">
        <w:rPr>
          <w:i/>
        </w:rPr>
        <w:t xml:space="preserve">α/RBV include flu-like symptoms (chills, pyrexia, myalgia, fatigue), psychiatric disorders (depression, irritability, anxiety), and </w:t>
      </w:r>
      <w:proofErr w:type="spellStart"/>
      <w:r w:rsidRPr="003B73BB">
        <w:rPr>
          <w:i/>
        </w:rPr>
        <w:t>haematologic</w:t>
      </w:r>
      <w:proofErr w:type="spellEnd"/>
      <w:r w:rsidRPr="003B73BB">
        <w:rPr>
          <w:i/>
        </w:rPr>
        <w:t xml:space="preserve"> abnormalities (anaemia and neutropenia). TVR and BOC are associated with serious dermatologic side effects (rash and/or pruritus) and additional decreases in haemoglobin and absolute neutrophils when combined with </w:t>
      </w:r>
      <w:proofErr w:type="spellStart"/>
      <w:r w:rsidRPr="003B73BB">
        <w:rPr>
          <w:i/>
        </w:rPr>
        <w:t>pegIFN</w:t>
      </w:r>
      <w:proofErr w:type="spellEnd"/>
      <w:r w:rsidRPr="003B73BB">
        <w:rPr>
          <w:i/>
        </w:rPr>
        <w:t xml:space="preserve">α/RBV, compared to IFN-based therapy alone. SMV treatment is associated with increased rates of </w:t>
      </w:r>
      <w:proofErr w:type="spellStart"/>
      <w:r w:rsidRPr="003B73BB">
        <w:rPr>
          <w:i/>
        </w:rPr>
        <w:t>hyperbilirubinaemia</w:t>
      </w:r>
      <w:proofErr w:type="spellEnd"/>
      <w:r w:rsidRPr="003B73BB">
        <w:rPr>
          <w:i/>
        </w:rPr>
        <w:t xml:space="preserve"> and photosensitivity.</w:t>
      </w:r>
    </w:p>
    <w:p w:rsidR="00C21B0F" w:rsidRPr="003B73BB" w:rsidRDefault="00C21B0F" w:rsidP="00C21B0F">
      <w:pPr>
        <w:rPr>
          <w:i/>
        </w:rPr>
      </w:pPr>
      <w:r w:rsidRPr="003B73BB">
        <w:rPr>
          <w:i/>
        </w:rPr>
        <w:t xml:space="preserve">Despite the treatment advancement with the first generation DAAs and recently approved DAAs, there is still an unmet medical need for new therapeutic agents that are more effective, </w:t>
      </w:r>
      <w:proofErr w:type="spellStart"/>
      <w:r w:rsidRPr="003B73BB">
        <w:rPr>
          <w:i/>
        </w:rPr>
        <w:t>pangenotypic</w:t>
      </w:r>
      <w:proofErr w:type="spellEnd"/>
      <w:r w:rsidRPr="003B73BB">
        <w:rPr>
          <w:i/>
        </w:rPr>
        <w:t xml:space="preserve">, less toxic than INF- and RBV-based therapies and less complex with simpler administration, monitoring and management of adverse events to ensure the most optimal combination of DAAs are available to patients. Currently, there is a need for improved therapies in subjects who have failed TVR- and BOC-regimens as well as INF ineligible/intolerant patients and non-responders to </w:t>
      </w:r>
      <w:proofErr w:type="spellStart"/>
      <w:r w:rsidRPr="003B73BB">
        <w:rPr>
          <w:i/>
        </w:rPr>
        <w:t>pegIFN</w:t>
      </w:r>
      <w:proofErr w:type="spellEnd"/>
      <w:r w:rsidRPr="003B73BB">
        <w:rPr>
          <w:i/>
        </w:rPr>
        <w:t>α/RBV.</w:t>
      </w:r>
    </w:p>
    <w:p w:rsidR="00C21B0F" w:rsidRPr="003B73BB" w:rsidRDefault="00C21B0F" w:rsidP="00C21B0F">
      <w:pPr>
        <w:rPr>
          <w:i/>
        </w:rPr>
      </w:pPr>
      <w:proofErr w:type="spellStart"/>
      <w:r w:rsidRPr="003B73BB">
        <w:rPr>
          <w:i/>
        </w:rPr>
        <w:t>Asunaprevir</w:t>
      </w:r>
      <w:proofErr w:type="spellEnd"/>
      <w:r w:rsidRPr="003B73BB">
        <w:rPr>
          <w:i/>
        </w:rPr>
        <w:t xml:space="preserve"> (ASV) has shown additive to synergistic interactions in combination with DCV with no cross resistance between the two agents. This data supports the combination therapy of DCV and ASV in HCV infected patients.</w:t>
      </w:r>
    </w:p>
    <w:p w:rsidR="00605AD4" w:rsidRDefault="00605AD4" w:rsidP="003B73BB">
      <w:pPr>
        <w:pStyle w:val="Heading3"/>
      </w:pPr>
      <w:bookmarkStart w:id="78" w:name="_Toc438125709"/>
      <w:r w:rsidRPr="00605AD4">
        <w:t>Contents of the clinical dossier</w:t>
      </w:r>
      <w:bookmarkEnd w:id="78"/>
    </w:p>
    <w:p w:rsidR="00C21B0F" w:rsidRDefault="00C21B0F" w:rsidP="003B73BB">
      <w:pPr>
        <w:pStyle w:val="Heading4"/>
      </w:pPr>
      <w:bookmarkStart w:id="79" w:name="_Toc401659935"/>
      <w:bookmarkStart w:id="80" w:name="_Toc290846234"/>
      <w:r>
        <w:t>Scope of the clinical dossier</w:t>
      </w:r>
      <w:bookmarkEnd w:id="79"/>
      <w:bookmarkEnd w:id="80"/>
    </w:p>
    <w:p w:rsidR="00C21B0F" w:rsidRDefault="00C21B0F" w:rsidP="00C21B0F">
      <w:pPr>
        <w:pStyle w:val="Bullet2"/>
        <w:numPr>
          <w:ilvl w:val="0"/>
          <w:numId w:val="0"/>
        </w:numPr>
        <w:tabs>
          <w:tab w:val="left" w:pos="720"/>
        </w:tabs>
      </w:pPr>
      <w:r w:rsidRPr="00C95499">
        <w:t>Of particular note, the efficacy studies for the requested regimens of combination therapy were all common to the DCV submission and have been assessed in the DCV clinical evaluation report.</w:t>
      </w:r>
      <w:r w:rsidR="00C95499" w:rsidRPr="00C95499">
        <w:rPr>
          <w:rStyle w:val="FootnoteReference"/>
        </w:rPr>
        <w:footnoteReference w:id="25"/>
      </w:r>
      <w:r w:rsidRPr="00C95499">
        <w:t xml:space="preserve"> </w:t>
      </w:r>
      <w:r w:rsidR="006E3E56" w:rsidRPr="00C95499">
        <w:t>O</w:t>
      </w:r>
      <w:r w:rsidRPr="00C95499">
        <w:t>nly brief summaries are provided in this report.</w:t>
      </w:r>
    </w:p>
    <w:p w:rsidR="00C60B78" w:rsidRDefault="00C21B0F" w:rsidP="00C21B0F">
      <w:r>
        <w:lastRenderedPageBreak/>
        <w:t xml:space="preserve">The clinical studies contained in the </w:t>
      </w:r>
      <w:r w:rsidR="003B73BB">
        <w:t>application</w:t>
      </w:r>
      <w:r>
        <w:t xml:space="preserve"> are as follows:</w:t>
      </w:r>
    </w:p>
    <w:p w:rsidR="00C21B0F" w:rsidRDefault="00C21B0F" w:rsidP="003B73BB">
      <w:pPr>
        <w:pStyle w:val="ListBullet"/>
      </w:pPr>
      <w:r>
        <w:t>3 bioavailability studies that examined bioequivalence between various formulations and the effect of food;</w:t>
      </w:r>
    </w:p>
    <w:p w:rsidR="00C21B0F" w:rsidRDefault="00C21B0F" w:rsidP="003B73BB">
      <w:pPr>
        <w:pStyle w:val="ListBullet"/>
      </w:pPr>
      <w:r>
        <w:t>1 absolute bioavailability study;</w:t>
      </w:r>
    </w:p>
    <w:p w:rsidR="00C21B0F" w:rsidRDefault="00C21B0F" w:rsidP="003B73BB">
      <w:pPr>
        <w:pStyle w:val="ListBullet"/>
      </w:pPr>
      <w:r>
        <w:t>6 ascending dose studies examining pharmacokinetics (PK) and initial tolerability. Four were conducted in healthy subjects and two in subjects with chronic HCV infection.</w:t>
      </w:r>
    </w:p>
    <w:p w:rsidR="00C21B0F" w:rsidRDefault="00C21B0F" w:rsidP="003B73BB">
      <w:pPr>
        <w:pStyle w:val="ListBullet"/>
      </w:pPr>
      <w:r>
        <w:t>1 mass balance study;</w:t>
      </w:r>
    </w:p>
    <w:p w:rsidR="00C21B0F" w:rsidRDefault="00C21B0F" w:rsidP="003B73BB">
      <w:pPr>
        <w:pStyle w:val="ListBullet"/>
      </w:pPr>
      <w:r>
        <w:t>2 studies in special populations (1 in hepatic impairment and 1 in renal impairment);</w:t>
      </w:r>
    </w:p>
    <w:p w:rsidR="00C21B0F" w:rsidRDefault="00C21B0F" w:rsidP="003B73BB">
      <w:pPr>
        <w:pStyle w:val="ListBullet"/>
      </w:pPr>
      <w:r>
        <w:t>12 interaction studies;</w:t>
      </w:r>
    </w:p>
    <w:p w:rsidR="00C21B0F" w:rsidRDefault="00C21B0F" w:rsidP="003B73BB">
      <w:pPr>
        <w:pStyle w:val="ListBullet"/>
      </w:pPr>
      <w:r>
        <w:t>4 studies examining population PK and population PK/exposure-response;</w:t>
      </w:r>
    </w:p>
    <w:p w:rsidR="00C21B0F" w:rsidRDefault="00C21B0F" w:rsidP="003B73BB">
      <w:pPr>
        <w:pStyle w:val="ListBullet"/>
      </w:pPr>
      <w:r>
        <w:t xml:space="preserve">1 </w:t>
      </w:r>
      <w:proofErr w:type="spellStart"/>
      <w:r>
        <w:t>pharmacodynamic</w:t>
      </w:r>
      <w:proofErr w:type="spellEnd"/>
      <w:r>
        <w:t xml:space="preserve"> (PD) study examining effects on QT interval.</w:t>
      </w:r>
    </w:p>
    <w:p w:rsidR="00C21B0F" w:rsidRDefault="00C21B0F" w:rsidP="003B73BB">
      <w:pPr>
        <w:pStyle w:val="ListBullet"/>
      </w:pPr>
      <w:r>
        <w:t>1 efficacy/safety study not provided in the DCV dossier</w:t>
      </w:r>
    </w:p>
    <w:p w:rsidR="00C21B0F" w:rsidRDefault="00C21B0F" w:rsidP="006E3E56">
      <w:r>
        <w:t>Also, Integrated Summaries of Efficacy and Safety have been submitted in place of Summary of Clinical Efficacy, and Summary of Clinical Safety but the documents are titled Summary of Clinical Efficacy and Summary of Clinical Safety.</w:t>
      </w:r>
    </w:p>
    <w:p w:rsidR="00C21B0F" w:rsidRDefault="00C21B0F" w:rsidP="003B73BB">
      <w:r>
        <w:t>The following additional clinical information was also provided:</w:t>
      </w:r>
    </w:p>
    <w:p w:rsidR="00C21B0F" w:rsidRDefault="00C21B0F" w:rsidP="003B73BB">
      <w:pPr>
        <w:pStyle w:val="ListBullet"/>
      </w:pPr>
      <w:r>
        <w:t xml:space="preserve">Clinical Overview, Summary of </w:t>
      </w:r>
      <w:proofErr w:type="spellStart"/>
      <w:r>
        <w:t>Biopharmaceutic</w:t>
      </w:r>
      <w:proofErr w:type="spellEnd"/>
      <w:r>
        <w:t xml:space="preserve"> Studies and Associated Analytical Methods, Summary of Clinical Pharmacology (SCP) and literature references.</w:t>
      </w:r>
    </w:p>
    <w:p w:rsidR="00605AD4" w:rsidRDefault="00605AD4" w:rsidP="00605AD4">
      <w:pPr>
        <w:pStyle w:val="Heading4"/>
      </w:pPr>
      <w:r w:rsidRPr="00605AD4">
        <w:t>Paediatric data</w:t>
      </w:r>
    </w:p>
    <w:p w:rsidR="00C60B78" w:rsidRDefault="00C21B0F" w:rsidP="00C21B0F">
      <w:r>
        <w:t>The submission did not include paediatric data.</w:t>
      </w:r>
    </w:p>
    <w:p w:rsidR="00C21B0F" w:rsidRDefault="00C21B0F" w:rsidP="00C21B0F">
      <w:r>
        <w:t>The sponsor states that there is an agreed Paediatric Plan in the USA. No date for submission of a Paediatric Assessment is provided. There is a waiver for submission of a Paediatric Assessment for children under the age of 3 as they will not benefit significantly from the therapy due to the higher spontaneous resolution of HCV infection in children than in adults and that HCV infection is milder within this age group</w:t>
      </w:r>
      <w:r w:rsidR="003B73BB">
        <w:t xml:space="preserve">; </w:t>
      </w:r>
      <w:r>
        <w:t>milder liver inflammation, less frequent cirrhosis, lower viral load and shorter duration of infection.</w:t>
      </w:r>
    </w:p>
    <w:p w:rsidR="00605AD4" w:rsidRDefault="00605AD4" w:rsidP="00605AD4">
      <w:pPr>
        <w:pStyle w:val="Heading4"/>
      </w:pPr>
      <w:r w:rsidRPr="00605AD4">
        <w:t>Good clinical practice</w:t>
      </w:r>
    </w:p>
    <w:p w:rsidR="00C60B78" w:rsidRDefault="00C21B0F" w:rsidP="00C21B0F">
      <w:pPr>
        <w:tabs>
          <w:tab w:val="left" w:pos="720"/>
        </w:tabs>
        <w:autoSpaceDE w:val="0"/>
        <w:autoSpaceDN w:val="0"/>
        <w:adjustRightInd w:val="0"/>
        <w:rPr>
          <w:rFonts w:eastAsia="TimesNewRoman" w:cs="TimesNewRoman"/>
        </w:rPr>
      </w:pPr>
      <w:r>
        <w:rPr>
          <w:rFonts w:eastAsia="TimesNewRoman" w:cs="TimesNewRoman"/>
        </w:rPr>
        <w:t>The study reports all state that the studies were conducted in accordance with Good Clinical Practice as defined by the International Conference on Harmonization and in accordance with the ethical principles underlying European Union Directive 2001/20/EC and the United States Code of Federal Regulations, Title 21, Part 50 (21CFR50).</w:t>
      </w:r>
    </w:p>
    <w:p w:rsidR="00C21B0F" w:rsidRDefault="00C21B0F" w:rsidP="00C21B0F">
      <w:pPr>
        <w:tabs>
          <w:tab w:val="left" w:pos="720"/>
        </w:tabs>
        <w:autoSpaceDE w:val="0"/>
        <w:autoSpaceDN w:val="0"/>
        <w:adjustRightInd w:val="0"/>
        <w:rPr>
          <w:rFonts w:eastAsia="TimesNewRoman" w:cs="TimesNewRoman"/>
        </w:rPr>
      </w:pPr>
      <w:r>
        <w:rPr>
          <w:rFonts w:eastAsia="TimesNewRoman" w:cs="TimesNewRoman"/>
        </w:rPr>
        <w:t>All protocols were reviewed by appropriate ethics committees and patients signed appropriate informed consent prior to any study procedures.</w:t>
      </w:r>
    </w:p>
    <w:p w:rsidR="008E7846" w:rsidRPr="00254787" w:rsidRDefault="008E7846" w:rsidP="00605AD4">
      <w:pPr>
        <w:pStyle w:val="Heading3"/>
      </w:pPr>
      <w:bookmarkStart w:id="81" w:name="_Toc438125710"/>
      <w:r w:rsidRPr="00254787">
        <w:t>Pharmacokinetics</w:t>
      </w:r>
      <w:bookmarkEnd w:id="68"/>
      <w:bookmarkEnd w:id="75"/>
      <w:bookmarkEnd w:id="76"/>
      <w:bookmarkEnd w:id="77"/>
      <w:bookmarkEnd w:id="81"/>
    </w:p>
    <w:p w:rsidR="00C60B78" w:rsidRDefault="00605AD4" w:rsidP="003B73BB">
      <w:pPr>
        <w:pStyle w:val="Heading4"/>
      </w:pPr>
      <w:r>
        <w:t>Studies providing pharmacokinetic data</w:t>
      </w:r>
    </w:p>
    <w:p w:rsidR="00C21B0F" w:rsidRDefault="003B73BB" w:rsidP="00C21B0F">
      <w:r>
        <w:t xml:space="preserve">Table 8 </w:t>
      </w:r>
      <w:r w:rsidR="00C21B0F">
        <w:t>shows the studies relating to each PK topic.</w:t>
      </w:r>
    </w:p>
    <w:p w:rsidR="00C21B0F" w:rsidRDefault="00C21B0F" w:rsidP="003B73BB">
      <w:pPr>
        <w:pStyle w:val="TableTitle"/>
      </w:pPr>
      <w:bookmarkStart w:id="82" w:name="_Toc401831779"/>
      <w:bookmarkStart w:id="83" w:name="_Toc272500134"/>
      <w:proofErr w:type="gramStart"/>
      <w:r>
        <w:lastRenderedPageBreak/>
        <w:t xml:space="preserve">Table </w:t>
      </w:r>
      <w:r w:rsidR="003B73BB">
        <w:t>8</w:t>
      </w:r>
      <w:r>
        <w:t>: Submitted pharmacokinetic studies.</w:t>
      </w:r>
      <w:bookmarkEnd w:id="82"/>
      <w:bookmarkEnd w:id="83"/>
      <w:proofErr w:type="gramEnd"/>
    </w:p>
    <w:tbl>
      <w:tblPr>
        <w:tblStyle w:val="TableTGAblue"/>
        <w:tblW w:w="8613" w:type="dxa"/>
        <w:tblLayout w:type="fixed"/>
        <w:tblLook w:val="04A0" w:firstRow="1" w:lastRow="0" w:firstColumn="1" w:lastColumn="0" w:noHBand="0" w:noVBand="1"/>
      </w:tblPr>
      <w:tblGrid>
        <w:gridCol w:w="2802"/>
        <w:gridCol w:w="3969"/>
        <w:gridCol w:w="1275"/>
        <w:gridCol w:w="567"/>
      </w:tblGrid>
      <w:tr w:rsidR="003B73BB" w:rsidTr="00F95AEB">
        <w:trPr>
          <w:cnfStyle w:val="100000000000" w:firstRow="1" w:lastRow="0" w:firstColumn="0" w:lastColumn="0" w:oddVBand="0" w:evenVBand="0" w:oddHBand="0" w:evenHBand="0" w:firstRowFirstColumn="0" w:firstRowLastColumn="0" w:lastRowFirstColumn="0" w:lastRowLastColumn="0"/>
        </w:trPr>
        <w:tc>
          <w:tcPr>
            <w:tcW w:w="2802" w:type="dxa"/>
            <w:hideMark/>
          </w:tcPr>
          <w:p w:rsidR="003B73BB" w:rsidRPr="00BA1372" w:rsidRDefault="003B73BB" w:rsidP="00F95AEB">
            <w:pPr>
              <w:rPr>
                <w:b w:val="0"/>
              </w:rPr>
            </w:pPr>
            <w:r w:rsidRPr="00BA1372">
              <w:rPr>
                <w:b w:val="0"/>
              </w:rPr>
              <w:t>PK topic</w:t>
            </w:r>
          </w:p>
        </w:tc>
        <w:tc>
          <w:tcPr>
            <w:tcW w:w="3969" w:type="dxa"/>
            <w:hideMark/>
          </w:tcPr>
          <w:p w:rsidR="003B73BB" w:rsidRPr="00BA1372" w:rsidRDefault="003B73BB" w:rsidP="00F95AEB">
            <w:pPr>
              <w:rPr>
                <w:b w:val="0"/>
              </w:rPr>
            </w:pPr>
            <w:r w:rsidRPr="00BA1372">
              <w:rPr>
                <w:b w:val="0"/>
              </w:rPr>
              <w:t>Subtopic</w:t>
            </w:r>
          </w:p>
        </w:tc>
        <w:tc>
          <w:tcPr>
            <w:tcW w:w="1275" w:type="dxa"/>
            <w:hideMark/>
          </w:tcPr>
          <w:p w:rsidR="003B73BB" w:rsidRPr="00BA1372" w:rsidRDefault="003B73BB" w:rsidP="00F95AEB">
            <w:pPr>
              <w:rPr>
                <w:b w:val="0"/>
              </w:rPr>
            </w:pPr>
            <w:r w:rsidRPr="00BA1372">
              <w:rPr>
                <w:b w:val="0"/>
              </w:rPr>
              <w:t>Study ID</w:t>
            </w:r>
          </w:p>
        </w:tc>
        <w:tc>
          <w:tcPr>
            <w:tcW w:w="567" w:type="dxa"/>
            <w:hideMark/>
          </w:tcPr>
          <w:p w:rsidR="003B73BB" w:rsidRPr="00BA1372" w:rsidRDefault="003B73BB" w:rsidP="00F95AEB">
            <w:pPr>
              <w:rPr>
                <w:b w:val="0"/>
              </w:rPr>
            </w:pPr>
            <w:r w:rsidRPr="00BA1372">
              <w:rPr>
                <w:b w:val="0"/>
              </w:rPr>
              <w:t>*</w:t>
            </w:r>
          </w:p>
        </w:tc>
      </w:tr>
      <w:tr w:rsidR="003B73BB" w:rsidTr="00F95AEB">
        <w:tc>
          <w:tcPr>
            <w:tcW w:w="2802" w:type="dxa"/>
            <w:vMerge w:val="restart"/>
          </w:tcPr>
          <w:p w:rsidR="003B73BB" w:rsidRPr="00BA1372" w:rsidRDefault="003B73BB" w:rsidP="00F95AEB">
            <w:r w:rsidRPr="00BA1372">
              <w:t>PK in healthy adults</w:t>
            </w:r>
          </w:p>
        </w:tc>
        <w:tc>
          <w:tcPr>
            <w:tcW w:w="3969" w:type="dxa"/>
            <w:hideMark/>
          </w:tcPr>
          <w:p w:rsidR="003B73BB" w:rsidRPr="00BA1372" w:rsidRDefault="003B73BB" w:rsidP="00F95AEB">
            <w:r w:rsidRPr="00BA1372">
              <w:t>General PK</w:t>
            </w:r>
            <w:r w:rsidRPr="00BA1372">
              <w:tab/>
              <w:t>- Single dose</w:t>
            </w:r>
          </w:p>
        </w:tc>
        <w:tc>
          <w:tcPr>
            <w:tcW w:w="1275" w:type="dxa"/>
            <w:hideMark/>
          </w:tcPr>
          <w:p w:rsidR="003B73BB" w:rsidRPr="00BA1372" w:rsidRDefault="003B73BB" w:rsidP="00F95AEB">
            <w:r w:rsidRPr="00BA1372">
              <w:t>AI447-001</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vMerge w:val="restart"/>
            <w:hideMark/>
          </w:tcPr>
          <w:p w:rsidR="003B73BB" w:rsidRPr="00BA1372" w:rsidRDefault="000F1CA4" w:rsidP="00F95AEB">
            <w:r w:rsidRPr="00BA1372">
              <w:t xml:space="preserve">    </w:t>
            </w:r>
            <w:r w:rsidR="003B73BB" w:rsidRPr="00BA1372">
              <w:t>- Multi-dose</w:t>
            </w:r>
          </w:p>
        </w:tc>
        <w:tc>
          <w:tcPr>
            <w:tcW w:w="1275" w:type="dxa"/>
            <w:hideMark/>
          </w:tcPr>
          <w:p w:rsidR="003B73BB" w:rsidRPr="00BA1372" w:rsidRDefault="003B73BB" w:rsidP="00F95AEB">
            <w:r w:rsidRPr="00BA1372">
              <w:t>AI447-003</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vMerge/>
          </w:tcPr>
          <w:p w:rsidR="003B73BB" w:rsidRPr="00BA1372" w:rsidRDefault="003B73BB" w:rsidP="00F95AEB"/>
        </w:tc>
        <w:tc>
          <w:tcPr>
            <w:tcW w:w="1275" w:type="dxa"/>
            <w:hideMark/>
          </w:tcPr>
          <w:p w:rsidR="003B73BB" w:rsidRPr="00BA1372" w:rsidRDefault="003B73BB" w:rsidP="00F95AEB">
            <w:r w:rsidRPr="00BA1372">
              <w:t>AI447-005</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vMerge w:val="restart"/>
            <w:hideMark/>
          </w:tcPr>
          <w:p w:rsidR="003B73BB" w:rsidRPr="00BA1372" w:rsidRDefault="003B73BB" w:rsidP="00F95AEB">
            <w:r w:rsidRPr="00BA1372">
              <w:t>Bioequivalence† - Single dose</w:t>
            </w:r>
          </w:p>
        </w:tc>
        <w:tc>
          <w:tcPr>
            <w:tcW w:w="1275" w:type="dxa"/>
            <w:hideMark/>
          </w:tcPr>
          <w:p w:rsidR="003B73BB" w:rsidRPr="00BA1372" w:rsidRDefault="003B73BB" w:rsidP="00F95AEB">
            <w:r w:rsidRPr="00BA1372">
              <w:t>AI447-008</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vMerge/>
            <w:hideMark/>
          </w:tcPr>
          <w:p w:rsidR="003B73BB" w:rsidRPr="00BA1372" w:rsidRDefault="003B73BB" w:rsidP="00F95AEB"/>
        </w:tc>
        <w:tc>
          <w:tcPr>
            <w:tcW w:w="1275" w:type="dxa"/>
            <w:hideMark/>
          </w:tcPr>
          <w:p w:rsidR="003B73BB" w:rsidRPr="00BA1372" w:rsidRDefault="003B73BB" w:rsidP="00F95AEB">
            <w:r w:rsidRPr="00BA1372">
              <w:t>AI447-024</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Absolute bioavailability</w:t>
            </w:r>
          </w:p>
        </w:tc>
        <w:tc>
          <w:tcPr>
            <w:tcW w:w="1275" w:type="dxa"/>
            <w:hideMark/>
          </w:tcPr>
          <w:p w:rsidR="003B73BB" w:rsidRPr="00BA1372" w:rsidRDefault="003B73BB" w:rsidP="00F95AEB">
            <w:r w:rsidRPr="00BA1372">
              <w:t>AI447-027</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vMerge w:val="restart"/>
            <w:hideMark/>
          </w:tcPr>
          <w:p w:rsidR="003B73BB" w:rsidRPr="00BA1372" w:rsidRDefault="003B73BB" w:rsidP="00F95AEB">
            <w:r w:rsidRPr="00BA1372">
              <w:t>Food effect</w:t>
            </w:r>
          </w:p>
        </w:tc>
        <w:tc>
          <w:tcPr>
            <w:tcW w:w="1275" w:type="dxa"/>
            <w:hideMark/>
          </w:tcPr>
          <w:p w:rsidR="003B73BB" w:rsidRPr="00BA1372" w:rsidRDefault="003B73BB" w:rsidP="00F95AEB">
            <w:r w:rsidRPr="00BA1372">
              <w:t>AI447-024</w:t>
            </w:r>
          </w:p>
        </w:tc>
        <w:tc>
          <w:tcPr>
            <w:tcW w:w="567" w:type="dxa"/>
          </w:tcPr>
          <w:p w:rsidR="003B73BB" w:rsidRPr="00BA1372" w:rsidRDefault="003B73BB" w:rsidP="00F95AEB"/>
        </w:tc>
      </w:tr>
      <w:tr w:rsidR="003B73BB" w:rsidTr="00F95AEB">
        <w:tc>
          <w:tcPr>
            <w:tcW w:w="2802" w:type="dxa"/>
            <w:vMerge/>
            <w:hideMark/>
          </w:tcPr>
          <w:p w:rsidR="003B73BB" w:rsidRPr="00BA1372" w:rsidRDefault="003B73BB" w:rsidP="00F95AEB">
            <w:pPr>
              <w:rPr>
                <w:kern w:val="16"/>
              </w:rPr>
            </w:pPr>
          </w:p>
        </w:tc>
        <w:tc>
          <w:tcPr>
            <w:tcW w:w="3969" w:type="dxa"/>
            <w:vMerge/>
          </w:tcPr>
          <w:p w:rsidR="003B73BB" w:rsidRPr="00BA1372" w:rsidRDefault="003B73BB" w:rsidP="00F95AEB"/>
        </w:tc>
        <w:tc>
          <w:tcPr>
            <w:tcW w:w="1275" w:type="dxa"/>
            <w:hideMark/>
          </w:tcPr>
          <w:p w:rsidR="003B73BB" w:rsidRPr="00BA1372" w:rsidRDefault="003B73BB" w:rsidP="00F95AEB">
            <w:r w:rsidRPr="00BA1372">
              <w:t>AI447-043</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Mass balance</w:t>
            </w:r>
          </w:p>
        </w:tc>
        <w:tc>
          <w:tcPr>
            <w:tcW w:w="1275" w:type="dxa"/>
            <w:hideMark/>
          </w:tcPr>
          <w:p w:rsidR="003B73BB" w:rsidRPr="00BA1372" w:rsidRDefault="003B73BB" w:rsidP="00F95AEB">
            <w:r w:rsidRPr="00BA1372">
              <w:t>AI447-010</w:t>
            </w:r>
          </w:p>
        </w:tc>
        <w:tc>
          <w:tcPr>
            <w:tcW w:w="567" w:type="dxa"/>
            <w:hideMark/>
          </w:tcPr>
          <w:p w:rsidR="003B73BB" w:rsidRPr="00BA1372" w:rsidRDefault="003B73BB" w:rsidP="00F95AEB">
            <w:r w:rsidRPr="00BA1372">
              <w:t>*</w:t>
            </w:r>
          </w:p>
        </w:tc>
      </w:tr>
      <w:tr w:rsidR="003B73BB" w:rsidTr="00F95AEB">
        <w:tc>
          <w:tcPr>
            <w:tcW w:w="2802" w:type="dxa"/>
            <w:vMerge w:val="restart"/>
          </w:tcPr>
          <w:p w:rsidR="003B73BB" w:rsidRPr="00BA1372" w:rsidRDefault="003B73BB" w:rsidP="00F95AEB">
            <w:r w:rsidRPr="00BA1372">
              <w:t>PK in special populations</w:t>
            </w:r>
          </w:p>
        </w:tc>
        <w:tc>
          <w:tcPr>
            <w:tcW w:w="3969" w:type="dxa"/>
            <w:hideMark/>
          </w:tcPr>
          <w:p w:rsidR="003B73BB" w:rsidRPr="00BA1372" w:rsidRDefault="003B73BB" w:rsidP="00F95AEB">
            <w:r w:rsidRPr="00BA1372">
              <w:t>Target population</w:t>
            </w:r>
            <w:r w:rsidRPr="00BA1372">
              <w:tab/>
              <w:t>- Single dose</w:t>
            </w:r>
          </w:p>
        </w:tc>
        <w:tc>
          <w:tcPr>
            <w:tcW w:w="1275" w:type="dxa"/>
            <w:hideMark/>
          </w:tcPr>
          <w:p w:rsidR="003B73BB" w:rsidRPr="00BA1372" w:rsidRDefault="003B73BB" w:rsidP="00F95AEB">
            <w:r w:rsidRPr="00BA1372">
              <w:t>AI447-002</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ab/>
            </w:r>
            <w:r w:rsidRPr="00BA1372">
              <w:tab/>
            </w:r>
            <w:r w:rsidRPr="00BA1372">
              <w:tab/>
              <w:t>- Multi-dose</w:t>
            </w:r>
          </w:p>
        </w:tc>
        <w:tc>
          <w:tcPr>
            <w:tcW w:w="1275" w:type="dxa"/>
            <w:hideMark/>
          </w:tcPr>
          <w:p w:rsidR="003B73BB" w:rsidRPr="00BA1372" w:rsidRDefault="003B73BB" w:rsidP="00F95AEB">
            <w:r w:rsidRPr="00BA1372">
              <w:t>AI447-004</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Hepatic impairment</w:t>
            </w:r>
          </w:p>
        </w:tc>
        <w:tc>
          <w:tcPr>
            <w:tcW w:w="1275" w:type="dxa"/>
            <w:hideMark/>
          </w:tcPr>
          <w:p w:rsidR="003B73BB" w:rsidRPr="00BA1372" w:rsidRDefault="003B73BB" w:rsidP="00F95AEB">
            <w:r w:rsidRPr="00BA1372">
              <w:t>AI447-012</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Renal impairment</w:t>
            </w:r>
          </w:p>
        </w:tc>
        <w:tc>
          <w:tcPr>
            <w:tcW w:w="1275" w:type="dxa"/>
            <w:hideMark/>
          </w:tcPr>
          <w:p w:rsidR="003B73BB" w:rsidRPr="00BA1372" w:rsidRDefault="003B73BB" w:rsidP="00F95AEB">
            <w:r w:rsidRPr="00BA1372">
              <w:t>AI447-033</w:t>
            </w:r>
          </w:p>
        </w:tc>
        <w:tc>
          <w:tcPr>
            <w:tcW w:w="567" w:type="dxa"/>
            <w:hideMark/>
          </w:tcPr>
          <w:p w:rsidR="003B73BB" w:rsidRPr="00BA1372" w:rsidRDefault="003B73BB" w:rsidP="00F95AEB">
            <w:r w:rsidRPr="00BA1372">
              <w:t>*</w:t>
            </w:r>
          </w:p>
        </w:tc>
      </w:tr>
      <w:tr w:rsidR="003B73BB" w:rsidTr="00F95AEB">
        <w:tc>
          <w:tcPr>
            <w:tcW w:w="2802" w:type="dxa"/>
            <w:hideMark/>
          </w:tcPr>
          <w:p w:rsidR="003B73BB" w:rsidRPr="00BA1372" w:rsidRDefault="003B73BB" w:rsidP="00F95AEB">
            <w:r w:rsidRPr="00BA1372">
              <w:t>Genetic/gender-related PK</w:t>
            </w:r>
          </w:p>
        </w:tc>
        <w:tc>
          <w:tcPr>
            <w:tcW w:w="3969" w:type="dxa"/>
            <w:hideMark/>
          </w:tcPr>
          <w:p w:rsidR="003B73BB" w:rsidRPr="00BA1372" w:rsidRDefault="003B73BB" w:rsidP="00F95AEB">
            <w:r w:rsidRPr="00BA1372">
              <w:t xml:space="preserve">Caucasian </w:t>
            </w:r>
            <w:r w:rsidR="00EF24D1" w:rsidRPr="00BA1372">
              <w:t>versus</w:t>
            </w:r>
            <w:r w:rsidRPr="00BA1372">
              <w:t xml:space="preserve"> Chinese subjects</w:t>
            </w:r>
          </w:p>
        </w:tc>
        <w:tc>
          <w:tcPr>
            <w:tcW w:w="1275" w:type="dxa"/>
            <w:hideMark/>
          </w:tcPr>
          <w:p w:rsidR="003B73BB" w:rsidRPr="00BA1372" w:rsidRDefault="003B73BB" w:rsidP="00F95AEB">
            <w:r w:rsidRPr="00BA1372">
              <w:t>AI447-030</w:t>
            </w:r>
          </w:p>
        </w:tc>
        <w:tc>
          <w:tcPr>
            <w:tcW w:w="567" w:type="dxa"/>
            <w:hideMark/>
          </w:tcPr>
          <w:p w:rsidR="003B73BB" w:rsidRPr="00BA1372" w:rsidRDefault="003B73BB" w:rsidP="00F95AEB">
            <w:r w:rsidRPr="00BA1372">
              <w:t>*</w:t>
            </w:r>
          </w:p>
        </w:tc>
      </w:tr>
      <w:tr w:rsidR="003B73BB" w:rsidTr="00F95AEB">
        <w:tc>
          <w:tcPr>
            <w:tcW w:w="2802" w:type="dxa"/>
            <w:vMerge w:val="restart"/>
            <w:hideMark/>
          </w:tcPr>
          <w:p w:rsidR="003B73BB" w:rsidRPr="00BA1372" w:rsidRDefault="003B73BB" w:rsidP="00F95AEB">
            <w:r w:rsidRPr="00BA1372">
              <w:t>PK interactions (with ASV)</w:t>
            </w:r>
          </w:p>
        </w:tc>
        <w:tc>
          <w:tcPr>
            <w:tcW w:w="3969" w:type="dxa"/>
            <w:hideMark/>
          </w:tcPr>
          <w:p w:rsidR="003B73BB" w:rsidRPr="00BA1372" w:rsidRDefault="003B73BB" w:rsidP="00F95AEB">
            <w:r w:rsidRPr="00BA1372">
              <w:t>Midazolam</w:t>
            </w:r>
          </w:p>
        </w:tc>
        <w:tc>
          <w:tcPr>
            <w:tcW w:w="1275" w:type="dxa"/>
            <w:hideMark/>
          </w:tcPr>
          <w:p w:rsidR="003B73BB" w:rsidRPr="00BA1372" w:rsidRDefault="003B73BB" w:rsidP="00F95AEB">
            <w:r w:rsidRPr="00BA1372">
              <w:t>AI447-007</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Ketoconazole</w:t>
            </w:r>
          </w:p>
        </w:tc>
        <w:tc>
          <w:tcPr>
            <w:tcW w:w="1275" w:type="dxa"/>
            <w:hideMark/>
          </w:tcPr>
          <w:p w:rsidR="003B73BB" w:rsidRPr="00BA1372" w:rsidRDefault="003B73BB" w:rsidP="00F95AEB">
            <w:r w:rsidRPr="00BA1372">
              <w:t>AI447-014</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proofErr w:type="spellStart"/>
            <w:r w:rsidRPr="00BA1372">
              <w:t>Rosuvastatin</w:t>
            </w:r>
            <w:proofErr w:type="spellEnd"/>
          </w:p>
        </w:tc>
        <w:tc>
          <w:tcPr>
            <w:tcW w:w="1275" w:type="dxa"/>
            <w:hideMark/>
          </w:tcPr>
          <w:p w:rsidR="003B73BB" w:rsidRPr="00BA1372" w:rsidRDefault="003B73BB" w:rsidP="00F95AEB">
            <w:r w:rsidRPr="00BA1372">
              <w:t>AI447-</w:t>
            </w:r>
            <w:r w:rsidRPr="00BA1372">
              <w:lastRenderedPageBreak/>
              <w:t>015</w:t>
            </w:r>
          </w:p>
        </w:tc>
        <w:tc>
          <w:tcPr>
            <w:tcW w:w="567" w:type="dxa"/>
            <w:hideMark/>
          </w:tcPr>
          <w:p w:rsidR="003B73BB" w:rsidRPr="00BA1372" w:rsidRDefault="003B73BB" w:rsidP="00F95AEB">
            <w:r w:rsidRPr="00BA1372">
              <w:lastRenderedPageBreak/>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Rifampicin</w:t>
            </w:r>
          </w:p>
        </w:tc>
        <w:tc>
          <w:tcPr>
            <w:tcW w:w="1275" w:type="dxa"/>
            <w:hideMark/>
          </w:tcPr>
          <w:p w:rsidR="003B73BB" w:rsidRPr="00BA1372" w:rsidRDefault="003B73BB" w:rsidP="00F95AEB">
            <w:r w:rsidRPr="00BA1372">
              <w:t>AI447-018</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proofErr w:type="spellStart"/>
            <w:r w:rsidRPr="00BA1372">
              <w:t>Norgestimate</w:t>
            </w:r>
            <w:proofErr w:type="spellEnd"/>
            <w:r w:rsidRPr="00BA1372">
              <w:t xml:space="preserve"> and </w:t>
            </w:r>
            <w:proofErr w:type="spellStart"/>
            <w:r w:rsidRPr="00BA1372">
              <w:t>Ethinyl</w:t>
            </w:r>
            <w:proofErr w:type="spellEnd"/>
            <w:r w:rsidRPr="00BA1372">
              <w:t xml:space="preserve"> oestradiol</w:t>
            </w:r>
          </w:p>
        </w:tc>
        <w:tc>
          <w:tcPr>
            <w:tcW w:w="1275" w:type="dxa"/>
            <w:hideMark/>
          </w:tcPr>
          <w:p w:rsidR="003B73BB" w:rsidRPr="00BA1372" w:rsidRDefault="003B73BB" w:rsidP="00F95AEB">
            <w:r w:rsidRPr="00BA1372">
              <w:t>AI447-019</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Metabolic probe cocktail</w:t>
            </w:r>
          </w:p>
        </w:tc>
        <w:tc>
          <w:tcPr>
            <w:tcW w:w="1275" w:type="dxa"/>
            <w:hideMark/>
          </w:tcPr>
          <w:p w:rsidR="003B73BB" w:rsidRPr="00BA1372" w:rsidRDefault="003B73BB" w:rsidP="00F95AEB">
            <w:r w:rsidRPr="00BA1372">
              <w:t>AI447-020</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Digoxin</w:t>
            </w:r>
          </w:p>
        </w:tc>
        <w:tc>
          <w:tcPr>
            <w:tcW w:w="1275" w:type="dxa"/>
            <w:hideMark/>
          </w:tcPr>
          <w:p w:rsidR="003B73BB" w:rsidRPr="00BA1372" w:rsidRDefault="003B73BB" w:rsidP="00F95AEB">
            <w:r w:rsidRPr="00BA1372">
              <w:t>AI447-021</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proofErr w:type="spellStart"/>
            <w:r w:rsidRPr="00BA1372">
              <w:t>Escitalopram</w:t>
            </w:r>
            <w:proofErr w:type="spellEnd"/>
            <w:r w:rsidRPr="00BA1372">
              <w:t xml:space="preserve"> and Sertraline</w:t>
            </w:r>
          </w:p>
        </w:tc>
        <w:tc>
          <w:tcPr>
            <w:tcW w:w="1275" w:type="dxa"/>
            <w:hideMark/>
          </w:tcPr>
          <w:p w:rsidR="003B73BB" w:rsidRPr="00BA1372" w:rsidRDefault="003B73BB" w:rsidP="00F95AEB">
            <w:r w:rsidRPr="00BA1372">
              <w:t>AI447-032</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Methadone</w:t>
            </w:r>
          </w:p>
        </w:tc>
        <w:tc>
          <w:tcPr>
            <w:tcW w:w="1275" w:type="dxa"/>
            <w:hideMark/>
          </w:tcPr>
          <w:p w:rsidR="003B73BB" w:rsidRPr="00BA1372" w:rsidRDefault="003B73BB" w:rsidP="00F95AEB">
            <w:r w:rsidRPr="00BA1372">
              <w:t>AI447-038</w:t>
            </w:r>
          </w:p>
        </w:tc>
        <w:tc>
          <w:tcPr>
            <w:tcW w:w="567" w:type="dxa"/>
            <w:hideMark/>
          </w:tcPr>
          <w:p w:rsidR="003B73BB" w:rsidRPr="00BA1372" w:rsidRDefault="003B73BB" w:rsidP="00F95AEB">
            <w:r w:rsidRPr="00BA1372">
              <w:t>*</w:t>
            </w:r>
          </w:p>
        </w:tc>
      </w:tr>
      <w:tr w:rsidR="003B73BB" w:rsidTr="00F95AEB">
        <w:tc>
          <w:tcPr>
            <w:tcW w:w="2802" w:type="dxa"/>
            <w:vMerge w:val="restart"/>
            <w:hideMark/>
          </w:tcPr>
          <w:p w:rsidR="003B73BB" w:rsidRPr="00BA1372" w:rsidRDefault="003B73BB" w:rsidP="00F95AEB">
            <w:r w:rsidRPr="00BA1372">
              <w:t>Population PK analyses</w:t>
            </w:r>
          </w:p>
        </w:tc>
        <w:tc>
          <w:tcPr>
            <w:tcW w:w="3969" w:type="dxa"/>
            <w:hideMark/>
          </w:tcPr>
          <w:p w:rsidR="003B73BB" w:rsidRPr="00BA1372" w:rsidRDefault="003B73BB" w:rsidP="00F95AEB">
            <w:r w:rsidRPr="00BA1372">
              <w:t>Population PK (ASV)</w:t>
            </w:r>
          </w:p>
        </w:tc>
        <w:tc>
          <w:tcPr>
            <w:tcW w:w="1275" w:type="dxa"/>
            <w:hideMark/>
          </w:tcPr>
          <w:p w:rsidR="003B73BB" w:rsidRPr="00BA1372" w:rsidRDefault="003B73BB" w:rsidP="00F95AEB">
            <w:r w:rsidRPr="00BA1372">
              <w:t xml:space="preserve"> -</w:t>
            </w:r>
          </w:p>
        </w:tc>
        <w:tc>
          <w:tcPr>
            <w:tcW w:w="567" w:type="dxa"/>
            <w:hideMark/>
          </w:tcPr>
          <w:p w:rsidR="003B73BB" w:rsidRPr="00BA1372" w:rsidRDefault="003B73BB" w:rsidP="00F95AEB">
            <w:r w:rsidRPr="00BA1372">
              <w:t>*</w:t>
            </w:r>
          </w:p>
        </w:tc>
      </w:tr>
      <w:tr w:rsidR="003B73BB" w:rsidTr="00F95AEB">
        <w:tc>
          <w:tcPr>
            <w:tcW w:w="2802" w:type="dxa"/>
            <w:vMerge/>
            <w:hideMark/>
          </w:tcPr>
          <w:p w:rsidR="003B73BB" w:rsidRPr="00BA1372" w:rsidRDefault="003B73BB" w:rsidP="00F95AEB">
            <w:pPr>
              <w:rPr>
                <w:kern w:val="16"/>
              </w:rPr>
            </w:pPr>
          </w:p>
        </w:tc>
        <w:tc>
          <w:tcPr>
            <w:tcW w:w="3969" w:type="dxa"/>
            <w:hideMark/>
          </w:tcPr>
          <w:p w:rsidR="003B73BB" w:rsidRPr="00BA1372" w:rsidRDefault="003B73BB" w:rsidP="00F95AEB">
            <w:r w:rsidRPr="00BA1372">
              <w:t>Exposure-response for efficacy and safety (DCV+ASV)</w:t>
            </w:r>
          </w:p>
        </w:tc>
        <w:tc>
          <w:tcPr>
            <w:tcW w:w="1275" w:type="dxa"/>
            <w:hideMark/>
          </w:tcPr>
          <w:p w:rsidR="003B73BB" w:rsidRPr="00BA1372" w:rsidRDefault="003B73BB" w:rsidP="00F95AEB">
            <w:r w:rsidRPr="00BA1372">
              <w:t xml:space="preserve"> -</w:t>
            </w:r>
          </w:p>
        </w:tc>
        <w:tc>
          <w:tcPr>
            <w:tcW w:w="567" w:type="dxa"/>
            <w:hideMark/>
          </w:tcPr>
          <w:p w:rsidR="003B73BB" w:rsidRPr="00BA1372" w:rsidRDefault="003B73BB" w:rsidP="00F95AEB">
            <w:r w:rsidRPr="00BA1372">
              <w:t>*</w:t>
            </w:r>
          </w:p>
        </w:tc>
      </w:tr>
    </w:tbl>
    <w:p w:rsidR="00C21B0F" w:rsidRDefault="00C21B0F" w:rsidP="00F95AEB">
      <w:pPr>
        <w:pStyle w:val="TableDescription"/>
      </w:pPr>
      <w:r>
        <w:t>* Indicates the primary aim of the study.</w:t>
      </w:r>
      <w:r w:rsidR="003B73BB">
        <w:t xml:space="preserve"> </w:t>
      </w:r>
      <w:r>
        <w:t>† Bioequivalence of different formulations.</w:t>
      </w:r>
      <w:r w:rsidR="003B73BB">
        <w:t xml:space="preserve"> </w:t>
      </w:r>
      <w:r>
        <w:t>§ Subjects who would be eligible to receive the drug if approved for the proposed indication.</w:t>
      </w:r>
    </w:p>
    <w:p w:rsidR="00C60B78" w:rsidRDefault="00C21B0F" w:rsidP="00C21B0F">
      <w:r>
        <w:t xml:space="preserve">None of these PK studies had deficiencies that excluded their results from consideration. The </w:t>
      </w:r>
      <w:r w:rsidRPr="00E630B8">
        <w:t>submission included some other early phase studies which have not been reviewed in this report. These studies have been reviewed and summarised as part of the clinical evaluation of early phase studies for DCV.</w:t>
      </w:r>
      <w:r w:rsidR="00E630B8" w:rsidRPr="00E630B8">
        <w:rPr>
          <w:rStyle w:val="FootnoteReference"/>
        </w:rPr>
        <w:footnoteReference w:id="26"/>
      </w:r>
      <w:r w:rsidRPr="00E630B8">
        <w:t xml:space="preserve"> These studies</w:t>
      </w:r>
      <w:r>
        <w:t xml:space="preserve"> are listed in </w:t>
      </w:r>
      <w:r w:rsidR="003B73BB">
        <w:t>Table 9.</w:t>
      </w:r>
    </w:p>
    <w:p w:rsidR="00C21B0F" w:rsidRDefault="00C21B0F" w:rsidP="003B73BB">
      <w:pPr>
        <w:pStyle w:val="TableTitle"/>
      </w:pPr>
      <w:bookmarkStart w:id="84" w:name="_Toc401831780"/>
      <w:bookmarkStart w:id="85" w:name="_Toc272500135"/>
      <w:r>
        <w:t>Table</w:t>
      </w:r>
      <w:r w:rsidR="003B4380">
        <w:t xml:space="preserve"> 9</w:t>
      </w:r>
      <w:r>
        <w:t>: Pharmacokinetic studies submitted but not reviewed in this report.</w:t>
      </w:r>
      <w:bookmarkEnd w:id="84"/>
      <w:bookmarkEnd w:id="85"/>
    </w:p>
    <w:tbl>
      <w:tblPr>
        <w:tblStyle w:val="TableTGAblue"/>
        <w:tblW w:w="8505" w:type="dxa"/>
        <w:tblLayout w:type="fixed"/>
        <w:tblLook w:val="04A0" w:firstRow="1" w:lastRow="0" w:firstColumn="1" w:lastColumn="0" w:noHBand="0" w:noVBand="1"/>
      </w:tblPr>
      <w:tblGrid>
        <w:gridCol w:w="2127"/>
        <w:gridCol w:w="6378"/>
      </w:tblGrid>
      <w:tr w:rsidR="003B73BB" w:rsidTr="00F95AEB">
        <w:trPr>
          <w:cnfStyle w:val="100000000000" w:firstRow="1" w:lastRow="0" w:firstColumn="0" w:lastColumn="0" w:oddVBand="0" w:evenVBand="0" w:oddHBand="0" w:evenHBand="0" w:firstRowFirstColumn="0" w:firstRowLastColumn="0" w:lastRowFirstColumn="0" w:lastRowLastColumn="0"/>
        </w:trPr>
        <w:tc>
          <w:tcPr>
            <w:tcW w:w="2127" w:type="dxa"/>
            <w:hideMark/>
          </w:tcPr>
          <w:p w:rsidR="003B73BB" w:rsidRPr="00BA1372" w:rsidRDefault="003B73BB" w:rsidP="00F95AEB">
            <w:pPr>
              <w:rPr>
                <w:b w:val="0"/>
                <w:kern w:val="16"/>
              </w:rPr>
            </w:pPr>
            <w:r w:rsidRPr="00BA1372">
              <w:rPr>
                <w:b w:val="0"/>
              </w:rPr>
              <w:t>Study ID</w:t>
            </w:r>
          </w:p>
        </w:tc>
        <w:tc>
          <w:tcPr>
            <w:tcW w:w="6378" w:type="dxa"/>
            <w:hideMark/>
          </w:tcPr>
          <w:p w:rsidR="003B73BB" w:rsidRPr="00BA1372" w:rsidRDefault="003B73BB" w:rsidP="00F95AEB">
            <w:pPr>
              <w:rPr>
                <w:b w:val="0"/>
                <w:kern w:val="16"/>
              </w:rPr>
            </w:pPr>
            <w:r w:rsidRPr="00BA1372">
              <w:rPr>
                <w:b w:val="0"/>
              </w:rPr>
              <w:t>Subtopic(s)</w:t>
            </w:r>
          </w:p>
        </w:tc>
      </w:tr>
      <w:tr w:rsidR="003B73BB" w:rsidTr="00F95AEB">
        <w:tc>
          <w:tcPr>
            <w:tcW w:w="2127" w:type="dxa"/>
            <w:hideMark/>
          </w:tcPr>
          <w:p w:rsidR="003B73BB" w:rsidRPr="00BA1372" w:rsidRDefault="003B73BB" w:rsidP="00F95AEB">
            <w:pPr>
              <w:rPr>
                <w:kern w:val="16"/>
              </w:rPr>
            </w:pPr>
            <w:r w:rsidRPr="00BA1372">
              <w:t>AI444-003</w:t>
            </w:r>
          </w:p>
        </w:tc>
        <w:tc>
          <w:tcPr>
            <w:tcW w:w="6378" w:type="dxa"/>
            <w:hideMark/>
          </w:tcPr>
          <w:p w:rsidR="003B73BB" w:rsidRPr="00BA1372" w:rsidRDefault="003B73BB" w:rsidP="00F95AEB">
            <w:pPr>
              <w:rPr>
                <w:kern w:val="16"/>
              </w:rPr>
            </w:pPr>
            <w:r w:rsidRPr="00BA1372">
              <w:t>Multiple dosing of DCV in healthy subjects</w:t>
            </w:r>
          </w:p>
        </w:tc>
      </w:tr>
      <w:tr w:rsidR="003B73BB" w:rsidTr="00F95AEB">
        <w:tc>
          <w:tcPr>
            <w:tcW w:w="2127" w:type="dxa"/>
            <w:hideMark/>
          </w:tcPr>
          <w:p w:rsidR="003B73BB" w:rsidRPr="00BA1372" w:rsidRDefault="003B73BB" w:rsidP="00F95AEB">
            <w:pPr>
              <w:rPr>
                <w:kern w:val="16"/>
              </w:rPr>
            </w:pPr>
            <w:r w:rsidRPr="00BA1372">
              <w:t>AI444-012</w:t>
            </w:r>
          </w:p>
        </w:tc>
        <w:tc>
          <w:tcPr>
            <w:tcW w:w="6378" w:type="dxa"/>
            <w:hideMark/>
          </w:tcPr>
          <w:p w:rsidR="003B73BB" w:rsidRPr="00BA1372" w:rsidRDefault="003B73BB" w:rsidP="00F95AEB">
            <w:pPr>
              <w:rPr>
                <w:kern w:val="16"/>
              </w:rPr>
            </w:pPr>
            <w:r w:rsidRPr="00BA1372">
              <w:t>Interaction study between DCV and rifampicin</w:t>
            </w:r>
          </w:p>
        </w:tc>
      </w:tr>
      <w:tr w:rsidR="003B73BB" w:rsidTr="00F95AEB">
        <w:tc>
          <w:tcPr>
            <w:tcW w:w="2127" w:type="dxa"/>
            <w:hideMark/>
          </w:tcPr>
          <w:p w:rsidR="003B73BB" w:rsidRPr="00BA1372" w:rsidRDefault="003B73BB" w:rsidP="00F95AEB">
            <w:pPr>
              <w:rPr>
                <w:kern w:val="16"/>
              </w:rPr>
            </w:pPr>
            <w:r w:rsidRPr="00BA1372">
              <w:t>AI447-009</w:t>
            </w:r>
          </w:p>
        </w:tc>
        <w:tc>
          <w:tcPr>
            <w:tcW w:w="6378" w:type="dxa"/>
            <w:hideMark/>
          </w:tcPr>
          <w:p w:rsidR="003B73BB" w:rsidRPr="00BA1372" w:rsidRDefault="003B73BB" w:rsidP="00F95AEB">
            <w:pPr>
              <w:rPr>
                <w:kern w:val="16"/>
              </w:rPr>
            </w:pPr>
            <w:r w:rsidRPr="00BA1372">
              <w:t>Interaction study between ASV and DCV</w:t>
            </w:r>
          </w:p>
        </w:tc>
      </w:tr>
      <w:tr w:rsidR="003B73BB" w:rsidTr="00F95AEB">
        <w:tc>
          <w:tcPr>
            <w:tcW w:w="2127" w:type="dxa"/>
            <w:hideMark/>
          </w:tcPr>
          <w:p w:rsidR="003B73BB" w:rsidRPr="00BA1372" w:rsidRDefault="003B73BB" w:rsidP="00F95AEB">
            <w:pPr>
              <w:rPr>
                <w:kern w:val="16"/>
              </w:rPr>
            </w:pPr>
            <w:r w:rsidRPr="00BA1372">
              <w:t>AI447-039</w:t>
            </w:r>
          </w:p>
        </w:tc>
        <w:tc>
          <w:tcPr>
            <w:tcW w:w="6378" w:type="dxa"/>
            <w:hideMark/>
          </w:tcPr>
          <w:p w:rsidR="003B73BB" w:rsidRPr="00BA1372" w:rsidRDefault="003B73BB" w:rsidP="00F95AEB">
            <w:pPr>
              <w:rPr>
                <w:kern w:val="16"/>
              </w:rPr>
            </w:pPr>
            <w:r w:rsidRPr="00BA1372">
              <w:t>Interaction study between AS+DCV combination and oral contraceptive</w:t>
            </w:r>
          </w:p>
        </w:tc>
      </w:tr>
      <w:tr w:rsidR="003B73BB" w:rsidTr="00F95AEB">
        <w:tc>
          <w:tcPr>
            <w:tcW w:w="2127" w:type="dxa"/>
            <w:hideMark/>
          </w:tcPr>
          <w:p w:rsidR="003B73BB" w:rsidRPr="00BA1372" w:rsidRDefault="003B73BB" w:rsidP="00F95AEB">
            <w:pPr>
              <w:rPr>
                <w:kern w:val="16"/>
              </w:rPr>
            </w:pPr>
            <w:r w:rsidRPr="00BA1372">
              <w:t>AI447-040</w:t>
            </w:r>
          </w:p>
        </w:tc>
        <w:tc>
          <w:tcPr>
            <w:tcW w:w="6378" w:type="dxa"/>
            <w:hideMark/>
          </w:tcPr>
          <w:p w:rsidR="003B73BB" w:rsidRPr="00BA1372" w:rsidRDefault="003B73BB" w:rsidP="00F95AEB">
            <w:pPr>
              <w:rPr>
                <w:kern w:val="16"/>
              </w:rPr>
            </w:pPr>
            <w:r w:rsidRPr="00BA1372">
              <w:t>Interaction study between AS+DCV combination and digoxin</w:t>
            </w:r>
          </w:p>
        </w:tc>
      </w:tr>
      <w:tr w:rsidR="003B73BB" w:rsidTr="00F95AEB">
        <w:tc>
          <w:tcPr>
            <w:tcW w:w="2127" w:type="dxa"/>
            <w:hideMark/>
          </w:tcPr>
          <w:p w:rsidR="003B73BB" w:rsidRPr="00BA1372" w:rsidRDefault="003B73BB" w:rsidP="00F95AEB">
            <w:pPr>
              <w:rPr>
                <w:kern w:val="16"/>
              </w:rPr>
            </w:pPr>
            <w:r w:rsidRPr="00BA1372">
              <w:t>930077408</w:t>
            </w:r>
          </w:p>
        </w:tc>
        <w:tc>
          <w:tcPr>
            <w:tcW w:w="6378" w:type="dxa"/>
            <w:hideMark/>
          </w:tcPr>
          <w:p w:rsidR="003B73BB" w:rsidRPr="00BA1372" w:rsidRDefault="003B73BB" w:rsidP="00F95AEB">
            <w:pPr>
              <w:rPr>
                <w:kern w:val="16"/>
              </w:rPr>
            </w:pPr>
            <w:r w:rsidRPr="00BA1372">
              <w:t>Exposure-response analysis for efficacy for AS+DCV combination</w:t>
            </w:r>
          </w:p>
        </w:tc>
      </w:tr>
      <w:tr w:rsidR="003B73BB" w:rsidTr="00F95AEB">
        <w:tc>
          <w:tcPr>
            <w:tcW w:w="2127" w:type="dxa"/>
            <w:hideMark/>
          </w:tcPr>
          <w:p w:rsidR="003B73BB" w:rsidRPr="00BA1372" w:rsidRDefault="003B73BB" w:rsidP="00F95AEB">
            <w:pPr>
              <w:rPr>
                <w:kern w:val="16"/>
              </w:rPr>
            </w:pPr>
            <w:r w:rsidRPr="00BA1372">
              <w:lastRenderedPageBreak/>
              <w:t>930077407</w:t>
            </w:r>
          </w:p>
        </w:tc>
        <w:tc>
          <w:tcPr>
            <w:tcW w:w="6378" w:type="dxa"/>
            <w:hideMark/>
          </w:tcPr>
          <w:p w:rsidR="003B73BB" w:rsidRPr="00BA1372" w:rsidRDefault="003B73BB" w:rsidP="00F95AEB">
            <w:pPr>
              <w:rPr>
                <w:kern w:val="16"/>
              </w:rPr>
            </w:pPr>
            <w:r w:rsidRPr="00BA1372">
              <w:t>Exposure-response analysis for safety for AS+DCV combination</w:t>
            </w:r>
          </w:p>
        </w:tc>
      </w:tr>
    </w:tbl>
    <w:p w:rsidR="00605AD4" w:rsidRDefault="00605AD4" w:rsidP="00605AD4">
      <w:pPr>
        <w:pStyle w:val="Heading4"/>
      </w:pPr>
      <w:r>
        <w:t>Evaluator’s conclusions on pharmacokinetics</w:t>
      </w:r>
    </w:p>
    <w:p w:rsidR="00C21B0F" w:rsidRDefault="00C21B0F" w:rsidP="00C21B0F">
      <w:r>
        <w:t>The early phase clinical studies have provided sufficient data to adequately describe the PK of ASV. The requirements outlined in the relevant E</w:t>
      </w:r>
      <w:r w:rsidR="003B73BB">
        <w:t>U</w:t>
      </w:r>
      <w:r>
        <w:t xml:space="preserve"> guidelines adopted by the TGA have generally been met. In particular, an extensive program of interaction studies has been conducted, as required by the guideline on </w:t>
      </w:r>
      <w:r w:rsidRPr="00D72688">
        <w:t>DAAs for HCV infection</w:t>
      </w:r>
      <w:r w:rsidR="00D72688" w:rsidRPr="00D72688">
        <w:t>.</w:t>
      </w:r>
      <w:r w:rsidR="00D72688" w:rsidRPr="00D72688">
        <w:rPr>
          <w:rStyle w:val="FootnoteReference"/>
        </w:rPr>
        <w:footnoteReference w:id="27"/>
      </w:r>
    </w:p>
    <w:p w:rsidR="008E7846" w:rsidRDefault="008E7846" w:rsidP="008E7846">
      <w:pPr>
        <w:pStyle w:val="Heading3"/>
      </w:pPr>
      <w:bookmarkStart w:id="86" w:name="_Toc196046481"/>
      <w:bookmarkStart w:id="87" w:name="_Toc247691520"/>
      <w:bookmarkStart w:id="88" w:name="_Toc314842503"/>
      <w:bookmarkStart w:id="89" w:name="_Toc438125711"/>
      <w:r w:rsidRPr="00254787">
        <w:t>Pharmacodynamics</w:t>
      </w:r>
      <w:bookmarkEnd w:id="69"/>
      <w:bookmarkEnd w:id="86"/>
      <w:bookmarkEnd w:id="87"/>
      <w:bookmarkEnd w:id="88"/>
      <w:bookmarkEnd w:id="89"/>
    </w:p>
    <w:p w:rsidR="00605AD4" w:rsidRDefault="00605AD4" w:rsidP="003B73BB">
      <w:pPr>
        <w:pStyle w:val="Heading4"/>
      </w:pPr>
      <w:r>
        <w:t xml:space="preserve">Studies providing </w:t>
      </w:r>
      <w:proofErr w:type="spellStart"/>
      <w:r>
        <w:t>pharmacodynamic</w:t>
      </w:r>
      <w:proofErr w:type="spellEnd"/>
      <w:r>
        <w:t xml:space="preserve"> </w:t>
      </w:r>
      <w:r w:rsidRPr="003B73BB">
        <w:t>data</w:t>
      </w:r>
    </w:p>
    <w:p w:rsidR="00E8193F" w:rsidRDefault="003B73BB" w:rsidP="00E8193F">
      <w:r>
        <w:t xml:space="preserve">Table 10 </w:t>
      </w:r>
      <w:r w:rsidR="00E8193F">
        <w:t xml:space="preserve">shows the studies relating to each </w:t>
      </w:r>
      <w:proofErr w:type="spellStart"/>
      <w:r w:rsidR="004C5D5E">
        <w:t>pharmacodynamic</w:t>
      </w:r>
      <w:proofErr w:type="spellEnd"/>
      <w:r w:rsidR="004C5D5E">
        <w:t xml:space="preserve"> (PD) topic</w:t>
      </w:r>
      <w:r w:rsidR="00E8193F">
        <w:t>.</w:t>
      </w:r>
    </w:p>
    <w:p w:rsidR="00E8193F" w:rsidRDefault="00E8193F" w:rsidP="003B73BB">
      <w:pPr>
        <w:pStyle w:val="TableTitle"/>
      </w:pPr>
      <w:bookmarkStart w:id="90" w:name="_Toc401831781"/>
      <w:bookmarkStart w:id="91" w:name="_Toc272500136"/>
      <w:proofErr w:type="gramStart"/>
      <w:r>
        <w:t xml:space="preserve">Table </w:t>
      </w:r>
      <w:r w:rsidR="003B73BB">
        <w:t>10</w:t>
      </w:r>
      <w:r>
        <w:t xml:space="preserve">: Submitted </w:t>
      </w:r>
      <w:proofErr w:type="spellStart"/>
      <w:r>
        <w:t>pharmacodynamic</w:t>
      </w:r>
      <w:proofErr w:type="spellEnd"/>
      <w:r>
        <w:t xml:space="preserve"> studies.</w:t>
      </w:r>
      <w:bookmarkEnd w:id="90"/>
      <w:bookmarkEnd w:id="91"/>
      <w:proofErr w:type="gramEnd"/>
    </w:p>
    <w:tbl>
      <w:tblPr>
        <w:tblStyle w:val="TableTGAblue"/>
        <w:tblW w:w="8613" w:type="dxa"/>
        <w:tblLayout w:type="fixed"/>
        <w:tblLook w:val="04A0" w:firstRow="1" w:lastRow="0" w:firstColumn="1" w:lastColumn="0" w:noHBand="0" w:noVBand="1"/>
      </w:tblPr>
      <w:tblGrid>
        <w:gridCol w:w="3510"/>
        <w:gridCol w:w="2268"/>
        <w:gridCol w:w="1701"/>
        <w:gridCol w:w="1134"/>
      </w:tblGrid>
      <w:tr w:rsidR="003B73BB" w:rsidTr="00F95AEB">
        <w:trPr>
          <w:cnfStyle w:val="100000000000" w:firstRow="1" w:lastRow="0" w:firstColumn="0" w:lastColumn="0" w:oddVBand="0" w:evenVBand="0" w:oddHBand="0" w:evenHBand="0" w:firstRowFirstColumn="0" w:firstRowLastColumn="0" w:lastRowFirstColumn="0" w:lastRowLastColumn="0"/>
        </w:trPr>
        <w:tc>
          <w:tcPr>
            <w:tcW w:w="3510" w:type="dxa"/>
            <w:hideMark/>
          </w:tcPr>
          <w:p w:rsidR="003B73BB" w:rsidRPr="00BA1372" w:rsidRDefault="003B73BB" w:rsidP="00F95AEB">
            <w:pPr>
              <w:rPr>
                <w:b w:val="0"/>
              </w:rPr>
            </w:pPr>
            <w:r w:rsidRPr="00BA1372">
              <w:rPr>
                <w:b w:val="0"/>
              </w:rPr>
              <w:t>PD Topic</w:t>
            </w:r>
          </w:p>
        </w:tc>
        <w:tc>
          <w:tcPr>
            <w:tcW w:w="2268" w:type="dxa"/>
            <w:hideMark/>
          </w:tcPr>
          <w:p w:rsidR="003B73BB" w:rsidRPr="00BA1372" w:rsidRDefault="003B73BB" w:rsidP="00F95AEB">
            <w:pPr>
              <w:rPr>
                <w:b w:val="0"/>
              </w:rPr>
            </w:pPr>
            <w:r w:rsidRPr="00BA1372">
              <w:rPr>
                <w:b w:val="0"/>
              </w:rPr>
              <w:t>Subtopic</w:t>
            </w:r>
          </w:p>
        </w:tc>
        <w:tc>
          <w:tcPr>
            <w:tcW w:w="1701" w:type="dxa"/>
            <w:hideMark/>
          </w:tcPr>
          <w:p w:rsidR="003B73BB" w:rsidRPr="00BA1372" w:rsidRDefault="003B73BB" w:rsidP="00F95AEB">
            <w:pPr>
              <w:rPr>
                <w:b w:val="0"/>
              </w:rPr>
            </w:pPr>
            <w:r w:rsidRPr="00BA1372">
              <w:rPr>
                <w:b w:val="0"/>
              </w:rPr>
              <w:t>Study ID</w:t>
            </w:r>
          </w:p>
        </w:tc>
        <w:tc>
          <w:tcPr>
            <w:tcW w:w="1134" w:type="dxa"/>
            <w:hideMark/>
          </w:tcPr>
          <w:p w:rsidR="003B73BB" w:rsidRPr="00BA1372" w:rsidRDefault="003B73BB" w:rsidP="00F95AEB">
            <w:pPr>
              <w:rPr>
                <w:b w:val="0"/>
              </w:rPr>
            </w:pPr>
            <w:r w:rsidRPr="00BA1372">
              <w:rPr>
                <w:b w:val="0"/>
              </w:rPr>
              <w:t>*</w:t>
            </w:r>
          </w:p>
        </w:tc>
      </w:tr>
      <w:tr w:rsidR="003B73BB" w:rsidTr="00F95AEB">
        <w:tc>
          <w:tcPr>
            <w:tcW w:w="3510" w:type="dxa"/>
            <w:vMerge w:val="restart"/>
            <w:hideMark/>
          </w:tcPr>
          <w:p w:rsidR="003B73BB" w:rsidRPr="00F95AEB" w:rsidRDefault="003B73BB" w:rsidP="00F95AEB">
            <w:pPr>
              <w:rPr>
                <w:b/>
              </w:rPr>
            </w:pPr>
            <w:r w:rsidRPr="00F95AEB">
              <w:rPr>
                <w:b/>
              </w:rPr>
              <w:t>Primary Pharmacology</w:t>
            </w:r>
          </w:p>
        </w:tc>
        <w:tc>
          <w:tcPr>
            <w:tcW w:w="2268" w:type="dxa"/>
            <w:hideMark/>
          </w:tcPr>
          <w:p w:rsidR="003B73BB" w:rsidRPr="00BA1372" w:rsidRDefault="003B73BB" w:rsidP="00F95AEB">
            <w:r w:rsidRPr="00BA1372">
              <w:t>Effect on HCV viral load</w:t>
            </w:r>
          </w:p>
        </w:tc>
        <w:tc>
          <w:tcPr>
            <w:tcW w:w="1701" w:type="dxa"/>
            <w:hideMark/>
          </w:tcPr>
          <w:p w:rsidR="003B73BB" w:rsidRPr="00BA1372" w:rsidRDefault="003B73BB" w:rsidP="00F95AEB">
            <w:r w:rsidRPr="00BA1372">
              <w:t>AI447-002</w:t>
            </w:r>
          </w:p>
        </w:tc>
        <w:tc>
          <w:tcPr>
            <w:tcW w:w="1134" w:type="dxa"/>
            <w:hideMark/>
          </w:tcPr>
          <w:p w:rsidR="003B73BB" w:rsidRPr="00BA1372" w:rsidRDefault="003B73BB" w:rsidP="00F95AEB">
            <w:r w:rsidRPr="00BA1372">
              <w:t>*</w:t>
            </w:r>
          </w:p>
        </w:tc>
      </w:tr>
      <w:tr w:rsidR="003B73BB" w:rsidTr="00F95AEB">
        <w:tc>
          <w:tcPr>
            <w:tcW w:w="3510" w:type="dxa"/>
            <w:vMerge/>
            <w:hideMark/>
          </w:tcPr>
          <w:p w:rsidR="003B73BB" w:rsidRPr="00F95AEB" w:rsidRDefault="003B73BB" w:rsidP="00F95AEB">
            <w:pPr>
              <w:rPr>
                <w:b/>
                <w:kern w:val="16"/>
              </w:rPr>
            </w:pPr>
          </w:p>
        </w:tc>
        <w:tc>
          <w:tcPr>
            <w:tcW w:w="2268" w:type="dxa"/>
          </w:tcPr>
          <w:p w:rsidR="003B73BB" w:rsidRPr="00BA1372" w:rsidRDefault="003B73BB" w:rsidP="00F95AEB"/>
        </w:tc>
        <w:tc>
          <w:tcPr>
            <w:tcW w:w="1701" w:type="dxa"/>
            <w:hideMark/>
          </w:tcPr>
          <w:p w:rsidR="003B73BB" w:rsidRPr="00BA1372" w:rsidRDefault="003B73BB" w:rsidP="00F95AEB">
            <w:r w:rsidRPr="00BA1372">
              <w:t>AI447-004</w:t>
            </w:r>
          </w:p>
        </w:tc>
        <w:tc>
          <w:tcPr>
            <w:tcW w:w="1134" w:type="dxa"/>
            <w:hideMark/>
          </w:tcPr>
          <w:p w:rsidR="003B73BB" w:rsidRPr="00BA1372" w:rsidRDefault="003B73BB" w:rsidP="00F95AEB">
            <w:r w:rsidRPr="00BA1372">
              <w:t>*</w:t>
            </w:r>
          </w:p>
        </w:tc>
      </w:tr>
      <w:tr w:rsidR="003B73BB" w:rsidTr="00F95AEB">
        <w:tc>
          <w:tcPr>
            <w:tcW w:w="3510" w:type="dxa"/>
            <w:hideMark/>
          </w:tcPr>
          <w:p w:rsidR="003B73BB" w:rsidRPr="00F95AEB" w:rsidRDefault="003B73BB" w:rsidP="00F95AEB">
            <w:pPr>
              <w:rPr>
                <w:b/>
              </w:rPr>
            </w:pPr>
            <w:r w:rsidRPr="00F95AEB">
              <w:rPr>
                <w:b/>
              </w:rPr>
              <w:t>Secondary Pharmacology</w:t>
            </w:r>
          </w:p>
        </w:tc>
        <w:tc>
          <w:tcPr>
            <w:tcW w:w="2268" w:type="dxa"/>
            <w:hideMark/>
          </w:tcPr>
          <w:p w:rsidR="003B73BB" w:rsidRPr="00BA1372" w:rsidRDefault="003B73BB" w:rsidP="00F95AEB">
            <w:r w:rsidRPr="00BA1372">
              <w:t>Effect on QT interval</w:t>
            </w:r>
          </w:p>
        </w:tc>
        <w:tc>
          <w:tcPr>
            <w:tcW w:w="1701" w:type="dxa"/>
            <w:hideMark/>
          </w:tcPr>
          <w:p w:rsidR="003B73BB" w:rsidRPr="00BA1372" w:rsidRDefault="003B73BB" w:rsidP="00F95AEB">
            <w:r w:rsidRPr="00BA1372">
              <w:t>AI447-025</w:t>
            </w:r>
          </w:p>
        </w:tc>
        <w:tc>
          <w:tcPr>
            <w:tcW w:w="1134" w:type="dxa"/>
            <w:hideMark/>
          </w:tcPr>
          <w:p w:rsidR="003B73BB" w:rsidRPr="00BA1372" w:rsidRDefault="003B73BB" w:rsidP="00F95AEB">
            <w:r w:rsidRPr="00BA1372">
              <w:t>*</w:t>
            </w:r>
          </w:p>
        </w:tc>
      </w:tr>
    </w:tbl>
    <w:p w:rsidR="00E8193F" w:rsidRDefault="00E8193F" w:rsidP="00F95AEB">
      <w:pPr>
        <w:pStyle w:val="TableDescription"/>
        <w:rPr>
          <w:kern w:val="16"/>
        </w:rPr>
      </w:pPr>
      <w:r>
        <w:t>* Indicates the primary aim of the study.</w:t>
      </w:r>
    </w:p>
    <w:p w:rsidR="00E8193F" w:rsidRDefault="00E8193F" w:rsidP="00E8193F">
      <w:r>
        <w:t>None of the studies had deficiencies that excluded their results from consideration.</w:t>
      </w:r>
    </w:p>
    <w:p w:rsidR="00605AD4" w:rsidRDefault="00605AD4" w:rsidP="004C5D5E">
      <w:pPr>
        <w:pStyle w:val="Heading4"/>
      </w:pPr>
      <w:r>
        <w:t>Evaluator’s conclusions on pharmacodynamics</w:t>
      </w:r>
    </w:p>
    <w:p w:rsidR="00E8193F" w:rsidRDefault="00E8193F" w:rsidP="00E8193F">
      <w:r>
        <w:t>The PD data provided were acceptable.</w:t>
      </w:r>
    </w:p>
    <w:p w:rsidR="008E7846" w:rsidRDefault="00605AD4" w:rsidP="004C5D5E">
      <w:pPr>
        <w:pStyle w:val="Heading3"/>
      </w:pPr>
      <w:bookmarkStart w:id="92" w:name="_Toc438125712"/>
      <w:r w:rsidRPr="004C5D5E">
        <w:t>Dosage</w:t>
      </w:r>
      <w:r>
        <w:t xml:space="preserve"> selection for the pivotal studies</w:t>
      </w:r>
      <w:bookmarkEnd w:id="92"/>
    </w:p>
    <w:p w:rsidR="00E8193F" w:rsidRDefault="00E8193F" w:rsidP="004C5D5E">
      <w:r>
        <w:t xml:space="preserve">ASV was shown to be active as monotherapy. In the </w:t>
      </w:r>
      <w:r w:rsidR="004C5D5E">
        <w:t>Phase I</w:t>
      </w:r>
      <w:r>
        <w:t xml:space="preserve"> single-ascending dose study (A1447002: table 25). GT-1 subjects with HCV receiving a single dose of ASV 200 mg experienced a mean maximum decline in HCV RNA (log</w:t>
      </w:r>
      <w:r>
        <w:rPr>
          <w:vertAlign w:val="subscript"/>
        </w:rPr>
        <w:t>10</w:t>
      </w:r>
      <w:r>
        <w:t xml:space="preserve"> IU/mL) from baseline of 2.26 in 21.6 </w:t>
      </w:r>
      <w:r w:rsidR="000F1CA4">
        <w:t>h</w:t>
      </w:r>
      <w:r>
        <w:t xml:space="preserve"> (mean). In the </w:t>
      </w:r>
      <w:r w:rsidR="00D72688">
        <w:t xml:space="preserve">sponsor’s Summary of Clinical Pharmacology </w:t>
      </w:r>
      <w:r>
        <w:t xml:space="preserve">it is indicated that a dose of 200 mg </w:t>
      </w:r>
      <w:r w:rsidR="004C5D5E">
        <w:t>twice da</w:t>
      </w:r>
      <w:r w:rsidR="00486662">
        <w:t>ily</w:t>
      </w:r>
      <w:r w:rsidR="004C5D5E">
        <w:t xml:space="preserve"> (</w:t>
      </w:r>
      <w:r>
        <w:t>BD</w:t>
      </w:r>
      <w:r w:rsidR="004C5D5E">
        <w:t>)</w:t>
      </w:r>
      <w:r>
        <w:t xml:space="preserve"> (with the tablet formulation) was chosen for </w:t>
      </w:r>
      <w:r w:rsidR="004C5D5E">
        <w:t>Phase II</w:t>
      </w:r>
      <w:r>
        <w:t xml:space="preserve"> studies. This was based on an exposure-response analysis of data from the </w:t>
      </w:r>
      <w:r w:rsidR="004C5D5E">
        <w:t>P</w:t>
      </w:r>
      <w:r>
        <w:t>hase</w:t>
      </w:r>
      <w:r w:rsidR="004C5D5E">
        <w:t xml:space="preserve"> II</w:t>
      </w:r>
      <w:r>
        <w:t xml:space="preserve"> </w:t>
      </w:r>
      <w:r w:rsidR="004C5D5E">
        <w:t>Study A</w:t>
      </w:r>
      <w:r>
        <w:t>I447-016.</w:t>
      </w:r>
      <w:r w:rsidR="004936B4">
        <w:t xml:space="preserve"> </w:t>
      </w:r>
      <w:r>
        <w:t xml:space="preserve">This study also informed the dose to be used in the </w:t>
      </w:r>
      <w:r w:rsidR="004C5D5E">
        <w:t>Phase III</w:t>
      </w:r>
      <w:r>
        <w:t xml:space="preserve"> studies with DCV and DCV + </w:t>
      </w:r>
      <w:proofErr w:type="spellStart"/>
      <w:r>
        <w:t>pegIFN</w:t>
      </w:r>
      <w:proofErr w:type="spellEnd"/>
      <w:r>
        <w:t xml:space="preserve">α + RBV. It investigated the safety and efficacy of ASV + </w:t>
      </w:r>
      <w:proofErr w:type="spellStart"/>
      <w:r>
        <w:t>PegIFN</w:t>
      </w:r>
      <w:proofErr w:type="spellEnd"/>
      <w:r>
        <w:t>α + RBV and is summarised and evaluated below.</w:t>
      </w:r>
    </w:p>
    <w:p w:rsidR="00E8193F" w:rsidRDefault="00E8193F" w:rsidP="004C5D5E">
      <w:pPr>
        <w:pStyle w:val="Heading4"/>
      </w:pPr>
      <w:bookmarkStart w:id="93" w:name="_Toc401659978"/>
      <w:r>
        <w:lastRenderedPageBreak/>
        <w:t>Discussion</w:t>
      </w:r>
      <w:bookmarkEnd w:id="93"/>
    </w:p>
    <w:p w:rsidR="00E8193F" w:rsidRDefault="00E8193F" w:rsidP="004C5D5E">
      <w:r>
        <w:t xml:space="preserve">In the DCV/ASV </w:t>
      </w:r>
      <w:r w:rsidR="004C5D5E">
        <w:t>Phase II</w:t>
      </w:r>
      <w:r>
        <w:t xml:space="preserve"> </w:t>
      </w:r>
      <w:r w:rsidRPr="00E630B8">
        <w:t>studies (AI447011</w:t>
      </w:r>
      <w:r w:rsidR="00E630B8" w:rsidRPr="00E630B8">
        <w:t xml:space="preserve"> and </w:t>
      </w:r>
      <w:r w:rsidRPr="00E630B8">
        <w:t>AI447017</w:t>
      </w:r>
      <w:r w:rsidR="00E630B8" w:rsidRPr="00E630B8">
        <w:rPr>
          <w:rStyle w:val="FootnoteReference"/>
        </w:rPr>
        <w:footnoteReference w:id="28"/>
      </w:r>
      <w:r w:rsidRPr="00E630B8">
        <w:t xml:space="preserve">), the following ASV doses were tested: 200 mg </w:t>
      </w:r>
      <w:r w:rsidR="004C5D5E" w:rsidRPr="00E630B8">
        <w:t xml:space="preserve">once </w:t>
      </w:r>
      <w:r w:rsidR="00486662" w:rsidRPr="00E630B8">
        <w:t>daily</w:t>
      </w:r>
      <w:r w:rsidR="004C5D5E" w:rsidRPr="00E630B8">
        <w:t xml:space="preserve"> (</w:t>
      </w:r>
      <w:r w:rsidRPr="00E630B8">
        <w:t>QD</w:t>
      </w:r>
      <w:r w:rsidR="004C5D5E" w:rsidRPr="00E630B8">
        <w:t>)</w:t>
      </w:r>
      <w:r w:rsidRPr="00E630B8">
        <w:t xml:space="preserve"> (AI447011 only), 200 mg</w:t>
      </w:r>
      <w:r>
        <w:t xml:space="preserve"> </w:t>
      </w:r>
      <w:r w:rsidR="004C5D5E">
        <w:t>BD</w:t>
      </w:r>
      <w:r>
        <w:t xml:space="preserve"> and 600 mg </w:t>
      </w:r>
      <w:r w:rsidR="004C5D5E">
        <w:t>BD</w:t>
      </w:r>
      <w:r>
        <w:t xml:space="preserve">. In </w:t>
      </w:r>
      <w:r w:rsidR="004C5D5E">
        <w:t>Study A</w:t>
      </w:r>
      <w:r>
        <w:t xml:space="preserve">I447016 in non-Japanese subjects, ASV 200 mg </w:t>
      </w:r>
      <w:r w:rsidR="004C5D5E">
        <w:t>BD</w:t>
      </w:r>
      <w:r>
        <w:t xml:space="preserve">, ASV 600 mg QD and ASV 600 mg </w:t>
      </w:r>
      <w:r w:rsidR="004C5D5E">
        <w:t>BD</w:t>
      </w:r>
      <w:r>
        <w:t xml:space="preserve"> doses were evaluated. All 3 studies (AI447011, AI447016, and AI447017) were conducted using the tablet formulation of ASV.</w:t>
      </w:r>
    </w:p>
    <w:p w:rsidR="00E8193F" w:rsidRDefault="00E8193F" w:rsidP="004C5D5E">
      <w:r>
        <w:t xml:space="preserve">Although all </w:t>
      </w:r>
      <w:r w:rsidR="004C5D5E">
        <w:t>Phase II</w:t>
      </w:r>
      <w:r>
        <w:t xml:space="preserve"> ASV doses (20</w:t>
      </w:r>
      <w:r w:rsidR="004C5D5E">
        <w:t>0 mg</w:t>
      </w:r>
      <w:r>
        <w:t xml:space="preserve"> QD to 600</w:t>
      </w:r>
      <w:r w:rsidR="004C5D5E">
        <w:t xml:space="preserve"> </w:t>
      </w:r>
      <w:r>
        <w:t xml:space="preserve">mg </w:t>
      </w:r>
      <w:r w:rsidR="004C5D5E">
        <w:t>BD</w:t>
      </w:r>
      <w:r>
        <w:t xml:space="preserve"> of the tablet formulation) were generally well tolerated, a trend in the frequency and magnitude of ALT and </w:t>
      </w:r>
      <w:r w:rsidR="004C5D5E">
        <w:t>aspartate aminotransferase (</w:t>
      </w:r>
      <w:r>
        <w:t>AST</w:t>
      </w:r>
      <w:r w:rsidR="004C5D5E">
        <w:t>)</w:t>
      </w:r>
      <w:r>
        <w:t xml:space="preserve"> elevations was observed at ASV doses &gt; 200 mg </w:t>
      </w:r>
      <w:r w:rsidR="004C5D5E">
        <w:t>BD</w:t>
      </w:r>
      <w:r>
        <w:t xml:space="preserve"> of the tablet formulation and this trend was associated with greater plasma exposure of ASV in an initial exposure-safety assessment conducted using data from the Stage 1 portion of </w:t>
      </w:r>
      <w:r w:rsidR="004C5D5E">
        <w:t>Study A</w:t>
      </w:r>
      <w:r>
        <w:t>I447016</w:t>
      </w:r>
      <w:r>
        <w:rPr>
          <w:b/>
        </w:rPr>
        <w:t>.</w:t>
      </w:r>
      <w:r>
        <w:t xml:space="preserve"> The analysis demonstrated a higher probability of Grade 2 or higher ALT (and AST) elevations with higher plasma exposures of ASV, as measured by AUC.</w:t>
      </w:r>
    </w:p>
    <w:p w:rsidR="00E8193F" w:rsidRDefault="00E8193F" w:rsidP="004C5D5E">
      <w:r>
        <w:t>The dose of 200</w:t>
      </w:r>
      <w:r w:rsidR="004C5D5E">
        <w:t xml:space="preserve"> </w:t>
      </w:r>
      <w:r>
        <w:t xml:space="preserve">mg </w:t>
      </w:r>
      <w:r w:rsidR="004C5D5E">
        <w:t>BD</w:t>
      </w:r>
      <w:r>
        <w:t xml:space="preserve"> of the tablet formulation was selected as the ASV dose in all on-going and future </w:t>
      </w:r>
      <w:r w:rsidR="004C5D5E">
        <w:t>Phase II</w:t>
      </w:r>
      <w:r>
        <w:t xml:space="preserve"> studies. The prediction that ASV 200 mg tablet </w:t>
      </w:r>
      <w:r w:rsidR="004C5D5E">
        <w:t>BD</w:t>
      </w:r>
      <w:r>
        <w:t xml:space="preserve"> offered the best balance of safety and antiviral activity was confirmed by the observed </w:t>
      </w:r>
      <w:r w:rsidR="004C5D5E">
        <w:t>liver function test (</w:t>
      </w:r>
      <w:r>
        <w:t>LFT</w:t>
      </w:r>
      <w:r w:rsidR="004C5D5E">
        <w:t>)</w:t>
      </w:r>
      <w:r>
        <w:t xml:space="preserve"> data and high response rates in </w:t>
      </w:r>
      <w:r w:rsidR="004C5D5E">
        <w:t>Phase II</w:t>
      </w:r>
      <w:r>
        <w:t xml:space="preserve"> studies. The safety and efficacy for DCV/ASV in Japanese subjects in </w:t>
      </w:r>
      <w:r w:rsidR="004C5D5E">
        <w:t>Phase II</w:t>
      </w:r>
      <w:r>
        <w:t xml:space="preserve"> was comparable, with a similar benefit-risk profile, despite the differences in ASV plasma exposures between Japanese and non-Japanese subjects. No dose adjustment was needed in Japanese subjects.</w:t>
      </w:r>
    </w:p>
    <w:p w:rsidR="00E8193F" w:rsidRDefault="00E8193F" w:rsidP="004C5D5E">
      <w:r>
        <w:t>A 10</w:t>
      </w:r>
      <w:r w:rsidR="004C5D5E">
        <w:t>0 mg</w:t>
      </w:r>
      <w:r>
        <w:t xml:space="preserve"> </w:t>
      </w:r>
      <w:r w:rsidR="004C5D5E">
        <w:t>BD</w:t>
      </w:r>
      <w:r>
        <w:t xml:space="preserve"> soft gel capsule formulation of ASV was selected as the </w:t>
      </w:r>
      <w:r w:rsidR="004C5D5E">
        <w:t>Phase III</w:t>
      </w:r>
      <w:r>
        <w:t xml:space="preserve"> formulation based on the results from a relative bioavailability study that indicated the bioavailability for the soft gel capsule formulation was approximately 2</w:t>
      </w:r>
      <w:r w:rsidR="004C5D5E">
        <w:t xml:space="preserve"> </w:t>
      </w:r>
      <w:r>
        <w:t xml:space="preserve">fold higher compared with the ASV </w:t>
      </w:r>
      <w:r w:rsidR="004C5D5E">
        <w:t>Phase II</w:t>
      </w:r>
      <w:r>
        <w:t xml:space="preserve"> tablet administered with </w:t>
      </w:r>
      <w:r w:rsidRPr="00E630B8">
        <w:t>food (</w:t>
      </w:r>
      <w:r w:rsidR="004C5D5E" w:rsidRPr="00E630B8">
        <w:t>Study A</w:t>
      </w:r>
      <w:r w:rsidRPr="00E630B8">
        <w:t>I447043). Moreover</w:t>
      </w:r>
      <w:r>
        <w:t xml:space="preserve">, the soft gel capsule formulation mitigated the significant food effect observed with the </w:t>
      </w:r>
      <w:r w:rsidR="004C5D5E">
        <w:t>Phase II</w:t>
      </w:r>
      <w:r>
        <w:t xml:space="preserve"> tablet. Based on these data, the soft gel capsule at a dose of ASV 100 mg </w:t>
      </w:r>
      <w:r w:rsidR="004C5D5E">
        <w:t>BD</w:t>
      </w:r>
      <w:r>
        <w:t xml:space="preserve"> administered either with or without meals was expected to approximate the AUC of the ASV 200 mg </w:t>
      </w:r>
      <w:r w:rsidR="004C5D5E">
        <w:t>Phase II</w:t>
      </w:r>
      <w:r>
        <w:t xml:space="preserve"> tablet administered with food in </w:t>
      </w:r>
      <w:r w:rsidR="004C5D5E">
        <w:t>Phase II</w:t>
      </w:r>
      <w:r>
        <w:t xml:space="preserve"> studies; and using the prior exposure-response assessments it was concluded that there would be no meaningful alterations in the antiviral activity or safety profile of ASV at the 10</w:t>
      </w:r>
      <w:r w:rsidR="004C5D5E">
        <w:t>0 mg</w:t>
      </w:r>
      <w:r>
        <w:t xml:space="preserve"> </w:t>
      </w:r>
      <w:r w:rsidR="004C5D5E">
        <w:t>BD</w:t>
      </w:r>
      <w:r>
        <w:t xml:space="preserve"> dose of soft gel capsule without regard to food.</w:t>
      </w:r>
    </w:p>
    <w:p w:rsidR="008E7846" w:rsidRPr="00254787" w:rsidRDefault="008E7846" w:rsidP="008E7846">
      <w:pPr>
        <w:pStyle w:val="Heading3"/>
      </w:pPr>
      <w:bookmarkStart w:id="94" w:name="_Toc163441372"/>
      <w:bookmarkStart w:id="95" w:name="_Toc196046485"/>
      <w:bookmarkStart w:id="96" w:name="_Toc247691521"/>
      <w:bookmarkStart w:id="97" w:name="_Toc314842504"/>
      <w:bookmarkStart w:id="98" w:name="_Toc438125713"/>
      <w:r w:rsidRPr="00254787">
        <w:t>Efficacy</w:t>
      </w:r>
      <w:bookmarkEnd w:id="94"/>
      <w:bookmarkEnd w:id="95"/>
      <w:bookmarkEnd w:id="96"/>
      <w:bookmarkEnd w:id="97"/>
      <w:bookmarkEnd w:id="98"/>
    </w:p>
    <w:p w:rsidR="00605AD4" w:rsidRPr="004C5D5E" w:rsidRDefault="00605AD4" w:rsidP="004C5D5E">
      <w:pPr>
        <w:pStyle w:val="Heading4"/>
      </w:pPr>
      <w:bookmarkStart w:id="99" w:name="_Toc184439992"/>
      <w:bookmarkStart w:id="100" w:name="_Toc184440279"/>
      <w:bookmarkStart w:id="101" w:name="_Toc184444657"/>
      <w:bookmarkStart w:id="102" w:name="_Toc196046487"/>
      <w:r>
        <w:t>Studies providing efficacy data</w:t>
      </w:r>
    </w:p>
    <w:p w:rsidR="00E8193F" w:rsidRPr="004C5D5E" w:rsidRDefault="00E8193F" w:rsidP="004C5D5E">
      <w:pPr>
        <w:pStyle w:val="Heading5"/>
      </w:pPr>
      <w:bookmarkStart w:id="103" w:name="_Toc401659980"/>
      <w:r>
        <w:t>Treatment of HCV – ASV combined with DCV</w:t>
      </w:r>
      <w:bookmarkEnd w:id="103"/>
    </w:p>
    <w:p w:rsidR="00E8193F" w:rsidRDefault="004C5D5E" w:rsidP="00E8193F">
      <w:r w:rsidRPr="00E630B8">
        <w:t>Two</w:t>
      </w:r>
      <w:r w:rsidR="00E8193F" w:rsidRPr="00E630B8">
        <w:t xml:space="preserve"> pivotal and </w:t>
      </w:r>
      <w:r w:rsidRPr="00E630B8">
        <w:t>two</w:t>
      </w:r>
      <w:r w:rsidR="00E8193F" w:rsidRPr="00E630B8">
        <w:t xml:space="preserve"> supportive studies were included for this indication. These have been evaluated in the DCV clinical evaluation report.</w:t>
      </w:r>
      <w:r w:rsidR="00E630B8" w:rsidRPr="00E630B8">
        <w:rPr>
          <w:rStyle w:val="FootnoteReference"/>
        </w:rPr>
        <w:footnoteReference w:id="29"/>
      </w:r>
    </w:p>
    <w:p w:rsidR="00E8193F" w:rsidRDefault="00E8193F" w:rsidP="004C5D5E">
      <w:pPr>
        <w:pStyle w:val="Heading4"/>
      </w:pPr>
      <w:bookmarkStart w:id="104" w:name="_Toc290846282"/>
      <w:bookmarkStart w:id="105" w:name="_Toc272414657"/>
      <w:bookmarkStart w:id="106" w:name="_Ref271126605"/>
      <w:bookmarkStart w:id="107" w:name="_Toc401659984"/>
      <w:r>
        <w:t xml:space="preserve">Evaluator’s conclusions on clinical efficacy for </w:t>
      </w:r>
      <w:bookmarkEnd w:id="104"/>
      <w:bookmarkEnd w:id="105"/>
      <w:bookmarkEnd w:id="106"/>
      <w:r>
        <w:t>combination therapy with DCV</w:t>
      </w:r>
      <w:bookmarkEnd w:id="107"/>
    </w:p>
    <w:p w:rsidR="00E8193F" w:rsidRDefault="00E8193F" w:rsidP="00E8193F">
      <w:r w:rsidRPr="00E630B8">
        <w:t>As ASV is requested to be used only in combination with DCV, the approval of ASV is dependent on the approval of DCV.</w:t>
      </w:r>
    </w:p>
    <w:p w:rsidR="00E8193F" w:rsidRDefault="00E8193F" w:rsidP="00E8193F">
      <w:r>
        <w:t>For the ASV/DCV regimen and the QUAD regimen the duration of treatment requested is 24 weeks which matches the treatment period in the studies.</w:t>
      </w:r>
    </w:p>
    <w:p w:rsidR="00E8193F" w:rsidRDefault="00E8193F" w:rsidP="00D54A9F">
      <w:pPr>
        <w:pStyle w:val="Heading5"/>
      </w:pPr>
      <w:r>
        <w:lastRenderedPageBreak/>
        <w:t>ASV/DCV regimen</w:t>
      </w:r>
    </w:p>
    <w:p w:rsidR="00E8193F" w:rsidRDefault="00E8193F" w:rsidP="00E8193F">
      <w:r w:rsidRPr="00E630B8">
        <w:t>The SVR12 rates</w:t>
      </w:r>
      <w:r w:rsidR="00D72688" w:rsidRPr="00E630B8">
        <w:rPr>
          <w:rStyle w:val="FootnoteReference"/>
        </w:rPr>
        <w:footnoteReference w:id="30"/>
      </w:r>
      <w:r w:rsidRPr="00E630B8">
        <w:t xml:space="preserve"> achieved with the DCV/ASV therapy in </w:t>
      </w:r>
      <w:r w:rsidR="00486662" w:rsidRPr="00E630B8">
        <w:t>treatment naïve</w:t>
      </w:r>
      <w:r w:rsidRPr="00E630B8">
        <w:t xml:space="preserve"> HCV GT-1b-infected subjects were</w:t>
      </w:r>
      <w:r>
        <w:t xml:space="preserve"> 90.6% (95% CI: 86.6, 94.6). This is similar to </w:t>
      </w:r>
      <w:r w:rsidRPr="00E630B8">
        <w:t xml:space="preserve">the SVR rates in patients who were IFN/RBV-based therapy intolerant/ineligible GT-1b in AI447028: 82.6% </w:t>
      </w:r>
      <w:r w:rsidR="00E630B8" w:rsidRPr="00E630B8">
        <w:t>(95% CI: 77.7, 87.4), AI447026</w:t>
      </w:r>
      <w:r w:rsidRPr="00E630B8">
        <w:t>: 88.1% (95% CI: 82.7, 93.6) and AI447017: 63.6% (95% CI: 43.5, 83.7.</w:t>
      </w:r>
    </w:p>
    <w:p w:rsidR="00C60B78" w:rsidRDefault="00E8193F" w:rsidP="00E8193F">
      <w:r>
        <w:t xml:space="preserve">The SVR12 rates achieved with the DCV/ASV therapy in HCV GT-1b-infected prior non-responders were 82.4% (95% CI: 77.2, 87.6) in </w:t>
      </w:r>
      <w:r w:rsidR="004C5D5E">
        <w:t>Study A</w:t>
      </w:r>
      <w:r w:rsidR="00E630B8">
        <w:t>I447028</w:t>
      </w:r>
      <w:r>
        <w:t>, 80.5% (95% CI: 72.1, 88.8) in AI447026 and 83.3% (9</w:t>
      </w:r>
      <w:r w:rsidR="00E630B8">
        <w:t>5% CI: 66.1, 100.0) in AI447011.</w:t>
      </w:r>
    </w:p>
    <w:p w:rsidR="00E8193F" w:rsidRDefault="00E8193F" w:rsidP="00E8193F">
      <w:r>
        <w:t>Further:</w:t>
      </w:r>
    </w:p>
    <w:p w:rsidR="00E8193F" w:rsidRDefault="00E8193F" w:rsidP="004C5D5E">
      <w:pPr>
        <w:pStyle w:val="ListBullet"/>
      </w:pPr>
      <w:r>
        <w:t>In GT-1b prior null responders, the SVR12 rates were 82.4% in AI447028</w:t>
      </w:r>
      <w:r w:rsidR="00E630B8">
        <w:t>, 81.3% in AI447026</w:t>
      </w:r>
      <w:r>
        <w:t>, and 83.3% in AI447011.</w:t>
      </w:r>
    </w:p>
    <w:p w:rsidR="00E8193F" w:rsidRDefault="00E8193F" w:rsidP="004C5D5E">
      <w:pPr>
        <w:pStyle w:val="ListBullet"/>
      </w:pPr>
      <w:r>
        <w:t xml:space="preserve">In GT-1b prior partial responders, the SVR12 rates were 82.1% in AI447028 </w:t>
      </w:r>
      <w:r w:rsidR="00E630B8">
        <w:t>and 77.8% in AI447026</w:t>
      </w:r>
      <w:r>
        <w:t>.</w:t>
      </w:r>
    </w:p>
    <w:p w:rsidR="00E8193F" w:rsidRDefault="00E8193F" w:rsidP="00E8193F">
      <w:r>
        <w:t>Overall, in DCV/ASV-treated subjects, SVR12 rates were comparable across all subgroups of baseline host factors including age (&lt;65 and ≥65 years), gender, cirrhosis status, IL-28B polymorphism, prior treatment history (null or partial response to HCV therapy, or IFN/RBV-based therapy intolerant/ineligible) and viral factors (such as viral load). The rates of VBT were low (4</w:t>
      </w:r>
      <w:r w:rsidR="00D54A9F">
        <w:t xml:space="preserve"> to </w:t>
      </w:r>
      <w:r>
        <w:t>13%).</w:t>
      </w:r>
    </w:p>
    <w:p w:rsidR="00E8193F" w:rsidRDefault="00E8193F" w:rsidP="00D54A9F">
      <w:pPr>
        <w:pStyle w:val="Heading5"/>
      </w:pPr>
      <w:r>
        <w:t>QUAD regimen</w:t>
      </w:r>
    </w:p>
    <w:p w:rsidR="00C60B78" w:rsidRDefault="00E8193F" w:rsidP="00E8193F">
      <w:r>
        <w:t>The SVR12 rates achieved with DCV Quad therapy in:</w:t>
      </w:r>
    </w:p>
    <w:p w:rsidR="00E8193F" w:rsidRPr="00C95499" w:rsidRDefault="00E8193F" w:rsidP="004C5D5E">
      <w:pPr>
        <w:pStyle w:val="ListBullet"/>
      </w:pPr>
      <w:r>
        <w:t xml:space="preserve">GT-1 </w:t>
      </w:r>
      <w:r w:rsidRPr="00C95499">
        <w:t>prior non-responders were 330/354, 93.2% (95% CI: 90.6, 95.8) in AI447029 (DCV CER</w:t>
      </w:r>
      <w:bookmarkStart w:id="108" w:name="_Ref431283235"/>
      <w:r w:rsidR="00C95499" w:rsidRPr="00C95499">
        <w:rPr>
          <w:rStyle w:val="FootnoteReference"/>
        </w:rPr>
        <w:footnoteReference w:id="31"/>
      </w:r>
      <w:bookmarkEnd w:id="108"/>
      <w:r w:rsidRPr="00C95499">
        <w:t>) and 19/20, 95.0% (95% CI: 81.9, 99.5) in AI447011 (DCV CER</w:t>
      </w:r>
      <w:r w:rsidR="00E62510" w:rsidRPr="00C95499">
        <w:rPr>
          <w:vertAlign w:val="superscript"/>
        </w:rPr>
        <w:fldChar w:fldCharType="begin"/>
      </w:r>
      <w:r w:rsidR="00C95499" w:rsidRPr="00C95499">
        <w:rPr>
          <w:vertAlign w:val="superscript"/>
        </w:rPr>
        <w:instrText xml:space="preserve"> NOTEREF _Ref431283235 \h  \* MERGEFORMAT </w:instrText>
      </w:r>
      <w:r w:rsidR="00E62510" w:rsidRPr="00C95499">
        <w:rPr>
          <w:vertAlign w:val="superscript"/>
        </w:rPr>
      </w:r>
      <w:r w:rsidR="00E62510" w:rsidRPr="00C95499">
        <w:rPr>
          <w:vertAlign w:val="superscript"/>
        </w:rPr>
        <w:fldChar w:fldCharType="separate"/>
      </w:r>
      <w:r w:rsidR="00FA1639">
        <w:rPr>
          <w:vertAlign w:val="superscript"/>
        </w:rPr>
        <w:t>31</w:t>
      </w:r>
      <w:r w:rsidR="00E62510" w:rsidRPr="00C95499">
        <w:rPr>
          <w:vertAlign w:val="superscript"/>
        </w:rPr>
        <w:fldChar w:fldCharType="end"/>
      </w:r>
      <w:r w:rsidRPr="00C95499">
        <w:t>):</w:t>
      </w:r>
    </w:p>
    <w:p w:rsidR="00E8193F" w:rsidRPr="00C95499" w:rsidRDefault="00E8193F" w:rsidP="004C5D5E">
      <w:pPr>
        <w:pStyle w:val="ListBullet"/>
      </w:pPr>
      <w:r w:rsidRPr="00C95499">
        <w:t>GT-1 prior null responders, the SVR12 rates were 93.6% in AI447029</w:t>
      </w:r>
      <w:r w:rsidR="004936B4" w:rsidRPr="00C95499">
        <w:t xml:space="preserve"> </w:t>
      </w:r>
      <w:r w:rsidRPr="00C95499">
        <w:t>(DCV CER section 7.3.1) to 95.0% in AI447011 (DCV CER</w:t>
      </w:r>
      <w:r w:rsidR="00E62510" w:rsidRPr="00C95499">
        <w:rPr>
          <w:vertAlign w:val="superscript"/>
        </w:rPr>
        <w:fldChar w:fldCharType="begin"/>
      </w:r>
      <w:r w:rsidR="00C95499" w:rsidRPr="00C95499">
        <w:rPr>
          <w:vertAlign w:val="superscript"/>
        </w:rPr>
        <w:instrText xml:space="preserve"> NOTEREF _Ref431283235 \h  \* MERGEFORMAT </w:instrText>
      </w:r>
      <w:r w:rsidR="00E62510" w:rsidRPr="00C95499">
        <w:rPr>
          <w:vertAlign w:val="superscript"/>
        </w:rPr>
      </w:r>
      <w:r w:rsidR="00E62510" w:rsidRPr="00C95499">
        <w:rPr>
          <w:vertAlign w:val="superscript"/>
        </w:rPr>
        <w:fldChar w:fldCharType="separate"/>
      </w:r>
      <w:r w:rsidR="00FA1639">
        <w:rPr>
          <w:vertAlign w:val="superscript"/>
        </w:rPr>
        <w:t>31</w:t>
      </w:r>
      <w:r w:rsidR="00E62510" w:rsidRPr="00C95499">
        <w:rPr>
          <w:vertAlign w:val="superscript"/>
        </w:rPr>
        <w:fldChar w:fldCharType="end"/>
      </w:r>
      <w:r w:rsidRPr="00C95499">
        <w:t>)</w:t>
      </w:r>
    </w:p>
    <w:p w:rsidR="00E8193F" w:rsidRPr="00C95499" w:rsidRDefault="00E8193F" w:rsidP="004C5D5E">
      <w:pPr>
        <w:pStyle w:val="ListBullet"/>
      </w:pPr>
      <w:r w:rsidRPr="00C95499">
        <w:t>GT-1 prior partial responders, the SVR12 rate was 91.7% in AI447029 (DCV CER)</w:t>
      </w:r>
    </w:p>
    <w:p w:rsidR="00E8193F" w:rsidRPr="00C95499" w:rsidRDefault="00E8193F" w:rsidP="004C5D5E">
      <w:pPr>
        <w:pStyle w:val="ListBullet"/>
      </w:pPr>
      <w:r w:rsidRPr="00C95499">
        <w:t>GT-4 prior non-responders, the SVR12 rate was 44/44, 100.0% (95% CI: 100.0, 100.0) in AI447029 (DCV CER</w:t>
      </w:r>
      <w:r w:rsidR="00E62510" w:rsidRPr="00C95499">
        <w:rPr>
          <w:vertAlign w:val="superscript"/>
        </w:rPr>
        <w:fldChar w:fldCharType="begin"/>
      </w:r>
      <w:r w:rsidR="00C95499" w:rsidRPr="00C95499">
        <w:rPr>
          <w:vertAlign w:val="superscript"/>
        </w:rPr>
        <w:instrText xml:space="preserve"> NOTEREF _Ref431283235 \h  \* MERGEFORMAT </w:instrText>
      </w:r>
      <w:r w:rsidR="00E62510" w:rsidRPr="00C95499">
        <w:rPr>
          <w:vertAlign w:val="superscript"/>
        </w:rPr>
      </w:r>
      <w:r w:rsidR="00E62510" w:rsidRPr="00C95499">
        <w:rPr>
          <w:vertAlign w:val="superscript"/>
        </w:rPr>
        <w:fldChar w:fldCharType="separate"/>
      </w:r>
      <w:r w:rsidR="00FA1639">
        <w:rPr>
          <w:vertAlign w:val="superscript"/>
        </w:rPr>
        <w:t>31</w:t>
      </w:r>
      <w:r w:rsidR="00E62510" w:rsidRPr="00C95499">
        <w:rPr>
          <w:vertAlign w:val="superscript"/>
        </w:rPr>
        <w:fldChar w:fldCharType="end"/>
      </w:r>
      <w:r w:rsidRPr="00C95499">
        <w:t>)</w:t>
      </w:r>
      <w:r w:rsidR="00C95499" w:rsidRPr="00C95499">
        <w:t>.</w:t>
      </w:r>
    </w:p>
    <w:p w:rsidR="00E8193F" w:rsidRDefault="00E8193F" w:rsidP="00E8193F">
      <w:r>
        <w:t xml:space="preserve">SVR12 rates with DCV QUAD therapy were consistently high across all host factor subgroups (including age, gender, cirrhosis status, </w:t>
      </w:r>
      <w:proofErr w:type="gramStart"/>
      <w:r>
        <w:t>IL</w:t>
      </w:r>
      <w:proofErr w:type="gramEnd"/>
      <w:r>
        <w:t>-28B polymorphism, prior null or partial response to HCV therapy) and viral factors (such as viral load). SVR12 rates with DCV QUAD therapy were minimally affected by baseline NS5A-L31, NS5A-Y93H and NS3-R155 polymorphisms and not affected by NS3-D168 polymorphisms.</w:t>
      </w:r>
    </w:p>
    <w:p w:rsidR="008E7846" w:rsidRPr="002E238E" w:rsidRDefault="008E7846" w:rsidP="008E7846">
      <w:pPr>
        <w:pStyle w:val="Heading3"/>
      </w:pPr>
      <w:bookmarkStart w:id="109" w:name="_Toc163441378"/>
      <w:bookmarkStart w:id="110" w:name="_Toc196046495"/>
      <w:bookmarkStart w:id="111" w:name="_Toc247691522"/>
      <w:bookmarkStart w:id="112" w:name="_Toc314842505"/>
      <w:bookmarkStart w:id="113" w:name="_Toc438125714"/>
      <w:bookmarkEnd w:id="99"/>
      <w:bookmarkEnd w:id="100"/>
      <w:bookmarkEnd w:id="101"/>
      <w:bookmarkEnd w:id="102"/>
      <w:r w:rsidRPr="002E238E">
        <w:t>Safety</w:t>
      </w:r>
      <w:bookmarkEnd w:id="109"/>
      <w:bookmarkEnd w:id="110"/>
      <w:bookmarkEnd w:id="111"/>
      <w:bookmarkEnd w:id="112"/>
      <w:bookmarkEnd w:id="113"/>
    </w:p>
    <w:p w:rsidR="00605AD4" w:rsidRPr="00D54A9F" w:rsidRDefault="00605AD4" w:rsidP="00D54A9F">
      <w:pPr>
        <w:pStyle w:val="Heading4"/>
      </w:pPr>
      <w:bookmarkStart w:id="114" w:name="_Toc247691524"/>
      <w:bookmarkStart w:id="115" w:name="_Toc314842508"/>
      <w:bookmarkStart w:id="116" w:name="_Toc196046504"/>
      <w:bookmarkStart w:id="117" w:name="_Toc163441390"/>
      <w:r w:rsidRPr="00605AD4">
        <w:t>Studies providing safety data</w:t>
      </w:r>
    </w:p>
    <w:p w:rsidR="00C60B78" w:rsidRDefault="00E8193F" w:rsidP="00E8193F">
      <w:r w:rsidRPr="00C95499">
        <w:t xml:space="preserve">Except for </w:t>
      </w:r>
      <w:r w:rsidR="004C5D5E" w:rsidRPr="00C95499">
        <w:t>Study A</w:t>
      </w:r>
      <w:r w:rsidRPr="00C95499">
        <w:t>I447016 (the ASV/</w:t>
      </w:r>
      <w:proofErr w:type="spellStart"/>
      <w:r w:rsidRPr="00C95499">
        <w:t>PegIFN</w:t>
      </w:r>
      <w:proofErr w:type="spellEnd"/>
      <w:r w:rsidRPr="00C95499">
        <w:t>α/RBV combination) the major studies for safety always included ASV used in combination with DCV and are covered in the DCV evaluation report.</w:t>
      </w:r>
      <w:r w:rsidR="00C95499" w:rsidRPr="00C95499">
        <w:rPr>
          <w:rStyle w:val="FootnoteReference"/>
        </w:rPr>
        <w:footnoteReference w:id="32"/>
      </w:r>
      <w:r>
        <w:t xml:space="preserve"> The following provides a brief summary of information in the DCV evaluation report. There is also summary information from </w:t>
      </w:r>
      <w:r w:rsidR="004C5D5E">
        <w:t>Study A</w:t>
      </w:r>
      <w:r>
        <w:t xml:space="preserve">I447016 which is presented in more detail </w:t>
      </w:r>
      <w:r w:rsidR="00D54A9F">
        <w:t>in Attachment 2</w:t>
      </w:r>
      <w:r>
        <w:t>.</w:t>
      </w:r>
    </w:p>
    <w:p w:rsidR="00605AD4" w:rsidRDefault="00605AD4" w:rsidP="00605AD4">
      <w:pPr>
        <w:pStyle w:val="Heading4"/>
      </w:pPr>
      <w:r w:rsidRPr="00605AD4">
        <w:lastRenderedPageBreak/>
        <w:t>Patient exposure</w:t>
      </w:r>
    </w:p>
    <w:p w:rsidR="008255A1" w:rsidRDefault="008255A1" w:rsidP="008255A1">
      <w:r>
        <w:t>The following tables summarise the number of subjects treated with ASV combination regiments at the recommended dose and according to dose and duration.</w:t>
      </w:r>
    </w:p>
    <w:p w:rsidR="00E8193F" w:rsidRDefault="008255A1" w:rsidP="008255A1">
      <w:pPr>
        <w:pStyle w:val="TableTitle"/>
      </w:pPr>
      <w:r>
        <w:t>Table 11</w:t>
      </w:r>
      <w:r w:rsidR="00E8193F">
        <w:t xml:space="preserve">: Summary of subjects treated with ASV combination regimens at the recommended dose (100 mg capsule </w:t>
      </w:r>
      <w:r w:rsidR="004C5D5E">
        <w:t>BD</w:t>
      </w:r>
      <w:r w:rsidR="00E8193F">
        <w:t xml:space="preserve"> or 200 mg tablet </w:t>
      </w:r>
      <w:r w:rsidR="004C5D5E">
        <w:t>BD</w:t>
      </w:r>
      <w:r w:rsidR="00E8193F">
        <w:t>)</w:t>
      </w:r>
    </w:p>
    <w:tbl>
      <w:tblPr>
        <w:tblStyle w:val="TableTGAblue"/>
        <w:tblW w:w="0" w:type="auto"/>
        <w:tblLook w:val="04A0" w:firstRow="1" w:lastRow="0" w:firstColumn="1" w:lastColumn="0" w:noHBand="0" w:noVBand="1"/>
      </w:tblPr>
      <w:tblGrid>
        <w:gridCol w:w="1852"/>
        <w:gridCol w:w="1598"/>
        <w:gridCol w:w="1439"/>
        <w:gridCol w:w="2359"/>
        <w:gridCol w:w="1472"/>
      </w:tblGrid>
      <w:tr w:rsidR="00D54A9F" w:rsidRPr="007876A4" w:rsidTr="00F95AEB">
        <w:trPr>
          <w:cnfStyle w:val="100000000000" w:firstRow="1" w:lastRow="0" w:firstColumn="0" w:lastColumn="0" w:oddVBand="0" w:evenVBand="0" w:oddHBand="0" w:evenHBand="0" w:firstRowFirstColumn="0" w:firstRowLastColumn="0" w:lastRowFirstColumn="0" w:lastRowLastColumn="0"/>
        </w:trPr>
        <w:tc>
          <w:tcPr>
            <w:tcW w:w="1852" w:type="dxa"/>
          </w:tcPr>
          <w:p w:rsidR="00D54A9F" w:rsidRPr="00BA1372" w:rsidRDefault="00D54A9F" w:rsidP="00F95AEB">
            <w:pPr>
              <w:rPr>
                <w:b w:val="0"/>
              </w:rPr>
            </w:pPr>
          </w:p>
        </w:tc>
        <w:tc>
          <w:tcPr>
            <w:tcW w:w="6868" w:type="dxa"/>
            <w:gridSpan w:val="4"/>
          </w:tcPr>
          <w:p w:rsidR="00D54A9F" w:rsidRPr="00BA1372" w:rsidRDefault="00D54A9F" w:rsidP="00F95AEB">
            <w:pPr>
              <w:rPr>
                <w:b w:val="0"/>
              </w:rPr>
            </w:pPr>
            <w:r w:rsidRPr="00BA1372">
              <w:rPr>
                <w:b w:val="0"/>
                <w:bCs/>
              </w:rPr>
              <w:t>Number</w:t>
            </w:r>
            <w:r w:rsidRPr="00BA1372">
              <w:rPr>
                <w:b w:val="0"/>
                <w:bCs/>
                <w:spacing w:val="-7"/>
              </w:rPr>
              <w:t xml:space="preserve"> </w:t>
            </w:r>
            <w:r w:rsidRPr="00BA1372">
              <w:rPr>
                <w:b w:val="0"/>
                <w:bCs/>
              </w:rPr>
              <w:t>of</w:t>
            </w:r>
            <w:r w:rsidRPr="00BA1372">
              <w:rPr>
                <w:b w:val="0"/>
                <w:bCs/>
                <w:spacing w:val="-2"/>
              </w:rPr>
              <w:t xml:space="preserve"> </w:t>
            </w:r>
            <w:r w:rsidRPr="00BA1372">
              <w:rPr>
                <w:b w:val="0"/>
                <w:bCs/>
              </w:rPr>
              <w:t>Subjects</w:t>
            </w:r>
          </w:p>
        </w:tc>
      </w:tr>
      <w:tr w:rsidR="00D54A9F" w:rsidRPr="007876A4" w:rsidTr="00F95AEB">
        <w:tc>
          <w:tcPr>
            <w:tcW w:w="1852" w:type="dxa"/>
          </w:tcPr>
          <w:p w:rsidR="00D54A9F" w:rsidRPr="00BA1372" w:rsidRDefault="00D54A9F" w:rsidP="00F95AEB">
            <w:pPr>
              <w:rPr>
                <w:bCs/>
              </w:rPr>
            </w:pPr>
            <w:r w:rsidRPr="00BA1372">
              <w:rPr>
                <w:bCs/>
              </w:rPr>
              <w:t>Study</w:t>
            </w:r>
            <w:r w:rsidRPr="00BA1372">
              <w:rPr>
                <w:bCs/>
                <w:spacing w:val="-5"/>
              </w:rPr>
              <w:t xml:space="preserve"> </w:t>
            </w:r>
            <w:r w:rsidRPr="00BA1372">
              <w:rPr>
                <w:bCs/>
              </w:rPr>
              <w:t>Number</w:t>
            </w:r>
          </w:p>
        </w:tc>
        <w:tc>
          <w:tcPr>
            <w:tcW w:w="1598" w:type="dxa"/>
          </w:tcPr>
          <w:p w:rsidR="00D54A9F" w:rsidRPr="00BA1372" w:rsidRDefault="00D54A9F" w:rsidP="00F95AEB">
            <w:pPr>
              <w:rPr>
                <w:bCs/>
              </w:rPr>
            </w:pPr>
            <w:r w:rsidRPr="00BA1372">
              <w:rPr>
                <w:bCs/>
              </w:rPr>
              <w:t>DCV/ASV</w:t>
            </w:r>
          </w:p>
        </w:tc>
        <w:tc>
          <w:tcPr>
            <w:tcW w:w="1439" w:type="dxa"/>
          </w:tcPr>
          <w:p w:rsidR="00D54A9F" w:rsidRPr="00BA1372" w:rsidRDefault="00D54A9F" w:rsidP="00F95AEB">
            <w:pPr>
              <w:rPr>
                <w:bCs/>
              </w:rPr>
            </w:pPr>
            <w:r w:rsidRPr="00BA1372">
              <w:rPr>
                <w:bCs/>
                <w:position w:val="2"/>
              </w:rPr>
              <w:t>DCV</w:t>
            </w:r>
            <w:r w:rsidRPr="00BA1372">
              <w:rPr>
                <w:bCs/>
                <w:spacing w:val="-3"/>
                <w:position w:val="2"/>
              </w:rPr>
              <w:t xml:space="preserve"> </w:t>
            </w:r>
            <w:r w:rsidRPr="00BA1372">
              <w:rPr>
                <w:bCs/>
                <w:position w:val="2"/>
              </w:rPr>
              <w:t>Quad</w:t>
            </w:r>
          </w:p>
        </w:tc>
        <w:tc>
          <w:tcPr>
            <w:tcW w:w="2359" w:type="dxa"/>
          </w:tcPr>
          <w:p w:rsidR="00D54A9F" w:rsidRPr="00BA1372" w:rsidRDefault="00D54A9F" w:rsidP="00F95AEB">
            <w:pPr>
              <w:rPr>
                <w:noProof/>
              </w:rPr>
            </w:pPr>
            <w:r w:rsidRPr="00BA1372">
              <w:rPr>
                <w:bCs/>
              </w:rPr>
              <w:t>ASV/</w:t>
            </w:r>
            <w:proofErr w:type="spellStart"/>
            <w:r w:rsidRPr="00BA1372">
              <w:rPr>
                <w:bCs/>
              </w:rPr>
              <w:t>pegIFN</w:t>
            </w:r>
            <w:proofErr w:type="spellEnd"/>
            <w:r w:rsidRPr="00BA1372">
              <w:rPr>
                <w:bCs/>
              </w:rPr>
              <w:t>α/RBV</w:t>
            </w:r>
          </w:p>
        </w:tc>
        <w:tc>
          <w:tcPr>
            <w:tcW w:w="1472" w:type="dxa"/>
          </w:tcPr>
          <w:p w:rsidR="00D54A9F" w:rsidRPr="00BA1372" w:rsidRDefault="00D54A9F" w:rsidP="00F95AEB">
            <w:pPr>
              <w:rPr>
                <w:position w:val="6"/>
              </w:rPr>
            </w:pPr>
            <w:r w:rsidRPr="00BA1372">
              <w:rPr>
                <w:bCs/>
              </w:rPr>
              <w:t>Total</w:t>
            </w:r>
            <w:r w:rsidRPr="00BA1372">
              <w:rPr>
                <w:bCs/>
                <w:spacing w:val="-5"/>
              </w:rPr>
              <w:t xml:space="preserve"> </w:t>
            </w:r>
            <w:r w:rsidRPr="00BA1372">
              <w:rPr>
                <w:bCs/>
                <w:w w:val="99"/>
              </w:rPr>
              <w:t>ASV</w:t>
            </w:r>
          </w:p>
        </w:tc>
      </w:tr>
      <w:tr w:rsidR="00F95AEB" w:rsidRPr="007876A4" w:rsidTr="00F95AEB">
        <w:tc>
          <w:tcPr>
            <w:tcW w:w="8720" w:type="dxa"/>
            <w:gridSpan w:val="5"/>
          </w:tcPr>
          <w:p w:rsidR="00F95AEB" w:rsidRPr="00BA1372" w:rsidRDefault="00F95AEB" w:rsidP="00F95AEB">
            <w:r w:rsidRPr="00F95AEB">
              <w:rPr>
                <w:b/>
                <w:bCs/>
              </w:rPr>
              <w:t>Pivotal</w:t>
            </w:r>
            <w:r w:rsidRPr="00F95AEB">
              <w:rPr>
                <w:b/>
                <w:bCs/>
                <w:spacing w:val="-5"/>
              </w:rPr>
              <w:t xml:space="preserve"> </w:t>
            </w:r>
            <w:r w:rsidRPr="00F95AEB">
              <w:rPr>
                <w:b/>
                <w:bCs/>
              </w:rPr>
              <w:t>Studies</w:t>
            </w:r>
          </w:p>
        </w:tc>
      </w:tr>
      <w:tr w:rsidR="00D54A9F" w:rsidRPr="007876A4" w:rsidTr="00F95AEB">
        <w:tc>
          <w:tcPr>
            <w:tcW w:w="1852" w:type="dxa"/>
          </w:tcPr>
          <w:p w:rsidR="00D54A9F" w:rsidRPr="00BA1372" w:rsidRDefault="00D54A9F" w:rsidP="00F95AEB">
            <w:r w:rsidRPr="00BA1372">
              <w:rPr>
                <w:spacing w:val="1"/>
              </w:rPr>
              <w:t>AI447028</w:t>
            </w:r>
          </w:p>
        </w:tc>
        <w:tc>
          <w:tcPr>
            <w:tcW w:w="1598" w:type="dxa"/>
          </w:tcPr>
          <w:p w:rsidR="00D54A9F" w:rsidRPr="00BA1372" w:rsidRDefault="00D54A9F" w:rsidP="00F95AEB">
            <w:r w:rsidRPr="00BA1372">
              <w:rPr>
                <w:bCs/>
                <w:spacing w:val="1"/>
              </w:rPr>
              <w:t>645</w:t>
            </w:r>
          </w:p>
        </w:tc>
        <w:tc>
          <w:tcPr>
            <w:tcW w:w="1439" w:type="dxa"/>
          </w:tcPr>
          <w:p w:rsidR="00D54A9F" w:rsidRPr="00BA1372" w:rsidRDefault="00D54A9F" w:rsidP="00F95AEB">
            <w:r w:rsidRPr="00BA1372">
              <w:t>---</w:t>
            </w:r>
          </w:p>
        </w:tc>
        <w:tc>
          <w:tcPr>
            <w:tcW w:w="2359" w:type="dxa"/>
          </w:tcPr>
          <w:p w:rsidR="00D54A9F" w:rsidRPr="00BA1372" w:rsidRDefault="00D54A9F" w:rsidP="00F95AEB">
            <w:r w:rsidRPr="00BA1372">
              <w:t>---</w:t>
            </w:r>
          </w:p>
        </w:tc>
        <w:tc>
          <w:tcPr>
            <w:tcW w:w="1472" w:type="dxa"/>
          </w:tcPr>
          <w:p w:rsidR="00D54A9F" w:rsidRPr="00BA1372" w:rsidRDefault="00D54A9F" w:rsidP="00F95AEB">
            <w:r w:rsidRPr="00BA1372">
              <w:rPr>
                <w:spacing w:val="1"/>
              </w:rPr>
              <w:t>64</w:t>
            </w:r>
            <w:r w:rsidRPr="00BA1372">
              <w:t>5</w:t>
            </w:r>
          </w:p>
        </w:tc>
      </w:tr>
      <w:tr w:rsidR="00D54A9F" w:rsidRPr="007876A4" w:rsidTr="00F95AEB">
        <w:tc>
          <w:tcPr>
            <w:tcW w:w="1852" w:type="dxa"/>
          </w:tcPr>
          <w:p w:rsidR="00D54A9F" w:rsidRPr="00BA1372" w:rsidRDefault="00D54A9F" w:rsidP="00F95AEB">
            <w:r w:rsidRPr="00BA1372">
              <w:rPr>
                <w:spacing w:val="1"/>
              </w:rPr>
              <w:t>AI447026</w:t>
            </w:r>
          </w:p>
        </w:tc>
        <w:tc>
          <w:tcPr>
            <w:tcW w:w="1598" w:type="dxa"/>
          </w:tcPr>
          <w:p w:rsidR="00D54A9F" w:rsidRPr="00BA1372" w:rsidRDefault="00D54A9F" w:rsidP="00F95AEB">
            <w:r w:rsidRPr="00BA1372">
              <w:rPr>
                <w:spacing w:val="1"/>
              </w:rPr>
              <w:t>22</w:t>
            </w:r>
            <w:r w:rsidRPr="00BA1372">
              <w:t>2</w:t>
            </w:r>
          </w:p>
        </w:tc>
        <w:tc>
          <w:tcPr>
            <w:tcW w:w="1439" w:type="dxa"/>
          </w:tcPr>
          <w:p w:rsidR="00D54A9F" w:rsidRPr="00BA1372" w:rsidRDefault="00D54A9F" w:rsidP="00F95AEB">
            <w:r w:rsidRPr="00BA1372">
              <w:t>---</w:t>
            </w:r>
          </w:p>
        </w:tc>
        <w:tc>
          <w:tcPr>
            <w:tcW w:w="2359" w:type="dxa"/>
          </w:tcPr>
          <w:p w:rsidR="00D54A9F" w:rsidRPr="00BA1372" w:rsidRDefault="00D54A9F" w:rsidP="00F95AEB">
            <w:r w:rsidRPr="00BA1372">
              <w:t>---</w:t>
            </w:r>
          </w:p>
        </w:tc>
        <w:tc>
          <w:tcPr>
            <w:tcW w:w="1472" w:type="dxa"/>
          </w:tcPr>
          <w:p w:rsidR="00D54A9F" w:rsidRPr="00BA1372" w:rsidRDefault="00D54A9F" w:rsidP="00F95AEB">
            <w:r w:rsidRPr="00BA1372">
              <w:rPr>
                <w:bCs/>
                <w:spacing w:val="1"/>
              </w:rPr>
              <w:t>222</w:t>
            </w:r>
          </w:p>
        </w:tc>
      </w:tr>
      <w:tr w:rsidR="00D54A9F" w:rsidRPr="007876A4" w:rsidTr="00F95AEB">
        <w:tc>
          <w:tcPr>
            <w:tcW w:w="1852" w:type="dxa"/>
          </w:tcPr>
          <w:p w:rsidR="00D54A9F" w:rsidRPr="00BA1372" w:rsidRDefault="00D54A9F" w:rsidP="00F95AEB">
            <w:pPr>
              <w:rPr>
                <w:spacing w:val="1"/>
              </w:rPr>
            </w:pPr>
            <w:r w:rsidRPr="00BA1372">
              <w:rPr>
                <w:spacing w:val="1"/>
              </w:rPr>
              <w:t>AI447029</w:t>
            </w:r>
          </w:p>
        </w:tc>
        <w:tc>
          <w:tcPr>
            <w:tcW w:w="1598" w:type="dxa"/>
          </w:tcPr>
          <w:p w:rsidR="00D54A9F" w:rsidRPr="00BA1372" w:rsidRDefault="00D54A9F" w:rsidP="00F95AEB">
            <w:pPr>
              <w:rPr>
                <w:spacing w:val="1"/>
              </w:rPr>
            </w:pPr>
            <w:r w:rsidRPr="00BA1372">
              <w:t>---</w:t>
            </w:r>
          </w:p>
        </w:tc>
        <w:tc>
          <w:tcPr>
            <w:tcW w:w="1439" w:type="dxa"/>
          </w:tcPr>
          <w:p w:rsidR="00D54A9F" w:rsidRPr="00BA1372" w:rsidRDefault="00D54A9F" w:rsidP="00F95AEB">
            <w:pPr>
              <w:rPr>
                <w:bCs/>
                <w:w w:val="99"/>
              </w:rPr>
            </w:pPr>
            <w:r w:rsidRPr="00BA1372">
              <w:rPr>
                <w:spacing w:val="1"/>
              </w:rPr>
              <w:t>39</w:t>
            </w:r>
            <w:r w:rsidRPr="00BA1372">
              <w:t>8</w:t>
            </w:r>
          </w:p>
        </w:tc>
        <w:tc>
          <w:tcPr>
            <w:tcW w:w="2359" w:type="dxa"/>
          </w:tcPr>
          <w:p w:rsidR="00D54A9F" w:rsidRPr="00BA1372" w:rsidRDefault="00D54A9F" w:rsidP="00F95AEB">
            <w:pPr>
              <w:rPr>
                <w:noProof/>
              </w:rPr>
            </w:pPr>
            <w:r w:rsidRPr="00BA1372">
              <w:t>---</w:t>
            </w:r>
          </w:p>
        </w:tc>
        <w:tc>
          <w:tcPr>
            <w:tcW w:w="1472" w:type="dxa"/>
          </w:tcPr>
          <w:p w:rsidR="00D54A9F" w:rsidRPr="00BA1372" w:rsidRDefault="00D54A9F" w:rsidP="00F95AEB">
            <w:pPr>
              <w:rPr>
                <w:spacing w:val="1"/>
              </w:rPr>
            </w:pPr>
            <w:r w:rsidRPr="00BA1372">
              <w:rPr>
                <w:bCs/>
                <w:spacing w:val="1"/>
              </w:rPr>
              <w:t>39</w:t>
            </w:r>
            <w:r w:rsidRPr="00BA1372">
              <w:rPr>
                <w:bCs/>
              </w:rPr>
              <w:t>8</w:t>
            </w:r>
          </w:p>
        </w:tc>
      </w:tr>
      <w:tr w:rsidR="00D54A9F" w:rsidRPr="007876A4" w:rsidTr="00F95AEB">
        <w:tc>
          <w:tcPr>
            <w:tcW w:w="8720" w:type="dxa"/>
            <w:gridSpan w:val="5"/>
          </w:tcPr>
          <w:p w:rsidR="00D54A9F" w:rsidRPr="00F95AEB" w:rsidRDefault="00D54A9F" w:rsidP="00F95AEB">
            <w:pPr>
              <w:rPr>
                <w:b/>
                <w:bCs/>
              </w:rPr>
            </w:pPr>
            <w:r w:rsidRPr="00F95AEB">
              <w:rPr>
                <w:b/>
                <w:bCs/>
                <w:w w:val="99"/>
              </w:rPr>
              <w:t xml:space="preserve">Supportive </w:t>
            </w:r>
            <w:r w:rsidRPr="00F95AEB">
              <w:rPr>
                <w:b/>
                <w:bCs/>
              </w:rPr>
              <w:t>Studies</w:t>
            </w:r>
          </w:p>
        </w:tc>
      </w:tr>
      <w:tr w:rsidR="00D54A9F" w:rsidRPr="007876A4" w:rsidTr="00F95AEB">
        <w:tc>
          <w:tcPr>
            <w:tcW w:w="1852" w:type="dxa"/>
          </w:tcPr>
          <w:p w:rsidR="00D54A9F" w:rsidRPr="00BA1372" w:rsidRDefault="00D54A9F" w:rsidP="00F95AEB">
            <w:r w:rsidRPr="00BA1372">
              <w:rPr>
                <w:spacing w:val="1"/>
              </w:rPr>
              <w:t>AI447011</w:t>
            </w:r>
          </w:p>
        </w:tc>
        <w:tc>
          <w:tcPr>
            <w:tcW w:w="1598" w:type="dxa"/>
          </w:tcPr>
          <w:p w:rsidR="00D54A9F" w:rsidRPr="00BA1372" w:rsidRDefault="00D54A9F" w:rsidP="00F95AEB">
            <w:r w:rsidRPr="00BA1372">
              <w:rPr>
                <w:spacing w:val="1"/>
              </w:rPr>
              <w:t>1</w:t>
            </w:r>
            <w:r w:rsidRPr="00BA1372">
              <w:t>8</w:t>
            </w:r>
          </w:p>
        </w:tc>
        <w:tc>
          <w:tcPr>
            <w:tcW w:w="1439" w:type="dxa"/>
          </w:tcPr>
          <w:p w:rsidR="00D54A9F" w:rsidRPr="00BA1372" w:rsidRDefault="00D54A9F" w:rsidP="00F95AEB">
            <w:r w:rsidRPr="00BA1372">
              <w:rPr>
                <w:spacing w:val="1"/>
              </w:rPr>
              <w:t>2</w:t>
            </w:r>
            <w:r w:rsidRPr="00BA1372">
              <w:t>0</w:t>
            </w:r>
          </w:p>
        </w:tc>
        <w:tc>
          <w:tcPr>
            <w:tcW w:w="2359" w:type="dxa"/>
          </w:tcPr>
          <w:p w:rsidR="00D54A9F" w:rsidRPr="00BA1372" w:rsidRDefault="00D54A9F" w:rsidP="00F95AEB">
            <w:r w:rsidRPr="00BA1372">
              <w:t>---</w:t>
            </w:r>
          </w:p>
        </w:tc>
        <w:tc>
          <w:tcPr>
            <w:tcW w:w="1472" w:type="dxa"/>
          </w:tcPr>
          <w:p w:rsidR="00D54A9F" w:rsidRPr="00BA1372" w:rsidRDefault="00D54A9F" w:rsidP="00F95AEB">
            <w:r w:rsidRPr="00BA1372">
              <w:rPr>
                <w:bCs/>
                <w:spacing w:val="1"/>
              </w:rPr>
              <w:t>38</w:t>
            </w:r>
          </w:p>
        </w:tc>
      </w:tr>
      <w:tr w:rsidR="00D54A9F" w:rsidRPr="007876A4" w:rsidTr="00F95AEB">
        <w:tc>
          <w:tcPr>
            <w:tcW w:w="1852" w:type="dxa"/>
          </w:tcPr>
          <w:p w:rsidR="00D54A9F" w:rsidRPr="00BA1372" w:rsidRDefault="00D54A9F" w:rsidP="00F95AEB">
            <w:r w:rsidRPr="00BA1372">
              <w:rPr>
                <w:spacing w:val="1"/>
              </w:rPr>
              <w:t>AI447017</w:t>
            </w:r>
          </w:p>
        </w:tc>
        <w:tc>
          <w:tcPr>
            <w:tcW w:w="1598" w:type="dxa"/>
          </w:tcPr>
          <w:p w:rsidR="00D54A9F" w:rsidRPr="00BA1372" w:rsidRDefault="00D54A9F" w:rsidP="00F95AEB">
            <w:r w:rsidRPr="00BA1372">
              <w:rPr>
                <w:spacing w:val="1"/>
              </w:rPr>
              <w:t>3</w:t>
            </w:r>
            <w:r w:rsidRPr="00BA1372">
              <w:t>3</w:t>
            </w:r>
          </w:p>
        </w:tc>
        <w:tc>
          <w:tcPr>
            <w:tcW w:w="1439" w:type="dxa"/>
          </w:tcPr>
          <w:p w:rsidR="00D54A9F" w:rsidRPr="00BA1372" w:rsidRDefault="00D54A9F" w:rsidP="00F95AEB">
            <w:r w:rsidRPr="00BA1372">
              <w:t>---</w:t>
            </w:r>
          </w:p>
        </w:tc>
        <w:tc>
          <w:tcPr>
            <w:tcW w:w="2359" w:type="dxa"/>
          </w:tcPr>
          <w:p w:rsidR="00D54A9F" w:rsidRPr="00BA1372" w:rsidRDefault="00D54A9F" w:rsidP="00F95AEB">
            <w:r w:rsidRPr="00BA1372">
              <w:t>---</w:t>
            </w:r>
          </w:p>
        </w:tc>
        <w:tc>
          <w:tcPr>
            <w:tcW w:w="1472" w:type="dxa"/>
          </w:tcPr>
          <w:p w:rsidR="00D54A9F" w:rsidRPr="00BA1372" w:rsidRDefault="00D54A9F" w:rsidP="00F95AEB">
            <w:r w:rsidRPr="00BA1372">
              <w:rPr>
                <w:bCs/>
                <w:spacing w:val="1"/>
              </w:rPr>
              <w:t>33</w:t>
            </w:r>
          </w:p>
        </w:tc>
      </w:tr>
      <w:tr w:rsidR="00D54A9F" w:rsidRPr="007876A4" w:rsidTr="00F95AEB">
        <w:tc>
          <w:tcPr>
            <w:tcW w:w="8720" w:type="dxa"/>
            <w:gridSpan w:val="5"/>
          </w:tcPr>
          <w:p w:rsidR="00D54A9F" w:rsidRPr="00F95AEB" w:rsidRDefault="00D54A9F" w:rsidP="00F95AEB">
            <w:pPr>
              <w:rPr>
                <w:b/>
              </w:rPr>
            </w:pPr>
            <w:r w:rsidRPr="00F95AEB">
              <w:rPr>
                <w:b/>
                <w:bCs/>
              </w:rPr>
              <w:t>Other</w:t>
            </w:r>
            <w:r w:rsidRPr="00F95AEB">
              <w:rPr>
                <w:b/>
                <w:bCs/>
                <w:spacing w:val="-9"/>
              </w:rPr>
              <w:t xml:space="preserve"> </w:t>
            </w:r>
            <w:r w:rsidRPr="00F95AEB">
              <w:rPr>
                <w:b/>
                <w:bCs/>
              </w:rPr>
              <w:t>Studies</w:t>
            </w:r>
          </w:p>
        </w:tc>
      </w:tr>
      <w:tr w:rsidR="00D54A9F" w:rsidRPr="007876A4" w:rsidTr="00F95AEB">
        <w:tc>
          <w:tcPr>
            <w:tcW w:w="1852" w:type="dxa"/>
          </w:tcPr>
          <w:p w:rsidR="00D54A9F" w:rsidRPr="00BA1372" w:rsidRDefault="00D54A9F" w:rsidP="00F95AEB">
            <w:pPr>
              <w:rPr>
                <w:spacing w:val="1"/>
              </w:rPr>
            </w:pPr>
            <w:r w:rsidRPr="00BA1372">
              <w:rPr>
                <w:spacing w:val="1"/>
              </w:rPr>
              <w:t>AI447016</w:t>
            </w:r>
          </w:p>
        </w:tc>
        <w:tc>
          <w:tcPr>
            <w:tcW w:w="1598" w:type="dxa"/>
          </w:tcPr>
          <w:p w:rsidR="00D54A9F" w:rsidRPr="00BA1372" w:rsidRDefault="00D54A9F" w:rsidP="00F95AEB">
            <w:r w:rsidRPr="00BA1372">
              <w:t>---</w:t>
            </w:r>
          </w:p>
        </w:tc>
        <w:tc>
          <w:tcPr>
            <w:tcW w:w="1439" w:type="dxa"/>
          </w:tcPr>
          <w:p w:rsidR="00D54A9F" w:rsidRPr="00BA1372" w:rsidRDefault="00D54A9F" w:rsidP="00F95AEB">
            <w:r w:rsidRPr="00BA1372">
              <w:t>---</w:t>
            </w:r>
          </w:p>
        </w:tc>
        <w:tc>
          <w:tcPr>
            <w:tcW w:w="2359" w:type="dxa"/>
          </w:tcPr>
          <w:p w:rsidR="00D54A9F" w:rsidRPr="00BA1372" w:rsidRDefault="00D54A9F" w:rsidP="00F95AEB">
            <w:pPr>
              <w:rPr>
                <w:bCs/>
                <w:spacing w:val="1"/>
              </w:rPr>
            </w:pPr>
            <w:r w:rsidRPr="00BA1372">
              <w:rPr>
                <w:spacing w:val="1"/>
              </w:rPr>
              <w:t>18</w:t>
            </w:r>
            <w:r w:rsidRPr="00BA1372">
              <w:t>9</w:t>
            </w:r>
          </w:p>
        </w:tc>
        <w:tc>
          <w:tcPr>
            <w:tcW w:w="1472" w:type="dxa"/>
          </w:tcPr>
          <w:p w:rsidR="00D54A9F" w:rsidRPr="00BA1372" w:rsidRDefault="00D54A9F" w:rsidP="00F95AEB">
            <w:r w:rsidRPr="00BA1372">
              <w:rPr>
                <w:bCs/>
                <w:spacing w:val="1"/>
              </w:rPr>
              <w:t>189</w:t>
            </w:r>
          </w:p>
        </w:tc>
      </w:tr>
      <w:tr w:rsidR="00D54A9F" w:rsidRPr="007876A4" w:rsidTr="00F95AEB">
        <w:tc>
          <w:tcPr>
            <w:tcW w:w="1852" w:type="dxa"/>
          </w:tcPr>
          <w:p w:rsidR="00D54A9F" w:rsidRPr="00F95AEB" w:rsidRDefault="00D54A9F" w:rsidP="00F95AEB">
            <w:pPr>
              <w:rPr>
                <w:b/>
                <w:spacing w:val="1"/>
              </w:rPr>
            </w:pPr>
            <w:r w:rsidRPr="00F95AEB">
              <w:rPr>
                <w:b/>
                <w:bCs/>
                <w:spacing w:val="1"/>
              </w:rPr>
              <w:t>Tota</w:t>
            </w:r>
            <w:r w:rsidRPr="00F95AEB">
              <w:rPr>
                <w:b/>
                <w:bCs/>
              </w:rPr>
              <w:t>l</w:t>
            </w:r>
            <w:r w:rsidR="000F1CA4" w:rsidRPr="00F95AEB">
              <w:rPr>
                <w:b/>
                <w:bCs/>
              </w:rPr>
              <w:t xml:space="preserve"> </w:t>
            </w:r>
          </w:p>
        </w:tc>
        <w:tc>
          <w:tcPr>
            <w:tcW w:w="1598" w:type="dxa"/>
          </w:tcPr>
          <w:p w:rsidR="00D54A9F" w:rsidRPr="00F95AEB" w:rsidRDefault="00D54A9F" w:rsidP="00F95AEB">
            <w:pPr>
              <w:rPr>
                <w:b/>
              </w:rPr>
            </w:pPr>
            <w:r w:rsidRPr="00F95AEB">
              <w:rPr>
                <w:b/>
                <w:bCs/>
                <w:spacing w:val="1"/>
              </w:rPr>
              <w:t>91</w:t>
            </w:r>
            <w:r w:rsidRPr="00F95AEB">
              <w:rPr>
                <w:b/>
                <w:bCs/>
              </w:rPr>
              <w:t>8</w:t>
            </w:r>
          </w:p>
        </w:tc>
        <w:tc>
          <w:tcPr>
            <w:tcW w:w="1439" w:type="dxa"/>
          </w:tcPr>
          <w:p w:rsidR="00D54A9F" w:rsidRPr="00F95AEB" w:rsidRDefault="00D54A9F" w:rsidP="00F95AEB">
            <w:pPr>
              <w:rPr>
                <w:b/>
              </w:rPr>
            </w:pPr>
            <w:r w:rsidRPr="00F95AEB">
              <w:rPr>
                <w:b/>
                <w:bCs/>
                <w:spacing w:val="1"/>
              </w:rPr>
              <w:t>41</w:t>
            </w:r>
            <w:r w:rsidRPr="00F95AEB">
              <w:rPr>
                <w:b/>
                <w:bCs/>
              </w:rPr>
              <w:t>8</w:t>
            </w:r>
          </w:p>
        </w:tc>
        <w:tc>
          <w:tcPr>
            <w:tcW w:w="2359" w:type="dxa"/>
          </w:tcPr>
          <w:p w:rsidR="00D54A9F" w:rsidRPr="00F95AEB" w:rsidRDefault="00D54A9F" w:rsidP="00F95AEB">
            <w:pPr>
              <w:rPr>
                <w:b/>
                <w:bCs/>
                <w:spacing w:val="1"/>
              </w:rPr>
            </w:pPr>
            <w:r w:rsidRPr="00F95AEB">
              <w:rPr>
                <w:b/>
                <w:bCs/>
                <w:spacing w:val="1"/>
              </w:rPr>
              <w:t>18</w:t>
            </w:r>
            <w:r w:rsidRPr="00F95AEB">
              <w:rPr>
                <w:b/>
                <w:bCs/>
              </w:rPr>
              <w:t>9</w:t>
            </w:r>
          </w:p>
        </w:tc>
        <w:tc>
          <w:tcPr>
            <w:tcW w:w="1472" w:type="dxa"/>
          </w:tcPr>
          <w:p w:rsidR="00D54A9F" w:rsidRPr="00F95AEB" w:rsidRDefault="00D54A9F" w:rsidP="00F95AEB">
            <w:pPr>
              <w:rPr>
                <w:b/>
              </w:rPr>
            </w:pPr>
            <w:r w:rsidRPr="00F95AEB">
              <w:rPr>
                <w:b/>
                <w:bCs/>
                <w:spacing w:val="1"/>
              </w:rPr>
              <w:t>1,52</w:t>
            </w:r>
            <w:r w:rsidRPr="00F95AEB">
              <w:rPr>
                <w:b/>
                <w:bCs/>
              </w:rPr>
              <w:t>5</w:t>
            </w:r>
          </w:p>
        </w:tc>
      </w:tr>
    </w:tbl>
    <w:p w:rsidR="00D54A9F" w:rsidRPr="00CB18E3" w:rsidRDefault="00D54A9F" w:rsidP="00F95AEB">
      <w:pPr>
        <w:pStyle w:val="TableDescription"/>
      </w:pPr>
      <w:r w:rsidRPr="00CB18E3">
        <w:t xml:space="preserve">Safety data from DCV 60 mg QD in combination with a dose of ASV other than ASV 100 mg BD </w:t>
      </w:r>
      <w:proofErr w:type="spellStart"/>
      <w:r w:rsidRPr="00CB18E3">
        <w:t>softgel</w:t>
      </w:r>
      <w:proofErr w:type="spellEnd"/>
      <w:r>
        <w:t xml:space="preserve"> </w:t>
      </w:r>
      <w:r w:rsidRPr="00CB18E3">
        <w:t>capsule or ASV 200 mg BD (</w:t>
      </w:r>
      <w:r w:rsidR="008255A1">
        <w:t>that is,</w:t>
      </w:r>
      <w:r w:rsidRPr="00CB18E3">
        <w:t xml:space="preserve"> ASV at 600 mg BD and ASV at 200 mg QD) are not integrated in the overall</w:t>
      </w:r>
      <w:r>
        <w:t xml:space="preserve"> </w:t>
      </w:r>
      <w:r w:rsidRPr="00CB18E3">
        <w:t xml:space="preserve">by-regimen safety analyses; </w:t>
      </w:r>
      <w:r w:rsidRPr="00C95499">
        <w:t>however, these data are summarised by cohort in this S</w:t>
      </w:r>
      <w:r w:rsidR="00C95499" w:rsidRPr="00C95499">
        <w:t xml:space="preserve">ummary of </w:t>
      </w:r>
      <w:r w:rsidRPr="00C95499">
        <w:t>C</w:t>
      </w:r>
      <w:r w:rsidR="00C95499" w:rsidRPr="00C95499">
        <w:t xml:space="preserve">linical </w:t>
      </w:r>
      <w:r w:rsidRPr="00C95499">
        <w:t>S</w:t>
      </w:r>
      <w:r w:rsidR="00C95499" w:rsidRPr="00C95499">
        <w:t>afety (SCS)</w:t>
      </w:r>
      <w:r w:rsidRPr="00C95499">
        <w:t>.</w:t>
      </w:r>
    </w:p>
    <w:p w:rsidR="00E8193F" w:rsidRDefault="008255A1" w:rsidP="008255A1">
      <w:pPr>
        <w:pStyle w:val="TableTitle"/>
      </w:pPr>
      <w:r>
        <w:t>T</w:t>
      </w:r>
      <w:r w:rsidR="00E8193F">
        <w:t>able 1</w:t>
      </w:r>
      <w:r>
        <w:t>2</w:t>
      </w:r>
      <w:r w:rsidR="00E8193F">
        <w:t xml:space="preserve">: Exposure to </w:t>
      </w:r>
      <w:proofErr w:type="spellStart"/>
      <w:r w:rsidR="00E8193F">
        <w:t>asunaprevir</w:t>
      </w:r>
      <w:proofErr w:type="spellEnd"/>
      <w:r w:rsidR="00E8193F">
        <w:t xml:space="preserve"> in clinical studies according to dose and duration</w:t>
      </w:r>
    </w:p>
    <w:tbl>
      <w:tblPr>
        <w:tblStyle w:val="TableTGAblue"/>
        <w:tblW w:w="0" w:type="auto"/>
        <w:tblLook w:val="04A0" w:firstRow="1" w:lastRow="0" w:firstColumn="1" w:lastColumn="0" w:noHBand="0" w:noVBand="1"/>
      </w:tblPr>
      <w:tblGrid>
        <w:gridCol w:w="1505"/>
        <w:gridCol w:w="2421"/>
        <w:gridCol w:w="2466"/>
        <w:gridCol w:w="2328"/>
      </w:tblGrid>
      <w:tr w:rsidR="008255A1" w:rsidTr="00F95AEB">
        <w:trPr>
          <w:cnfStyle w:val="100000000000" w:firstRow="1" w:lastRow="0" w:firstColumn="0" w:lastColumn="0" w:oddVBand="0" w:evenVBand="0" w:oddHBand="0" w:evenHBand="0" w:firstRowFirstColumn="0" w:firstRowLastColumn="0" w:lastRowFirstColumn="0" w:lastRowLastColumn="0"/>
        </w:trPr>
        <w:tc>
          <w:tcPr>
            <w:tcW w:w="1506" w:type="dxa"/>
          </w:tcPr>
          <w:p w:rsidR="008255A1" w:rsidRPr="00BA1372" w:rsidRDefault="008255A1" w:rsidP="00F95AEB">
            <w:pPr>
              <w:rPr>
                <w:b w:val="0"/>
              </w:rPr>
            </w:pPr>
            <w:r w:rsidRPr="00BA1372">
              <w:rPr>
                <w:b w:val="0"/>
              </w:rPr>
              <w:t>Study</w:t>
            </w:r>
          </w:p>
        </w:tc>
        <w:tc>
          <w:tcPr>
            <w:tcW w:w="2595" w:type="dxa"/>
          </w:tcPr>
          <w:p w:rsidR="008255A1" w:rsidRPr="00BA1372" w:rsidRDefault="008255A1" w:rsidP="00F95AEB">
            <w:pPr>
              <w:rPr>
                <w:b w:val="0"/>
              </w:rPr>
            </w:pPr>
            <w:r w:rsidRPr="00BA1372">
              <w:rPr>
                <w:b w:val="0"/>
              </w:rPr>
              <w:t>DCV median dose (range)</w:t>
            </w:r>
          </w:p>
        </w:tc>
        <w:tc>
          <w:tcPr>
            <w:tcW w:w="2647" w:type="dxa"/>
          </w:tcPr>
          <w:p w:rsidR="008255A1" w:rsidRPr="00BA1372" w:rsidRDefault="008255A1" w:rsidP="00F95AEB">
            <w:pPr>
              <w:rPr>
                <w:b w:val="0"/>
              </w:rPr>
            </w:pPr>
            <w:r w:rsidRPr="00BA1372">
              <w:rPr>
                <w:b w:val="0"/>
              </w:rPr>
              <w:t>ASV median dose (range)</w:t>
            </w:r>
          </w:p>
        </w:tc>
        <w:tc>
          <w:tcPr>
            <w:tcW w:w="2471" w:type="dxa"/>
          </w:tcPr>
          <w:p w:rsidR="008255A1" w:rsidRPr="00BA1372" w:rsidRDefault="008255A1" w:rsidP="00F95AEB">
            <w:pPr>
              <w:rPr>
                <w:b w:val="0"/>
              </w:rPr>
            </w:pPr>
            <w:r w:rsidRPr="00BA1372">
              <w:rPr>
                <w:b w:val="0"/>
              </w:rPr>
              <w:t>Median duration (weeks)</w:t>
            </w:r>
          </w:p>
        </w:tc>
      </w:tr>
      <w:tr w:rsidR="008255A1" w:rsidTr="00F95AEB">
        <w:tc>
          <w:tcPr>
            <w:tcW w:w="1506" w:type="dxa"/>
          </w:tcPr>
          <w:p w:rsidR="008255A1" w:rsidRPr="00BA1372" w:rsidRDefault="008255A1" w:rsidP="00F95AEB">
            <w:r w:rsidRPr="00BA1372">
              <w:rPr>
                <w:rFonts w:eastAsia="TimesNewRoman" w:cs="TimesNewRoman"/>
              </w:rPr>
              <w:t>AI447028 and AI447026</w:t>
            </w:r>
          </w:p>
        </w:tc>
        <w:tc>
          <w:tcPr>
            <w:tcW w:w="2595" w:type="dxa"/>
          </w:tcPr>
          <w:p w:rsidR="00F95AEB" w:rsidRDefault="008255A1" w:rsidP="00F95AEB">
            <w:pPr>
              <w:rPr>
                <w:rFonts w:eastAsia="TimesNewRoman" w:cs="TimesNewRoman"/>
              </w:rPr>
            </w:pPr>
            <w:r w:rsidRPr="00BA1372">
              <w:rPr>
                <w:rFonts w:eastAsia="TimesNewRoman" w:cs="TimesNewRoman"/>
              </w:rPr>
              <w:t>60 mg</w:t>
            </w:r>
          </w:p>
          <w:p w:rsidR="008255A1" w:rsidRPr="00BA1372" w:rsidRDefault="008255A1" w:rsidP="00F95AEB">
            <w:r w:rsidRPr="00BA1372">
              <w:rPr>
                <w:rFonts w:eastAsia="TimesNewRoman" w:cs="TimesNewRoman"/>
              </w:rPr>
              <w:t>(51.1 - 80.5 mg)</w:t>
            </w:r>
          </w:p>
        </w:tc>
        <w:tc>
          <w:tcPr>
            <w:tcW w:w="2647" w:type="dxa"/>
          </w:tcPr>
          <w:p w:rsidR="008255A1" w:rsidRPr="00BA1372" w:rsidRDefault="008255A1" w:rsidP="00F95AEB">
            <w:pPr>
              <w:rPr>
                <w:rFonts w:eastAsia="TimesNewRoman" w:cs="TimesNewRoman"/>
              </w:rPr>
            </w:pPr>
            <w:r w:rsidRPr="00BA1372">
              <w:rPr>
                <w:rFonts w:eastAsia="TimesNewRoman" w:cs="TimesNewRoman"/>
              </w:rPr>
              <w:t>200 mg*</w:t>
            </w:r>
          </w:p>
          <w:p w:rsidR="008255A1" w:rsidRPr="00BA1372" w:rsidRDefault="008255A1" w:rsidP="00F95AEB">
            <w:r w:rsidRPr="00BA1372">
              <w:rPr>
                <w:rFonts w:eastAsia="TimesNewRoman" w:cs="TimesNewRoman"/>
              </w:rPr>
              <w:t>(157.0 - 210.7 mg)</w:t>
            </w:r>
          </w:p>
        </w:tc>
        <w:tc>
          <w:tcPr>
            <w:tcW w:w="2471" w:type="dxa"/>
          </w:tcPr>
          <w:p w:rsidR="008255A1" w:rsidRPr="00BA1372" w:rsidRDefault="008255A1" w:rsidP="00F95AEB">
            <w:pPr>
              <w:rPr>
                <w:rFonts w:eastAsia="TimesNewRoman" w:cs="TimesNewRoman"/>
              </w:rPr>
            </w:pPr>
            <w:r w:rsidRPr="00BA1372">
              <w:rPr>
                <w:rFonts w:eastAsia="TimesNewRoman" w:cs="TimesNewRoman"/>
              </w:rPr>
              <w:t>24</w:t>
            </w:r>
          </w:p>
          <w:p w:rsidR="008255A1" w:rsidRPr="00BA1372" w:rsidRDefault="008255A1" w:rsidP="00F95AEB">
            <w:r w:rsidRPr="00BA1372">
              <w:rPr>
                <w:rFonts w:eastAsia="TimesNewRoman" w:cs="TimesNewRoman"/>
              </w:rPr>
              <w:t>(0.3 - 28.7)</w:t>
            </w:r>
          </w:p>
        </w:tc>
      </w:tr>
      <w:tr w:rsidR="008255A1" w:rsidTr="00F95AEB">
        <w:tc>
          <w:tcPr>
            <w:tcW w:w="1506" w:type="dxa"/>
          </w:tcPr>
          <w:p w:rsidR="008255A1" w:rsidRPr="00BA1372" w:rsidRDefault="008255A1" w:rsidP="00F95AEB">
            <w:r w:rsidRPr="00BA1372">
              <w:rPr>
                <w:rFonts w:eastAsia="TimesNewRoman" w:cs="TimesNewRoman"/>
              </w:rPr>
              <w:t>AI447017 and AI447011</w:t>
            </w:r>
          </w:p>
        </w:tc>
        <w:tc>
          <w:tcPr>
            <w:tcW w:w="2595" w:type="dxa"/>
          </w:tcPr>
          <w:p w:rsidR="008255A1" w:rsidRPr="00BA1372" w:rsidRDefault="008255A1" w:rsidP="00F95AEB">
            <w:pPr>
              <w:rPr>
                <w:rFonts w:eastAsia="TimesNewRoman" w:cs="TimesNewRoman"/>
              </w:rPr>
            </w:pPr>
            <w:r w:rsidRPr="00BA1372">
              <w:rPr>
                <w:rFonts w:eastAsia="TimesNewRoman" w:cs="TimesNewRoman"/>
              </w:rPr>
              <w:t>60 mg</w:t>
            </w:r>
          </w:p>
          <w:p w:rsidR="008255A1" w:rsidRPr="00BA1372" w:rsidRDefault="008255A1" w:rsidP="00F95AEB">
            <w:r w:rsidRPr="00BA1372">
              <w:rPr>
                <w:rFonts w:eastAsia="TimesNewRoman" w:cs="TimesNewRoman"/>
              </w:rPr>
              <w:t>(57.0 - 60.0 mg)</w:t>
            </w:r>
          </w:p>
        </w:tc>
        <w:tc>
          <w:tcPr>
            <w:tcW w:w="2647" w:type="dxa"/>
          </w:tcPr>
          <w:p w:rsidR="008255A1" w:rsidRPr="00BA1372" w:rsidRDefault="008255A1" w:rsidP="00F95AEB">
            <w:pPr>
              <w:rPr>
                <w:rFonts w:eastAsia="TimesNewRoman" w:cs="TimesNewRoman"/>
              </w:rPr>
            </w:pPr>
            <w:r w:rsidRPr="00BA1372">
              <w:rPr>
                <w:rFonts w:eastAsia="TimesNewRoman" w:cs="TimesNewRoman"/>
              </w:rPr>
              <w:t>400 mg*</w:t>
            </w:r>
          </w:p>
          <w:p w:rsidR="008255A1" w:rsidRPr="00BA1372" w:rsidRDefault="008255A1" w:rsidP="00F95AEB">
            <w:r w:rsidRPr="00BA1372">
              <w:rPr>
                <w:rFonts w:eastAsia="TimesNewRoman" w:cs="TimesNewRoman"/>
              </w:rPr>
              <w:t>(346.4 - 400.0 mg)</w:t>
            </w:r>
          </w:p>
        </w:tc>
        <w:tc>
          <w:tcPr>
            <w:tcW w:w="2471" w:type="dxa"/>
          </w:tcPr>
          <w:p w:rsidR="008255A1" w:rsidRPr="00BA1372" w:rsidRDefault="008255A1" w:rsidP="00F95AEB">
            <w:pPr>
              <w:rPr>
                <w:rFonts w:eastAsia="TimesNewRoman" w:cs="TimesNewRoman"/>
              </w:rPr>
            </w:pPr>
            <w:r w:rsidRPr="00BA1372">
              <w:rPr>
                <w:rFonts w:eastAsia="TimesNewRoman" w:cs="TimesNewRoman"/>
              </w:rPr>
              <w:t>24</w:t>
            </w:r>
          </w:p>
          <w:p w:rsidR="008255A1" w:rsidRPr="00BA1372" w:rsidRDefault="008255A1" w:rsidP="00F95AEB">
            <w:r w:rsidRPr="00BA1372">
              <w:rPr>
                <w:rFonts w:eastAsia="TimesNewRoman" w:cs="TimesNewRoman"/>
              </w:rPr>
              <w:t>(0.3 - 28.7)</w:t>
            </w:r>
          </w:p>
        </w:tc>
      </w:tr>
    </w:tbl>
    <w:p w:rsidR="008255A1" w:rsidRPr="008255A1" w:rsidRDefault="008255A1" w:rsidP="00F95AEB">
      <w:pPr>
        <w:pStyle w:val="TableDescription"/>
      </w:pPr>
      <w:r w:rsidRPr="008255A1">
        <w:t xml:space="preserve">* In </w:t>
      </w:r>
      <w:r>
        <w:t>S</w:t>
      </w:r>
      <w:r w:rsidRPr="008255A1">
        <w:t xml:space="preserve">tudies AI447028 and AI447026 ASV soft gel capsules were used. In </w:t>
      </w:r>
      <w:r>
        <w:t>S</w:t>
      </w:r>
      <w:r w:rsidRPr="008255A1">
        <w:t>tudies AI447017 and AI447011 ASV tablets were used – doses are stated to be comparable.</w:t>
      </w:r>
    </w:p>
    <w:p w:rsidR="008255A1" w:rsidRPr="000B1845" w:rsidRDefault="008255A1" w:rsidP="008255A1">
      <w:pPr>
        <w:pStyle w:val="TableTitle"/>
      </w:pPr>
      <w:r>
        <w:lastRenderedPageBreak/>
        <w:t xml:space="preserve">Table 13: </w:t>
      </w:r>
      <w:r w:rsidRPr="000B1845">
        <w:t>DCV Quad Regimen</w:t>
      </w:r>
    </w:p>
    <w:tbl>
      <w:tblPr>
        <w:tblStyle w:val="TableTGAblue"/>
        <w:tblW w:w="5038" w:type="pct"/>
        <w:tblLook w:val="04A0" w:firstRow="1" w:lastRow="0" w:firstColumn="1" w:lastColumn="0" w:noHBand="0" w:noVBand="1"/>
      </w:tblPr>
      <w:tblGrid>
        <w:gridCol w:w="1496"/>
        <w:gridCol w:w="1552"/>
        <w:gridCol w:w="1648"/>
        <w:gridCol w:w="1363"/>
        <w:gridCol w:w="1353"/>
        <w:gridCol w:w="1374"/>
      </w:tblGrid>
      <w:tr w:rsidR="008255A1" w:rsidRPr="00A14D96" w:rsidTr="00F95AEB">
        <w:trPr>
          <w:cnfStyle w:val="100000000000" w:firstRow="1" w:lastRow="0" w:firstColumn="0" w:lastColumn="0" w:oddVBand="0" w:evenVBand="0" w:oddHBand="0" w:evenHBand="0" w:firstRowFirstColumn="0" w:firstRowLastColumn="0" w:lastRowFirstColumn="0" w:lastRowLastColumn="0"/>
        </w:trPr>
        <w:tc>
          <w:tcPr>
            <w:tcW w:w="589" w:type="pct"/>
          </w:tcPr>
          <w:p w:rsidR="008255A1" w:rsidRPr="00BA1372" w:rsidRDefault="008255A1" w:rsidP="00F95AEB">
            <w:pPr>
              <w:rPr>
                <w:b w:val="0"/>
              </w:rPr>
            </w:pPr>
            <w:r w:rsidRPr="00BA1372">
              <w:rPr>
                <w:b w:val="0"/>
              </w:rPr>
              <w:t>Study</w:t>
            </w:r>
          </w:p>
        </w:tc>
        <w:tc>
          <w:tcPr>
            <w:tcW w:w="938" w:type="pct"/>
          </w:tcPr>
          <w:p w:rsidR="008255A1" w:rsidRPr="00BA1372" w:rsidRDefault="008255A1" w:rsidP="00F95AEB">
            <w:pPr>
              <w:rPr>
                <w:b w:val="0"/>
              </w:rPr>
            </w:pPr>
            <w:r w:rsidRPr="00BA1372">
              <w:rPr>
                <w:b w:val="0"/>
              </w:rPr>
              <w:t>DCV median dose</w:t>
            </w:r>
            <w:r w:rsidR="000F1CA4" w:rsidRPr="00BA1372">
              <w:rPr>
                <w:b w:val="0"/>
              </w:rPr>
              <w:t xml:space="preserve"> </w:t>
            </w:r>
            <w:r w:rsidRPr="00BA1372">
              <w:rPr>
                <w:b w:val="0"/>
              </w:rPr>
              <w:t>(range)</w:t>
            </w:r>
          </w:p>
        </w:tc>
        <w:tc>
          <w:tcPr>
            <w:tcW w:w="992" w:type="pct"/>
          </w:tcPr>
          <w:p w:rsidR="008255A1" w:rsidRPr="00BA1372" w:rsidRDefault="008255A1" w:rsidP="00F95AEB">
            <w:pPr>
              <w:rPr>
                <w:b w:val="0"/>
              </w:rPr>
            </w:pPr>
            <w:r w:rsidRPr="00BA1372">
              <w:rPr>
                <w:b w:val="0"/>
              </w:rPr>
              <w:t>ASV median dose</w:t>
            </w:r>
          </w:p>
          <w:p w:rsidR="008255A1" w:rsidRPr="00BA1372" w:rsidRDefault="008255A1" w:rsidP="00F95AEB">
            <w:pPr>
              <w:rPr>
                <w:b w:val="0"/>
              </w:rPr>
            </w:pPr>
            <w:r w:rsidRPr="00BA1372">
              <w:rPr>
                <w:b w:val="0"/>
              </w:rPr>
              <w:t>(range)</w:t>
            </w:r>
          </w:p>
        </w:tc>
        <w:tc>
          <w:tcPr>
            <w:tcW w:w="776" w:type="pct"/>
          </w:tcPr>
          <w:p w:rsidR="008255A1" w:rsidRPr="00BA1372" w:rsidRDefault="008255A1" w:rsidP="00F95AEB">
            <w:pPr>
              <w:rPr>
                <w:b w:val="0"/>
              </w:rPr>
            </w:pPr>
            <w:proofErr w:type="spellStart"/>
            <w:r w:rsidRPr="00BA1372">
              <w:rPr>
                <w:b w:val="0"/>
              </w:rPr>
              <w:t>PegIFN</w:t>
            </w:r>
            <w:proofErr w:type="spellEnd"/>
            <w:r w:rsidRPr="00BA1372">
              <w:rPr>
                <w:b w:val="0"/>
              </w:rPr>
              <w:t>α median dose</w:t>
            </w:r>
          </w:p>
          <w:p w:rsidR="008255A1" w:rsidRPr="00BA1372" w:rsidRDefault="008255A1" w:rsidP="00F95AEB">
            <w:pPr>
              <w:rPr>
                <w:b w:val="0"/>
              </w:rPr>
            </w:pPr>
            <w:r w:rsidRPr="00BA1372">
              <w:rPr>
                <w:b w:val="0"/>
              </w:rPr>
              <w:t>(range)</w:t>
            </w:r>
          </w:p>
        </w:tc>
        <w:tc>
          <w:tcPr>
            <w:tcW w:w="875" w:type="pct"/>
          </w:tcPr>
          <w:p w:rsidR="008255A1" w:rsidRPr="00BA1372" w:rsidRDefault="008255A1" w:rsidP="00F95AEB">
            <w:pPr>
              <w:rPr>
                <w:b w:val="0"/>
              </w:rPr>
            </w:pPr>
            <w:r w:rsidRPr="00BA1372">
              <w:rPr>
                <w:b w:val="0"/>
              </w:rPr>
              <w:t>RBV median dose*</w:t>
            </w:r>
          </w:p>
          <w:p w:rsidR="008255A1" w:rsidRPr="00BA1372" w:rsidRDefault="008255A1" w:rsidP="00F95AEB">
            <w:pPr>
              <w:rPr>
                <w:b w:val="0"/>
              </w:rPr>
            </w:pPr>
            <w:r w:rsidRPr="00BA1372">
              <w:rPr>
                <w:b w:val="0"/>
              </w:rPr>
              <w:t>(range)</w:t>
            </w:r>
          </w:p>
        </w:tc>
        <w:tc>
          <w:tcPr>
            <w:tcW w:w="830" w:type="pct"/>
          </w:tcPr>
          <w:p w:rsidR="008255A1" w:rsidRPr="00BA1372" w:rsidRDefault="008255A1" w:rsidP="00F95AEB">
            <w:pPr>
              <w:rPr>
                <w:b w:val="0"/>
              </w:rPr>
            </w:pPr>
            <w:r w:rsidRPr="00BA1372">
              <w:rPr>
                <w:b w:val="0"/>
              </w:rPr>
              <w:t>Median duration</w:t>
            </w:r>
          </w:p>
          <w:p w:rsidR="008255A1" w:rsidRPr="00BA1372" w:rsidRDefault="008255A1" w:rsidP="00F95AEB">
            <w:pPr>
              <w:rPr>
                <w:b w:val="0"/>
              </w:rPr>
            </w:pPr>
            <w:r w:rsidRPr="00BA1372">
              <w:rPr>
                <w:b w:val="0"/>
              </w:rPr>
              <w:t>(Weeks)</w:t>
            </w:r>
          </w:p>
        </w:tc>
      </w:tr>
      <w:tr w:rsidR="008255A1" w:rsidTr="00F95AEB">
        <w:tc>
          <w:tcPr>
            <w:tcW w:w="589" w:type="pct"/>
          </w:tcPr>
          <w:p w:rsidR="008255A1" w:rsidRPr="00BA1372" w:rsidRDefault="008255A1" w:rsidP="00F95AEB">
            <w:r w:rsidRPr="00BA1372">
              <w:rPr>
                <w:rFonts w:eastAsia="TimesNewRoman" w:cs="TimesNewRoman"/>
              </w:rPr>
              <w:t>AI447029</w:t>
            </w:r>
          </w:p>
        </w:tc>
        <w:tc>
          <w:tcPr>
            <w:tcW w:w="938" w:type="pct"/>
          </w:tcPr>
          <w:p w:rsidR="008255A1" w:rsidRPr="00BA1372" w:rsidRDefault="008255A1" w:rsidP="00F95AEB">
            <w:pPr>
              <w:rPr>
                <w:rFonts w:eastAsia="TimesNewRoman" w:cs="TimesNewRoman"/>
              </w:rPr>
            </w:pPr>
            <w:r w:rsidRPr="00BA1372">
              <w:rPr>
                <w:rFonts w:eastAsia="TimesNewRoman" w:cs="TimesNewRoman"/>
              </w:rPr>
              <w:t>60 mg</w:t>
            </w:r>
          </w:p>
          <w:p w:rsidR="008255A1" w:rsidRPr="00BA1372" w:rsidRDefault="008255A1" w:rsidP="00F95AEB">
            <w:r w:rsidRPr="00BA1372">
              <w:rPr>
                <w:rFonts w:eastAsia="TimesNewRoman" w:cs="TimesNewRoman"/>
              </w:rPr>
              <w:t>(48.6 - 64.9 mg)</w:t>
            </w:r>
          </w:p>
        </w:tc>
        <w:tc>
          <w:tcPr>
            <w:tcW w:w="992" w:type="pct"/>
          </w:tcPr>
          <w:p w:rsidR="008255A1" w:rsidRPr="00BA1372" w:rsidRDefault="008255A1" w:rsidP="00F95AEB">
            <w:pPr>
              <w:rPr>
                <w:rFonts w:eastAsia="TimesNewRoman" w:cs="TimesNewRoman"/>
              </w:rPr>
            </w:pPr>
            <w:r w:rsidRPr="00BA1372">
              <w:rPr>
                <w:rFonts w:eastAsia="TimesNewRoman" w:cs="TimesNewRoman"/>
              </w:rPr>
              <w:t>200 mg*</w:t>
            </w:r>
          </w:p>
          <w:p w:rsidR="008255A1" w:rsidRPr="00BA1372" w:rsidRDefault="008255A1" w:rsidP="00F95AEB">
            <w:r w:rsidRPr="00BA1372">
              <w:rPr>
                <w:rFonts w:eastAsia="TimesNewRoman" w:cs="TimesNewRoman"/>
              </w:rPr>
              <w:t>(100.0 - 203.0 mg)</w:t>
            </w:r>
          </w:p>
        </w:tc>
        <w:tc>
          <w:tcPr>
            <w:tcW w:w="776" w:type="pct"/>
          </w:tcPr>
          <w:p w:rsidR="008255A1" w:rsidRPr="00BA1372" w:rsidRDefault="008255A1" w:rsidP="00F95AEB">
            <w:pPr>
              <w:rPr>
                <w:rFonts w:eastAsia="TimesNewRoman" w:cs="TimesNewRoman"/>
              </w:rPr>
            </w:pPr>
            <w:r w:rsidRPr="00BA1372">
              <w:rPr>
                <w:rFonts w:eastAsia="TimesNewRoman" w:cs="TimesNewRoman"/>
              </w:rPr>
              <w:t xml:space="preserve">180 </w:t>
            </w:r>
            <w:proofErr w:type="spellStart"/>
            <w:r w:rsidRPr="00BA1372">
              <w:rPr>
                <w:rFonts w:eastAsia="TimesNewRoman" w:cs="TimesNewRoman"/>
              </w:rPr>
              <w:t>μg</w:t>
            </w:r>
            <w:proofErr w:type="spellEnd"/>
          </w:p>
          <w:p w:rsidR="008255A1" w:rsidRPr="00BA1372" w:rsidRDefault="008255A1" w:rsidP="00F95AEB">
            <w:pPr>
              <w:rPr>
                <w:rFonts w:eastAsia="TimesNewRoman" w:cs="TimesNewRoman"/>
              </w:rPr>
            </w:pPr>
            <w:r w:rsidRPr="00BA1372">
              <w:rPr>
                <w:rFonts w:eastAsia="TimesNewRoman" w:cs="TimesNewRoman"/>
              </w:rPr>
              <w:t>(73.8 - 187.5)</w:t>
            </w:r>
          </w:p>
        </w:tc>
        <w:tc>
          <w:tcPr>
            <w:tcW w:w="875" w:type="pct"/>
          </w:tcPr>
          <w:p w:rsidR="008255A1" w:rsidRPr="00BA1372" w:rsidRDefault="008255A1" w:rsidP="00F95AEB">
            <w:pPr>
              <w:rPr>
                <w:rFonts w:eastAsia="TimesNewRoman" w:cs="TimesNewRoman"/>
              </w:rPr>
            </w:pPr>
            <w:r w:rsidRPr="00BA1372">
              <w:rPr>
                <w:rFonts w:eastAsia="TimesNewRoman" w:cs="TimesNewRoman"/>
              </w:rPr>
              <w:t>1056.7 mg (422.2 - 1200.0)</w:t>
            </w:r>
          </w:p>
        </w:tc>
        <w:tc>
          <w:tcPr>
            <w:tcW w:w="830" w:type="pct"/>
          </w:tcPr>
          <w:p w:rsidR="008255A1" w:rsidRPr="00BA1372" w:rsidRDefault="008255A1" w:rsidP="00F95AEB">
            <w:pPr>
              <w:rPr>
                <w:rFonts w:eastAsia="TimesNewRoman" w:cs="TimesNewRoman"/>
              </w:rPr>
            </w:pPr>
            <w:r w:rsidRPr="00BA1372">
              <w:rPr>
                <w:rFonts w:eastAsia="TimesNewRoman" w:cs="TimesNewRoman"/>
              </w:rPr>
              <w:t>24.0</w:t>
            </w:r>
          </w:p>
          <w:p w:rsidR="008255A1" w:rsidRPr="00BA1372" w:rsidRDefault="008255A1" w:rsidP="00F95AEB">
            <w:pPr>
              <w:rPr>
                <w:rFonts w:eastAsia="TimesNewRoman" w:cs="TimesNewRoman"/>
              </w:rPr>
            </w:pPr>
            <w:r w:rsidRPr="00BA1372">
              <w:rPr>
                <w:rFonts w:eastAsia="TimesNewRoman" w:cs="TimesNewRoman"/>
              </w:rPr>
              <w:t>(4.0 - 25.0)</w:t>
            </w:r>
          </w:p>
        </w:tc>
      </w:tr>
      <w:tr w:rsidR="008255A1" w:rsidTr="00F95AEB">
        <w:tc>
          <w:tcPr>
            <w:tcW w:w="589" w:type="pct"/>
          </w:tcPr>
          <w:p w:rsidR="008255A1" w:rsidRPr="00BA1372" w:rsidRDefault="008255A1" w:rsidP="00F95AEB">
            <w:pPr>
              <w:rPr>
                <w:rFonts w:eastAsia="TimesNewRoman" w:cs="TimesNewRoman"/>
              </w:rPr>
            </w:pPr>
            <w:r w:rsidRPr="00BA1372">
              <w:rPr>
                <w:rFonts w:eastAsia="TimesNewRoman" w:cs="TimesNewRoman"/>
              </w:rPr>
              <w:t>AI447011</w:t>
            </w:r>
          </w:p>
          <w:p w:rsidR="008255A1" w:rsidRPr="00BA1372" w:rsidRDefault="008255A1" w:rsidP="00F95AEB">
            <w:pPr>
              <w:rPr>
                <w:rFonts w:eastAsia="TimesNewRoman" w:cs="TimesNewRoman"/>
              </w:rPr>
            </w:pPr>
            <w:r w:rsidRPr="00BA1372">
              <w:rPr>
                <w:rFonts w:eastAsia="TimesNewRoman" w:cs="TimesNewRoman"/>
              </w:rPr>
              <w:t>(Group B1)</w:t>
            </w:r>
          </w:p>
        </w:tc>
        <w:tc>
          <w:tcPr>
            <w:tcW w:w="938" w:type="pct"/>
          </w:tcPr>
          <w:p w:rsidR="008255A1" w:rsidRPr="00BA1372" w:rsidRDefault="008255A1" w:rsidP="00F95AEB">
            <w:pPr>
              <w:rPr>
                <w:rFonts w:eastAsia="TimesNewRoman" w:cs="TimesNewRoman"/>
              </w:rPr>
            </w:pPr>
            <w:r w:rsidRPr="00BA1372">
              <w:rPr>
                <w:rFonts w:eastAsia="TimesNewRoman" w:cs="TimesNewRoman"/>
              </w:rPr>
              <w:t>60.0 mg</w:t>
            </w:r>
          </w:p>
          <w:p w:rsidR="008255A1" w:rsidRPr="00BA1372" w:rsidRDefault="008255A1" w:rsidP="00F95AEB">
            <w:pPr>
              <w:rPr>
                <w:rFonts w:eastAsia="TimesNewRoman" w:cs="TimesNewRoman"/>
              </w:rPr>
            </w:pPr>
            <w:r w:rsidRPr="00BA1372">
              <w:rPr>
                <w:rFonts w:eastAsia="TimesNewRoman" w:cs="TimesNewRoman"/>
              </w:rPr>
              <w:t>(55.5 - 65.9)</w:t>
            </w:r>
          </w:p>
        </w:tc>
        <w:tc>
          <w:tcPr>
            <w:tcW w:w="992" w:type="pct"/>
          </w:tcPr>
          <w:p w:rsidR="008255A1" w:rsidRPr="00BA1372" w:rsidRDefault="008255A1" w:rsidP="00F95AEB">
            <w:pPr>
              <w:rPr>
                <w:rFonts w:eastAsia="TimesNewRoman" w:cs="TimesNewRoman"/>
              </w:rPr>
            </w:pPr>
            <w:r w:rsidRPr="00BA1372">
              <w:rPr>
                <w:rFonts w:eastAsia="TimesNewRoman" w:cs="TimesNewRoman"/>
              </w:rPr>
              <w:t xml:space="preserve">400.0 </w:t>
            </w:r>
            <w:proofErr w:type="spellStart"/>
            <w:r w:rsidRPr="00BA1372">
              <w:rPr>
                <w:rFonts w:eastAsia="TimesNewRoman" w:cs="TimesNewRoman"/>
              </w:rPr>
              <w:t>mg</w:t>
            </w:r>
            <w:r w:rsidRPr="00BA1372">
              <w:rPr>
                <w:vertAlign w:val="superscript"/>
              </w:rPr>
              <w:t>ϯ</w:t>
            </w:r>
            <w:proofErr w:type="spellEnd"/>
          </w:p>
          <w:p w:rsidR="008255A1" w:rsidRPr="00BA1372" w:rsidRDefault="008255A1" w:rsidP="00F95AEB">
            <w:pPr>
              <w:rPr>
                <w:rFonts w:eastAsia="TimesNewRoman" w:cs="TimesNewRoman"/>
              </w:rPr>
            </w:pPr>
            <w:r w:rsidRPr="00BA1372">
              <w:rPr>
                <w:rFonts w:eastAsia="TimesNewRoman" w:cs="TimesNewRoman"/>
              </w:rPr>
              <w:t>(359.3 - 400.0)</w:t>
            </w:r>
          </w:p>
        </w:tc>
        <w:tc>
          <w:tcPr>
            <w:tcW w:w="776" w:type="pct"/>
          </w:tcPr>
          <w:p w:rsidR="008255A1" w:rsidRPr="00BA1372" w:rsidRDefault="008255A1" w:rsidP="00F95AEB">
            <w:pPr>
              <w:rPr>
                <w:rFonts w:eastAsia="TimesNewRoman" w:cs="TimesNewRoman"/>
              </w:rPr>
            </w:pPr>
            <w:r w:rsidRPr="00BA1372">
              <w:rPr>
                <w:rFonts w:eastAsia="TimesNewRoman" w:cs="TimesNewRoman"/>
              </w:rPr>
              <w:t xml:space="preserve">180.0 </w:t>
            </w:r>
            <w:proofErr w:type="spellStart"/>
            <w:r w:rsidRPr="00BA1372">
              <w:rPr>
                <w:rFonts w:eastAsia="TimesNewRoman" w:cs="TimesNewRoman"/>
              </w:rPr>
              <w:t>μg</w:t>
            </w:r>
            <w:proofErr w:type="spellEnd"/>
          </w:p>
          <w:p w:rsidR="008255A1" w:rsidRPr="00BA1372" w:rsidRDefault="008255A1" w:rsidP="00F95AEB">
            <w:pPr>
              <w:rPr>
                <w:rFonts w:eastAsia="TimesNewRoman" w:cs="TimesNewRoman"/>
              </w:rPr>
            </w:pPr>
            <w:r w:rsidRPr="00BA1372">
              <w:rPr>
                <w:rFonts w:eastAsia="TimesNewRoman" w:cs="TimesNewRoman"/>
              </w:rPr>
              <w:t>(144.4 - 180.0)</w:t>
            </w:r>
          </w:p>
        </w:tc>
        <w:tc>
          <w:tcPr>
            <w:tcW w:w="875" w:type="pct"/>
          </w:tcPr>
          <w:p w:rsidR="008255A1" w:rsidRPr="00BA1372" w:rsidRDefault="008255A1" w:rsidP="00F95AEB">
            <w:pPr>
              <w:rPr>
                <w:rFonts w:eastAsia="TimesNewRoman" w:cs="TimesNewRoman"/>
              </w:rPr>
            </w:pPr>
            <w:r w:rsidRPr="00BA1372">
              <w:rPr>
                <w:rFonts w:eastAsia="TimesNewRoman" w:cs="TimesNewRoman"/>
              </w:rPr>
              <w:t>1098.2 mg</w:t>
            </w:r>
          </w:p>
          <w:p w:rsidR="008255A1" w:rsidRPr="00BA1372" w:rsidRDefault="008255A1" w:rsidP="00F95AEB">
            <w:pPr>
              <w:rPr>
                <w:rFonts w:eastAsia="TimesNewRoman" w:cs="TimesNewRoman"/>
              </w:rPr>
            </w:pPr>
            <w:r w:rsidRPr="00BA1372">
              <w:rPr>
                <w:rFonts w:eastAsia="TimesNewRoman" w:cs="TimesNewRoman"/>
              </w:rPr>
              <w:t>(717.9 - 1207.1)</w:t>
            </w:r>
          </w:p>
        </w:tc>
        <w:tc>
          <w:tcPr>
            <w:tcW w:w="830" w:type="pct"/>
          </w:tcPr>
          <w:p w:rsidR="008255A1" w:rsidRPr="00BA1372" w:rsidRDefault="008255A1" w:rsidP="00F95AEB">
            <w:pPr>
              <w:rPr>
                <w:rFonts w:eastAsia="TimesNewRoman" w:cs="TimesNewRoman"/>
              </w:rPr>
            </w:pPr>
            <w:r w:rsidRPr="00BA1372">
              <w:rPr>
                <w:rFonts w:eastAsia="TimesNewRoman" w:cs="TimesNewRoman"/>
              </w:rPr>
              <w:t>23.9</w:t>
            </w:r>
          </w:p>
          <w:p w:rsidR="008255A1" w:rsidRPr="00BA1372" w:rsidRDefault="008255A1" w:rsidP="00F95AEB">
            <w:pPr>
              <w:rPr>
                <w:rFonts w:eastAsia="TimesNewRoman" w:cs="TimesNewRoman"/>
              </w:rPr>
            </w:pPr>
            <w:r w:rsidRPr="00BA1372">
              <w:rPr>
                <w:rFonts w:eastAsia="TimesNewRoman" w:cs="TimesNewRoman"/>
              </w:rPr>
              <w:t>(23.7 - 24.1)</w:t>
            </w:r>
          </w:p>
        </w:tc>
      </w:tr>
    </w:tbl>
    <w:p w:rsidR="008255A1" w:rsidRPr="000B1845" w:rsidRDefault="008255A1" w:rsidP="00F95AEB">
      <w:pPr>
        <w:pStyle w:val="TableDescription"/>
      </w:pPr>
      <w:r w:rsidRPr="000B1845">
        <w:t>*Capsule formulation</w:t>
      </w:r>
      <w:r>
        <w:t xml:space="preserve">. </w:t>
      </w:r>
      <w:proofErr w:type="gramStart"/>
      <w:r w:rsidRPr="000B1845">
        <w:rPr>
          <w:b/>
          <w:vertAlign w:val="superscript"/>
        </w:rPr>
        <w:t>ϯ</w:t>
      </w:r>
      <w:proofErr w:type="gramEnd"/>
      <w:r w:rsidRPr="000B1845">
        <w:rPr>
          <w:b/>
          <w:vertAlign w:val="superscript"/>
        </w:rPr>
        <w:t xml:space="preserve"> </w:t>
      </w:r>
      <w:r w:rsidRPr="000B1845">
        <w:t>Tablet formulation</w:t>
      </w:r>
    </w:p>
    <w:p w:rsidR="008255A1" w:rsidRPr="000B1845" w:rsidRDefault="008255A1" w:rsidP="008255A1">
      <w:pPr>
        <w:pStyle w:val="TableTitle"/>
      </w:pPr>
      <w:r>
        <w:t xml:space="preserve">Table 14: </w:t>
      </w:r>
      <w:r w:rsidRPr="000B1845">
        <w:t>ASV/IFN/RBV regimen</w:t>
      </w:r>
    </w:p>
    <w:tbl>
      <w:tblPr>
        <w:tblStyle w:val="TableTGAblue"/>
        <w:tblW w:w="5000" w:type="pct"/>
        <w:tblLook w:val="04A0" w:firstRow="1" w:lastRow="0" w:firstColumn="1" w:lastColumn="0" w:noHBand="0" w:noVBand="1"/>
      </w:tblPr>
      <w:tblGrid>
        <w:gridCol w:w="1496"/>
        <w:gridCol w:w="1740"/>
        <w:gridCol w:w="1886"/>
        <w:gridCol w:w="1759"/>
        <w:gridCol w:w="1839"/>
      </w:tblGrid>
      <w:tr w:rsidR="008255A1" w:rsidRPr="00A14D96" w:rsidTr="00F95AEB">
        <w:trPr>
          <w:cnfStyle w:val="100000000000" w:firstRow="1" w:lastRow="0" w:firstColumn="0" w:lastColumn="0" w:oddVBand="0" w:evenVBand="0" w:oddHBand="0" w:evenHBand="0" w:firstRowFirstColumn="0" w:firstRowLastColumn="0" w:lastRowFirstColumn="0" w:lastRowLastColumn="0"/>
        </w:trPr>
        <w:tc>
          <w:tcPr>
            <w:tcW w:w="748" w:type="pct"/>
          </w:tcPr>
          <w:p w:rsidR="008255A1" w:rsidRPr="00BA1372" w:rsidRDefault="008255A1" w:rsidP="00F95AEB">
            <w:pPr>
              <w:rPr>
                <w:b w:val="0"/>
              </w:rPr>
            </w:pPr>
            <w:r w:rsidRPr="00BA1372">
              <w:rPr>
                <w:b w:val="0"/>
              </w:rPr>
              <w:t>Study</w:t>
            </w:r>
          </w:p>
        </w:tc>
        <w:tc>
          <w:tcPr>
            <w:tcW w:w="1025" w:type="pct"/>
          </w:tcPr>
          <w:p w:rsidR="008255A1" w:rsidRPr="00BA1372" w:rsidRDefault="008255A1" w:rsidP="00F95AEB">
            <w:pPr>
              <w:rPr>
                <w:b w:val="0"/>
              </w:rPr>
            </w:pPr>
            <w:r w:rsidRPr="00BA1372">
              <w:rPr>
                <w:b w:val="0"/>
              </w:rPr>
              <w:t>ASV median dose</w:t>
            </w:r>
          </w:p>
          <w:p w:rsidR="008255A1" w:rsidRPr="00BA1372" w:rsidRDefault="008255A1" w:rsidP="00F95AEB">
            <w:pPr>
              <w:rPr>
                <w:b w:val="0"/>
              </w:rPr>
            </w:pPr>
            <w:r w:rsidRPr="00BA1372">
              <w:rPr>
                <w:b w:val="0"/>
              </w:rPr>
              <w:t>(range)</w:t>
            </w:r>
          </w:p>
        </w:tc>
        <w:tc>
          <w:tcPr>
            <w:tcW w:w="1109" w:type="pct"/>
          </w:tcPr>
          <w:p w:rsidR="008255A1" w:rsidRPr="00BA1372" w:rsidRDefault="008255A1" w:rsidP="00F95AEB">
            <w:pPr>
              <w:rPr>
                <w:b w:val="0"/>
              </w:rPr>
            </w:pPr>
            <w:proofErr w:type="spellStart"/>
            <w:r w:rsidRPr="00BA1372">
              <w:rPr>
                <w:b w:val="0"/>
              </w:rPr>
              <w:t>PegIFN</w:t>
            </w:r>
            <w:proofErr w:type="spellEnd"/>
            <w:r w:rsidRPr="00BA1372">
              <w:rPr>
                <w:b w:val="0"/>
              </w:rPr>
              <w:t>α median dose</w:t>
            </w:r>
          </w:p>
          <w:p w:rsidR="008255A1" w:rsidRPr="00BA1372" w:rsidRDefault="008255A1" w:rsidP="00F95AEB">
            <w:pPr>
              <w:rPr>
                <w:b w:val="0"/>
              </w:rPr>
            </w:pPr>
            <w:r w:rsidRPr="00BA1372">
              <w:rPr>
                <w:b w:val="0"/>
              </w:rPr>
              <w:t>(range)</w:t>
            </w:r>
          </w:p>
        </w:tc>
        <w:tc>
          <w:tcPr>
            <w:tcW w:w="1036" w:type="pct"/>
          </w:tcPr>
          <w:p w:rsidR="008255A1" w:rsidRPr="00BA1372" w:rsidRDefault="008255A1" w:rsidP="00F95AEB">
            <w:pPr>
              <w:rPr>
                <w:b w:val="0"/>
              </w:rPr>
            </w:pPr>
            <w:r w:rsidRPr="00BA1372">
              <w:rPr>
                <w:b w:val="0"/>
              </w:rPr>
              <w:t>RBV median dose*</w:t>
            </w:r>
          </w:p>
          <w:p w:rsidR="008255A1" w:rsidRPr="00BA1372" w:rsidRDefault="008255A1" w:rsidP="00F95AEB">
            <w:pPr>
              <w:rPr>
                <w:b w:val="0"/>
              </w:rPr>
            </w:pPr>
            <w:r w:rsidRPr="00BA1372">
              <w:rPr>
                <w:b w:val="0"/>
              </w:rPr>
              <w:t>(range)</w:t>
            </w:r>
          </w:p>
        </w:tc>
        <w:tc>
          <w:tcPr>
            <w:tcW w:w="1082" w:type="pct"/>
          </w:tcPr>
          <w:p w:rsidR="008255A1" w:rsidRPr="00BA1372" w:rsidRDefault="008255A1" w:rsidP="00F95AEB">
            <w:pPr>
              <w:rPr>
                <w:b w:val="0"/>
              </w:rPr>
            </w:pPr>
            <w:r w:rsidRPr="00BA1372">
              <w:rPr>
                <w:b w:val="0"/>
              </w:rPr>
              <w:t>Median duration</w:t>
            </w:r>
          </w:p>
          <w:p w:rsidR="008255A1" w:rsidRPr="00BA1372" w:rsidRDefault="008255A1" w:rsidP="00F95AEB">
            <w:pPr>
              <w:rPr>
                <w:b w:val="0"/>
              </w:rPr>
            </w:pPr>
            <w:r w:rsidRPr="00BA1372">
              <w:rPr>
                <w:b w:val="0"/>
              </w:rPr>
              <w:t>(Weeks)</w:t>
            </w:r>
          </w:p>
        </w:tc>
      </w:tr>
      <w:tr w:rsidR="008255A1" w:rsidRPr="00587682" w:rsidTr="00F95AEB">
        <w:tc>
          <w:tcPr>
            <w:tcW w:w="748" w:type="pct"/>
          </w:tcPr>
          <w:p w:rsidR="008255A1" w:rsidRPr="00BA1372" w:rsidRDefault="008255A1" w:rsidP="00F95AEB">
            <w:r w:rsidRPr="00BA1372">
              <w:rPr>
                <w:rFonts w:eastAsia="TimesNewRoman" w:cs="TimesNewRoman"/>
              </w:rPr>
              <w:t>AI447016</w:t>
            </w:r>
          </w:p>
        </w:tc>
        <w:tc>
          <w:tcPr>
            <w:tcW w:w="1025" w:type="pct"/>
          </w:tcPr>
          <w:p w:rsidR="00C60B78" w:rsidRDefault="008255A1" w:rsidP="00F95AEB">
            <w:pPr>
              <w:rPr>
                <w:rFonts w:eastAsia="TimesNewRoman" w:cs="TimesNewRoman"/>
              </w:rPr>
            </w:pPr>
            <w:r w:rsidRPr="00BA1372">
              <w:rPr>
                <w:rFonts w:eastAsia="TimesNewRoman" w:cs="TimesNewRoman"/>
              </w:rPr>
              <w:t>400.0 mg*</w:t>
            </w:r>
          </w:p>
          <w:p w:rsidR="008255A1" w:rsidRPr="00BA1372" w:rsidRDefault="008255A1" w:rsidP="00F95AEB">
            <w:pPr>
              <w:rPr>
                <w:rFonts w:eastAsia="TimesNewRoman" w:cs="TimesNewRoman"/>
              </w:rPr>
            </w:pPr>
            <w:r w:rsidRPr="00BA1372">
              <w:rPr>
                <w:rFonts w:eastAsia="TimesNewRoman" w:cs="TimesNewRoman"/>
              </w:rPr>
              <w:t>(272.9 - 536.5)</w:t>
            </w:r>
          </w:p>
        </w:tc>
        <w:tc>
          <w:tcPr>
            <w:tcW w:w="1109" w:type="pct"/>
          </w:tcPr>
          <w:p w:rsidR="008255A1" w:rsidRPr="00BA1372" w:rsidRDefault="008255A1" w:rsidP="00F95AEB">
            <w:pPr>
              <w:rPr>
                <w:rFonts w:eastAsia="TimesNewRoman" w:cs="TimesNewRoman"/>
              </w:rPr>
            </w:pPr>
            <w:r w:rsidRPr="00BA1372">
              <w:rPr>
                <w:rFonts w:eastAsia="TimesNewRoman" w:cs="TimesNewRoman"/>
              </w:rPr>
              <w:t xml:space="preserve">180 </w:t>
            </w:r>
            <w:proofErr w:type="spellStart"/>
            <w:r w:rsidRPr="00BA1372">
              <w:rPr>
                <w:rFonts w:eastAsia="TimesNewRoman" w:cs="TimesNewRoman"/>
              </w:rPr>
              <w:t>μg</w:t>
            </w:r>
            <w:proofErr w:type="spellEnd"/>
          </w:p>
          <w:p w:rsidR="008255A1" w:rsidRPr="00BA1372" w:rsidRDefault="008255A1" w:rsidP="00F95AEB">
            <w:pPr>
              <w:rPr>
                <w:rFonts w:eastAsia="TimesNewRoman" w:cs="TimesNewRoman"/>
              </w:rPr>
            </w:pPr>
            <w:r w:rsidRPr="00BA1372">
              <w:rPr>
                <w:rFonts w:eastAsia="TimesNewRoman" w:cs="TimesNewRoman"/>
              </w:rPr>
              <w:t>(105.0 - 187.5)</w:t>
            </w:r>
          </w:p>
        </w:tc>
        <w:tc>
          <w:tcPr>
            <w:tcW w:w="1036" w:type="pct"/>
          </w:tcPr>
          <w:p w:rsidR="008255A1" w:rsidRPr="00BA1372" w:rsidRDefault="008255A1" w:rsidP="00F95AEB">
            <w:pPr>
              <w:rPr>
                <w:rFonts w:eastAsia="TimesNewRoman" w:cs="TimesNewRoman"/>
              </w:rPr>
            </w:pPr>
            <w:r w:rsidRPr="00BA1372">
              <w:rPr>
                <w:rFonts w:eastAsia="TimesNewRoman" w:cs="TimesNewRoman"/>
              </w:rPr>
              <w:t>1084.0 mg</w:t>
            </w:r>
          </w:p>
          <w:p w:rsidR="008255A1" w:rsidRPr="00BA1372" w:rsidRDefault="008255A1" w:rsidP="00F95AEB">
            <w:pPr>
              <w:rPr>
                <w:rFonts w:eastAsia="TimesNewRoman" w:cs="TimesNewRoman"/>
              </w:rPr>
            </w:pPr>
            <w:r w:rsidRPr="00BA1372">
              <w:rPr>
                <w:rFonts w:eastAsia="TimesNewRoman" w:cs="TimesNewRoman"/>
              </w:rPr>
              <w:t>(533.7 - 1285.7)</w:t>
            </w:r>
          </w:p>
        </w:tc>
        <w:tc>
          <w:tcPr>
            <w:tcW w:w="1082" w:type="pct"/>
          </w:tcPr>
          <w:p w:rsidR="008255A1" w:rsidRPr="00BA1372" w:rsidRDefault="008255A1" w:rsidP="00F95AEB">
            <w:pPr>
              <w:rPr>
                <w:rFonts w:eastAsia="TimesNewRoman" w:cs="TimesNewRoman"/>
              </w:rPr>
            </w:pPr>
            <w:r w:rsidRPr="00BA1372">
              <w:rPr>
                <w:rFonts w:eastAsia="TimesNewRoman" w:cs="TimesNewRoman"/>
              </w:rPr>
              <w:t>24.0</w:t>
            </w:r>
          </w:p>
          <w:p w:rsidR="008255A1" w:rsidRPr="00BA1372" w:rsidRDefault="008255A1" w:rsidP="00F95AEB">
            <w:pPr>
              <w:rPr>
                <w:rFonts w:eastAsia="TimesNewRoman" w:cs="TimesNewRoman"/>
              </w:rPr>
            </w:pPr>
            <w:r w:rsidRPr="00BA1372">
              <w:rPr>
                <w:rFonts w:eastAsia="TimesNewRoman" w:cs="TimesNewRoman"/>
              </w:rPr>
              <w:t>(0.1 - 68.0)</w:t>
            </w:r>
          </w:p>
        </w:tc>
      </w:tr>
    </w:tbl>
    <w:p w:rsidR="008255A1" w:rsidRPr="008255A1" w:rsidRDefault="008255A1" w:rsidP="00F95AEB">
      <w:pPr>
        <w:pStyle w:val="TableDescription"/>
      </w:pPr>
      <w:r w:rsidRPr="008255A1">
        <w:t>*Tablet formulation. Studies AI447028, AI447026, AI447029, AI447011 and AI447017: DCV CER</w:t>
      </w:r>
      <w:r>
        <w:t xml:space="preserve"> Attachment 2. </w:t>
      </w:r>
      <w:r w:rsidRPr="008255A1">
        <w:t>Study AI447016: see Attachment 2</w:t>
      </w:r>
    </w:p>
    <w:p w:rsidR="00605AD4" w:rsidRDefault="00605AD4" w:rsidP="00605AD4">
      <w:pPr>
        <w:pStyle w:val="Heading4"/>
      </w:pPr>
      <w:r w:rsidRPr="00605AD4">
        <w:t>Safety issues with the potential for major regulatory impact</w:t>
      </w:r>
    </w:p>
    <w:p w:rsidR="00E8193F" w:rsidRDefault="00E8193F" w:rsidP="008255A1">
      <w:pPr>
        <w:pStyle w:val="Heading5"/>
      </w:pPr>
      <w:bookmarkStart w:id="118" w:name="_Toc401659995"/>
      <w:bookmarkStart w:id="119" w:name="_Toc290846319"/>
      <w:bookmarkStart w:id="120" w:name="_Toc272414681"/>
      <w:r>
        <w:t>Liver toxicity</w:t>
      </w:r>
      <w:bookmarkEnd w:id="118"/>
      <w:bookmarkEnd w:id="119"/>
      <w:bookmarkEnd w:id="120"/>
    </w:p>
    <w:p w:rsidR="00E8193F" w:rsidRDefault="00E8193F" w:rsidP="008255A1">
      <w:pPr>
        <w:pStyle w:val="Heading6"/>
      </w:pPr>
      <w:r>
        <w:t>Safety in subjects with cirrhosis</w:t>
      </w:r>
    </w:p>
    <w:p w:rsidR="00E8193F" w:rsidRDefault="00E8193F" w:rsidP="00E8193F">
      <w:pPr>
        <w:autoSpaceDE w:val="0"/>
        <w:autoSpaceDN w:val="0"/>
        <w:adjustRightInd w:val="0"/>
      </w:pPr>
      <w:r>
        <w:t>A total of 229 subjects were enrolled with baseline cirrhosis it the DCV/ASV studies, 93 subjects in DCV/ASV Quad regimen studies and 16 in the ASV/peg INF/RBV studies.</w:t>
      </w:r>
    </w:p>
    <w:p w:rsidR="00E8193F" w:rsidRDefault="00E8193F" w:rsidP="008255A1">
      <w:pPr>
        <w:pStyle w:val="ListBullet"/>
      </w:pPr>
      <w:r>
        <w:t>The frequency of SAEs regardless of study drugs was low and similar among subjects with cirrhosis and those without</w:t>
      </w:r>
    </w:p>
    <w:p w:rsidR="00E8193F" w:rsidRDefault="00E8193F" w:rsidP="008255A1">
      <w:pPr>
        <w:pStyle w:val="ListBullet2"/>
      </w:pPr>
      <w:r>
        <w:t>DCV/ASV regimen: 15 (6.6%) with cirrhosis and 41 (6.0%) without cirrhosis</w:t>
      </w:r>
    </w:p>
    <w:p w:rsidR="00E8193F" w:rsidRDefault="00E8193F" w:rsidP="008255A1">
      <w:pPr>
        <w:pStyle w:val="ListBullet2"/>
      </w:pPr>
      <w:r>
        <w:t>DCV/ASV QUAD regimen: 4 (4.3%) with cirrhosis and 18 (5.9%) without cirrhosis</w:t>
      </w:r>
    </w:p>
    <w:p w:rsidR="00E8193F" w:rsidRDefault="00E8193F" w:rsidP="008255A1">
      <w:pPr>
        <w:pStyle w:val="ListBullet2"/>
      </w:pPr>
      <w:r>
        <w:t>ASV/</w:t>
      </w:r>
      <w:proofErr w:type="spellStart"/>
      <w:r>
        <w:t>pegIFN</w:t>
      </w:r>
      <w:proofErr w:type="spellEnd"/>
      <w:r>
        <w:t>/RBV regimen: 3 (18.8%) with cirrhosis and 13 (7.5%) without cirrhosis</w:t>
      </w:r>
    </w:p>
    <w:p w:rsidR="00E8193F" w:rsidRDefault="00E8193F" w:rsidP="008255A1">
      <w:pPr>
        <w:pStyle w:val="Heading5"/>
      </w:pPr>
      <w:bookmarkStart w:id="121" w:name="_Toc401659996"/>
      <w:r>
        <w:t>Resistance</w:t>
      </w:r>
      <w:bookmarkEnd w:id="121"/>
    </w:p>
    <w:p w:rsidR="00E8193F" w:rsidRDefault="00E8193F" w:rsidP="008255A1">
      <w:r>
        <w:t xml:space="preserve">Genotypic and phenotypic assays were performed in all ASV studies to identify the individual and combinations of substitutions known to confer resistance to specific antiviral agents. The impact to certain baseline NS5A and NS3 polymorphisms and IL-28B (RS12979860) GT on </w:t>
      </w:r>
      <w:proofErr w:type="spellStart"/>
      <w:r>
        <w:t>virologic</w:t>
      </w:r>
      <w:proofErr w:type="spellEnd"/>
      <w:r>
        <w:t xml:space="preserve"> response appeared to be treatment specific. Baseline NS5A polymorphism at L31 and Y93H appeared to be associated with </w:t>
      </w:r>
      <w:proofErr w:type="spellStart"/>
      <w:r>
        <w:t>virologic</w:t>
      </w:r>
      <w:proofErr w:type="spellEnd"/>
      <w:r>
        <w:t xml:space="preserve"> failure in the DCV/ASV therapy in subjects infected with GT-1b, while baseline NS3-D168E appeared to </w:t>
      </w:r>
      <w:r>
        <w:lastRenderedPageBreak/>
        <w:t xml:space="preserve">be associated with </w:t>
      </w:r>
      <w:proofErr w:type="spellStart"/>
      <w:r>
        <w:t>virologic</w:t>
      </w:r>
      <w:proofErr w:type="spellEnd"/>
      <w:r>
        <w:t xml:space="preserve"> failure to a lesser extent. The non-CC IL-28B (RS12979860) GT appeared to correlate more with </w:t>
      </w:r>
      <w:proofErr w:type="spellStart"/>
      <w:r>
        <w:t>virologic</w:t>
      </w:r>
      <w:proofErr w:type="spellEnd"/>
      <w:r>
        <w:t xml:space="preserve"> failures in subjects receiving a DAA add on to </w:t>
      </w:r>
      <w:proofErr w:type="spellStart"/>
      <w:r>
        <w:t>pegIFN</w:t>
      </w:r>
      <w:proofErr w:type="spellEnd"/>
      <w:r>
        <w:t>α/RBV therapy. Baseline polymorphisms had no or minimal impact on SVR in the DCV QUAD regimen (confounded by small numbers of subjects failing treatment).</w:t>
      </w:r>
    </w:p>
    <w:p w:rsidR="00E8193F" w:rsidRDefault="00E8193F" w:rsidP="008255A1">
      <w:r>
        <w:t xml:space="preserve">With the DCV/ASV and the QUAD regimen the majority of subjects with </w:t>
      </w:r>
      <w:proofErr w:type="spellStart"/>
      <w:r>
        <w:t>virologic</w:t>
      </w:r>
      <w:proofErr w:type="spellEnd"/>
      <w:r>
        <w:t xml:space="preserve"> failure who met the criteria for resistance testing had resistance associated substitutions to both DCV and ASV.</w:t>
      </w:r>
    </w:p>
    <w:p w:rsidR="00E8193F" w:rsidRDefault="00E8193F" w:rsidP="008255A1">
      <w:proofErr w:type="gramStart"/>
      <w:r w:rsidRPr="008255A1">
        <w:rPr>
          <w:i/>
        </w:rPr>
        <w:t>Once a subject failed a DCV/ASV regimen.</w:t>
      </w:r>
      <w:proofErr w:type="gramEnd"/>
      <w:r>
        <w:t xml:space="preserve"> Emergent NS5A RAVs generally persisted in the majority of subjects throughout the duration of the study (follow up Week 48), whereas NS3 RAVs were more likely to be replaced or partially replaced by baseline sequence during this time frame.</w:t>
      </w:r>
    </w:p>
    <w:p w:rsidR="00605AD4" w:rsidRDefault="00605AD4" w:rsidP="00605AD4">
      <w:pPr>
        <w:pStyle w:val="Heading4"/>
      </w:pPr>
      <w:r w:rsidRPr="00605AD4">
        <w:t>Post</w:t>
      </w:r>
      <w:r w:rsidR="008255A1">
        <w:t>-</w:t>
      </w:r>
      <w:r w:rsidRPr="00605AD4">
        <w:t>marketing data</w:t>
      </w:r>
    </w:p>
    <w:p w:rsidR="00E8193F" w:rsidRDefault="00E8193F" w:rsidP="00E8193F">
      <w:pPr>
        <w:autoSpaceDE w:val="0"/>
        <w:autoSpaceDN w:val="0"/>
        <w:adjustRightInd w:val="0"/>
      </w:pPr>
      <w:r>
        <w:t>There is no post-marketing experience as the product has not been marketed in any country.</w:t>
      </w:r>
    </w:p>
    <w:p w:rsidR="00605AD4" w:rsidRPr="00605AD4" w:rsidRDefault="00605AD4" w:rsidP="00605AD4">
      <w:pPr>
        <w:pStyle w:val="Heading4"/>
      </w:pPr>
      <w:r w:rsidRPr="00605AD4">
        <w:t>Evaluator’s conclusions on safety</w:t>
      </w:r>
    </w:p>
    <w:p w:rsidR="00E8193F" w:rsidRDefault="00E8193F" w:rsidP="00B37B36">
      <w:r>
        <w:t>The all</w:t>
      </w:r>
      <w:r w:rsidR="008255A1">
        <w:t xml:space="preserve"> </w:t>
      </w:r>
      <w:r>
        <w:t xml:space="preserve">oral therapy of DCV (60 mg QD) in combination with ASV (100 mg </w:t>
      </w:r>
      <w:r w:rsidR="004C5D5E">
        <w:t>BD</w:t>
      </w:r>
      <w:r>
        <w:t xml:space="preserve">) has a favourable safety and tolerability profile compared to the currently approved standard therapy regimens in HCV GT-1b subjects who are </w:t>
      </w:r>
      <w:r w:rsidR="00486662">
        <w:t>treatment naïve</w:t>
      </w:r>
      <w:r>
        <w:t xml:space="preserve">, </w:t>
      </w:r>
      <w:r w:rsidR="00486662">
        <w:t>treatment experienced</w:t>
      </w:r>
      <w:r>
        <w:t>, or ineligible/intolerant to IFN/RBV-based therapy including subjects with compensated cirrhosis and the elderly.</w:t>
      </w:r>
    </w:p>
    <w:p w:rsidR="00E8193F" w:rsidRDefault="00E8193F" w:rsidP="00B37B36">
      <w:r>
        <w:t xml:space="preserve">The </w:t>
      </w:r>
      <w:r w:rsidR="008255A1">
        <w:t>adverse events (</w:t>
      </w:r>
      <w:r>
        <w:t>AEs</w:t>
      </w:r>
      <w:r w:rsidR="008255A1">
        <w:t>)</w:t>
      </w:r>
      <w:r>
        <w:t xml:space="preserve"> reported for </w:t>
      </w:r>
      <w:proofErr w:type="spellStart"/>
      <w:r>
        <w:t>PegIFN</w:t>
      </w:r>
      <w:proofErr w:type="spellEnd"/>
      <w:r>
        <w:t xml:space="preserve">α/RBV or TVR or BOC plus </w:t>
      </w:r>
      <w:proofErr w:type="spellStart"/>
      <w:r>
        <w:t>pegIFN</w:t>
      </w:r>
      <w:proofErr w:type="spellEnd"/>
      <w:r>
        <w:t xml:space="preserve">α/RBV such as </w:t>
      </w:r>
      <w:proofErr w:type="spellStart"/>
      <w:r>
        <w:t>haematologic</w:t>
      </w:r>
      <w:proofErr w:type="spellEnd"/>
      <w:r>
        <w:t xml:space="preserve"> disorders (anaemia, neutropenia and </w:t>
      </w:r>
      <w:proofErr w:type="spellStart"/>
      <w:r>
        <w:t>thrombocytopaenia</w:t>
      </w:r>
      <w:proofErr w:type="spellEnd"/>
      <w:r>
        <w:t>), psychiatric disorders (depression), flu</w:t>
      </w:r>
      <w:r w:rsidR="00EF24D1">
        <w:t xml:space="preserve"> </w:t>
      </w:r>
      <w:r>
        <w:t>like symptoms, rash and anorectal disorders) were reported infrequently with the DCV/ASV regimen.</w:t>
      </w:r>
    </w:p>
    <w:p w:rsidR="00E8193F" w:rsidRDefault="00E8193F" w:rsidP="00B37B36">
      <w:r>
        <w:t>The major AE for the combination is ALT/AST elevations, which appears to be due to both ASV and DCV components. Concurrent (within ±4 weeks of each other) Grade 3/4 ALT and Grade 3/4 AST laboratory abnormalities were reported in 2.9% of DCV/ASV-treated subjects. The events appeared to be easily monitored and readily corrected after cessation of study therapy.</w:t>
      </w:r>
    </w:p>
    <w:p w:rsidR="00E8193F" w:rsidRDefault="00E8193F" w:rsidP="00B37B36">
      <w:r>
        <w:t xml:space="preserve">The safety profile of the DCV Quad regimen (DCV/ASV in combination with </w:t>
      </w:r>
      <w:proofErr w:type="spellStart"/>
      <w:r>
        <w:t>pegIFN</w:t>
      </w:r>
      <w:proofErr w:type="spellEnd"/>
      <w:r>
        <w:t xml:space="preserve">α/RBV) in HCV GT 1 or 4 subjects who failed previous IFN/RBV-based therapy, was similar to that reported historically with </w:t>
      </w:r>
      <w:proofErr w:type="spellStart"/>
      <w:r>
        <w:t>pegIFN</w:t>
      </w:r>
      <w:proofErr w:type="spellEnd"/>
      <w:r>
        <w:t>α/RBV alone (</w:t>
      </w:r>
      <w:r w:rsidR="00EF24D1">
        <w:t>that is,</w:t>
      </w:r>
      <w:r>
        <w:t xml:space="preserve"> Grade 3</w:t>
      </w:r>
      <w:r w:rsidR="00EF24D1">
        <w:t xml:space="preserve"> to </w:t>
      </w:r>
      <w:r>
        <w:t xml:space="preserve">4 </w:t>
      </w:r>
      <w:proofErr w:type="spellStart"/>
      <w:r>
        <w:t>haematologic</w:t>
      </w:r>
      <w:proofErr w:type="spellEnd"/>
      <w:r>
        <w:t xml:space="preserve"> abnormalities and other AEs characteristic of </w:t>
      </w:r>
      <w:proofErr w:type="spellStart"/>
      <w:r>
        <w:t>pegIFN</w:t>
      </w:r>
      <w:proofErr w:type="spellEnd"/>
      <w:r>
        <w:t>α/RBV therapy), with the exception of similar elevated transaminase levels as observed in the other ASV studies.</w:t>
      </w:r>
    </w:p>
    <w:p w:rsidR="00605AD4" w:rsidRPr="00605AD4" w:rsidRDefault="00605AD4" w:rsidP="00605AD4">
      <w:pPr>
        <w:pStyle w:val="Heading3"/>
        <w:rPr>
          <w:rFonts w:eastAsia="Cambria"/>
        </w:rPr>
      </w:pPr>
      <w:bookmarkStart w:id="122" w:name="_Toc438125715"/>
      <w:r w:rsidRPr="00605AD4">
        <w:rPr>
          <w:rFonts w:eastAsia="Cambria"/>
        </w:rPr>
        <w:t xml:space="preserve">First </w:t>
      </w:r>
      <w:r w:rsidR="00F95AEB">
        <w:rPr>
          <w:rFonts w:eastAsia="Cambria"/>
        </w:rPr>
        <w:t>r</w:t>
      </w:r>
      <w:r w:rsidRPr="00605AD4">
        <w:rPr>
          <w:rFonts w:eastAsia="Cambria"/>
        </w:rPr>
        <w:t xml:space="preserve">ound </w:t>
      </w:r>
      <w:r w:rsidR="00F95AEB">
        <w:rPr>
          <w:rFonts w:eastAsia="Cambria"/>
        </w:rPr>
        <w:t>b</w:t>
      </w:r>
      <w:r w:rsidRPr="00605AD4">
        <w:rPr>
          <w:rFonts w:eastAsia="Cambria"/>
        </w:rPr>
        <w:t>enefit-</w:t>
      </w:r>
      <w:r w:rsidR="00F95AEB">
        <w:rPr>
          <w:rFonts w:eastAsia="Cambria"/>
        </w:rPr>
        <w:t>r</w:t>
      </w:r>
      <w:r w:rsidRPr="00605AD4">
        <w:rPr>
          <w:rFonts w:eastAsia="Cambria"/>
        </w:rPr>
        <w:t xml:space="preserve">isk </w:t>
      </w:r>
      <w:r w:rsidR="00F95AEB">
        <w:rPr>
          <w:rFonts w:eastAsia="Cambria"/>
        </w:rPr>
        <w:t>a</w:t>
      </w:r>
      <w:r w:rsidRPr="00605AD4">
        <w:rPr>
          <w:rFonts w:eastAsia="Cambria"/>
        </w:rPr>
        <w:t>ssessment</w:t>
      </w:r>
      <w:bookmarkEnd w:id="122"/>
    </w:p>
    <w:p w:rsidR="00E8193F" w:rsidRDefault="00E8193F" w:rsidP="00EF24D1">
      <w:pPr>
        <w:pStyle w:val="Heading4"/>
      </w:pPr>
      <w:bookmarkStart w:id="123" w:name="_Toc401660001"/>
      <w:bookmarkStart w:id="124" w:name="_Toc290846331"/>
      <w:bookmarkStart w:id="125" w:name="_Toc272414693"/>
      <w:bookmarkStart w:id="126" w:name="_Ref272160836"/>
      <w:bookmarkStart w:id="127" w:name="_Toc241374331"/>
      <w:bookmarkStart w:id="128" w:name="_Toc236802592"/>
      <w:r>
        <w:t>First round assessment of benefits</w:t>
      </w:r>
      <w:bookmarkEnd w:id="123"/>
      <w:bookmarkEnd w:id="124"/>
      <w:bookmarkEnd w:id="125"/>
      <w:bookmarkEnd w:id="126"/>
      <w:bookmarkEnd w:id="127"/>
      <w:bookmarkEnd w:id="128"/>
    </w:p>
    <w:p w:rsidR="00E8193F" w:rsidRDefault="00E8193F" w:rsidP="00E8193F">
      <w:r>
        <w:t xml:space="preserve">The benefits of </w:t>
      </w:r>
      <w:proofErr w:type="spellStart"/>
      <w:r>
        <w:t>asunaprevir</w:t>
      </w:r>
      <w:proofErr w:type="spellEnd"/>
      <w:r>
        <w:t xml:space="preserve"> in the proposed usage are:</w:t>
      </w:r>
    </w:p>
    <w:p w:rsidR="00E8193F" w:rsidRDefault="00E8193F" w:rsidP="00EF24D1">
      <w:pPr>
        <w:pStyle w:val="ListBullet"/>
      </w:pPr>
      <w:r>
        <w:t>High rates of SVR12 (and SVR24) in patients infected with HCV GT-1b treated with ASV in combination with DCV treated for 24 weeks:</w:t>
      </w:r>
    </w:p>
    <w:p w:rsidR="00E8193F" w:rsidRDefault="00E8193F" w:rsidP="00EF24D1">
      <w:pPr>
        <w:pStyle w:val="ListBullet2"/>
      </w:pPr>
      <w:r>
        <w:t>Treatment naïve: 90.6% (184/205)</w:t>
      </w:r>
    </w:p>
    <w:p w:rsidR="00E8193F" w:rsidRDefault="00E8193F" w:rsidP="00EF24D1">
      <w:pPr>
        <w:pStyle w:val="ListBullet2"/>
      </w:pPr>
      <w:r>
        <w:t xml:space="preserve">Prior non-responders to </w:t>
      </w:r>
      <w:proofErr w:type="spellStart"/>
      <w:r>
        <w:t>pegIFN</w:t>
      </w:r>
      <w:proofErr w:type="spellEnd"/>
      <w:r>
        <w:t xml:space="preserve">α or IFNβ/RBV: 80.5% </w:t>
      </w:r>
      <w:r w:rsidR="00EF24D1">
        <w:t>to</w:t>
      </w:r>
      <w:r>
        <w:t xml:space="preserve"> 90.9%</w:t>
      </w:r>
    </w:p>
    <w:p w:rsidR="00E8193F" w:rsidRDefault="00E8193F" w:rsidP="00EF24D1">
      <w:pPr>
        <w:pStyle w:val="ListBullet2"/>
      </w:pPr>
      <w:proofErr w:type="spellStart"/>
      <w:r>
        <w:t>PegIFN</w:t>
      </w:r>
      <w:proofErr w:type="spellEnd"/>
      <w:r>
        <w:t xml:space="preserve">α/RBV intolerant/ineligible subjects: 63.6% </w:t>
      </w:r>
      <w:r w:rsidR="00EF24D1">
        <w:t>to</w:t>
      </w:r>
      <w:r>
        <w:t xml:space="preserve"> 82.6%</w:t>
      </w:r>
    </w:p>
    <w:p w:rsidR="00E8193F" w:rsidRDefault="00E8193F" w:rsidP="00EF24D1">
      <w:pPr>
        <w:pStyle w:val="ListBullet"/>
      </w:pPr>
      <w:r>
        <w:lastRenderedPageBreak/>
        <w:t>High rates of SVR12 in prior non-responders (partial and null responders) with:</w:t>
      </w:r>
    </w:p>
    <w:p w:rsidR="00E8193F" w:rsidRDefault="00E8193F" w:rsidP="00EF24D1">
      <w:pPr>
        <w:pStyle w:val="ListBullet2"/>
      </w:pPr>
      <w:r>
        <w:t>GT-1: 93% (330/354) and 95% (19/20)</w:t>
      </w:r>
    </w:p>
    <w:p w:rsidR="00E8193F" w:rsidRDefault="00E8193F" w:rsidP="00EF24D1">
      <w:pPr>
        <w:pStyle w:val="ListBullet2"/>
      </w:pPr>
      <w:r>
        <w:t>GT-4: 100% (44/44)</w:t>
      </w:r>
    </w:p>
    <w:p w:rsidR="00E8193F" w:rsidRDefault="00E8193F" w:rsidP="00EF24D1">
      <w:pPr>
        <w:pStyle w:val="ListBullet"/>
      </w:pPr>
      <w:r>
        <w:t>Similar rates were seen across various baseline factors including males and females, patients ≥65 and &lt;65 years, with and without cirrhosis and HCV RNA ≥ 800,000 IU/mL and &lt; 800,000 IU/mL and subjects with IL28B and non-CC genotypes</w:t>
      </w:r>
    </w:p>
    <w:p w:rsidR="00E8193F" w:rsidRDefault="00E8193F" w:rsidP="00EF24D1">
      <w:pPr>
        <w:pStyle w:val="ListBullet"/>
      </w:pPr>
      <w:r>
        <w:t xml:space="preserve">There were no deaths attributable to ASV and low rates of </w:t>
      </w:r>
      <w:r w:rsidR="00EF24D1">
        <w:t>serious AEs (</w:t>
      </w:r>
      <w:r>
        <w:t>SAEs</w:t>
      </w:r>
      <w:r w:rsidR="00EF24D1">
        <w:t>)</w:t>
      </w:r>
      <w:r>
        <w:t xml:space="preserve"> and AEs of increased hepatic transaminases were generally reversible on discontinuation and most patients with increases achieved SVR12</w:t>
      </w:r>
    </w:p>
    <w:p w:rsidR="00E8193F" w:rsidRDefault="00E8193F" w:rsidP="00EF24D1">
      <w:pPr>
        <w:pStyle w:val="Heading4"/>
      </w:pPr>
      <w:bookmarkStart w:id="129" w:name="_Toc401660002"/>
      <w:bookmarkStart w:id="130" w:name="_Toc290846332"/>
      <w:bookmarkStart w:id="131" w:name="_Toc272414694"/>
      <w:bookmarkStart w:id="132" w:name="_Ref272160964"/>
      <w:bookmarkStart w:id="133" w:name="_Toc241374334"/>
      <w:bookmarkStart w:id="134" w:name="_Toc236802596"/>
      <w:r>
        <w:t>First round assessment of risks</w:t>
      </w:r>
      <w:bookmarkEnd w:id="129"/>
      <w:bookmarkEnd w:id="130"/>
      <w:bookmarkEnd w:id="131"/>
      <w:bookmarkEnd w:id="132"/>
      <w:bookmarkEnd w:id="133"/>
      <w:bookmarkEnd w:id="134"/>
    </w:p>
    <w:p w:rsidR="00E8193F" w:rsidRDefault="00E8193F" w:rsidP="00E8193F">
      <w:r>
        <w:t xml:space="preserve">The risks of </w:t>
      </w:r>
      <w:proofErr w:type="spellStart"/>
      <w:r>
        <w:t>asunaprevir</w:t>
      </w:r>
      <w:proofErr w:type="spellEnd"/>
      <w:r>
        <w:t xml:space="preserve"> in the proposed usage are:</w:t>
      </w:r>
    </w:p>
    <w:p w:rsidR="00E8193F" w:rsidRDefault="00E8193F" w:rsidP="00EF24D1">
      <w:pPr>
        <w:pStyle w:val="ListBullet"/>
      </w:pPr>
      <w:r>
        <w:t>Increases in hepatic transaminases were reported across all treatment groups</w:t>
      </w:r>
    </w:p>
    <w:p w:rsidR="00E8193F" w:rsidRDefault="00E8193F" w:rsidP="00EF24D1">
      <w:pPr>
        <w:pStyle w:val="ListBullet"/>
      </w:pPr>
      <w:r>
        <w:t>Increased risk of Grade 3/4 transaminase elevations in combination with DCV</w:t>
      </w:r>
    </w:p>
    <w:p w:rsidR="00E8193F" w:rsidRDefault="00E8193F" w:rsidP="00EF24D1">
      <w:pPr>
        <w:pStyle w:val="Heading4"/>
      </w:pPr>
      <w:bookmarkStart w:id="135" w:name="_Toc401660003"/>
      <w:bookmarkStart w:id="136" w:name="_Toc290846333"/>
      <w:bookmarkStart w:id="137" w:name="_Toc272414695"/>
      <w:bookmarkStart w:id="138" w:name="_Toc241374335"/>
      <w:bookmarkStart w:id="139" w:name="_Toc236802597"/>
      <w:r>
        <w:t>First round assessment of benefit-risk balance</w:t>
      </w:r>
      <w:bookmarkEnd w:id="135"/>
      <w:bookmarkEnd w:id="136"/>
      <w:bookmarkEnd w:id="137"/>
      <w:bookmarkEnd w:id="138"/>
      <w:bookmarkEnd w:id="139"/>
    </w:p>
    <w:p w:rsidR="00E8193F" w:rsidRDefault="00E8193F" w:rsidP="00E8193F">
      <w:r>
        <w:t xml:space="preserve">The benefit-risk balance of </w:t>
      </w:r>
      <w:proofErr w:type="spellStart"/>
      <w:r>
        <w:t>asunaprevir</w:t>
      </w:r>
      <w:proofErr w:type="spellEnd"/>
      <w:r>
        <w:t>, given the proposed usage, is favourable.</w:t>
      </w:r>
    </w:p>
    <w:p w:rsidR="00605AD4" w:rsidRPr="00605AD4" w:rsidRDefault="00605AD4" w:rsidP="00EF24D1">
      <w:pPr>
        <w:pStyle w:val="Heading4"/>
      </w:pPr>
      <w:r w:rsidRPr="00605AD4">
        <w:t xml:space="preserve">First </w:t>
      </w:r>
      <w:r w:rsidR="00F95AEB">
        <w:t>r</w:t>
      </w:r>
      <w:r w:rsidRPr="00605AD4">
        <w:t xml:space="preserve">ound </w:t>
      </w:r>
      <w:r w:rsidR="00F95AEB">
        <w:t>r</w:t>
      </w:r>
      <w:r w:rsidRPr="00605AD4">
        <w:t xml:space="preserve">ecommendation </w:t>
      </w:r>
      <w:r w:rsidR="00F95AEB">
        <w:t>r</w:t>
      </w:r>
      <w:r w:rsidRPr="00605AD4">
        <w:t xml:space="preserve">egarding </w:t>
      </w:r>
      <w:r w:rsidR="00F95AEB">
        <w:t>a</w:t>
      </w:r>
      <w:r w:rsidRPr="00605AD4">
        <w:t>uthorisation</w:t>
      </w:r>
    </w:p>
    <w:p w:rsidR="00E8193F" w:rsidRDefault="00E8193F" w:rsidP="00E8193F">
      <w:r>
        <w:t xml:space="preserve">Based on the clinical efficacy and safety data provided </w:t>
      </w:r>
      <w:r w:rsidR="00EF24D1">
        <w:t>by the sponsor</w:t>
      </w:r>
      <w:r>
        <w:t xml:space="preserve"> it is recommended that </w:t>
      </w:r>
      <w:proofErr w:type="spellStart"/>
      <w:r>
        <w:t>asunaprevir</w:t>
      </w:r>
      <w:proofErr w:type="spellEnd"/>
      <w:r>
        <w:t xml:space="preserve"> be approved.</w:t>
      </w:r>
    </w:p>
    <w:p w:rsidR="00605AD4" w:rsidRPr="00605AD4" w:rsidRDefault="00605AD4" w:rsidP="00605AD4">
      <w:pPr>
        <w:pStyle w:val="Heading3"/>
        <w:rPr>
          <w:rFonts w:eastAsia="Cambria"/>
        </w:rPr>
      </w:pPr>
      <w:bookmarkStart w:id="140" w:name="_Toc438125716"/>
      <w:r w:rsidRPr="00605AD4">
        <w:rPr>
          <w:rFonts w:eastAsia="Cambria"/>
        </w:rPr>
        <w:t xml:space="preserve">Clinical </w:t>
      </w:r>
      <w:r w:rsidR="00F95AEB">
        <w:rPr>
          <w:rFonts w:eastAsia="Cambria"/>
        </w:rPr>
        <w:t>q</w:t>
      </w:r>
      <w:r w:rsidRPr="00605AD4">
        <w:rPr>
          <w:rFonts w:eastAsia="Cambria"/>
        </w:rPr>
        <w:t>uestions</w:t>
      </w:r>
      <w:bookmarkEnd w:id="140"/>
    </w:p>
    <w:p w:rsidR="00605AD4" w:rsidRPr="00605AD4" w:rsidRDefault="00E8193F" w:rsidP="00EF24D1">
      <w:r>
        <w:t>No clinical questions were raised.</w:t>
      </w:r>
    </w:p>
    <w:p w:rsidR="00605AD4" w:rsidRPr="00605AD4" w:rsidRDefault="00605AD4" w:rsidP="00605AD4">
      <w:pPr>
        <w:pStyle w:val="Heading3"/>
        <w:rPr>
          <w:rFonts w:eastAsia="Cambria"/>
        </w:rPr>
      </w:pPr>
      <w:bookmarkStart w:id="141" w:name="_Toc438125717"/>
      <w:r w:rsidRPr="00605AD4">
        <w:rPr>
          <w:rFonts w:eastAsia="Cambria"/>
        </w:rPr>
        <w:t xml:space="preserve">Second </w:t>
      </w:r>
      <w:r w:rsidR="00F95AEB">
        <w:rPr>
          <w:rFonts w:eastAsia="Cambria"/>
        </w:rPr>
        <w:t>r</w:t>
      </w:r>
      <w:r w:rsidRPr="00605AD4">
        <w:rPr>
          <w:rFonts w:eastAsia="Cambria"/>
        </w:rPr>
        <w:t xml:space="preserve">ound </w:t>
      </w:r>
      <w:r w:rsidR="00F95AEB">
        <w:rPr>
          <w:rFonts w:eastAsia="Cambria"/>
        </w:rPr>
        <w:t>e</w:t>
      </w:r>
      <w:r w:rsidRPr="00605AD4">
        <w:rPr>
          <w:rFonts w:eastAsia="Cambria"/>
        </w:rPr>
        <w:t>valuation of clinical data submitted in response to questions</w:t>
      </w:r>
      <w:bookmarkEnd w:id="141"/>
    </w:p>
    <w:p w:rsidR="00E8193F" w:rsidRDefault="00E8193F" w:rsidP="00E8193F">
      <w:r>
        <w:t xml:space="preserve">Despite </w:t>
      </w:r>
      <w:r w:rsidR="00EF24D1">
        <w:t>no questions being raised by the clinical evaluator,</w:t>
      </w:r>
      <w:r>
        <w:t xml:space="preserve"> the sponsor has provided 25 pages of comments on the first round evaluation. Some of the comments are duplicated from those provided</w:t>
      </w:r>
      <w:r w:rsidR="00EF24D1">
        <w:t xml:space="preserve"> for the </w:t>
      </w:r>
      <w:proofErr w:type="spellStart"/>
      <w:r w:rsidR="00EF24D1">
        <w:t>daclatasvir</w:t>
      </w:r>
      <w:proofErr w:type="spellEnd"/>
      <w:r w:rsidR="00EF24D1">
        <w:t xml:space="preserve"> evaluation</w:t>
      </w:r>
      <w:r>
        <w:t>. As these issues were dealt with in that evaluation they have not been repeated in detail here. The sponsor has provide</w:t>
      </w:r>
      <w:r w:rsidR="00EF24D1">
        <w:t>d</w:t>
      </w:r>
      <w:r>
        <w:t xml:space="preserve"> some important new data on the safety of ASV which is relevant to the recommendations in the Product Information</w:t>
      </w:r>
      <w:r w:rsidR="00EF24D1">
        <w:t xml:space="preserve"> for </w:t>
      </w:r>
      <w:proofErr w:type="spellStart"/>
      <w:r w:rsidR="00EF24D1">
        <w:t>Sunvepra</w:t>
      </w:r>
      <w:proofErr w:type="spellEnd"/>
      <w:r>
        <w:t>.</w:t>
      </w:r>
    </w:p>
    <w:p w:rsidR="00E8193F" w:rsidRDefault="00E8193F" w:rsidP="00EF24D1">
      <w:pPr>
        <w:pStyle w:val="Heading4"/>
      </w:pPr>
      <w:r>
        <w:t>Safety</w:t>
      </w:r>
    </w:p>
    <w:p w:rsidR="00E8193F" w:rsidRDefault="00E8193F" w:rsidP="00E8193F">
      <w:r>
        <w:t>The sponsor has provided new information on the safety of ASV in relation to the following:</w:t>
      </w:r>
    </w:p>
    <w:p w:rsidR="00E8193F" w:rsidRDefault="00E8193F" w:rsidP="00EF24D1">
      <w:pPr>
        <w:pStyle w:val="ListBullet"/>
      </w:pPr>
      <w:r>
        <w:t>A new review of the hepatic safety based on the data in the submission as well as data from studies that were ongoing at the time of the submission</w:t>
      </w:r>
    </w:p>
    <w:p w:rsidR="00E8193F" w:rsidRDefault="00E8193F" w:rsidP="00EF24D1">
      <w:pPr>
        <w:pStyle w:val="ListBullet"/>
      </w:pPr>
      <w:r>
        <w:t xml:space="preserve">A new recommendation for ASV dose reduction to once daily dosing for patients with severe renal impairment not receiving haemodialysis based on a new study of a fixed dose combination of DCV/ASV and </w:t>
      </w:r>
      <w:proofErr w:type="spellStart"/>
      <w:r>
        <w:t>beclabuvir</w:t>
      </w:r>
      <w:proofErr w:type="spellEnd"/>
      <w:r>
        <w:t xml:space="preserve"> (Study </w:t>
      </w:r>
      <w:r w:rsidRPr="00EF24D1">
        <w:t>AI443110)</w:t>
      </w:r>
    </w:p>
    <w:p w:rsidR="00E8193F" w:rsidRDefault="00E8193F" w:rsidP="00EF24D1">
      <w:pPr>
        <w:pStyle w:val="Heading5"/>
      </w:pPr>
      <w:r>
        <w:lastRenderedPageBreak/>
        <w:t>Hepatic safety</w:t>
      </w:r>
    </w:p>
    <w:p w:rsidR="00E8193F" w:rsidRDefault="00E8193F" w:rsidP="00E8193F">
      <w:pPr>
        <w:tabs>
          <w:tab w:val="left" w:pos="720"/>
        </w:tabs>
        <w:autoSpaceDE w:val="0"/>
        <w:autoSpaceDN w:val="0"/>
        <w:adjustRightInd w:val="0"/>
      </w:pPr>
      <w:r>
        <w:t xml:space="preserve">Preliminary hepatic safety data are briefly presented for </w:t>
      </w:r>
      <w:r w:rsidRPr="007C4024">
        <w:t>2 hepatic cases of clinical interest</w:t>
      </w:r>
      <w:r>
        <w:t xml:space="preserve"> from ongoing studies in the DCV/ASV/BCV (DCV 3DAA) clinical program. The combination regimen includes DCV, a HCV NS5A replication complex inhibitor, ASV, a HCV NS3/4A protease inhibitor, and BCV (BMS-791325), a HCV NS5B thumb 1 non</w:t>
      </w:r>
      <w:r w:rsidR="009246EE">
        <w:t>-</w:t>
      </w:r>
      <w:r>
        <w:t>nucleoside polymerase inhibitor.</w:t>
      </w:r>
    </w:p>
    <w:p w:rsidR="00E8193F" w:rsidRDefault="00E8193F" w:rsidP="00E8193F">
      <w:pPr>
        <w:tabs>
          <w:tab w:val="left" w:pos="720"/>
        </w:tabs>
        <w:autoSpaceDE w:val="0"/>
        <w:autoSpaceDN w:val="0"/>
        <w:adjustRightInd w:val="0"/>
      </w:pPr>
      <w:r>
        <w:t>Ongoing DCV 3DAA studies include:</w:t>
      </w:r>
    </w:p>
    <w:p w:rsidR="00E8193F" w:rsidRDefault="00E8193F" w:rsidP="00EF24D1">
      <w:pPr>
        <w:pStyle w:val="ListBullet"/>
      </w:pPr>
      <w:r>
        <w:t>Three global studies conducted in the United States (US), France, Canada, and Australia:</w:t>
      </w:r>
    </w:p>
    <w:p w:rsidR="00E8193F" w:rsidRDefault="00E8193F" w:rsidP="00EF24D1">
      <w:pPr>
        <w:pStyle w:val="ListBullet2"/>
      </w:pPr>
      <w:r>
        <w:rPr>
          <w:b/>
        </w:rPr>
        <w:t>AI443102</w:t>
      </w:r>
      <w:r>
        <w:t xml:space="preserve">: A </w:t>
      </w:r>
      <w:r w:rsidR="004C5D5E">
        <w:t>Phase III</w:t>
      </w:r>
      <w:r>
        <w:t xml:space="preserve">, two-cohort (treatment naïve and treatment experienced), </w:t>
      </w:r>
      <w:r w:rsidR="00EF24D1">
        <w:t>open label</w:t>
      </w:r>
      <w:r>
        <w:t xml:space="preserve"> two-arm study comparing DCV, ASV, and BCV (DCV/ASV/BCV) administered as a fixed dose combination (FDC) tablet </w:t>
      </w:r>
      <w:r w:rsidR="004C5D5E">
        <w:t>BD</w:t>
      </w:r>
      <w:r>
        <w:t xml:space="preserve"> versus historical control in 416 randomised subjects with GT-1 HCV infection without cirrhosis. All subjects received DCV/ASV/BCV FDC </w:t>
      </w:r>
      <w:r w:rsidR="004C5D5E">
        <w:t>BD</w:t>
      </w:r>
      <w:r>
        <w:t xml:space="preserve"> for 12 weeks and were followed for 24 weeks post treatment. GT-1b enrolment was capped at 40%.</w:t>
      </w:r>
    </w:p>
    <w:p w:rsidR="00E8193F" w:rsidRDefault="00E8193F" w:rsidP="00EF24D1">
      <w:pPr>
        <w:pStyle w:val="ListBullet2"/>
      </w:pPr>
      <w:r>
        <w:rPr>
          <w:b/>
        </w:rPr>
        <w:t>AI443113</w:t>
      </w:r>
      <w:r>
        <w:t xml:space="preserve">: A </w:t>
      </w:r>
      <w:r w:rsidR="004C5D5E">
        <w:t>Phase III</w:t>
      </w:r>
      <w:r>
        <w:t xml:space="preserve">, two-cohort (treatment naïve and treatment experienced), </w:t>
      </w:r>
      <w:r w:rsidR="00EF24D1">
        <w:t>open label</w:t>
      </w:r>
      <w:r>
        <w:t xml:space="preserve">, four-arm, blinded placebo-controlled RBV study comparing DCV/ASV/BCV FDC </w:t>
      </w:r>
      <w:r w:rsidR="004C5D5E">
        <w:t>BD</w:t>
      </w:r>
      <w:r>
        <w:t xml:space="preserve"> administered with or without RBV in 202 randomised subjects with GT-1 HCV infection and compensated cirrhosis. All subjects received DCV/ASV/BCV </w:t>
      </w:r>
      <w:r w:rsidR="004C5D5E">
        <w:t>BD</w:t>
      </w:r>
      <w:r>
        <w:t xml:space="preserve"> with or without RBV for 12 weeks and were followed for 24 weeks post treatment. Enrolment was capped at</w:t>
      </w:r>
      <w:r w:rsidR="004936B4">
        <w:t xml:space="preserve"> approximately</w:t>
      </w:r>
      <w:r>
        <w:t xml:space="preserve">40% for GT-1b subjects and at 100 for </w:t>
      </w:r>
      <w:r w:rsidR="00486662">
        <w:t>treatment experienced</w:t>
      </w:r>
      <w:r>
        <w:t xml:space="preserve"> subjects.</w:t>
      </w:r>
    </w:p>
    <w:p w:rsidR="00E8193F" w:rsidRDefault="00E8193F" w:rsidP="00EF24D1">
      <w:pPr>
        <w:pStyle w:val="ListBullet2"/>
      </w:pPr>
      <w:r>
        <w:rPr>
          <w:b/>
        </w:rPr>
        <w:t>AI443014</w:t>
      </w:r>
      <w:r>
        <w:t xml:space="preserve">: A </w:t>
      </w:r>
      <w:r w:rsidR="004C5D5E">
        <w:t>Phase II</w:t>
      </w:r>
      <w:r>
        <w:t xml:space="preserve"> </w:t>
      </w:r>
      <w:r w:rsidR="00EF24D1">
        <w:t>open label</w:t>
      </w:r>
      <w:r>
        <w:t xml:space="preserve"> proof of concept study assessing single agent </w:t>
      </w:r>
      <w:proofErr w:type="spellStart"/>
      <w:r>
        <w:t>daclatasvir</w:t>
      </w:r>
      <w:proofErr w:type="spellEnd"/>
      <w:r>
        <w:t xml:space="preserve"> (DCV 60 mg QD or 30 mg </w:t>
      </w:r>
      <w:r w:rsidR="004C5D5E">
        <w:t>BD</w:t>
      </w:r>
      <w:r>
        <w:t xml:space="preserve">) in combination with </w:t>
      </w:r>
      <w:proofErr w:type="spellStart"/>
      <w:r>
        <w:t>asunaprevir</w:t>
      </w:r>
      <w:proofErr w:type="spellEnd"/>
      <w:r>
        <w:t xml:space="preserve"> (ASV 200 mg </w:t>
      </w:r>
      <w:r w:rsidR="004C5D5E">
        <w:t>BD</w:t>
      </w:r>
      <w:r>
        <w:t xml:space="preserve">) and BMS-791325 75 mg or 150 mg, administered for 12 or 24 weeks in 320 subjects. Subjects had GT-1 (n=299/320) or GT-4 (n=21/320) HCV infection were </w:t>
      </w:r>
      <w:r w:rsidR="00486662">
        <w:t>treatment naïve</w:t>
      </w:r>
      <w:r>
        <w:t xml:space="preserve"> (n=274/320) or null responders to previous </w:t>
      </w:r>
      <w:proofErr w:type="spellStart"/>
      <w:r>
        <w:t>pegIFN</w:t>
      </w:r>
      <w:proofErr w:type="spellEnd"/>
      <w:r>
        <w:t>α/RBV treatment (n=46/320) and were not cirrhotic (n=300/320) or had compensated cirrhosis (n=20/320). All subjects were followed for 48 weeks post treatment.</w:t>
      </w:r>
    </w:p>
    <w:p w:rsidR="00E8193F" w:rsidRDefault="00E8193F" w:rsidP="00EF24D1">
      <w:pPr>
        <w:pStyle w:val="ListBullet"/>
      </w:pPr>
      <w:r>
        <w:t>One ongoing DCV 3DAA study was conducted in Japan:</w:t>
      </w:r>
    </w:p>
    <w:p w:rsidR="00E8193F" w:rsidRDefault="00E8193F" w:rsidP="00EF24D1">
      <w:pPr>
        <w:pStyle w:val="ListBullet2"/>
      </w:pPr>
      <w:r>
        <w:rPr>
          <w:b/>
        </w:rPr>
        <w:t>AI443117</w:t>
      </w:r>
      <w:r>
        <w:t xml:space="preserve">: A </w:t>
      </w:r>
      <w:r w:rsidR="004C5D5E">
        <w:t>Phase III</w:t>
      </w:r>
      <w:r>
        <w:t xml:space="preserve"> two-coh</w:t>
      </w:r>
      <w:r w:rsidR="00EF24D1">
        <w:t xml:space="preserve">ort study. Cohort 1 is a double </w:t>
      </w:r>
      <w:r>
        <w:t xml:space="preserve">blind, two-arm comparison of DCV 3DAA for 12 weeks </w:t>
      </w:r>
      <w:r w:rsidR="00EF24D1">
        <w:t>versus</w:t>
      </w:r>
      <w:r>
        <w:t xml:space="preserve"> DCV/ASV for 24 weeks in </w:t>
      </w:r>
      <w:r w:rsidR="00486662">
        <w:t>treatment naïve</w:t>
      </w:r>
      <w:r>
        <w:t xml:space="preserve"> subjects with GT-1b HCV infection (n = 216 planne</w:t>
      </w:r>
      <w:r w:rsidR="00EF24D1">
        <w:t>d to be randomis</w:t>
      </w:r>
      <w:r>
        <w:t xml:space="preserve">ed 1:1); GT-1a subjects in Cohort 1 were not randomised but received </w:t>
      </w:r>
      <w:r w:rsidR="00EF24D1">
        <w:t>open label</w:t>
      </w:r>
      <w:r>
        <w:t xml:space="preserve"> DCV 3DAA. Cohort 2 is an </w:t>
      </w:r>
      <w:r w:rsidR="00EF24D1">
        <w:t>open label</w:t>
      </w:r>
      <w:r>
        <w:t xml:space="preserve">, single-arm study of DCV 3DAA for 12 weeks in IFN experienced subjects with GT-1a/1b (n = 60) planned). All subjects are to be followed for 24 weeks post treatment. Approximately 20% of compensated </w:t>
      </w:r>
      <w:proofErr w:type="spellStart"/>
      <w:r>
        <w:t>cirrhotics</w:t>
      </w:r>
      <w:proofErr w:type="spellEnd"/>
      <w:r>
        <w:t xml:space="preserve"> were enrolled.</w:t>
      </w:r>
    </w:p>
    <w:p w:rsidR="00E8193F" w:rsidRDefault="00E8193F" w:rsidP="00E8193F">
      <w:pPr>
        <w:tabs>
          <w:tab w:val="left" w:pos="720"/>
        </w:tabs>
        <w:autoSpaceDE w:val="0"/>
        <w:autoSpaceDN w:val="0"/>
        <w:adjustRightInd w:val="0"/>
      </w:pPr>
      <w:r>
        <w:t>From these ongoing studies</w:t>
      </w:r>
      <w:r w:rsidR="003B327F">
        <w:t>,</w:t>
      </w:r>
      <w:r>
        <w:t xml:space="preserve"> </w:t>
      </w:r>
      <w:r w:rsidRPr="007C4024">
        <w:t xml:space="preserve">2 cases of </w:t>
      </w:r>
      <w:r w:rsidR="00EF24D1" w:rsidRPr="007C4024">
        <w:t>potential drug-induced liver injury (</w:t>
      </w:r>
      <w:proofErr w:type="spellStart"/>
      <w:r w:rsidRPr="007C4024">
        <w:t>pDILI</w:t>
      </w:r>
      <w:proofErr w:type="spellEnd"/>
      <w:r w:rsidR="00EF24D1" w:rsidRPr="007C4024">
        <w:t>)</w:t>
      </w:r>
      <w:r w:rsidRPr="00EF24D1">
        <w:t xml:space="preserve"> were reported. One patient developed Grade 4 abnormal AST/ALT elevation on</w:t>
      </w:r>
      <w:r>
        <w:t xml:space="preserve"> </w:t>
      </w:r>
      <w:r w:rsidR="00EF24D1">
        <w:t>D</w:t>
      </w:r>
      <w:r>
        <w:t>ay 43 of treatment but returned to normal with cessation of study drugs. The other pa</w:t>
      </w:r>
      <w:r w:rsidR="00EF24D1">
        <w:t>tient had study drug ceased on D</w:t>
      </w:r>
      <w:r>
        <w:t xml:space="preserve">ay 42 when he presented with jaundice and was hospitalised due </w:t>
      </w:r>
      <w:r w:rsidRPr="00EF24D1">
        <w:t xml:space="preserve">to </w:t>
      </w:r>
      <w:proofErr w:type="spellStart"/>
      <w:r w:rsidRPr="00EF24D1">
        <w:t>hyperbilirubinaemia</w:t>
      </w:r>
      <w:proofErr w:type="spellEnd"/>
      <w:r w:rsidRPr="00EF24D1">
        <w:t xml:space="preserve"> (Grade 4), AST increased (Grade 4), ALT increased (Grade 4), </w:t>
      </w:r>
      <w:r w:rsidR="00EF24D1">
        <w:t>a</w:t>
      </w:r>
      <w:r w:rsidR="00EF24D1" w:rsidRPr="00EF24D1">
        <w:t>lkaline phosphatase (</w:t>
      </w:r>
      <w:r w:rsidRPr="00EF24D1">
        <w:t>ALP</w:t>
      </w:r>
      <w:r w:rsidR="00EF24D1" w:rsidRPr="00EF24D1">
        <w:t>)</w:t>
      </w:r>
      <w:r w:rsidRPr="00EF24D1">
        <w:t xml:space="preserve"> increased (Grade 1). </w:t>
      </w:r>
      <w:r w:rsidR="00EF24D1" w:rsidRPr="00EF24D1">
        <w:t>The patient</w:t>
      </w:r>
      <w:r w:rsidRPr="00EF24D1">
        <w:t xml:space="preserve"> experienced clinical signs of hepatic encephalopathy</w:t>
      </w:r>
      <w:r>
        <w:t xml:space="preserve"> (</w:t>
      </w:r>
      <w:proofErr w:type="spellStart"/>
      <w:r>
        <w:t>asterixis</w:t>
      </w:r>
      <w:proofErr w:type="spellEnd"/>
      <w:r>
        <w:t>) which was resolving but not normal at time of follow up.</w:t>
      </w:r>
    </w:p>
    <w:p w:rsidR="00C60B78" w:rsidRDefault="00E8193F" w:rsidP="00E8193F">
      <w:pPr>
        <w:tabs>
          <w:tab w:val="left" w:pos="720"/>
        </w:tabs>
        <w:autoSpaceDE w:val="0"/>
        <w:autoSpaceDN w:val="0"/>
        <w:adjustRightInd w:val="0"/>
      </w:pPr>
      <w:r>
        <w:t>The conclusions of the sponsor were:</w:t>
      </w:r>
    </w:p>
    <w:p w:rsidR="00E8193F" w:rsidRPr="00EF24D1" w:rsidRDefault="00E8193F" w:rsidP="00EF24D1">
      <w:pPr>
        <w:pStyle w:val="ListBullet"/>
        <w:rPr>
          <w:i/>
        </w:rPr>
      </w:pPr>
      <w:r w:rsidRPr="00EF24D1">
        <w:rPr>
          <w:i/>
        </w:rPr>
        <w:t xml:space="preserve">When ASV was combined with DCV </w:t>
      </w:r>
      <w:r w:rsidRPr="00EF24D1">
        <w:rPr>
          <w:rFonts w:cs="Cambria"/>
          <w:i/>
        </w:rPr>
        <w:t>±</w:t>
      </w:r>
      <w:r w:rsidRPr="00EF24D1">
        <w:rPr>
          <w:i/>
        </w:rPr>
        <w:t xml:space="preserve"> </w:t>
      </w:r>
      <w:proofErr w:type="spellStart"/>
      <w:r w:rsidRPr="00EF24D1">
        <w:rPr>
          <w:i/>
        </w:rPr>
        <w:t>pegIFN</w:t>
      </w:r>
      <w:proofErr w:type="spellEnd"/>
      <w:r w:rsidRPr="00EF24D1">
        <w:rPr>
          <w:i/>
        </w:rPr>
        <w:t>α/RBV), ALT elevations were observed, which are associated with ASV use</w:t>
      </w:r>
      <w:r w:rsidR="00973692">
        <w:rPr>
          <w:i/>
        </w:rPr>
        <w:t>.</w:t>
      </w:r>
    </w:p>
    <w:p w:rsidR="00E8193F" w:rsidRPr="00EF24D1" w:rsidRDefault="00E8193F" w:rsidP="00EF24D1">
      <w:pPr>
        <w:pStyle w:val="ListBullet"/>
        <w:rPr>
          <w:i/>
        </w:rPr>
      </w:pPr>
      <w:r w:rsidRPr="00EF24D1">
        <w:rPr>
          <w:i/>
        </w:rPr>
        <w:lastRenderedPageBreak/>
        <w:t>In general, these ALT elevations to date have been reversible after study drug has been discontinued</w:t>
      </w:r>
      <w:r w:rsidR="00973692">
        <w:rPr>
          <w:i/>
        </w:rPr>
        <w:t>.</w:t>
      </w:r>
    </w:p>
    <w:p w:rsidR="00E8193F" w:rsidRPr="00EF24D1" w:rsidRDefault="00E8193F" w:rsidP="00EF24D1">
      <w:pPr>
        <w:pStyle w:val="ListBullet"/>
        <w:rPr>
          <w:i/>
        </w:rPr>
      </w:pPr>
      <w:r w:rsidRPr="00EF24D1">
        <w:rPr>
          <w:i/>
        </w:rPr>
        <w:t xml:space="preserve">Infrequently, these ALT elevations are associated with increased bilirubin (subjects meeting biochemical criteria for </w:t>
      </w:r>
      <w:proofErr w:type="spellStart"/>
      <w:r w:rsidRPr="00EF24D1">
        <w:rPr>
          <w:i/>
        </w:rPr>
        <w:t>Hy’s</w:t>
      </w:r>
      <w:proofErr w:type="spellEnd"/>
      <w:r w:rsidRPr="00EF24D1">
        <w:rPr>
          <w:i/>
        </w:rPr>
        <w:t xml:space="preserve"> law or </w:t>
      </w:r>
      <w:proofErr w:type="spellStart"/>
      <w:r w:rsidRPr="00EF24D1">
        <w:rPr>
          <w:i/>
        </w:rPr>
        <w:t>pDILI</w:t>
      </w:r>
      <w:proofErr w:type="spellEnd"/>
      <w:r w:rsidRPr="00EF24D1">
        <w:rPr>
          <w:i/>
        </w:rPr>
        <w:t xml:space="preserve"> criteria) without clinical evidence of hepatic decompensation. However, one case of a subject with severe liver injury, who exhibited evidence of hepatic encephalopathy, has been reported among subjects receiving HCV 3DAA (DCV/ASV/BCV); further evaluation of this case is ongoing.</w:t>
      </w:r>
    </w:p>
    <w:p w:rsidR="00E8193F" w:rsidRDefault="00E8193F" w:rsidP="00EF24D1">
      <w:r>
        <w:t>Given the above, patients receiving DCV/ASV or DCV/ASV/</w:t>
      </w:r>
      <w:proofErr w:type="spellStart"/>
      <w:r>
        <w:t>pegIFN</w:t>
      </w:r>
      <w:proofErr w:type="spellEnd"/>
      <w:r>
        <w:t xml:space="preserve">α/RBV, should have close monitoring of liver enzymes: at least once every 2 weeks for the initial 12 weeks of treatment and every 4 weeks thereafter until completion of therapy. Any upward trend in ALT/AST levels warrants more frequent monitoring. If on-treatment elevations in ALT levels 10 times </w:t>
      </w:r>
      <w:r w:rsidR="00EF24D1">
        <w:t>the upper limit of normal (</w:t>
      </w:r>
      <w:r>
        <w:t>ULN</w:t>
      </w:r>
      <w:r w:rsidR="00EF24D1">
        <w:t>)</w:t>
      </w:r>
      <w:r>
        <w:t xml:space="preserve"> or greater occur, treatment should be discontinued immediately and not be resumed.</w:t>
      </w:r>
    </w:p>
    <w:p w:rsidR="00E8193F" w:rsidRDefault="00E8193F" w:rsidP="00E8193F">
      <w:pPr>
        <w:tabs>
          <w:tab w:val="left" w:pos="720"/>
        </w:tabs>
        <w:autoSpaceDE w:val="0"/>
        <w:autoSpaceDN w:val="0"/>
        <w:adjustRightInd w:val="0"/>
      </w:pPr>
      <w:r>
        <w:t>It is noted that this recommendation for monitoring is now included in the revised PI.</w:t>
      </w:r>
    </w:p>
    <w:p w:rsidR="00E8193F" w:rsidRDefault="00E8193F" w:rsidP="00EF24D1">
      <w:pPr>
        <w:pStyle w:val="Heading5"/>
      </w:pPr>
      <w:r>
        <w:t xml:space="preserve">Renal </w:t>
      </w:r>
      <w:r w:rsidR="00F95AEB">
        <w:t>s</w:t>
      </w:r>
      <w:r>
        <w:t>afety</w:t>
      </w:r>
    </w:p>
    <w:p w:rsidR="00E8193F" w:rsidRPr="007A2E96" w:rsidRDefault="00E8193F" w:rsidP="00EF24D1">
      <w:r>
        <w:t>In the submission and the clinical evaluation report there was no recommendation for dose adjustment in subjects with any degree of renal impairment based on the results of the PK study (</w:t>
      </w:r>
      <w:r w:rsidRPr="007A2E96">
        <w:t>AI447033) in normal subjects and those with end stage renal disease on dialysis. The sponsor has now provided the synopsis and brief summary of a new study (AI443110) of the DCV/ASV/BCV (DCV 3DAA) combination. In this study the effect of renal impairment on the PK of all 3 components was evaluated.</w:t>
      </w:r>
    </w:p>
    <w:p w:rsidR="00E8193F" w:rsidRDefault="00E8193F" w:rsidP="00EF24D1">
      <w:r w:rsidRPr="007A2E96">
        <w:t>Study AI443110 was an</w:t>
      </w:r>
      <w:r>
        <w:t xml:space="preserve"> open label, multi-dose study that assessed the PK of the DCV 3DAA FDC tablet (</w:t>
      </w:r>
      <w:r w:rsidR="00F70431">
        <w:t xml:space="preserve">that is, </w:t>
      </w:r>
      <w:r>
        <w:t xml:space="preserve">DCV 30 mg/ASV 200 mg/ BCV 75 mg) administered BD to HCV uninfected subjects with normal renal function and various degrees of renal impairment (normal, mild moderate, </w:t>
      </w:r>
      <w:r w:rsidRPr="00F70431">
        <w:t xml:space="preserve">severe and </w:t>
      </w:r>
      <w:r w:rsidR="00F70431" w:rsidRPr="00F70431">
        <w:t>end-stage renal disease</w:t>
      </w:r>
      <w:r w:rsidR="00F70431">
        <w:rPr>
          <w:rStyle w:val="st1"/>
          <w:rFonts w:ascii="Arial" w:hAnsi="Arial" w:cs="Arial"/>
          <w:color w:val="545454"/>
        </w:rPr>
        <w:t xml:space="preserve"> (</w:t>
      </w:r>
      <w:r>
        <w:t>ESRD</w:t>
      </w:r>
      <w:r w:rsidR="00F70431">
        <w:t>)</w:t>
      </w:r>
      <w:r>
        <w:t>) for 10 to 12 days. The sponsor reports the results as showing:</w:t>
      </w:r>
    </w:p>
    <w:p w:rsidR="00E8193F" w:rsidRPr="00F70431" w:rsidRDefault="00E8193F" w:rsidP="00F70431">
      <w:pPr>
        <w:rPr>
          <w:i/>
        </w:rPr>
      </w:pPr>
      <w:r w:rsidRPr="00F70431">
        <w:rPr>
          <w:i/>
        </w:rPr>
        <w:t>The PK properties of ASV were studied across a total of 41 subjects with normal renal function (N = 8), mild renal impairment (N = 9), moderate renal impairment (N = 8), severe renal impairment not on haemodialysis (N = 8), and ESRD on haemodialysis (N = 8) groups. Compared with subjects with normal renal function, the</w:t>
      </w:r>
      <w:r w:rsidR="001F3724" w:rsidRPr="00F70431">
        <w:rPr>
          <w:i/>
        </w:rPr>
        <w:t xml:space="preserve"> </w:t>
      </w:r>
      <w:proofErr w:type="spellStart"/>
      <w:r w:rsidR="001F3724" w:rsidRPr="00F70431">
        <w:rPr>
          <w:i/>
        </w:rPr>
        <w:t>C</w:t>
      </w:r>
      <w:r w:rsidR="001F3724" w:rsidRPr="00F70431">
        <w:rPr>
          <w:i/>
          <w:vertAlign w:val="subscript"/>
        </w:rPr>
        <w:t>max</w:t>
      </w:r>
      <w:proofErr w:type="spellEnd"/>
      <w:r w:rsidRPr="00F70431">
        <w:rPr>
          <w:i/>
        </w:rPr>
        <w:t xml:space="preserve"> of ASV was estimated to be 29%, 65% and 88% higher, and the AUC of ASV was estimated to be 33%, 76% and 109% higher in subjects with mild, moderate and severe renal impairment, respectively. </w:t>
      </w:r>
      <w:proofErr w:type="spellStart"/>
      <w:r w:rsidRPr="00F70431">
        <w:rPr>
          <w:i/>
        </w:rPr>
        <w:t>Asunaprevir</w:t>
      </w:r>
      <w:proofErr w:type="spellEnd"/>
      <w:r w:rsidRPr="00F70431">
        <w:rPr>
          <w:i/>
        </w:rPr>
        <w:t xml:space="preserve"> unbound</w:t>
      </w:r>
      <w:r w:rsidR="001F3724" w:rsidRPr="00F70431">
        <w:rPr>
          <w:i/>
        </w:rPr>
        <w:t xml:space="preserve"> </w:t>
      </w:r>
      <w:proofErr w:type="spellStart"/>
      <w:r w:rsidR="001F3724" w:rsidRPr="00F70431">
        <w:rPr>
          <w:i/>
        </w:rPr>
        <w:t>C</w:t>
      </w:r>
      <w:r w:rsidR="001F3724" w:rsidRPr="00F70431">
        <w:rPr>
          <w:i/>
          <w:vertAlign w:val="subscript"/>
        </w:rPr>
        <w:t>max</w:t>
      </w:r>
      <w:proofErr w:type="spellEnd"/>
      <w:r w:rsidRPr="00F70431">
        <w:rPr>
          <w:i/>
        </w:rPr>
        <w:t xml:space="preserve"> was estimated to be 37%, 87% and 119% higher, and ASV unbound AUC was estimated to be 41%, 99% and 137% higher for subjects with mild, moderate and severe renal impairment, respectively, compared with subjects with normal renal function. Subjects with ESRD requiring haemodialysis had an 11% decrease in ASV</w:t>
      </w:r>
      <w:r w:rsidR="001F3724" w:rsidRPr="00F70431">
        <w:rPr>
          <w:i/>
        </w:rPr>
        <w:t xml:space="preserve"> </w:t>
      </w:r>
      <w:proofErr w:type="spellStart"/>
      <w:r w:rsidR="001F3724" w:rsidRPr="00F70431">
        <w:rPr>
          <w:i/>
        </w:rPr>
        <w:t>C</w:t>
      </w:r>
      <w:r w:rsidR="001F3724" w:rsidRPr="00F70431">
        <w:rPr>
          <w:i/>
          <w:vertAlign w:val="subscript"/>
        </w:rPr>
        <w:t>max</w:t>
      </w:r>
      <w:proofErr w:type="spellEnd"/>
      <w:r w:rsidRPr="00F70431">
        <w:rPr>
          <w:i/>
        </w:rPr>
        <w:t xml:space="preserve"> and a 16% decrease in AUC soon after haemodialysis compared with subjects with normal renal function. </w:t>
      </w:r>
      <w:proofErr w:type="spellStart"/>
      <w:r w:rsidRPr="00F70431">
        <w:rPr>
          <w:i/>
        </w:rPr>
        <w:t>Asunaprevir</w:t>
      </w:r>
      <w:proofErr w:type="spellEnd"/>
      <w:r w:rsidRPr="00F70431">
        <w:rPr>
          <w:i/>
        </w:rPr>
        <w:t xml:space="preserve"> unbound</w:t>
      </w:r>
      <w:r w:rsidR="001F3724" w:rsidRPr="00F70431">
        <w:rPr>
          <w:i/>
        </w:rPr>
        <w:t xml:space="preserve"> </w:t>
      </w:r>
      <w:proofErr w:type="spellStart"/>
      <w:r w:rsidR="001F3724" w:rsidRPr="00F70431">
        <w:rPr>
          <w:i/>
        </w:rPr>
        <w:t>C</w:t>
      </w:r>
      <w:r w:rsidR="001F3724" w:rsidRPr="00F70431">
        <w:rPr>
          <w:i/>
          <w:vertAlign w:val="subscript"/>
        </w:rPr>
        <w:t>max</w:t>
      </w:r>
      <w:proofErr w:type="spellEnd"/>
      <w:r w:rsidRPr="00F70431">
        <w:rPr>
          <w:i/>
        </w:rPr>
        <w:t xml:space="preserve"> and AUC decreased 2% and 6%, respectively, soon after haemodialysis in subjects with ESRD requiring haemodialysis compared with subjects with normal renal function.</w:t>
      </w:r>
    </w:p>
    <w:p w:rsidR="00E8193F" w:rsidRDefault="00E8193F" w:rsidP="00E8193F">
      <w:pPr>
        <w:rPr>
          <w:rFonts w:eastAsia="TimesNewRoman" w:cs="TimesNewRomanPSMT"/>
          <w:color w:val="000000"/>
        </w:rPr>
      </w:pPr>
      <w:r>
        <w:t>As a result of this study the sponsor is now recommending that for patients with severe renal impairment (</w:t>
      </w:r>
      <w:r w:rsidR="00F70431">
        <w:t>creatinine clearance (</w:t>
      </w:r>
      <w:proofErr w:type="spellStart"/>
      <w:r>
        <w:t>CrCl</w:t>
      </w:r>
      <w:proofErr w:type="spellEnd"/>
      <w:r w:rsidR="00F70431">
        <w:t>)</w:t>
      </w:r>
      <w:r>
        <w:t xml:space="preserve"> less than 30 mL/min) who are not receiving haemodialysis, the recommended dose of ASV should be reduced to 100 mg once daily. No dose adjustment of ASV is recommended for those patients with mild or moderate renal impairment (</w:t>
      </w:r>
      <w:proofErr w:type="spellStart"/>
      <w:r>
        <w:t>CrCl</w:t>
      </w:r>
      <w:proofErr w:type="spellEnd"/>
      <w:r w:rsidR="00F70431">
        <w:t xml:space="preserve"> </w:t>
      </w:r>
      <w:r>
        <w:t>30 mL/min or greater) or those receiving haemodialysis</w:t>
      </w:r>
      <w:r>
        <w:rPr>
          <w:rFonts w:eastAsia="TimesNewRoman" w:cs="TimesNewRomanPSMT"/>
          <w:i/>
          <w:color w:val="000000"/>
        </w:rPr>
        <w:t>.</w:t>
      </w:r>
    </w:p>
    <w:p w:rsidR="00E8193F" w:rsidRDefault="00E8193F" w:rsidP="00E8193F">
      <w:pPr>
        <w:rPr>
          <w:rFonts w:eastAsia="TimesNewRoman" w:cs="TimesNewRomanPSMT"/>
          <w:color w:val="000000"/>
        </w:rPr>
      </w:pPr>
      <w:r>
        <w:rPr>
          <w:rFonts w:eastAsia="TimesNewRoman" w:cs="TimesNewRomanPSMT"/>
          <w:color w:val="000000"/>
        </w:rPr>
        <w:t>In light of this new study the sponsor’s recommendation for the dose reduction is supported.</w:t>
      </w:r>
    </w:p>
    <w:p w:rsidR="00605AD4" w:rsidRPr="00605AD4" w:rsidRDefault="00605AD4" w:rsidP="00546154">
      <w:pPr>
        <w:pStyle w:val="Heading3"/>
        <w:rPr>
          <w:rFonts w:eastAsia="Cambria"/>
        </w:rPr>
      </w:pPr>
      <w:bookmarkStart w:id="142" w:name="_Toc438125718"/>
      <w:r w:rsidRPr="00605AD4">
        <w:rPr>
          <w:rFonts w:eastAsia="Cambria"/>
        </w:rPr>
        <w:lastRenderedPageBreak/>
        <w:t xml:space="preserve">Second </w:t>
      </w:r>
      <w:r w:rsidR="00F95AEB">
        <w:rPr>
          <w:rFonts w:eastAsia="Cambria"/>
        </w:rPr>
        <w:t>r</w:t>
      </w:r>
      <w:r w:rsidRPr="00605AD4">
        <w:rPr>
          <w:rFonts w:eastAsia="Cambria"/>
        </w:rPr>
        <w:t xml:space="preserve">ound </w:t>
      </w:r>
      <w:r w:rsidR="00F95AEB">
        <w:rPr>
          <w:rFonts w:eastAsia="Cambria"/>
        </w:rPr>
        <w:t>b</w:t>
      </w:r>
      <w:r w:rsidRPr="00605AD4">
        <w:rPr>
          <w:rFonts w:eastAsia="Cambria"/>
        </w:rPr>
        <w:t>enefit-</w:t>
      </w:r>
      <w:r w:rsidR="00F95AEB">
        <w:rPr>
          <w:rFonts w:eastAsia="Cambria"/>
        </w:rPr>
        <w:t>r</w:t>
      </w:r>
      <w:r w:rsidRPr="00605AD4">
        <w:rPr>
          <w:rFonts w:eastAsia="Cambria"/>
        </w:rPr>
        <w:t xml:space="preserve">isk </w:t>
      </w:r>
      <w:r w:rsidR="00F95AEB">
        <w:rPr>
          <w:rFonts w:eastAsia="Cambria"/>
        </w:rPr>
        <w:t>a</w:t>
      </w:r>
      <w:r w:rsidRPr="00605AD4">
        <w:rPr>
          <w:rFonts w:eastAsia="Cambria"/>
        </w:rPr>
        <w:t>ssessment</w:t>
      </w:r>
      <w:bookmarkEnd w:id="142"/>
    </w:p>
    <w:p w:rsidR="00E8193F" w:rsidRDefault="00E8193F" w:rsidP="00F70431">
      <w:pPr>
        <w:pStyle w:val="Heading4"/>
      </w:pPr>
      <w:bookmarkStart w:id="143" w:name="_Toc401660013"/>
      <w:bookmarkStart w:id="144" w:name="_Toc290846349"/>
      <w:bookmarkStart w:id="145" w:name="_Toc272414709"/>
      <w:r>
        <w:t>Second round assessment of benefits</w:t>
      </w:r>
      <w:bookmarkEnd w:id="143"/>
      <w:bookmarkEnd w:id="144"/>
      <w:bookmarkEnd w:id="145"/>
    </w:p>
    <w:p w:rsidR="00E8193F" w:rsidRDefault="00E8193F" w:rsidP="00E8193F">
      <w:r>
        <w:t xml:space="preserve">No new clinical information was submitted in response to questions. Accordingly the benefits of </w:t>
      </w:r>
      <w:proofErr w:type="spellStart"/>
      <w:r>
        <w:t>asunaprevir</w:t>
      </w:r>
      <w:proofErr w:type="spellEnd"/>
      <w:r>
        <w:t xml:space="preserve"> are unchanged from those identified in </w:t>
      </w:r>
      <w:r w:rsidR="00F70431">
        <w:t>the First round evaluation</w:t>
      </w:r>
      <w:r>
        <w:t>.</w:t>
      </w:r>
    </w:p>
    <w:p w:rsidR="00E8193F" w:rsidRDefault="00E8193F" w:rsidP="00F70431">
      <w:pPr>
        <w:pStyle w:val="Heading4"/>
      </w:pPr>
      <w:bookmarkStart w:id="146" w:name="_Toc401660014"/>
      <w:bookmarkStart w:id="147" w:name="_Toc290846351"/>
      <w:bookmarkStart w:id="148" w:name="_Toc272414711"/>
      <w:r>
        <w:t>Second round assessment of benefit-risk balance</w:t>
      </w:r>
      <w:bookmarkEnd w:id="146"/>
      <w:bookmarkEnd w:id="147"/>
      <w:bookmarkEnd w:id="148"/>
    </w:p>
    <w:p w:rsidR="00E8193F" w:rsidRDefault="00E8193F" w:rsidP="00E8193F">
      <w:r>
        <w:t xml:space="preserve">No new clinical information was submitted in response to questions. New information was provided on the safety of </w:t>
      </w:r>
      <w:proofErr w:type="spellStart"/>
      <w:r>
        <w:t>asunaprevir</w:t>
      </w:r>
      <w:proofErr w:type="spellEnd"/>
      <w:r>
        <w:t xml:space="preserve">. After consideration of this new data the risks of </w:t>
      </w:r>
      <w:proofErr w:type="spellStart"/>
      <w:r>
        <w:t>asunaprevir</w:t>
      </w:r>
      <w:proofErr w:type="spellEnd"/>
      <w:r>
        <w:t xml:space="preserve"> are unchanged from those identified in </w:t>
      </w:r>
      <w:r w:rsidR="00F70431">
        <w:t>the First round evaluation</w:t>
      </w:r>
      <w:r>
        <w:t>.</w:t>
      </w:r>
    </w:p>
    <w:p w:rsidR="00E8193F" w:rsidRDefault="00E8193F" w:rsidP="00F70431">
      <w:pPr>
        <w:pStyle w:val="Heading4"/>
      </w:pPr>
      <w:bookmarkStart w:id="149" w:name="_Toc401660015"/>
      <w:bookmarkStart w:id="150" w:name="_Toc290846352"/>
      <w:bookmarkStart w:id="151" w:name="_Toc272414713"/>
      <w:bookmarkStart w:id="152" w:name="_Ref272160677"/>
      <w:r>
        <w:t>Second round recommendation regarding authorisation</w:t>
      </w:r>
      <w:bookmarkEnd w:id="149"/>
      <w:bookmarkEnd w:id="150"/>
      <w:bookmarkEnd w:id="151"/>
      <w:bookmarkEnd w:id="152"/>
    </w:p>
    <w:p w:rsidR="00E8193F" w:rsidRDefault="00E8193F" w:rsidP="00E8193F">
      <w:r>
        <w:t xml:space="preserve">Based on the review of the new information provided by the sponsor in response to the </w:t>
      </w:r>
      <w:r w:rsidR="00F70431">
        <w:t>F</w:t>
      </w:r>
      <w:r>
        <w:t xml:space="preserve">irst round evaluation the recommendation is unchanged from that stated </w:t>
      </w:r>
      <w:r w:rsidR="00F70431">
        <w:t>above, that is,</w:t>
      </w:r>
      <w:r>
        <w:t xml:space="preserve"> </w:t>
      </w:r>
      <w:proofErr w:type="spellStart"/>
      <w:r>
        <w:t>asunaprevir</w:t>
      </w:r>
      <w:proofErr w:type="spellEnd"/>
      <w:r>
        <w:t xml:space="preserve"> is recommended for approval as requested by the sponsor</w:t>
      </w:r>
      <w:r w:rsidR="00F70431">
        <w:t xml:space="preserve"> (Table 15)</w:t>
      </w:r>
      <w:r>
        <w:t>:</w:t>
      </w:r>
    </w:p>
    <w:p w:rsidR="00E8193F" w:rsidRDefault="00F70431" w:rsidP="00F70431">
      <w:pPr>
        <w:pStyle w:val="TableTitle"/>
      </w:pPr>
      <w:r>
        <w:t xml:space="preserve">Table 15: </w:t>
      </w:r>
      <w:r w:rsidR="00E8193F">
        <w:t>Recommended Regimens for SUNVEPRA 100 mg Twice Daily Combination Therapy</w:t>
      </w:r>
    </w:p>
    <w:tbl>
      <w:tblPr>
        <w:tblStyle w:val="TableTGAblue"/>
        <w:tblW w:w="4948" w:type="pct"/>
        <w:tblLook w:val="04A0" w:firstRow="1" w:lastRow="0" w:firstColumn="1" w:lastColumn="0" w:noHBand="0" w:noVBand="1"/>
      </w:tblPr>
      <w:tblGrid>
        <w:gridCol w:w="2235"/>
        <w:gridCol w:w="4853"/>
        <w:gridCol w:w="1541"/>
      </w:tblGrid>
      <w:tr w:rsidR="00E8193F" w:rsidTr="0055797B">
        <w:trPr>
          <w:cnfStyle w:val="100000000000" w:firstRow="1" w:lastRow="0" w:firstColumn="0" w:lastColumn="0" w:oddVBand="0" w:evenVBand="0" w:oddHBand="0" w:evenHBand="0" w:firstRowFirstColumn="0" w:firstRowLastColumn="0" w:lastRowFirstColumn="0" w:lastRowLastColumn="0"/>
        </w:trPr>
        <w:tc>
          <w:tcPr>
            <w:tcW w:w="1295" w:type="pct"/>
            <w:hideMark/>
          </w:tcPr>
          <w:p w:rsidR="00E8193F" w:rsidRPr="00BA1372" w:rsidRDefault="00E8193F" w:rsidP="0055797B">
            <w:pPr>
              <w:rPr>
                <w:kern w:val="16"/>
              </w:rPr>
            </w:pPr>
            <w:r w:rsidRPr="00BA1372">
              <w:t xml:space="preserve">HCV Genotype </w:t>
            </w:r>
            <w:r w:rsidRPr="00BA1372">
              <w:rPr>
                <w:vertAlign w:val="superscript"/>
              </w:rPr>
              <w:t>a</w:t>
            </w:r>
          </w:p>
        </w:tc>
        <w:tc>
          <w:tcPr>
            <w:tcW w:w="2812" w:type="pct"/>
            <w:hideMark/>
          </w:tcPr>
          <w:p w:rsidR="00E8193F" w:rsidRPr="00BA1372" w:rsidRDefault="00E8193F" w:rsidP="0055797B">
            <w:pPr>
              <w:rPr>
                <w:kern w:val="16"/>
              </w:rPr>
            </w:pPr>
            <w:r w:rsidRPr="00BA1372">
              <w:t>Treatment</w:t>
            </w:r>
          </w:p>
        </w:tc>
        <w:tc>
          <w:tcPr>
            <w:tcW w:w="893" w:type="pct"/>
            <w:hideMark/>
          </w:tcPr>
          <w:p w:rsidR="00E8193F" w:rsidRPr="00BA1372" w:rsidRDefault="00E8193F" w:rsidP="0055797B">
            <w:pPr>
              <w:rPr>
                <w:kern w:val="16"/>
              </w:rPr>
            </w:pPr>
            <w:r w:rsidRPr="00BA1372">
              <w:t>Duration</w:t>
            </w:r>
          </w:p>
        </w:tc>
      </w:tr>
      <w:tr w:rsidR="00E8193F" w:rsidTr="0055797B">
        <w:tc>
          <w:tcPr>
            <w:tcW w:w="1295" w:type="pct"/>
            <w:hideMark/>
          </w:tcPr>
          <w:p w:rsidR="00E8193F" w:rsidRPr="00BA1372" w:rsidRDefault="00E8193F" w:rsidP="0055797B">
            <w:pPr>
              <w:rPr>
                <w:kern w:val="16"/>
              </w:rPr>
            </w:pPr>
            <w:r w:rsidRPr="00BA1372">
              <w:t>Genotype 1b</w:t>
            </w:r>
          </w:p>
        </w:tc>
        <w:tc>
          <w:tcPr>
            <w:tcW w:w="2812" w:type="pct"/>
            <w:hideMark/>
          </w:tcPr>
          <w:p w:rsidR="00E8193F" w:rsidRPr="00BA1372" w:rsidRDefault="00F70431" w:rsidP="0055797B">
            <w:pPr>
              <w:rPr>
                <w:kern w:val="16"/>
              </w:rPr>
            </w:pPr>
            <w:proofErr w:type="spellStart"/>
            <w:r w:rsidRPr="00BA1372">
              <w:t>Sunvepra</w:t>
            </w:r>
            <w:proofErr w:type="spellEnd"/>
            <w:r w:rsidRPr="00BA1372">
              <w:t xml:space="preserve"> and </w:t>
            </w:r>
            <w:proofErr w:type="spellStart"/>
            <w:r w:rsidRPr="00BA1372">
              <w:t>Daklinza</w:t>
            </w:r>
            <w:proofErr w:type="spellEnd"/>
          </w:p>
        </w:tc>
        <w:tc>
          <w:tcPr>
            <w:tcW w:w="893" w:type="pct"/>
            <w:hideMark/>
          </w:tcPr>
          <w:p w:rsidR="00E8193F" w:rsidRPr="00BA1372" w:rsidRDefault="00E8193F" w:rsidP="0055797B">
            <w:pPr>
              <w:rPr>
                <w:kern w:val="16"/>
              </w:rPr>
            </w:pPr>
            <w:r w:rsidRPr="00BA1372">
              <w:t>24 weeks</w:t>
            </w:r>
          </w:p>
        </w:tc>
      </w:tr>
      <w:tr w:rsidR="00E8193F" w:rsidTr="0055797B">
        <w:tc>
          <w:tcPr>
            <w:tcW w:w="1295" w:type="pct"/>
            <w:hideMark/>
          </w:tcPr>
          <w:p w:rsidR="00E8193F" w:rsidRPr="00BA1372" w:rsidRDefault="00E8193F" w:rsidP="0055797B">
            <w:pPr>
              <w:rPr>
                <w:kern w:val="16"/>
              </w:rPr>
            </w:pPr>
            <w:r w:rsidRPr="00BA1372">
              <w:t xml:space="preserve">Genotype 1 </w:t>
            </w:r>
            <w:r w:rsidR="00F70431" w:rsidRPr="00BA1372">
              <w:t>&amp;</w:t>
            </w:r>
            <w:r w:rsidRPr="00BA1372">
              <w:t xml:space="preserve"> 4</w:t>
            </w:r>
          </w:p>
        </w:tc>
        <w:tc>
          <w:tcPr>
            <w:tcW w:w="2812" w:type="pct"/>
            <w:hideMark/>
          </w:tcPr>
          <w:p w:rsidR="00E8193F" w:rsidRPr="00BA1372" w:rsidRDefault="00F70431" w:rsidP="0055797B">
            <w:pPr>
              <w:rPr>
                <w:kern w:val="16"/>
              </w:rPr>
            </w:pPr>
            <w:proofErr w:type="spellStart"/>
            <w:r w:rsidRPr="00BA1372">
              <w:t>Sunvepra</w:t>
            </w:r>
            <w:proofErr w:type="spellEnd"/>
            <w:r w:rsidRPr="00BA1372">
              <w:t xml:space="preserve">, </w:t>
            </w:r>
            <w:proofErr w:type="spellStart"/>
            <w:r w:rsidRPr="00BA1372">
              <w:t>Daklinza</w:t>
            </w:r>
            <w:proofErr w:type="spellEnd"/>
            <w:r w:rsidR="00E8193F" w:rsidRPr="00BA1372">
              <w:t xml:space="preserve">, </w:t>
            </w:r>
            <w:proofErr w:type="spellStart"/>
            <w:r w:rsidR="00E8193F" w:rsidRPr="00BA1372">
              <w:t>peginterferon</w:t>
            </w:r>
            <w:proofErr w:type="spellEnd"/>
            <w:r w:rsidR="00E8193F" w:rsidRPr="00BA1372">
              <w:t xml:space="preserve"> </w:t>
            </w:r>
            <w:proofErr w:type="spellStart"/>
            <w:r w:rsidR="00E8193F" w:rsidRPr="00BA1372">
              <w:t>alfa</w:t>
            </w:r>
            <w:proofErr w:type="spellEnd"/>
            <w:r w:rsidR="00E8193F" w:rsidRPr="00BA1372">
              <w:t xml:space="preserve"> and ribavirin</w:t>
            </w:r>
          </w:p>
        </w:tc>
        <w:tc>
          <w:tcPr>
            <w:tcW w:w="893" w:type="pct"/>
            <w:hideMark/>
          </w:tcPr>
          <w:p w:rsidR="00E8193F" w:rsidRPr="00BA1372" w:rsidRDefault="00E8193F" w:rsidP="0055797B">
            <w:pPr>
              <w:rPr>
                <w:kern w:val="16"/>
              </w:rPr>
            </w:pPr>
            <w:r w:rsidRPr="00BA1372">
              <w:t>24 weeks</w:t>
            </w:r>
          </w:p>
        </w:tc>
      </w:tr>
    </w:tbl>
    <w:p w:rsidR="00E8193F" w:rsidRDefault="00E8193F" w:rsidP="0055797B">
      <w:pPr>
        <w:pStyle w:val="TableDescription"/>
        <w:rPr>
          <w:kern w:val="16"/>
        </w:rPr>
      </w:pPr>
      <w:proofErr w:type="gramStart"/>
      <w:r>
        <w:t>a</w:t>
      </w:r>
      <w:proofErr w:type="gramEnd"/>
      <w:r>
        <w:t xml:space="preserve"> Treatment-naïve or failed prior treatment with </w:t>
      </w:r>
      <w:proofErr w:type="spellStart"/>
      <w:r>
        <w:t>peginterferon</w:t>
      </w:r>
      <w:proofErr w:type="spellEnd"/>
      <w:r>
        <w:t xml:space="preserve"> </w:t>
      </w:r>
      <w:proofErr w:type="spellStart"/>
      <w:r>
        <w:t>alfa</w:t>
      </w:r>
      <w:proofErr w:type="spellEnd"/>
      <w:r>
        <w:t>/ribavirin</w:t>
      </w:r>
    </w:p>
    <w:p w:rsidR="00E8193F" w:rsidRDefault="00E8193F" w:rsidP="00E8193F">
      <w:r>
        <w:t xml:space="preserve">This approval matches the recommended approval for </w:t>
      </w:r>
      <w:proofErr w:type="spellStart"/>
      <w:r>
        <w:t>daclatasvir</w:t>
      </w:r>
      <w:proofErr w:type="spellEnd"/>
      <w:r w:rsidR="00B37B36">
        <w:t>.</w:t>
      </w:r>
    </w:p>
    <w:p w:rsidR="008E7846" w:rsidRPr="00E41208" w:rsidRDefault="008E7846" w:rsidP="00546154">
      <w:pPr>
        <w:pStyle w:val="Heading2"/>
      </w:pPr>
      <w:bookmarkStart w:id="153" w:name="_Toc438125719"/>
      <w:r w:rsidRPr="00E41208">
        <w:t xml:space="preserve">V. Pharmacovigilance </w:t>
      </w:r>
      <w:r>
        <w:t>f</w:t>
      </w:r>
      <w:r w:rsidRPr="00E41208">
        <w:t>indings</w:t>
      </w:r>
      <w:bookmarkEnd w:id="114"/>
      <w:bookmarkEnd w:id="115"/>
      <w:bookmarkEnd w:id="153"/>
    </w:p>
    <w:p w:rsidR="008E7846" w:rsidRDefault="00386150" w:rsidP="008E7846">
      <w:pPr>
        <w:pStyle w:val="Heading3"/>
        <w:rPr>
          <w:lang w:eastAsia="en-AU"/>
        </w:rPr>
      </w:pPr>
      <w:bookmarkStart w:id="154" w:name="_Toc247691526"/>
      <w:bookmarkStart w:id="155" w:name="_Toc314842509"/>
      <w:bookmarkStart w:id="156" w:name="_Toc438125720"/>
      <w:r>
        <w:rPr>
          <w:lang w:eastAsia="en-AU"/>
        </w:rPr>
        <w:t>Risk m</w:t>
      </w:r>
      <w:r w:rsidR="008E7846">
        <w:rPr>
          <w:lang w:eastAsia="en-AU"/>
        </w:rPr>
        <w:t xml:space="preserve">anagement </w:t>
      </w:r>
      <w:r>
        <w:rPr>
          <w:lang w:eastAsia="en-AU"/>
        </w:rPr>
        <w:t>p</w:t>
      </w:r>
      <w:r w:rsidR="008E7846">
        <w:rPr>
          <w:lang w:eastAsia="en-AU"/>
        </w:rPr>
        <w:t>lan</w:t>
      </w:r>
      <w:bookmarkEnd w:id="154"/>
      <w:bookmarkEnd w:id="155"/>
      <w:bookmarkEnd w:id="156"/>
    </w:p>
    <w:p w:rsidR="00E8193F" w:rsidRDefault="008E7846" w:rsidP="00E8193F">
      <w:pPr>
        <w:rPr>
          <w:lang w:eastAsia="en-AU"/>
        </w:rPr>
      </w:pPr>
      <w:r>
        <w:rPr>
          <w:lang w:eastAsia="en-AU"/>
        </w:rPr>
        <w:t>The sponsor submitted a Risk Management Plan</w:t>
      </w:r>
      <w:r w:rsidR="006F25B8">
        <w:rPr>
          <w:lang w:eastAsia="en-AU"/>
        </w:rPr>
        <w:t xml:space="preserve"> </w:t>
      </w:r>
      <w:proofErr w:type="spellStart"/>
      <w:r w:rsidR="00E8193F">
        <w:t>Asunaprevir</w:t>
      </w:r>
      <w:proofErr w:type="spellEnd"/>
      <w:r w:rsidR="00E8193F">
        <w:t xml:space="preserve"> Company Core RMP (version 1, dated 7 March 2014, data lock point 16 December 2013) </w:t>
      </w:r>
      <w:r w:rsidR="00F70431">
        <w:t>and</w:t>
      </w:r>
      <w:r w:rsidR="00E8193F">
        <w:t xml:space="preserve"> Australian-specific Annex (version 1, dated 31 March 2014)</w:t>
      </w:r>
      <w:r>
        <w:rPr>
          <w:lang w:eastAsia="en-AU"/>
        </w:rPr>
        <w:t>.</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w:t>
      </w:r>
      <w:r w:rsidR="00F70431">
        <w:rPr>
          <w:lang w:eastAsia="en-AU"/>
        </w:rPr>
        <w:t xml:space="preserve">ponsor provided a summary of </w:t>
      </w:r>
      <w:proofErr w:type="gramStart"/>
      <w:r w:rsidR="00F70431">
        <w:rPr>
          <w:lang w:eastAsia="en-AU"/>
        </w:rPr>
        <w:t>O</w:t>
      </w:r>
      <w:r>
        <w:rPr>
          <w:lang w:eastAsia="en-AU"/>
        </w:rPr>
        <w:t>ngoing</w:t>
      </w:r>
      <w:proofErr w:type="gramEnd"/>
      <w:r>
        <w:rPr>
          <w:lang w:eastAsia="en-AU"/>
        </w:rPr>
        <w:t xml:space="preserve"> safety </w:t>
      </w:r>
      <w:r w:rsidR="006F25B8">
        <w:rPr>
          <w:lang w:eastAsia="en-AU"/>
        </w:rPr>
        <w:t>c</w:t>
      </w:r>
      <w:r>
        <w:rPr>
          <w:lang w:eastAsia="en-AU"/>
        </w:rPr>
        <w:t xml:space="preserve">oncerns which are shown at Table </w:t>
      </w:r>
      <w:r w:rsidR="00F70431">
        <w:rPr>
          <w:lang w:eastAsia="en-AU"/>
        </w:rPr>
        <w:t>16</w:t>
      </w:r>
      <w:r>
        <w:rPr>
          <w:lang w:eastAsia="en-AU"/>
        </w:rPr>
        <w:t>.</w:t>
      </w:r>
    </w:p>
    <w:p w:rsidR="00F70431" w:rsidRDefault="00F70431" w:rsidP="00F70431">
      <w:pPr>
        <w:pStyle w:val="TableTitle"/>
        <w:rPr>
          <w:lang w:eastAsia="en-AU"/>
        </w:rPr>
      </w:pPr>
      <w:r>
        <w:rPr>
          <w:lang w:eastAsia="en-AU"/>
        </w:rPr>
        <w:t>Table 16: Summary of Ongoing safety concerns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18"/>
      </w:tblGrid>
      <w:tr w:rsidR="00E8193F" w:rsidTr="0055797B">
        <w:tc>
          <w:tcPr>
            <w:tcW w:w="2694" w:type="dxa"/>
            <w:tcBorders>
              <w:top w:val="single" w:sz="4" w:space="0" w:color="auto"/>
              <w:left w:val="single" w:sz="4" w:space="0" w:color="auto"/>
              <w:bottom w:val="single" w:sz="4" w:space="0" w:color="auto"/>
              <w:right w:val="single" w:sz="4" w:space="0" w:color="auto"/>
            </w:tcBorders>
            <w:shd w:val="clear" w:color="auto" w:fill="006DA7"/>
            <w:hideMark/>
          </w:tcPr>
          <w:p w:rsidR="00E8193F" w:rsidRPr="00BA1372" w:rsidRDefault="00E8193F" w:rsidP="00BA1372">
            <w:pPr>
              <w:adjustRightInd w:val="0"/>
              <w:snapToGrid w:val="0"/>
              <w:spacing w:before="180" w:after="180"/>
              <w:jc w:val="both"/>
              <w:rPr>
                <w:rFonts w:cs="Arial"/>
                <w:b/>
                <w:color w:val="FFFFFF"/>
                <w:sz w:val="20"/>
                <w:szCs w:val="20"/>
              </w:rPr>
            </w:pPr>
            <w:r w:rsidRPr="00BA1372">
              <w:rPr>
                <w:b/>
                <w:color w:val="FFFFFF"/>
                <w:sz w:val="20"/>
                <w:szCs w:val="20"/>
                <w:lang w:eastAsia="en-AU"/>
              </w:rPr>
              <w:t>Important identified risk</w:t>
            </w:r>
          </w:p>
        </w:tc>
        <w:tc>
          <w:tcPr>
            <w:tcW w:w="5918" w:type="dxa"/>
            <w:tcBorders>
              <w:top w:val="single" w:sz="4" w:space="0" w:color="auto"/>
              <w:left w:val="single" w:sz="4" w:space="0" w:color="auto"/>
              <w:bottom w:val="single" w:sz="4" w:space="0" w:color="auto"/>
              <w:right w:val="single" w:sz="4" w:space="0" w:color="auto"/>
            </w:tcBorders>
            <w:hideMark/>
          </w:tcPr>
          <w:p w:rsidR="00E8193F" w:rsidRPr="00BA1372" w:rsidRDefault="00E8193F" w:rsidP="00BA1372">
            <w:pPr>
              <w:adjustRightInd w:val="0"/>
              <w:snapToGrid w:val="0"/>
              <w:spacing w:before="180" w:after="180"/>
              <w:jc w:val="both"/>
              <w:rPr>
                <w:rFonts w:cs="Arial"/>
                <w:sz w:val="20"/>
                <w:szCs w:val="20"/>
              </w:rPr>
            </w:pPr>
            <w:r w:rsidRPr="00BA1372">
              <w:rPr>
                <w:sz w:val="20"/>
                <w:szCs w:val="20"/>
                <w:lang w:eastAsia="en-AU"/>
              </w:rPr>
              <w:t>Hepatic toxicity</w:t>
            </w:r>
          </w:p>
        </w:tc>
      </w:tr>
      <w:tr w:rsidR="00E8193F" w:rsidTr="0055797B">
        <w:tc>
          <w:tcPr>
            <w:tcW w:w="2694" w:type="dxa"/>
            <w:tcBorders>
              <w:top w:val="single" w:sz="4" w:space="0" w:color="auto"/>
              <w:left w:val="single" w:sz="4" w:space="0" w:color="auto"/>
              <w:bottom w:val="single" w:sz="4" w:space="0" w:color="auto"/>
              <w:right w:val="single" w:sz="4" w:space="0" w:color="auto"/>
            </w:tcBorders>
            <w:shd w:val="clear" w:color="auto" w:fill="006DA7"/>
            <w:hideMark/>
          </w:tcPr>
          <w:p w:rsidR="00E8193F" w:rsidRPr="00BA1372" w:rsidRDefault="00E8193F" w:rsidP="00BA1372">
            <w:pPr>
              <w:adjustRightInd w:val="0"/>
              <w:snapToGrid w:val="0"/>
              <w:spacing w:before="180" w:after="180"/>
              <w:jc w:val="both"/>
              <w:rPr>
                <w:rFonts w:cs="Arial"/>
                <w:b/>
                <w:color w:val="FFFFFF"/>
                <w:sz w:val="20"/>
                <w:szCs w:val="20"/>
              </w:rPr>
            </w:pPr>
            <w:r w:rsidRPr="00BA1372">
              <w:rPr>
                <w:b/>
                <w:color w:val="FFFFFF"/>
                <w:sz w:val="20"/>
                <w:szCs w:val="20"/>
                <w:lang w:eastAsia="en-AU"/>
              </w:rPr>
              <w:t>Important potential risks</w:t>
            </w:r>
          </w:p>
        </w:tc>
        <w:tc>
          <w:tcPr>
            <w:tcW w:w="5918" w:type="dxa"/>
            <w:tcBorders>
              <w:top w:val="single" w:sz="4" w:space="0" w:color="auto"/>
              <w:left w:val="single" w:sz="4" w:space="0" w:color="auto"/>
              <w:bottom w:val="single" w:sz="4" w:space="0" w:color="auto"/>
              <w:right w:val="single" w:sz="4" w:space="0" w:color="auto"/>
            </w:tcBorders>
            <w:hideMark/>
          </w:tcPr>
          <w:p w:rsidR="00E8193F" w:rsidRPr="00BA1372" w:rsidRDefault="00E8193F" w:rsidP="00BA1372">
            <w:pPr>
              <w:jc w:val="both"/>
              <w:rPr>
                <w:rFonts w:cs="Arial"/>
                <w:sz w:val="20"/>
                <w:szCs w:val="20"/>
              </w:rPr>
            </w:pPr>
            <w:r w:rsidRPr="00BA1372">
              <w:rPr>
                <w:sz w:val="20"/>
                <w:szCs w:val="20"/>
                <w:lang w:eastAsia="en-AU"/>
              </w:rPr>
              <w:t>Drug-induced pyrexia</w:t>
            </w:r>
          </w:p>
          <w:p w:rsidR="00E8193F" w:rsidRPr="00BA1372" w:rsidRDefault="00E8193F" w:rsidP="00BA1372">
            <w:pPr>
              <w:adjustRightInd w:val="0"/>
              <w:snapToGrid w:val="0"/>
              <w:spacing w:before="180" w:after="180"/>
              <w:jc w:val="both"/>
              <w:rPr>
                <w:rFonts w:cs="Arial"/>
                <w:sz w:val="20"/>
                <w:szCs w:val="20"/>
              </w:rPr>
            </w:pPr>
            <w:r w:rsidRPr="00BA1372">
              <w:rPr>
                <w:sz w:val="20"/>
                <w:szCs w:val="20"/>
                <w:lang w:eastAsia="en-AU"/>
              </w:rPr>
              <w:t>Development of drug resistance</w:t>
            </w:r>
          </w:p>
        </w:tc>
      </w:tr>
      <w:tr w:rsidR="00E8193F" w:rsidTr="0055797B">
        <w:tc>
          <w:tcPr>
            <w:tcW w:w="2694" w:type="dxa"/>
            <w:tcBorders>
              <w:top w:val="single" w:sz="4" w:space="0" w:color="auto"/>
              <w:left w:val="single" w:sz="4" w:space="0" w:color="auto"/>
              <w:bottom w:val="single" w:sz="4" w:space="0" w:color="auto"/>
              <w:right w:val="single" w:sz="4" w:space="0" w:color="auto"/>
            </w:tcBorders>
            <w:shd w:val="clear" w:color="auto" w:fill="006DA7"/>
            <w:hideMark/>
          </w:tcPr>
          <w:p w:rsidR="00E8193F" w:rsidRPr="00BA1372" w:rsidRDefault="00E8193F" w:rsidP="00BA1372">
            <w:pPr>
              <w:adjustRightInd w:val="0"/>
              <w:snapToGrid w:val="0"/>
              <w:spacing w:before="180" w:after="180"/>
              <w:jc w:val="both"/>
              <w:rPr>
                <w:rFonts w:cs="Arial"/>
                <w:b/>
                <w:color w:val="FFFFFF"/>
                <w:sz w:val="20"/>
                <w:szCs w:val="20"/>
              </w:rPr>
            </w:pPr>
            <w:r w:rsidRPr="00BA1372">
              <w:rPr>
                <w:b/>
                <w:color w:val="FFFFFF"/>
                <w:sz w:val="20"/>
                <w:szCs w:val="20"/>
                <w:lang w:eastAsia="en-AU"/>
              </w:rPr>
              <w:lastRenderedPageBreak/>
              <w:t>Drug interactions</w:t>
            </w:r>
          </w:p>
        </w:tc>
        <w:tc>
          <w:tcPr>
            <w:tcW w:w="5918" w:type="dxa"/>
            <w:tcBorders>
              <w:top w:val="single" w:sz="4" w:space="0" w:color="auto"/>
              <w:left w:val="single" w:sz="4" w:space="0" w:color="auto"/>
              <w:bottom w:val="single" w:sz="4" w:space="0" w:color="auto"/>
              <w:right w:val="single" w:sz="4" w:space="0" w:color="auto"/>
            </w:tcBorders>
            <w:hideMark/>
          </w:tcPr>
          <w:p w:rsidR="00E8193F" w:rsidRPr="00BA1372" w:rsidRDefault="00E8193F" w:rsidP="00BA1372">
            <w:pPr>
              <w:jc w:val="both"/>
              <w:rPr>
                <w:rFonts w:cs="Arial"/>
                <w:sz w:val="20"/>
                <w:szCs w:val="20"/>
              </w:rPr>
            </w:pPr>
            <w:r w:rsidRPr="00BA1372">
              <w:rPr>
                <w:sz w:val="20"/>
                <w:szCs w:val="20"/>
                <w:lang w:eastAsia="en-AU"/>
              </w:rPr>
              <w:t>Inducers of CYP3A</w:t>
            </w:r>
          </w:p>
          <w:p w:rsidR="00E8193F" w:rsidRPr="00BA1372" w:rsidRDefault="00E8193F" w:rsidP="00BA1372">
            <w:pPr>
              <w:jc w:val="both"/>
              <w:rPr>
                <w:sz w:val="20"/>
                <w:szCs w:val="20"/>
                <w:lang w:eastAsia="en-AU"/>
              </w:rPr>
            </w:pPr>
            <w:r w:rsidRPr="00BA1372">
              <w:rPr>
                <w:sz w:val="20"/>
                <w:szCs w:val="20"/>
                <w:lang w:eastAsia="en-AU"/>
              </w:rPr>
              <w:t>Inhibitors of CYP3A</w:t>
            </w:r>
          </w:p>
          <w:p w:rsidR="00E8193F" w:rsidRPr="00BA1372" w:rsidRDefault="00E8193F" w:rsidP="00BA1372">
            <w:pPr>
              <w:jc w:val="both"/>
              <w:rPr>
                <w:sz w:val="20"/>
                <w:szCs w:val="20"/>
                <w:lang w:eastAsia="en-AU"/>
              </w:rPr>
            </w:pPr>
            <w:r w:rsidRPr="00BA1372">
              <w:rPr>
                <w:sz w:val="20"/>
                <w:szCs w:val="20"/>
                <w:lang w:eastAsia="en-AU"/>
              </w:rPr>
              <w:t>Inhibitors of OATPs</w:t>
            </w:r>
          </w:p>
          <w:p w:rsidR="00E8193F" w:rsidRPr="00BA1372" w:rsidRDefault="00E8193F" w:rsidP="00BA1372">
            <w:pPr>
              <w:jc w:val="both"/>
              <w:rPr>
                <w:sz w:val="20"/>
                <w:szCs w:val="20"/>
                <w:lang w:eastAsia="en-AU"/>
              </w:rPr>
            </w:pPr>
            <w:r w:rsidRPr="00BA1372">
              <w:rPr>
                <w:sz w:val="20"/>
                <w:szCs w:val="20"/>
                <w:lang w:eastAsia="en-AU"/>
              </w:rPr>
              <w:t>Substrates of CYP2D6</w:t>
            </w:r>
          </w:p>
          <w:p w:rsidR="00E8193F" w:rsidRPr="00BA1372" w:rsidRDefault="00E8193F" w:rsidP="00BA1372">
            <w:pPr>
              <w:jc w:val="both"/>
              <w:rPr>
                <w:sz w:val="20"/>
                <w:szCs w:val="20"/>
                <w:lang w:eastAsia="en-AU"/>
              </w:rPr>
            </w:pPr>
            <w:r w:rsidRPr="00BA1372">
              <w:rPr>
                <w:sz w:val="20"/>
                <w:szCs w:val="20"/>
                <w:lang w:eastAsia="en-AU"/>
              </w:rPr>
              <w:t>Substrates of P-</w:t>
            </w:r>
            <w:proofErr w:type="spellStart"/>
            <w:r w:rsidRPr="00BA1372">
              <w:rPr>
                <w:sz w:val="20"/>
                <w:szCs w:val="20"/>
                <w:lang w:eastAsia="en-AU"/>
              </w:rPr>
              <w:t>gp</w:t>
            </w:r>
            <w:proofErr w:type="spellEnd"/>
          </w:p>
          <w:p w:rsidR="00E8193F" w:rsidRPr="00BA1372" w:rsidRDefault="00E8193F" w:rsidP="00BA1372">
            <w:pPr>
              <w:jc w:val="both"/>
              <w:rPr>
                <w:sz w:val="20"/>
                <w:szCs w:val="20"/>
                <w:lang w:eastAsia="en-AU"/>
              </w:rPr>
            </w:pPr>
            <w:r w:rsidRPr="00BA1372">
              <w:rPr>
                <w:sz w:val="20"/>
                <w:szCs w:val="20"/>
                <w:lang w:eastAsia="en-AU"/>
              </w:rPr>
              <w:t>Substrates of OATP1B1, OATP2B1 and OATP1B3</w:t>
            </w:r>
          </w:p>
          <w:p w:rsidR="00E8193F" w:rsidRPr="00BA1372" w:rsidRDefault="00E8193F" w:rsidP="00BA1372">
            <w:pPr>
              <w:adjustRightInd w:val="0"/>
              <w:snapToGrid w:val="0"/>
              <w:spacing w:before="180" w:after="180"/>
              <w:jc w:val="both"/>
              <w:rPr>
                <w:rFonts w:cs="Arial"/>
                <w:sz w:val="20"/>
                <w:szCs w:val="20"/>
              </w:rPr>
            </w:pPr>
            <w:r w:rsidRPr="00BA1372">
              <w:rPr>
                <w:sz w:val="20"/>
                <w:szCs w:val="20"/>
                <w:lang w:eastAsia="en-AU"/>
              </w:rPr>
              <w:t>Combined hormonal</w:t>
            </w:r>
            <w:r w:rsidR="00F70431" w:rsidRPr="00BA1372">
              <w:rPr>
                <w:sz w:val="20"/>
                <w:szCs w:val="20"/>
                <w:lang w:eastAsia="en-AU"/>
              </w:rPr>
              <w:t xml:space="preserve"> oral contraceptives (</w:t>
            </w:r>
            <w:proofErr w:type="spellStart"/>
            <w:r w:rsidR="00F70431" w:rsidRPr="00BA1372">
              <w:rPr>
                <w:sz w:val="20"/>
                <w:szCs w:val="20"/>
                <w:lang w:eastAsia="en-AU"/>
              </w:rPr>
              <w:t>estrogens</w:t>
            </w:r>
            <w:proofErr w:type="spellEnd"/>
            <w:r w:rsidR="00F70431" w:rsidRPr="00BA1372">
              <w:rPr>
                <w:sz w:val="20"/>
                <w:szCs w:val="20"/>
                <w:lang w:eastAsia="en-AU"/>
              </w:rPr>
              <w:t xml:space="preserve"> and</w:t>
            </w:r>
            <w:r w:rsidRPr="00BA1372">
              <w:rPr>
                <w:sz w:val="20"/>
                <w:szCs w:val="20"/>
                <w:lang w:eastAsia="en-AU"/>
              </w:rPr>
              <w:t xml:space="preserve"> </w:t>
            </w:r>
            <w:proofErr w:type="spellStart"/>
            <w:r w:rsidRPr="00BA1372">
              <w:rPr>
                <w:sz w:val="20"/>
                <w:szCs w:val="20"/>
                <w:lang w:eastAsia="en-AU"/>
              </w:rPr>
              <w:t>progesterones</w:t>
            </w:r>
            <w:proofErr w:type="spellEnd"/>
            <w:r w:rsidRPr="00BA1372">
              <w:rPr>
                <w:sz w:val="20"/>
                <w:szCs w:val="20"/>
                <w:lang w:eastAsia="en-AU"/>
              </w:rPr>
              <w:t>)</w:t>
            </w:r>
          </w:p>
        </w:tc>
      </w:tr>
      <w:tr w:rsidR="00E8193F" w:rsidTr="0055797B">
        <w:tc>
          <w:tcPr>
            <w:tcW w:w="2694" w:type="dxa"/>
            <w:tcBorders>
              <w:top w:val="single" w:sz="4" w:space="0" w:color="auto"/>
              <w:left w:val="single" w:sz="4" w:space="0" w:color="auto"/>
              <w:bottom w:val="single" w:sz="4" w:space="0" w:color="auto"/>
              <w:right w:val="single" w:sz="4" w:space="0" w:color="auto"/>
            </w:tcBorders>
            <w:shd w:val="clear" w:color="auto" w:fill="006DA7"/>
            <w:hideMark/>
          </w:tcPr>
          <w:p w:rsidR="00E8193F" w:rsidRPr="00BA1372" w:rsidRDefault="00E8193F" w:rsidP="00BA1372">
            <w:pPr>
              <w:adjustRightInd w:val="0"/>
              <w:snapToGrid w:val="0"/>
              <w:spacing w:before="180" w:after="180"/>
              <w:jc w:val="both"/>
              <w:rPr>
                <w:rFonts w:cs="Arial"/>
                <w:b/>
                <w:color w:val="FFFFFF"/>
                <w:sz w:val="20"/>
                <w:szCs w:val="20"/>
              </w:rPr>
            </w:pPr>
            <w:r w:rsidRPr="00BA1372">
              <w:rPr>
                <w:b/>
                <w:color w:val="FFFFFF"/>
                <w:sz w:val="20"/>
                <w:szCs w:val="20"/>
                <w:lang w:eastAsia="en-AU"/>
              </w:rPr>
              <w:t>Missing information</w:t>
            </w:r>
          </w:p>
        </w:tc>
        <w:tc>
          <w:tcPr>
            <w:tcW w:w="5918" w:type="dxa"/>
            <w:tcBorders>
              <w:top w:val="single" w:sz="4" w:space="0" w:color="auto"/>
              <w:left w:val="single" w:sz="4" w:space="0" w:color="auto"/>
              <w:bottom w:val="single" w:sz="4" w:space="0" w:color="auto"/>
              <w:right w:val="single" w:sz="4" w:space="0" w:color="auto"/>
            </w:tcBorders>
            <w:hideMark/>
          </w:tcPr>
          <w:p w:rsidR="00E8193F" w:rsidRPr="00BA1372" w:rsidRDefault="00E8193F" w:rsidP="00BA1372">
            <w:pPr>
              <w:jc w:val="both"/>
              <w:rPr>
                <w:rFonts w:cs="Arial"/>
                <w:sz w:val="20"/>
                <w:szCs w:val="20"/>
              </w:rPr>
            </w:pPr>
            <w:r w:rsidRPr="00BA1372">
              <w:rPr>
                <w:sz w:val="20"/>
                <w:szCs w:val="20"/>
                <w:lang w:eastAsia="en-AU"/>
              </w:rPr>
              <w:t>Moderate/severe hepatic impairment</w:t>
            </w:r>
          </w:p>
          <w:p w:rsidR="00E8193F" w:rsidRPr="00BA1372" w:rsidRDefault="00E8193F" w:rsidP="00BA1372">
            <w:pPr>
              <w:jc w:val="both"/>
              <w:rPr>
                <w:sz w:val="20"/>
                <w:szCs w:val="20"/>
                <w:lang w:eastAsia="en-AU"/>
              </w:rPr>
            </w:pPr>
            <w:r w:rsidRPr="00BA1372">
              <w:rPr>
                <w:sz w:val="20"/>
                <w:szCs w:val="20"/>
                <w:lang w:eastAsia="en-AU"/>
              </w:rPr>
              <w:t>Decompensated liver disease</w:t>
            </w:r>
          </w:p>
          <w:p w:rsidR="00E8193F" w:rsidRPr="00BA1372" w:rsidRDefault="00E8193F" w:rsidP="00BA1372">
            <w:pPr>
              <w:jc w:val="both"/>
              <w:rPr>
                <w:sz w:val="20"/>
                <w:szCs w:val="20"/>
                <w:lang w:eastAsia="en-AU"/>
              </w:rPr>
            </w:pPr>
            <w:r w:rsidRPr="00BA1372">
              <w:rPr>
                <w:sz w:val="20"/>
                <w:szCs w:val="20"/>
                <w:lang w:eastAsia="en-AU"/>
              </w:rPr>
              <w:t>Use during pregnancy and lactation</w:t>
            </w:r>
          </w:p>
          <w:p w:rsidR="00E8193F" w:rsidRPr="00BA1372" w:rsidRDefault="00E8193F" w:rsidP="00BA1372">
            <w:pPr>
              <w:jc w:val="both"/>
              <w:rPr>
                <w:sz w:val="20"/>
                <w:szCs w:val="20"/>
                <w:lang w:eastAsia="en-AU"/>
              </w:rPr>
            </w:pPr>
            <w:r w:rsidRPr="00BA1372">
              <w:rPr>
                <w:sz w:val="20"/>
                <w:szCs w:val="20"/>
                <w:lang w:eastAsia="en-AU"/>
              </w:rPr>
              <w:t>Use in children and adolescents (&lt;18 years of age)</w:t>
            </w:r>
          </w:p>
          <w:p w:rsidR="00E8193F" w:rsidRPr="00BA1372" w:rsidRDefault="00E8193F" w:rsidP="00BA1372">
            <w:pPr>
              <w:jc w:val="both"/>
              <w:rPr>
                <w:sz w:val="20"/>
                <w:szCs w:val="20"/>
                <w:lang w:eastAsia="en-AU"/>
              </w:rPr>
            </w:pPr>
            <w:r w:rsidRPr="00BA1372">
              <w:rPr>
                <w:sz w:val="20"/>
                <w:szCs w:val="20"/>
                <w:lang w:eastAsia="en-AU"/>
              </w:rPr>
              <w:t>Post-liver transplant</w:t>
            </w:r>
          </w:p>
          <w:p w:rsidR="00E8193F" w:rsidRPr="00BA1372" w:rsidRDefault="00E8193F" w:rsidP="00BA1372">
            <w:pPr>
              <w:jc w:val="both"/>
              <w:rPr>
                <w:sz w:val="20"/>
                <w:szCs w:val="20"/>
                <w:lang w:eastAsia="en-AU"/>
              </w:rPr>
            </w:pPr>
            <w:r w:rsidRPr="00BA1372">
              <w:rPr>
                <w:sz w:val="20"/>
                <w:szCs w:val="20"/>
                <w:lang w:eastAsia="en-AU"/>
              </w:rPr>
              <w:t>HIV/HCV co-infection</w:t>
            </w:r>
          </w:p>
          <w:p w:rsidR="00E8193F" w:rsidRPr="00BA1372" w:rsidRDefault="00E8193F" w:rsidP="00BA1372">
            <w:pPr>
              <w:adjustRightInd w:val="0"/>
              <w:snapToGrid w:val="0"/>
              <w:spacing w:before="180" w:after="180"/>
              <w:jc w:val="both"/>
              <w:rPr>
                <w:rFonts w:cs="Arial"/>
                <w:sz w:val="20"/>
                <w:szCs w:val="20"/>
              </w:rPr>
            </w:pPr>
            <w:r w:rsidRPr="00BA1372">
              <w:rPr>
                <w:sz w:val="20"/>
                <w:szCs w:val="20"/>
                <w:lang w:eastAsia="en-AU"/>
              </w:rPr>
              <w:t>HBV/HCV co-infection</w:t>
            </w:r>
          </w:p>
        </w:tc>
      </w:tr>
    </w:tbl>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E8193F" w:rsidRDefault="00E8193F" w:rsidP="00F70431">
      <w:r>
        <w:t>Routine pharmacovigila</w:t>
      </w:r>
      <w:r w:rsidR="00F70431">
        <w:t>nce is proposed to monitor the one</w:t>
      </w:r>
      <w:r>
        <w:t xml:space="preserve"> important identified risk, </w:t>
      </w:r>
      <w:r w:rsidR="00F70431">
        <w:t>two important potential risks and seven</w:t>
      </w:r>
      <w:r>
        <w:t xml:space="preserve"> items of missing information.</w:t>
      </w:r>
      <w:r w:rsidR="004936B4">
        <w:t xml:space="preserve"> </w:t>
      </w:r>
      <w:r>
        <w:t>No additional pharmacovigilance activities are proposed.</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E8193F" w:rsidRDefault="00E8193F" w:rsidP="00E8193F">
      <w:pPr>
        <w:jc w:val="both"/>
      </w:pPr>
      <w:bookmarkStart w:id="157" w:name="_Toc247691527"/>
      <w:r>
        <w:t xml:space="preserve">Routine risk minimisation is proposed for the </w:t>
      </w:r>
      <w:proofErr w:type="gramStart"/>
      <w:r w:rsidR="00F70431">
        <w:t>O</w:t>
      </w:r>
      <w:r>
        <w:t>ngoing</w:t>
      </w:r>
      <w:proofErr w:type="gramEnd"/>
      <w:r>
        <w:t xml:space="preserve"> safety concerns.</w:t>
      </w:r>
      <w:r w:rsidR="004936B4">
        <w:t xml:space="preserve"> </w:t>
      </w:r>
      <w:r>
        <w:t>No additional risk minimisation activities are proposed.</w:t>
      </w:r>
    </w:p>
    <w:p w:rsidR="00C60B78" w:rsidRDefault="006F25B8" w:rsidP="006F25B8">
      <w:pPr>
        <w:pStyle w:val="Heading4"/>
        <w:rPr>
          <w:lang w:eastAsia="en-AU"/>
        </w:rPr>
      </w:pPr>
      <w:r w:rsidRPr="006F25B8">
        <w:rPr>
          <w:lang w:eastAsia="en-AU"/>
        </w:rPr>
        <w:t>Reconciliation of issues outlined in the RMP report</w:t>
      </w:r>
    </w:p>
    <w:p w:rsidR="006F25B8" w:rsidRDefault="006F25B8" w:rsidP="006F25B8">
      <w:pPr>
        <w:rPr>
          <w:lang w:eastAsia="en-AU"/>
        </w:rPr>
      </w:pPr>
      <w:r>
        <w:rPr>
          <w:lang w:eastAsia="en-AU"/>
        </w:rPr>
        <w:t xml:space="preserve">Table </w:t>
      </w:r>
      <w:r w:rsidR="00F70431">
        <w:rPr>
          <w:lang w:eastAsia="en-AU"/>
        </w:rPr>
        <w:t>17</w:t>
      </w:r>
      <w:r>
        <w:rPr>
          <w:lang w:eastAsia="en-AU"/>
        </w:rPr>
        <w:t xml:space="preserve"> summarises the first round evaluation of the RMP, the sponsor’s responses to issues raised by the </w:t>
      </w:r>
      <w:r w:rsidR="00F70431">
        <w:rPr>
          <w:lang w:eastAsia="en-AU"/>
        </w:rPr>
        <w:t>evaluator</w:t>
      </w:r>
      <w:r>
        <w:rPr>
          <w:lang w:eastAsia="en-AU"/>
        </w:rPr>
        <w:t xml:space="preserve"> and the evaluation of the sponsor’s responses.</w:t>
      </w:r>
    </w:p>
    <w:p w:rsidR="00E8193F" w:rsidRDefault="00190D26" w:rsidP="00576FA6">
      <w:pPr>
        <w:pStyle w:val="TableTitle"/>
      </w:pPr>
      <w:r>
        <w:t xml:space="preserve">Table </w:t>
      </w:r>
      <w:r w:rsidR="00BC3F83">
        <w:t xml:space="preserve">17: </w:t>
      </w:r>
      <w:r w:rsidR="00E8193F">
        <w:t xml:space="preserve">Reconciliation of issues outlined in the RMP Evaluation Report </w:t>
      </w:r>
    </w:p>
    <w:tbl>
      <w:tblPr>
        <w:tblStyle w:val="TableTGAblue"/>
        <w:tblW w:w="8897" w:type="dxa"/>
        <w:tblLook w:val="04A0" w:firstRow="1" w:lastRow="0" w:firstColumn="1" w:lastColumn="0" w:noHBand="0" w:noVBand="1"/>
      </w:tblPr>
      <w:tblGrid>
        <w:gridCol w:w="3085"/>
        <w:gridCol w:w="3827"/>
        <w:gridCol w:w="1985"/>
      </w:tblGrid>
      <w:tr w:rsidR="00576FA6" w:rsidTr="0055797B">
        <w:trPr>
          <w:cnfStyle w:val="100000000000" w:firstRow="1" w:lastRow="0" w:firstColumn="0" w:lastColumn="0" w:oddVBand="0" w:evenVBand="0" w:oddHBand="0" w:evenHBand="0" w:firstRowFirstColumn="0" w:firstRowLastColumn="0" w:lastRowFirstColumn="0" w:lastRowLastColumn="0"/>
        </w:trPr>
        <w:tc>
          <w:tcPr>
            <w:tcW w:w="3085" w:type="dxa"/>
          </w:tcPr>
          <w:p w:rsidR="00576FA6" w:rsidRPr="00BA1372" w:rsidRDefault="00576FA6" w:rsidP="0055797B">
            <w:pPr>
              <w:rPr>
                <w:b w:val="0"/>
                <w:lang w:eastAsia="en-AU"/>
              </w:rPr>
            </w:pPr>
            <w:r w:rsidRPr="00BA1372">
              <w:rPr>
                <w:b w:val="0"/>
                <w:lang w:eastAsia="en-AU"/>
              </w:rPr>
              <w:t>Recommendation in RMP evaluation report</w:t>
            </w:r>
          </w:p>
        </w:tc>
        <w:tc>
          <w:tcPr>
            <w:tcW w:w="3827" w:type="dxa"/>
          </w:tcPr>
          <w:p w:rsidR="00576FA6" w:rsidRPr="00BA1372" w:rsidRDefault="00576FA6" w:rsidP="0055797B">
            <w:pPr>
              <w:rPr>
                <w:b w:val="0"/>
                <w:lang w:eastAsia="en-AU"/>
              </w:rPr>
            </w:pPr>
            <w:r w:rsidRPr="00BA1372">
              <w:rPr>
                <w:b w:val="0"/>
                <w:lang w:eastAsia="en-AU"/>
              </w:rPr>
              <w:t>Sponsor’s response (or summary of the response)</w:t>
            </w:r>
          </w:p>
        </w:tc>
        <w:tc>
          <w:tcPr>
            <w:tcW w:w="1985" w:type="dxa"/>
          </w:tcPr>
          <w:p w:rsidR="00576FA6" w:rsidRPr="00BA1372" w:rsidRDefault="00576FA6" w:rsidP="0055797B">
            <w:pPr>
              <w:rPr>
                <w:b w:val="0"/>
                <w:lang w:eastAsia="en-AU"/>
              </w:rPr>
            </w:pPr>
            <w:r w:rsidRPr="00BA1372">
              <w:rPr>
                <w:b w:val="0"/>
                <w:lang w:eastAsia="en-AU"/>
              </w:rPr>
              <w:t>RMP evaluator’s comment</w:t>
            </w:r>
          </w:p>
        </w:tc>
      </w:tr>
      <w:tr w:rsidR="00576FA6" w:rsidTr="0055797B">
        <w:tc>
          <w:tcPr>
            <w:tcW w:w="3085" w:type="dxa"/>
          </w:tcPr>
          <w:p w:rsidR="00576FA6" w:rsidRPr="00BA1372" w:rsidRDefault="00190D26" w:rsidP="0055797B">
            <w:pPr>
              <w:rPr>
                <w:lang w:eastAsia="en-AU"/>
              </w:rPr>
            </w:pPr>
            <w:r w:rsidRPr="00BA1372">
              <w:rPr>
                <w:lang w:eastAsia="en-AU"/>
              </w:rPr>
              <w:t xml:space="preserve">1. </w:t>
            </w:r>
            <w:r w:rsidR="00576FA6" w:rsidRPr="00BA1372">
              <w:rPr>
                <w:lang w:eastAsia="en-AU"/>
              </w:rPr>
              <w:t xml:space="preserve">Safety considerations may be raised by the nonclinical and clinical evaluators through the </w:t>
            </w:r>
            <w:r w:rsidR="00F70431" w:rsidRPr="00BA1372">
              <w:rPr>
                <w:lang w:eastAsia="en-AU"/>
              </w:rPr>
              <w:t xml:space="preserve">TGA’s </w:t>
            </w:r>
            <w:r w:rsidR="00576FA6" w:rsidRPr="00BA1372">
              <w:rPr>
                <w:lang w:eastAsia="en-AU"/>
              </w:rPr>
              <w:t xml:space="preserve">consolidated request </w:t>
            </w:r>
            <w:r w:rsidR="00F70431" w:rsidRPr="00BA1372">
              <w:rPr>
                <w:lang w:eastAsia="en-AU"/>
              </w:rPr>
              <w:t xml:space="preserve">for further information </w:t>
            </w:r>
            <w:r w:rsidR="00576FA6" w:rsidRPr="00BA1372">
              <w:rPr>
                <w:lang w:eastAsia="en-AU"/>
              </w:rPr>
              <w:t xml:space="preserve">and/or the </w:t>
            </w:r>
            <w:r w:rsidR="00F70431" w:rsidRPr="00BA1372">
              <w:rPr>
                <w:lang w:eastAsia="en-AU"/>
              </w:rPr>
              <w:t xml:space="preserve">nonclinical and clinical evaluation reports </w:t>
            </w:r>
            <w:r w:rsidR="00576FA6" w:rsidRPr="00BA1372">
              <w:rPr>
                <w:lang w:eastAsia="en-AU"/>
              </w:rPr>
              <w:t>respectively.</w:t>
            </w:r>
            <w:r w:rsidR="004936B4" w:rsidRPr="00BA1372">
              <w:rPr>
                <w:lang w:eastAsia="en-AU"/>
              </w:rPr>
              <w:t xml:space="preserve"> </w:t>
            </w:r>
            <w:r w:rsidR="00576FA6" w:rsidRPr="00BA1372">
              <w:rPr>
                <w:lang w:eastAsia="en-AU"/>
              </w:rPr>
              <w:t xml:space="preserve">It is </w:t>
            </w:r>
            <w:r w:rsidR="00576FA6" w:rsidRPr="00BA1372">
              <w:rPr>
                <w:lang w:eastAsia="en-AU"/>
              </w:rPr>
              <w:lastRenderedPageBreak/>
              <w:t>important to ensure that the information provided in response to these includes consideration of the relevance for the Risk Management Plan, and any specific information needed to address this issue in the RMP.</w:t>
            </w:r>
            <w:r w:rsidR="004936B4" w:rsidRPr="00BA1372">
              <w:rPr>
                <w:lang w:eastAsia="en-AU"/>
              </w:rPr>
              <w:t xml:space="preserve"> </w:t>
            </w:r>
            <w:r w:rsidR="00576FA6" w:rsidRPr="00BA1372">
              <w:rPr>
                <w:bCs/>
                <w:lang w:eastAsia="en-AU"/>
              </w:rPr>
              <w:t xml:space="preserve">For any safety considerations so raised, </w:t>
            </w:r>
            <w:r w:rsidR="00576FA6" w:rsidRPr="00BA1372">
              <w:rPr>
                <w:lang w:eastAsia="en-AU"/>
              </w:rPr>
              <w:t>the sponsor should</w:t>
            </w:r>
            <w:r w:rsidR="00576FA6" w:rsidRPr="00BA1372">
              <w:rPr>
                <w:bCs/>
                <w:lang w:eastAsia="en-AU"/>
              </w:rPr>
              <w:t xml:space="preserve"> provide information that is relevant and necessary to address the issue in the RMP.</w:t>
            </w:r>
          </w:p>
        </w:tc>
        <w:tc>
          <w:tcPr>
            <w:tcW w:w="3827" w:type="dxa"/>
          </w:tcPr>
          <w:p w:rsidR="00576FA6" w:rsidRPr="00BA1372" w:rsidRDefault="00576FA6" w:rsidP="0055797B">
            <w:pPr>
              <w:rPr>
                <w:rFonts w:eastAsia="TimesNewRoman" w:cs="TimesNewRoman"/>
                <w:i/>
                <w:lang w:eastAsia="en-AU"/>
              </w:rPr>
            </w:pPr>
            <w:r w:rsidRPr="00BA1372">
              <w:rPr>
                <w:rFonts w:eastAsia="TimesNewRoman" w:cs="TimesNewRoman"/>
                <w:i/>
                <w:lang w:eastAsia="en-AU"/>
              </w:rPr>
              <w:lastRenderedPageBreak/>
              <w:t xml:space="preserve">The </w:t>
            </w:r>
            <w:r w:rsidR="00F70431" w:rsidRPr="00BA1372">
              <w:rPr>
                <w:rFonts w:eastAsia="TimesNewRoman" w:cs="TimesNewRoman"/>
                <w:i/>
                <w:lang w:eastAsia="en-AU"/>
              </w:rPr>
              <w:t>s</w:t>
            </w:r>
            <w:r w:rsidRPr="00BA1372">
              <w:rPr>
                <w:rFonts w:eastAsia="TimesNewRoman" w:cs="TimesNewRoman"/>
                <w:i/>
                <w:lang w:eastAsia="en-AU"/>
              </w:rPr>
              <w:t xml:space="preserve">ponsor confirms that safety considerations raised by the nonclinical and clinical evaluators through the </w:t>
            </w:r>
            <w:r w:rsidR="00F70431" w:rsidRPr="00BA1372">
              <w:rPr>
                <w:rFonts w:eastAsia="TimesNewRoman" w:cs="TimesNewRoman"/>
                <w:i/>
                <w:lang w:eastAsia="en-AU"/>
              </w:rPr>
              <w:t xml:space="preserve">nonclinical and clinical evaluation reports </w:t>
            </w:r>
            <w:r w:rsidRPr="00BA1372">
              <w:rPr>
                <w:rFonts w:eastAsia="TimesNewRoman" w:cs="TimesNewRoman"/>
                <w:i/>
                <w:lang w:eastAsia="en-AU"/>
              </w:rPr>
              <w:t>respectively have been assessed, and no additions/amendments to the Risk Management Plan have been made as result of these TGA evaluations.</w:t>
            </w:r>
          </w:p>
        </w:tc>
        <w:tc>
          <w:tcPr>
            <w:tcW w:w="1985" w:type="dxa"/>
          </w:tcPr>
          <w:p w:rsidR="00576FA6" w:rsidRPr="00BA1372" w:rsidRDefault="00576FA6" w:rsidP="0055797B">
            <w:pPr>
              <w:rPr>
                <w:lang w:eastAsia="en-AU"/>
              </w:rPr>
            </w:pPr>
            <w:r w:rsidRPr="00BA1372">
              <w:rPr>
                <w:lang w:eastAsia="en-AU"/>
              </w:rPr>
              <w:t>This is acceptable.</w:t>
            </w:r>
          </w:p>
        </w:tc>
      </w:tr>
      <w:tr w:rsidR="00576FA6" w:rsidTr="0055797B">
        <w:tc>
          <w:tcPr>
            <w:tcW w:w="3085" w:type="dxa"/>
          </w:tcPr>
          <w:p w:rsidR="00576FA6" w:rsidRPr="00BA1372" w:rsidRDefault="00190D26" w:rsidP="0055797B">
            <w:pPr>
              <w:rPr>
                <w:rFonts w:eastAsia="Times New Roman"/>
                <w:kern w:val="16"/>
                <w:lang w:eastAsia="en-AU"/>
              </w:rPr>
            </w:pPr>
            <w:r w:rsidRPr="00BA1372">
              <w:rPr>
                <w:lang w:eastAsia="en-AU"/>
              </w:rPr>
              <w:lastRenderedPageBreak/>
              <w:t xml:space="preserve">2. </w:t>
            </w:r>
            <w:r w:rsidR="00576FA6" w:rsidRPr="00BA1372">
              <w:rPr>
                <w:lang w:eastAsia="en-AU"/>
              </w:rPr>
              <w:t xml:space="preserve">‘Patients who have failed prior NS3 protease inhibitor treatment’ should be added as an additional item of missing information. </w:t>
            </w:r>
          </w:p>
        </w:tc>
        <w:tc>
          <w:tcPr>
            <w:tcW w:w="3827" w:type="dxa"/>
          </w:tcPr>
          <w:p w:rsidR="00C60B78" w:rsidRDefault="00576FA6" w:rsidP="0055797B">
            <w:pPr>
              <w:rPr>
                <w:rFonts w:eastAsia="TimesNewRoman" w:cs="TimesNewRoman"/>
                <w:i/>
                <w:lang w:eastAsia="en-AU"/>
              </w:rPr>
            </w:pPr>
            <w:r w:rsidRPr="00BA1372">
              <w:rPr>
                <w:rFonts w:eastAsia="TimesNewRoman" w:cs="TimesNewRoman"/>
                <w:i/>
                <w:lang w:eastAsia="en-AU"/>
              </w:rPr>
              <w:t xml:space="preserve">BMS will add </w:t>
            </w:r>
            <w:r w:rsidR="006A7F24" w:rsidRPr="00BA1372">
              <w:rPr>
                <w:rFonts w:eastAsia="TimesNewRoman" w:cs="TimesNewRoman"/>
                <w:i/>
                <w:lang w:eastAsia="en-AU"/>
              </w:rPr>
              <w:t>‘</w:t>
            </w:r>
            <w:r w:rsidRPr="00BA1372">
              <w:rPr>
                <w:rFonts w:eastAsia="TimesNewRoman" w:cs="TimesNewRoman"/>
                <w:i/>
                <w:lang w:eastAsia="en-AU"/>
              </w:rPr>
              <w:t>Patients who have failed prior NS3 protease inhibitor treatment</w:t>
            </w:r>
            <w:r w:rsidR="006A7F24" w:rsidRPr="00BA1372">
              <w:rPr>
                <w:rFonts w:eastAsia="TimesNewRoman" w:cs="TimesNewRoman"/>
                <w:i/>
                <w:lang w:eastAsia="en-AU"/>
              </w:rPr>
              <w:t>’</w:t>
            </w:r>
            <w:r w:rsidRPr="00BA1372">
              <w:rPr>
                <w:rFonts w:eastAsia="TimesNewRoman" w:cs="TimesNewRoman"/>
                <w:i/>
                <w:lang w:eastAsia="en-AU"/>
              </w:rPr>
              <w:t xml:space="preserve"> to the ASV CCRMP, as an additional item of missing information.</w:t>
            </w:r>
          </w:p>
          <w:p w:rsidR="00576FA6" w:rsidRPr="00BA1372" w:rsidRDefault="00576FA6" w:rsidP="0055797B">
            <w:pPr>
              <w:rPr>
                <w:lang w:eastAsia="en-AU"/>
              </w:rPr>
            </w:pPr>
            <w:r w:rsidRPr="00BA1372">
              <w:rPr>
                <w:rFonts w:eastAsia="TimesNewRoman" w:cs="TimesNewRoman"/>
                <w:i/>
                <w:lang w:eastAsia="en-AU"/>
              </w:rPr>
              <w:t>The updated ASV CCRMP will be submitted to TGA as soon as available.</w:t>
            </w:r>
          </w:p>
        </w:tc>
        <w:tc>
          <w:tcPr>
            <w:tcW w:w="1985" w:type="dxa"/>
          </w:tcPr>
          <w:p w:rsidR="00576FA6" w:rsidRPr="00BA1372" w:rsidRDefault="00576FA6" w:rsidP="0055797B">
            <w:pPr>
              <w:rPr>
                <w:lang w:eastAsia="en-AU"/>
              </w:rPr>
            </w:pPr>
            <w:r w:rsidRPr="00BA1372">
              <w:rPr>
                <w:lang w:eastAsia="en-AU"/>
              </w:rPr>
              <w:t>The TGA has received the updated CCRMP/ASA.</w:t>
            </w:r>
            <w:r w:rsidR="004936B4" w:rsidRPr="00BA1372">
              <w:rPr>
                <w:lang w:eastAsia="en-AU"/>
              </w:rPr>
              <w:t xml:space="preserve"> </w:t>
            </w:r>
            <w:r w:rsidRPr="00BA1372">
              <w:rPr>
                <w:lang w:eastAsia="en-AU"/>
              </w:rPr>
              <w:t>This is acceptable.</w:t>
            </w:r>
          </w:p>
        </w:tc>
      </w:tr>
      <w:tr w:rsidR="00576FA6" w:rsidTr="0055797B">
        <w:tc>
          <w:tcPr>
            <w:tcW w:w="3085" w:type="dxa"/>
          </w:tcPr>
          <w:p w:rsidR="00576FA6" w:rsidRPr="00BA1372" w:rsidRDefault="00190D26" w:rsidP="0055797B">
            <w:pPr>
              <w:rPr>
                <w:lang w:eastAsia="en-AU"/>
              </w:rPr>
            </w:pPr>
            <w:r w:rsidRPr="00BA1372">
              <w:rPr>
                <w:lang w:eastAsia="en-AU"/>
              </w:rPr>
              <w:t xml:space="preserve">3. </w:t>
            </w:r>
            <w:r w:rsidR="00576FA6" w:rsidRPr="00BA1372">
              <w:rPr>
                <w:lang w:eastAsia="en-AU"/>
              </w:rPr>
              <w:t xml:space="preserve">The sponsor is requested to add the following risks to the summary of </w:t>
            </w:r>
            <w:r w:rsidR="00F70431" w:rsidRPr="00BA1372">
              <w:rPr>
                <w:lang w:eastAsia="en-AU"/>
              </w:rPr>
              <w:t>O</w:t>
            </w:r>
            <w:r w:rsidR="00576FA6" w:rsidRPr="00BA1372">
              <w:rPr>
                <w:lang w:eastAsia="en-AU"/>
              </w:rPr>
              <w:t>ngoing safety concerns or alternatively provide a justification as to why they should not be included:</w:t>
            </w:r>
          </w:p>
          <w:p w:rsidR="00576FA6" w:rsidRPr="00BA1372" w:rsidRDefault="00576FA6" w:rsidP="0055797B">
            <w:pPr>
              <w:rPr>
                <w:lang w:eastAsia="en-AU"/>
              </w:rPr>
            </w:pPr>
            <w:r w:rsidRPr="00BA1372">
              <w:rPr>
                <w:lang w:eastAsia="en-AU"/>
              </w:rPr>
              <w:t>Anaemia (class effect)</w:t>
            </w:r>
            <w:r w:rsidR="006A7F24" w:rsidRPr="00BA1372">
              <w:rPr>
                <w:lang w:eastAsia="en-AU"/>
              </w:rPr>
              <w:t>,</w:t>
            </w:r>
            <w:r w:rsidRPr="00BA1372">
              <w:rPr>
                <w:lang w:eastAsia="en-AU"/>
              </w:rPr>
              <w:t xml:space="preserve"> </w:t>
            </w:r>
            <w:proofErr w:type="spellStart"/>
            <w:r w:rsidRPr="00BA1372">
              <w:rPr>
                <w:lang w:eastAsia="en-AU"/>
              </w:rPr>
              <w:t>Neutropaenia</w:t>
            </w:r>
            <w:proofErr w:type="spellEnd"/>
            <w:r w:rsidRPr="00BA1372">
              <w:rPr>
                <w:lang w:eastAsia="en-AU"/>
              </w:rPr>
              <w:t xml:space="preserve"> (class effect)</w:t>
            </w:r>
            <w:r w:rsidR="00F70431" w:rsidRPr="00BA1372">
              <w:rPr>
                <w:lang w:eastAsia="en-AU"/>
              </w:rPr>
              <w:t xml:space="preserve">, </w:t>
            </w:r>
            <w:proofErr w:type="spellStart"/>
            <w:r w:rsidRPr="00BA1372">
              <w:rPr>
                <w:lang w:eastAsia="en-AU"/>
              </w:rPr>
              <w:t>Thrombocytopaenia</w:t>
            </w:r>
            <w:proofErr w:type="spellEnd"/>
            <w:r w:rsidRPr="00BA1372">
              <w:rPr>
                <w:lang w:eastAsia="en-AU"/>
              </w:rPr>
              <w:t xml:space="preserve"> (class effect)</w:t>
            </w:r>
            <w:r w:rsidR="00F70431" w:rsidRPr="00BA1372">
              <w:rPr>
                <w:lang w:eastAsia="en-AU"/>
              </w:rPr>
              <w:t xml:space="preserve">, </w:t>
            </w:r>
            <w:r w:rsidRPr="00BA1372">
              <w:rPr>
                <w:lang w:eastAsia="en-AU"/>
              </w:rPr>
              <w:t>Severe skin reactions including Stevens-Johnson Syndrome (class effect)</w:t>
            </w:r>
            <w:r w:rsidR="00F70431" w:rsidRPr="00BA1372">
              <w:rPr>
                <w:lang w:eastAsia="en-AU"/>
              </w:rPr>
              <w:t xml:space="preserve">, </w:t>
            </w:r>
            <w:r w:rsidRPr="00BA1372">
              <w:rPr>
                <w:lang w:eastAsia="en-AU"/>
              </w:rPr>
              <w:t>Increased risk of psychiatric disorders including depression and anxiety when used in combination therapy.</w:t>
            </w:r>
          </w:p>
        </w:tc>
        <w:tc>
          <w:tcPr>
            <w:tcW w:w="3827" w:type="dxa"/>
          </w:tcPr>
          <w:p w:rsidR="00576FA6" w:rsidRPr="00BA1372" w:rsidRDefault="00576FA6" w:rsidP="0055797B">
            <w:pPr>
              <w:rPr>
                <w:lang w:eastAsia="en-AU"/>
              </w:rPr>
            </w:pPr>
            <w:r w:rsidRPr="00BA1372">
              <w:rPr>
                <w:lang w:eastAsia="en-AU"/>
              </w:rPr>
              <w:t>The sponsor has disagreed with this recommendation and provided the requested justification.</w:t>
            </w:r>
          </w:p>
        </w:tc>
        <w:tc>
          <w:tcPr>
            <w:tcW w:w="1985" w:type="dxa"/>
          </w:tcPr>
          <w:p w:rsidR="00576FA6" w:rsidRPr="00BA1372" w:rsidRDefault="00576FA6" w:rsidP="0055797B">
            <w:pPr>
              <w:rPr>
                <w:lang w:eastAsia="en-AU"/>
              </w:rPr>
            </w:pPr>
            <w:r w:rsidRPr="00BA1372">
              <w:rPr>
                <w:lang w:eastAsia="en-AU"/>
              </w:rPr>
              <w:t>The sponsor’s justification for not including these risks is acceptable at this time.</w:t>
            </w:r>
          </w:p>
        </w:tc>
      </w:tr>
      <w:tr w:rsidR="00576FA6" w:rsidTr="0055797B">
        <w:tc>
          <w:tcPr>
            <w:tcW w:w="3085" w:type="dxa"/>
          </w:tcPr>
          <w:p w:rsidR="00576FA6" w:rsidRPr="00BA1372" w:rsidRDefault="00190D26" w:rsidP="0055797B">
            <w:pPr>
              <w:rPr>
                <w:rFonts w:eastAsia="Times New Roman"/>
                <w:kern w:val="16"/>
                <w:lang w:eastAsia="en-AU"/>
              </w:rPr>
            </w:pPr>
            <w:r w:rsidRPr="00BA1372">
              <w:rPr>
                <w:lang w:eastAsia="en-AU"/>
              </w:rPr>
              <w:t xml:space="preserve">4. </w:t>
            </w:r>
            <w:r w:rsidR="00576FA6" w:rsidRPr="00BA1372">
              <w:rPr>
                <w:lang w:eastAsia="en-AU"/>
              </w:rPr>
              <w:t>Missing information ‘Post-liver transp</w:t>
            </w:r>
            <w:r w:rsidR="006A7F24" w:rsidRPr="00BA1372">
              <w:rPr>
                <w:lang w:eastAsia="en-AU"/>
              </w:rPr>
              <w:t xml:space="preserve">lant’ </w:t>
            </w:r>
            <w:r w:rsidR="006A7F24" w:rsidRPr="00BA1372">
              <w:rPr>
                <w:lang w:eastAsia="en-AU"/>
              </w:rPr>
              <w:lastRenderedPageBreak/>
              <w:t>should be amended to ‘Pre</w:t>
            </w:r>
            <w:r w:rsidR="00576FA6" w:rsidRPr="00BA1372">
              <w:rPr>
                <w:lang w:eastAsia="en-AU"/>
              </w:rPr>
              <w:t>, peri- and post-liver transplant’.</w:t>
            </w:r>
          </w:p>
        </w:tc>
        <w:tc>
          <w:tcPr>
            <w:tcW w:w="3827" w:type="dxa"/>
          </w:tcPr>
          <w:p w:rsidR="00576FA6" w:rsidRPr="00BA1372" w:rsidRDefault="006A7F24" w:rsidP="0055797B">
            <w:pPr>
              <w:rPr>
                <w:i/>
                <w:lang w:eastAsia="en-AU"/>
              </w:rPr>
            </w:pPr>
            <w:r w:rsidRPr="00BA1372">
              <w:rPr>
                <w:rFonts w:eastAsia="TimesNewRoman" w:cs="TimesNewRoman"/>
                <w:i/>
                <w:lang w:eastAsia="en-AU"/>
              </w:rPr>
              <w:lastRenderedPageBreak/>
              <w:t>The sponsor</w:t>
            </w:r>
            <w:r w:rsidR="00576FA6" w:rsidRPr="00BA1372">
              <w:rPr>
                <w:rFonts w:eastAsia="TimesNewRoman" w:cs="TimesNewRoman"/>
                <w:i/>
                <w:lang w:eastAsia="en-AU"/>
              </w:rPr>
              <w:t xml:space="preserve"> agrees to amend the ASV CCRMP for the safety concern, </w:t>
            </w:r>
            <w:r w:rsidR="00576FA6" w:rsidRPr="00BA1372">
              <w:rPr>
                <w:rFonts w:eastAsia="TimesNewRoman,Italic" w:cs="TimesNewRoman,Italic"/>
                <w:i/>
                <w:iCs/>
                <w:lang w:eastAsia="en-AU"/>
              </w:rPr>
              <w:lastRenderedPageBreak/>
              <w:t>Limited or Missing Information</w:t>
            </w:r>
            <w:r w:rsidRPr="00BA1372">
              <w:rPr>
                <w:rFonts w:eastAsia="TimesNewRoman,Italic" w:cs="TimesNewRoman,Italic"/>
                <w:i/>
                <w:iCs/>
                <w:lang w:eastAsia="en-AU"/>
              </w:rPr>
              <w:t xml:space="preserve"> </w:t>
            </w:r>
            <w:r w:rsidRPr="00BA1372">
              <w:rPr>
                <w:rFonts w:eastAsia="TimesNewRoman" w:cs="TimesNewRoman"/>
                <w:i/>
                <w:lang w:eastAsia="en-AU"/>
              </w:rPr>
              <w:t>‘</w:t>
            </w:r>
            <w:r w:rsidR="00576FA6" w:rsidRPr="00BA1372">
              <w:rPr>
                <w:rFonts w:eastAsia="TimesNewRoman" w:cs="TimesNewRoman"/>
                <w:i/>
                <w:lang w:eastAsia="en-AU"/>
              </w:rPr>
              <w:t>Use in Post-liver transplant</w:t>
            </w:r>
            <w:r w:rsidRPr="00BA1372">
              <w:rPr>
                <w:rFonts w:eastAsia="TimesNewRoman" w:cs="TimesNewRoman"/>
                <w:i/>
                <w:lang w:eastAsia="en-AU"/>
              </w:rPr>
              <w:t>’</w:t>
            </w:r>
            <w:r w:rsidR="00576FA6" w:rsidRPr="00BA1372">
              <w:rPr>
                <w:rFonts w:eastAsia="TimesNewRoman" w:cs="TimesNewRoman"/>
                <w:i/>
                <w:lang w:eastAsia="en-AU"/>
              </w:rPr>
              <w:t xml:space="preserve"> to </w:t>
            </w:r>
            <w:r w:rsidRPr="00BA1372">
              <w:rPr>
                <w:rFonts w:eastAsia="TimesNewRoman" w:cs="TimesNewRoman"/>
                <w:i/>
                <w:lang w:eastAsia="en-AU"/>
              </w:rPr>
              <w:t>‘</w:t>
            </w:r>
            <w:r w:rsidR="00576FA6" w:rsidRPr="00BA1372">
              <w:rPr>
                <w:rFonts w:eastAsia="TimesNewRoman" w:cs="TimesNewRoman"/>
                <w:i/>
                <w:lang w:eastAsia="en-AU"/>
              </w:rPr>
              <w:t>Use in pre-, peri- and post-liver transplant patients</w:t>
            </w:r>
            <w:r w:rsidRPr="00BA1372">
              <w:rPr>
                <w:rFonts w:eastAsia="TimesNewRoman" w:cs="TimesNewRoman"/>
                <w:i/>
                <w:lang w:eastAsia="en-AU"/>
              </w:rPr>
              <w:t>’</w:t>
            </w:r>
            <w:r w:rsidR="00576FA6" w:rsidRPr="00BA1372">
              <w:rPr>
                <w:rFonts w:eastAsia="TimesNewRoman" w:cs="TimesNewRoman"/>
                <w:i/>
                <w:lang w:eastAsia="en-AU"/>
              </w:rPr>
              <w:t>.</w:t>
            </w:r>
          </w:p>
        </w:tc>
        <w:tc>
          <w:tcPr>
            <w:tcW w:w="1985" w:type="dxa"/>
          </w:tcPr>
          <w:p w:rsidR="00576FA6" w:rsidRPr="00BA1372" w:rsidRDefault="00576FA6" w:rsidP="0055797B">
            <w:pPr>
              <w:rPr>
                <w:lang w:eastAsia="en-AU"/>
              </w:rPr>
            </w:pPr>
            <w:r w:rsidRPr="00BA1372">
              <w:rPr>
                <w:lang w:eastAsia="en-AU"/>
              </w:rPr>
              <w:lastRenderedPageBreak/>
              <w:t>This is acceptable.</w:t>
            </w:r>
          </w:p>
        </w:tc>
      </w:tr>
      <w:tr w:rsidR="00576FA6" w:rsidTr="0055797B">
        <w:tc>
          <w:tcPr>
            <w:tcW w:w="3085" w:type="dxa"/>
          </w:tcPr>
          <w:p w:rsidR="00576FA6" w:rsidRPr="00BA1372" w:rsidRDefault="00190D26" w:rsidP="0055797B">
            <w:pPr>
              <w:rPr>
                <w:lang w:eastAsia="en-AU"/>
              </w:rPr>
            </w:pPr>
            <w:r w:rsidRPr="00BA1372">
              <w:rPr>
                <w:lang w:eastAsia="en-AU"/>
              </w:rPr>
              <w:lastRenderedPageBreak/>
              <w:t xml:space="preserve">5. </w:t>
            </w:r>
            <w:r w:rsidR="00576FA6" w:rsidRPr="00BA1372">
              <w:rPr>
                <w:lang w:eastAsia="en-AU"/>
              </w:rPr>
              <w:t>The post-authorisation efficacy studies are not strictly considered part of the pharmacovigilance plan as they are not designed to investigate nor are attributed to a particular safety concern.</w:t>
            </w:r>
            <w:r w:rsidR="004936B4" w:rsidRPr="00BA1372">
              <w:rPr>
                <w:lang w:eastAsia="en-AU"/>
              </w:rPr>
              <w:t xml:space="preserve"> </w:t>
            </w:r>
            <w:r w:rsidR="00576FA6" w:rsidRPr="00BA1372">
              <w:rPr>
                <w:lang w:eastAsia="en-AU"/>
              </w:rPr>
              <w:t xml:space="preserve">Despite their lack of utility as targeted pharmacovigilance these studies may contribute extra information regarding the safety profile of </w:t>
            </w:r>
            <w:proofErr w:type="spellStart"/>
            <w:r w:rsidR="00576FA6" w:rsidRPr="00BA1372">
              <w:rPr>
                <w:lang w:eastAsia="en-AU"/>
              </w:rPr>
              <w:t>asunaprevir</w:t>
            </w:r>
            <w:proofErr w:type="spellEnd"/>
            <w:r w:rsidR="00576FA6" w:rsidRPr="00BA1372">
              <w:rPr>
                <w:lang w:eastAsia="en-AU"/>
              </w:rPr>
              <w:t xml:space="preserve"> and such safety information should be included in PSURs and submitted to the TGA in an appropriate manner.</w:t>
            </w:r>
          </w:p>
        </w:tc>
        <w:tc>
          <w:tcPr>
            <w:tcW w:w="3827" w:type="dxa"/>
          </w:tcPr>
          <w:p w:rsidR="00576FA6" w:rsidRPr="00BA1372" w:rsidRDefault="00576FA6" w:rsidP="0055797B">
            <w:pPr>
              <w:rPr>
                <w:rFonts w:eastAsia="TimesNewRoman" w:cs="TimesNewRoman"/>
                <w:i/>
                <w:lang w:eastAsia="en-AU"/>
              </w:rPr>
            </w:pPr>
            <w:r w:rsidRPr="00BA1372">
              <w:rPr>
                <w:rFonts w:eastAsia="TimesNewRoman" w:cs="TimesNewRoman"/>
                <w:i/>
                <w:lang w:eastAsia="en-AU"/>
              </w:rPr>
              <w:t>BMS agrees that any safety information obtained through post-authorisation efficacy studies will be included in the PSUR and submitted to the TGA in an appropriate manner.</w:t>
            </w:r>
          </w:p>
        </w:tc>
        <w:tc>
          <w:tcPr>
            <w:tcW w:w="1985" w:type="dxa"/>
          </w:tcPr>
          <w:p w:rsidR="00576FA6" w:rsidRPr="00BA1372" w:rsidRDefault="00576FA6" w:rsidP="0055797B">
            <w:pPr>
              <w:rPr>
                <w:lang w:eastAsia="en-AU"/>
              </w:rPr>
            </w:pPr>
            <w:r w:rsidRPr="00BA1372">
              <w:rPr>
                <w:lang w:eastAsia="en-AU"/>
              </w:rPr>
              <w:t>This is acceptable.</w:t>
            </w:r>
          </w:p>
        </w:tc>
      </w:tr>
      <w:tr w:rsidR="00576FA6" w:rsidTr="0055797B">
        <w:tc>
          <w:tcPr>
            <w:tcW w:w="3085" w:type="dxa"/>
          </w:tcPr>
          <w:p w:rsidR="00576FA6" w:rsidRPr="00BA1372" w:rsidRDefault="00190D26" w:rsidP="0055797B">
            <w:pPr>
              <w:rPr>
                <w:lang w:eastAsia="en-AU"/>
              </w:rPr>
            </w:pPr>
            <w:r w:rsidRPr="00BA1372">
              <w:rPr>
                <w:lang w:eastAsia="en-AU"/>
              </w:rPr>
              <w:t xml:space="preserve">6. </w:t>
            </w:r>
            <w:r w:rsidR="00576FA6" w:rsidRPr="00BA1372">
              <w:rPr>
                <w:lang w:eastAsia="en-AU"/>
              </w:rPr>
              <w:t>The sponsor is requested to provide a plan for anti-viral resistance monitoring due to the identified low barrier to resistance with NS3 protease inhibitors. This plan should be documented in the pharmacovigilance section of the RMP and/or ASA.</w:t>
            </w:r>
          </w:p>
        </w:tc>
        <w:tc>
          <w:tcPr>
            <w:tcW w:w="3827" w:type="dxa"/>
          </w:tcPr>
          <w:p w:rsidR="00576FA6" w:rsidRPr="00BA1372" w:rsidRDefault="00576FA6" w:rsidP="0055797B">
            <w:pPr>
              <w:rPr>
                <w:rFonts w:eastAsia="TimesNewRoman" w:cs="TimesNewRoman"/>
                <w:i/>
                <w:lang w:eastAsia="en-AU"/>
              </w:rPr>
            </w:pPr>
            <w:r w:rsidRPr="00BA1372">
              <w:rPr>
                <w:rFonts w:eastAsia="TimesNewRoman" w:cs="TimesNewRoman"/>
                <w:i/>
                <w:lang w:eastAsia="en-AU"/>
              </w:rPr>
              <w:t xml:space="preserve">The resistance barrier to NS3 protease inhibitors when combined with other direct-acting antiviral agents of different mechanisms of action is increased, compared to when dosing NS3 protease inhibitors in monotherapy. In an integrated analysis of </w:t>
            </w:r>
            <w:r w:rsidR="004C5D5E" w:rsidRPr="00BA1372">
              <w:rPr>
                <w:rFonts w:eastAsia="TimesNewRoman" w:cs="TimesNewRoman"/>
                <w:i/>
                <w:lang w:eastAsia="en-AU"/>
              </w:rPr>
              <w:t>Phase II</w:t>
            </w:r>
            <w:r w:rsidRPr="00BA1372">
              <w:rPr>
                <w:rFonts w:eastAsia="TimesNewRoman" w:cs="TimesNewRoman"/>
                <w:i/>
                <w:lang w:eastAsia="en-AU"/>
              </w:rPr>
              <w:t xml:space="preserve"> and </w:t>
            </w:r>
            <w:r w:rsidR="004C5D5E" w:rsidRPr="00BA1372">
              <w:rPr>
                <w:rFonts w:eastAsia="TimesNewRoman" w:cs="TimesNewRoman"/>
                <w:i/>
                <w:lang w:eastAsia="en-AU"/>
              </w:rPr>
              <w:t>Phase III</w:t>
            </w:r>
            <w:r w:rsidRPr="00BA1372">
              <w:rPr>
                <w:rFonts w:eastAsia="TimesNewRoman" w:cs="TimesNewRoman"/>
                <w:i/>
                <w:lang w:eastAsia="en-AU"/>
              </w:rPr>
              <w:t xml:space="preserve"> clinical data from the </w:t>
            </w:r>
            <w:proofErr w:type="spellStart"/>
            <w:r w:rsidRPr="00BA1372">
              <w:rPr>
                <w:rFonts w:eastAsia="TimesNewRoman" w:cs="TimesNewRoman"/>
                <w:i/>
                <w:lang w:eastAsia="en-AU"/>
              </w:rPr>
              <w:t>daclatasvir+asunaprevir</w:t>
            </w:r>
            <w:proofErr w:type="spellEnd"/>
            <w:r w:rsidRPr="00BA1372">
              <w:rPr>
                <w:rFonts w:eastAsia="TimesNewRoman" w:cs="TimesNewRoman"/>
                <w:i/>
                <w:lang w:eastAsia="en-AU"/>
              </w:rPr>
              <w:t xml:space="preserve"> DUAL regimen studies AI447011, AI447017, AI447026, and AI447028, assessing the association of baseline NS3 polymorphisms on response rates in patients infected with HCV genotype 1b and treated with </w:t>
            </w:r>
            <w:proofErr w:type="spellStart"/>
            <w:r w:rsidRPr="00BA1372">
              <w:rPr>
                <w:rFonts w:eastAsia="TimesNewRoman" w:cs="TimesNewRoman"/>
                <w:i/>
                <w:lang w:eastAsia="en-AU"/>
              </w:rPr>
              <w:t>daclatasvir</w:t>
            </w:r>
            <w:proofErr w:type="spellEnd"/>
            <w:r w:rsidRPr="00BA1372">
              <w:rPr>
                <w:rFonts w:eastAsia="TimesNewRoman" w:cs="TimesNewRoman"/>
                <w:i/>
                <w:lang w:eastAsia="en-AU"/>
              </w:rPr>
              <w:t xml:space="preserve"> plus </w:t>
            </w:r>
            <w:proofErr w:type="spellStart"/>
            <w:r w:rsidRPr="00BA1372">
              <w:rPr>
                <w:rFonts w:eastAsia="TimesNewRoman" w:cs="TimesNewRoman"/>
                <w:i/>
                <w:lang w:eastAsia="en-AU"/>
              </w:rPr>
              <w:t>asunaprevir</w:t>
            </w:r>
            <w:proofErr w:type="spellEnd"/>
            <w:r w:rsidRPr="00BA1372">
              <w:rPr>
                <w:rFonts w:eastAsia="TimesNewRoman" w:cs="TimesNewRoman"/>
                <w:i/>
                <w:lang w:eastAsia="en-AU"/>
              </w:rPr>
              <w:t>, there did not appear to be any significant impact. The most pertinent NS3 polymorphism is at D168 since</w:t>
            </w:r>
            <w:r w:rsidR="006A7F24" w:rsidRPr="00BA1372">
              <w:rPr>
                <w:rFonts w:eastAsia="TimesNewRoman" w:cs="TimesNewRoman"/>
                <w:i/>
                <w:lang w:eastAsia="en-AU"/>
              </w:rPr>
              <w:t xml:space="preserve"> </w:t>
            </w:r>
            <w:r w:rsidRPr="00BA1372">
              <w:rPr>
                <w:rFonts w:eastAsia="TimesNewRoman" w:cs="TimesNewRoman"/>
                <w:i/>
                <w:lang w:eastAsia="en-AU"/>
              </w:rPr>
              <w:t xml:space="preserve">substitutions at this amino acid emerge in the majority of patients not achieving SVR (94.1% [111/118 </w:t>
            </w:r>
            <w:proofErr w:type="spellStart"/>
            <w:r w:rsidRPr="00BA1372">
              <w:rPr>
                <w:rFonts w:eastAsia="TimesNewRoman" w:cs="TimesNewRoman"/>
                <w:i/>
                <w:lang w:eastAsia="en-AU"/>
              </w:rPr>
              <w:t>virologic</w:t>
            </w:r>
            <w:proofErr w:type="spellEnd"/>
            <w:r w:rsidRPr="00BA1372">
              <w:rPr>
                <w:rFonts w:eastAsia="TimesNewRoman" w:cs="TimesNewRoman"/>
                <w:i/>
                <w:lang w:eastAsia="en-AU"/>
              </w:rPr>
              <w:t xml:space="preserve"> failures </w:t>
            </w:r>
            <w:r w:rsidRPr="00BA1372">
              <w:rPr>
                <w:rFonts w:eastAsia="TimesNewRoman" w:cs="TimesNewRoman"/>
                <w:i/>
                <w:lang w:eastAsia="en-AU"/>
              </w:rPr>
              <w:lastRenderedPageBreak/>
              <w:t>meeting the criteria for resistance testing (HCV RNA ≥1000 IU/mL)]). The low prevalence of NS3 D168 polymorphisms limited their impact on response rates</w:t>
            </w:r>
            <w:r w:rsidR="007A2E96" w:rsidRPr="00BA1372">
              <w:rPr>
                <w:rFonts w:eastAsia="TimesNewRoman" w:cs="TimesNewRoman"/>
                <w:i/>
                <w:lang w:eastAsia="en-AU"/>
              </w:rPr>
              <w:t>.</w:t>
            </w:r>
            <w:r w:rsidRPr="00BA1372">
              <w:rPr>
                <w:rFonts w:eastAsia="TimesNewRoman" w:cs="TimesNewRomanPSMT"/>
                <w:i/>
                <w:lang w:eastAsia="en-AU"/>
              </w:rPr>
              <w:t xml:space="preserve"> </w:t>
            </w:r>
            <w:r w:rsidRPr="00BA1372">
              <w:rPr>
                <w:rFonts w:eastAsia="TimesNewRoman" w:cs="TimesNewRoman"/>
                <w:i/>
                <w:lang w:eastAsia="en-AU"/>
              </w:rPr>
              <w:t>In the integrated resistance analysis of patients with the baseline NS3-D168E,</w:t>
            </w:r>
          </w:p>
          <w:p w:rsidR="00576FA6" w:rsidRPr="00BA1372" w:rsidRDefault="00576FA6" w:rsidP="0055797B">
            <w:pPr>
              <w:rPr>
                <w:rFonts w:eastAsia="TimesNewRoman" w:cs="TimesNewRoman"/>
                <w:i/>
                <w:lang w:eastAsia="en-AU"/>
              </w:rPr>
            </w:pPr>
            <w:r w:rsidRPr="00BA1372">
              <w:rPr>
                <w:rFonts w:eastAsia="TimesNewRoman" w:cs="TimesNewRoman"/>
                <w:i/>
                <w:lang w:eastAsia="en-AU"/>
              </w:rPr>
              <w:t>50% achieved SVR; however, its prevalence was &lt;1%, therefore its impact on the overall SVR rate was not observed; 85.0% in patients without baseline NS3-D168E versus 84.8% for the study.</w:t>
            </w:r>
          </w:p>
          <w:p w:rsidR="00576FA6" w:rsidRPr="00BA1372" w:rsidRDefault="00576FA6" w:rsidP="0055797B">
            <w:pPr>
              <w:rPr>
                <w:rFonts w:eastAsia="TimesNewRoman" w:cs="TimesNewRoman"/>
                <w:lang w:eastAsia="en-AU"/>
              </w:rPr>
            </w:pPr>
            <w:r w:rsidRPr="00BA1372">
              <w:rPr>
                <w:rFonts w:eastAsia="TimesNewRoman" w:cs="TimesNewRoman"/>
                <w:i/>
                <w:lang w:eastAsia="en-AU"/>
              </w:rPr>
              <w:t xml:space="preserve">For patients not achieving SVR to ASV, emergent NS3 D168 variants have been shown to be replaced by wild-type sequence when monitored for ≥36 weeks post-treatment. In the two </w:t>
            </w:r>
            <w:r w:rsidR="004C5D5E" w:rsidRPr="00BA1372">
              <w:rPr>
                <w:rFonts w:eastAsia="TimesNewRoman" w:cs="TimesNewRoman"/>
                <w:i/>
                <w:lang w:eastAsia="en-AU"/>
              </w:rPr>
              <w:t>Phase II</w:t>
            </w:r>
            <w:r w:rsidRPr="00BA1372">
              <w:rPr>
                <w:rFonts w:eastAsia="TimesNewRoman" w:cs="TimesNewRoman"/>
                <w:i/>
                <w:lang w:eastAsia="en-AU"/>
              </w:rPr>
              <w:t xml:space="preserve"> studies AI447011 and AI447017, emergent NS3-D168 variants were replaced by baseline sequence in 88.9% (8/9) of patient-derived NS3 sequences from </w:t>
            </w:r>
            <w:proofErr w:type="spellStart"/>
            <w:r w:rsidRPr="00BA1372">
              <w:rPr>
                <w:rFonts w:eastAsia="TimesNewRoman" w:cs="TimesNewRoman"/>
                <w:i/>
                <w:lang w:eastAsia="en-AU"/>
              </w:rPr>
              <w:t>virologic</w:t>
            </w:r>
            <w:proofErr w:type="spellEnd"/>
            <w:r w:rsidRPr="00BA1372">
              <w:rPr>
                <w:rFonts w:eastAsia="TimesNewRoman" w:cs="TimesNewRoman"/>
                <w:i/>
                <w:lang w:eastAsia="en-AU"/>
              </w:rPr>
              <w:t xml:space="preserve"> failures by population based sequencing. There is an ongoing 3</w:t>
            </w:r>
            <w:r w:rsidR="006A7F24" w:rsidRPr="00BA1372">
              <w:rPr>
                <w:rFonts w:eastAsia="TimesNewRoman" w:cs="TimesNewRoman"/>
                <w:i/>
                <w:lang w:eastAsia="en-AU"/>
              </w:rPr>
              <w:t xml:space="preserve"> </w:t>
            </w:r>
            <w:r w:rsidRPr="00BA1372">
              <w:rPr>
                <w:rFonts w:eastAsia="TimesNewRoman" w:cs="TimesNewRoman"/>
                <w:i/>
                <w:lang w:eastAsia="en-AU"/>
              </w:rPr>
              <w:t>year long</w:t>
            </w:r>
            <w:r w:rsidR="006A7F24" w:rsidRPr="00BA1372">
              <w:rPr>
                <w:rFonts w:eastAsia="TimesNewRoman" w:cs="TimesNewRoman"/>
                <w:i/>
                <w:lang w:eastAsia="en-AU"/>
              </w:rPr>
              <w:t xml:space="preserve"> </w:t>
            </w:r>
            <w:r w:rsidRPr="00BA1372">
              <w:rPr>
                <w:rFonts w:eastAsia="TimesNewRoman" w:cs="TimesNewRoman"/>
                <w:i/>
                <w:lang w:eastAsia="en-AU"/>
              </w:rPr>
              <w:t>term follow-up study (AI444046) where the persistence of emergent D168 variants will be described in more detail. Results of this study will be discussed in the PSUR, and any significant safety findings will be reflected in the CCRMP and CCDS as warranted. Any significant safety findings will be submitted to the TGA in an appropriate manner.</w:t>
            </w:r>
          </w:p>
        </w:tc>
        <w:tc>
          <w:tcPr>
            <w:tcW w:w="1985" w:type="dxa"/>
          </w:tcPr>
          <w:p w:rsidR="00576FA6" w:rsidRPr="00BA1372" w:rsidRDefault="00576FA6" w:rsidP="0055797B">
            <w:pPr>
              <w:rPr>
                <w:lang w:eastAsia="en-AU"/>
              </w:rPr>
            </w:pPr>
            <w:r w:rsidRPr="00BA1372">
              <w:rPr>
                <w:lang w:eastAsia="en-AU"/>
              </w:rPr>
              <w:lastRenderedPageBreak/>
              <w:t>The sponsor’s plan, including the follow-up study, is acceptable.</w:t>
            </w:r>
          </w:p>
        </w:tc>
      </w:tr>
      <w:tr w:rsidR="00576FA6" w:rsidTr="0055797B">
        <w:tc>
          <w:tcPr>
            <w:tcW w:w="3085" w:type="dxa"/>
          </w:tcPr>
          <w:p w:rsidR="00576FA6" w:rsidRPr="00BA1372" w:rsidRDefault="00190D26" w:rsidP="0055797B">
            <w:pPr>
              <w:rPr>
                <w:lang w:eastAsia="en-AU"/>
              </w:rPr>
            </w:pPr>
            <w:r w:rsidRPr="00BA1372">
              <w:rPr>
                <w:lang w:eastAsia="en-AU"/>
              </w:rPr>
              <w:lastRenderedPageBreak/>
              <w:t xml:space="preserve">7. </w:t>
            </w:r>
            <w:r w:rsidR="00576FA6" w:rsidRPr="00BA1372">
              <w:rPr>
                <w:lang w:eastAsia="en-AU"/>
              </w:rPr>
              <w:t>A pharmacovigilance plan should be formulated for all risks added and should be detailed in an update to the RMP and/or ASA.</w:t>
            </w:r>
          </w:p>
        </w:tc>
        <w:tc>
          <w:tcPr>
            <w:tcW w:w="3827" w:type="dxa"/>
          </w:tcPr>
          <w:p w:rsidR="00C60B78" w:rsidRDefault="00576FA6" w:rsidP="0055797B">
            <w:pPr>
              <w:rPr>
                <w:rFonts w:eastAsia="TimesNewRoman" w:cs="TimesNewRoman"/>
                <w:i/>
                <w:lang w:eastAsia="en-AU"/>
              </w:rPr>
            </w:pPr>
            <w:r w:rsidRPr="00BA1372">
              <w:rPr>
                <w:rFonts w:eastAsia="TimesNewRoman" w:cs="TimesNewRoman"/>
                <w:i/>
                <w:lang w:eastAsia="en-AU"/>
              </w:rPr>
              <w:t xml:space="preserve">The RMP evaluator’s recommendations </w:t>
            </w:r>
            <w:r w:rsidR="006A7F24" w:rsidRPr="00BA1372">
              <w:rPr>
                <w:rFonts w:eastAsia="TimesNewRoman" w:cs="TimesNewRoman"/>
                <w:i/>
                <w:lang w:eastAsia="en-AU"/>
              </w:rPr>
              <w:t>have been noted by the s</w:t>
            </w:r>
            <w:r w:rsidRPr="00BA1372">
              <w:rPr>
                <w:rFonts w:eastAsia="TimesNewRoman" w:cs="TimesNewRoman"/>
                <w:i/>
                <w:lang w:eastAsia="en-AU"/>
              </w:rPr>
              <w:t>ponsor.</w:t>
            </w:r>
          </w:p>
          <w:p w:rsidR="00576FA6" w:rsidRPr="00BA1372" w:rsidRDefault="00576FA6" w:rsidP="0055797B">
            <w:pPr>
              <w:rPr>
                <w:rFonts w:eastAsia="TimesNewRoman" w:cs="TimesNewRoman"/>
                <w:i/>
                <w:lang w:eastAsia="en-AU"/>
              </w:rPr>
            </w:pPr>
            <w:r w:rsidRPr="00BA1372">
              <w:rPr>
                <w:rFonts w:eastAsia="TimesNewRoman" w:cs="TimesNewRoman"/>
                <w:i/>
                <w:lang w:eastAsia="en-AU"/>
              </w:rPr>
              <w:t>See responses to RMP questions 2, 3 and 4.</w:t>
            </w:r>
          </w:p>
          <w:p w:rsidR="00576FA6" w:rsidRPr="00BA1372" w:rsidRDefault="00576FA6" w:rsidP="0055797B">
            <w:pPr>
              <w:rPr>
                <w:rFonts w:eastAsia="TimesNewRoman" w:cs="TimesNewRoman"/>
                <w:lang w:eastAsia="en-AU"/>
              </w:rPr>
            </w:pPr>
            <w:r w:rsidRPr="00BA1372">
              <w:rPr>
                <w:rFonts w:eastAsia="TimesNewRoman" w:cs="TimesNewRoman"/>
                <w:i/>
                <w:lang w:eastAsia="en-AU"/>
              </w:rPr>
              <w:t xml:space="preserve">Routine </w:t>
            </w:r>
            <w:r w:rsidR="006A7F24" w:rsidRPr="00BA1372">
              <w:rPr>
                <w:rFonts w:eastAsia="TimesNewRoman" w:cs="TimesNewRoman"/>
                <w:i/>
                <w:lang w:eastAsia="en-AU"/>
              </w:rPr>
              <w:t>pharmacovigilance will be utilis</w:t>
            </w:r>
            <w:r w:rsidRPr="00BA1372">
              <w:rPr>
                <w:rFonts w:eastAsia="TimesNewRoman" w:cs="TimesNewRoman"/>
                <w:i/>
                <w:lang w:eastAsia="en-AU"/>
              </w:rPr>
              <w:t xml:space="preserve">ed to assess missing information </w:t>
            </w:r>
            <w:r w:rsidR="006A7F24" w:rsidRPr="00BA1372">
              <w:rPr>
                <w:rFonts w:eastAsia="TimesNewRoman" w:cs="TimesNewRoman"/>
                <w:i/>
                <w:lang w:eastAsia="en-AU"/>
              </w:rPr>
              <w:t>‘</w:t>
            </w:r>
            <w:r w:rsidRPr="00BA1372">
              <w:rPr>
                <w:rFonts w:eastAsia="TimesNewRoman" w:cs="TimesNewRoman"/>
                <w:i/>
                <w:lang w:eastAsia="en-AU"/>
              </w:rPr>
              <w:t>prior NS3 protease inhibitor failures</w:t>
            </w:r>
            <w:r w:rsidR="006A7F24" w:rsidRPr="00BA1372">
              <w:rPr>
                <w:rFonts w:eastAsia="TimesNewRoman" w:cs="TimesNewRoman"/>
                <w:i/>
                <w:lang w:eastAsia="en-AU"/>
              </w:rPr>
              <w:t>’</w:t>
            </w:r>
            <w:r w:rsidRPr="00BA1372">
              <w:rPr>
                <w:rFonts w:eastAsia="TimesNewRoman" w:cs="TimesNewRoman"/>
                <w:i/>
                <w:lang w:eastAsia="en-AU"/>
              </w:rPr>
              <w:t xml:space="preserve">. The </w:t>
            </w:r>
            <w:r w:rsidR="006A7F24" w:rsidRPr="00BA1372">
              <w:rPr>
                <w:rFonts w:eastAsia="TimesNewRoman" w:cs="TimesNewRoman"/>
                <w:i/>
                <w:lang w:eastAsia="en-AU"/>
              </w:rPr>
              <w:t>PI</w:t>
            </w:r>
            <w:r w:rsidRPr="00BA1372">
              <w:rPr>
                <w:rFonts w:eastAsia="TimesNewRoman" w:cs="TimesNewRoman"/>
                <w:i/>
                <w:lang w:eastAsia="en-AU"/>
              </w:rPr>
              <w:t xml:space="preserve"> states that </w:t>
            </w:r>
            <w:r w:rsidR="006A7F24" w:rsidRPr="00BA1372">
              <w:rPr>
                <w:rFonts w:eastAsia="TimesNewRoman" w:cs="TimesNewRoman"/>
                <w:i/>
                <w:lang w:eastAsia="en-AU"/>
              </w:rPr>
              <w:t>‘</w:t>
            </w:r>
            <w:r w:rsidRPr="00BA1372">
              <w:rPr>
                <w:rFonts w:eastAsia="TimesNewRoman" w:cs="TimesNewRoman"/>
                <w:i/>
                <w:lang w:eastAsia="en-AU"/>
              </w:rPr>
              <w:t xml:space="preserve">The safety and efficacy of </w:t>
            </w:r>
            <w:proofErr w:type="spellStart"/>
            <w:r w:rsidR="006A7F24" w:rsidRPr="00BA1372">
              <w:rPr>
                <w:rFonts w:eastAsia="TimesNewRoman" w:cs="TimesNewRoman"/>
                <w:i/>
                <w:lang w:eastAsia="en-AU"/>
              </w:rPr>
              <w:lastRenderedPageBreak/>
              <w:t>Sunvepra</w:t>
            </w:r>
            <w:proofErr w:type="spellEnd"/>
            <w:r w:rsidR="006A7F24" w:rsidRPr="00BA1372">
              <w:rPr>
                <w:rFonts w:eastAsia="TimesNewRoman" w:cs="TimesNewRoman"/>
                <w:i/>
                <w:lang w:eastAsia="en-AU"/>
              </w:rPr>
              <w:t xml:space="preserve"> </w:t>
            </w:r>
            <w:r w:rsidRPr="00BA1372">
              <w:rPr>
                <w:rFonts w:eastAsia="TimesNewRoman" w:cs="TimesNewRoman"/>
                <w:i/>
                <w:lang w:eastAsia="en-AU"/>
              </w:rPr>
              <w:t>combination therapy in the treatment of patients who are pre-, peri-, or post-liver transplant have not been established.</w:t>
            </w:r>
            <w:r w:rsidR="006A7F24" w:rsidRPr="00BA1372">
              <w:rPr>
                <w:rFonts w:eastAsia="TimesNewRoman" w:cs="TimesNewRoman"/>
                <w:i/>
                <w:lang w:eastAsia="en-AU"/>
              </w:rPr>
              <w:t>’</w:t>
            </w:r>
            <w:r w:rsidRPr="00BA1372">
              <w:rPr>
                <w:rFonts w:eastAsia="TimesNewRoman" w:cs="TimesNewRoman"/>
                <w:i/>
                <w:lang w:eastAsia="en-AU"/>
              </w:rPr>
              <w:t xml:space="preserve"> Routine pharmacovigilance will be utilized to monitor the use of ASV in transplant patients.</w:t>
            </w:r>
          </w:p>
        </w:tc>
        <w:tc>
          <w:tcPr>
            <w:tcW w:w="1985" w:type="dxa"/>
          </w:tcPr>
          <w:p w:rsidR="00576FA6" w:rsidRPr="00BA1372" w:rsidRDefault="00576FA6" w:rsidP="0055797B">
            <w:pPr>
              <w:rPr>
                <w:lang w:eastAsia="en-AU"/>
              </w:rPr>
            </w:pPr>
            <w:r w:rsidRPr="00BA1372">
              <w:rPr>
                <w:lang w:eastAsia="en-AU"/>
              </w:rPr>
              <w:lastRenderedPageBreak/>
              <w:t>This is acceptable.</w:t>
            </w:r>
          </w:p>
        </w:tc>
      </w:tr>
      <w:tr w:rsidR="00576FA6" w:rsidTr="0055797B">
        <w:tc>
          <w:tcPr>
            <w:tcW w:w="3085" w:type="dxa"/>
          </w:tcPr>
          <w:p w:rsidR="00576FA6" w:rsidRPr="00BA1372" w:rsidRDefault="00190D26" w:rsidP="0055797B">
            <w:pPr>
              <w:rPr>
                <w:lang w:eastAsia="en-AU"/>
              </w:rPr>
            </w:pPr>
            <w:r w:rsidRPr="00BA1372">
              <w:rPr>
                <w:lang w:eastAsia="en-AU"/>
              </w:rPr>
              <w:lastRenderedPageBreak/>
              <w:t xml:space="preserve">8. </w:t>
            </w:r>
            <w:r w:rsidR="00576FA6" w:rsidRPr="00BA1372">
              <w:rPr>
                <w:lang w:eastAsia="en-AU"/>
              </w:rPr>
              <w:t>A risk minimisation plan should be formulated for all risks added and should be detailed in an update to the RMP and/or ASA.</w:t>
            </w:r>
          </w:p>
        </w:tc>
        <w:tc>
          <w:tcPr>
            <w:tcW w:w="3827" w:type="dxa"/>
          </w:tcPr>
          <w:p w:rsidR="00576FA6" w:rsidRPr="00BA1372" w:rsidRDefault="00576FA6" w:rsidP="0055797B">
            <w:pPr>
              <w:rPr>
                <w:rFonts w:eastAsia="TimesNewRoman" w:cs="TimesNewRoman"/>
                <w:i/>
                <w:lang w:eastAsia="en-AU"/>
              </w:rPr>
            </w:pPr>
            <w:r w:rsidRPr="00BA1372">
              <w:rPr>
                <w:rFonts w:eastAsia="TimesNewRoman" w:cs="TimesNewRoman"/>
                <w:i/>
                <w:lang w:eastAsia="en-AU"/>
              </w:rPr>
              <w:t>The RMP evaluator’s recommendations have been noted by the Sponsor.</w:t>
            </w:r>
          </w:p>
          <w:p w:rsidR="00576FA6" w:rsidRPr="00BA1372" w:rsidRDefault="00576FA6" w:rsidP="0055797B">
            <w:pPr>
              <w:rPr>
                <w:rFonts w:eastAsia="TimesNewRoman" w:cs="TimesNewRoman"/>
                <w:i/>
                <w:lang w:eastAsia="en-AU"/>
              </w:rPr>
            </w:pPr>
            <w:r w:rsidRPr="00BA1372">
              <w:rPr>
                <w:rFonts w:eastAsia="TimesNewRoman" w:cs="TimesNewRoman"/>
                <w:i/>
                <w:lang w:eastAsia="en-AU"/>
              </w:rPr>
              <w:t>See responses to RMP questions 2, 3 and 4.</w:t>
            </w:r>
          </w:p>
          <w:p w:rsidR="00576FA6" w:rsidRPr="00BA1372" w:rsidRDefault="00576FA6" w:rsidP="0055797B">
            <w:pPr>
              <w:rPr>
                <w:rFonts w:eastAsia="TimesNewRoman" w:cs="TimesNewRoman"/>
                <w:lang w:eastAsia="en-AU"/>
              </w:rPr>
            </w:pPr>
            <w:r w:rsidRPr="00BA1372">
              <w:rPr>
                <w:rFonts w:eastAsia="TimesNewRoman" w:cs="TimesNewRoman"/>
                <w:i/>
                <w:lang w:eastAsia="en-AU"/>
              </w:rPr>
              <w:t xml:space="preserve">Risk minimization for missing information </w:t>
            </w:r>
            <w:r w:rsidR="006A7F24" w:rsidRPr="00BA1372">
              <w:rPr>
                <w:rFonts w:eastAsia="TimesNewRoman" w:cs="TimesNewRoman"/>
                <w:i/>
                <w:lang w:eastAsia="en-AU"/>
              </w:rPr>
              <w:t>‘</w:t>
            </w:r>
            <w:r w:rsidRPr="00BA1372">
              <w:rPr>
                <w:rFonts w:eastAsia="TimesNewRoman" w:cs="TimesNewRoman"/>
                <w:i/>
                <w:lang w:eastAsia="en-AU"/>
              </w:rPr>
              <w:t>prior NS3 protease inhibitors</w:t>
            </w:r>
            <w:r w:rsidR="006A7F24" w:rsidRPr="00BA1372">
              <w:rPr>
                <w:rFonts w:eastAsia="TimesNewRoman" w:cs="TimesNewRoman"/>
                <w:i/>
                <w:lang w:eastAsia="en-AU"/>
              </w:rPr>
              <w:t>’</w:t>
            </w:r>
            <w:r w:rsidRPr="00BA1372">
              <w:rPr>
                <w:rFonts w:eastAsia="TimesNewRoman" w:cs="TimesNewRoman"/>
                <w:i/>
                <w:lang w:eastAsia="en-AU"/>
              </w:rPr>
              <w:t xml:space="preserve"> currently consists of monitoring to determine the effects of ASV treatment of patients who have failed prior NS3 PI therapy; further actions may be taken if it is determined that this represents a safety risk. Risk minimisation for transplant patients is represented by the information presented in the Product Information, indicating that there is no data on use of ASV in pre-, peri- or post-liver transplant patients.</w:t>
            </w:r>
          </w:p>
        </w:tc>
        <w:tc>
          <w:tcPr>
            <w:tcW w:w="1985" w:type="dxa"/>
          </w:tcPr>
          <w:p w:rsidR="00576FA6" w:rsidRPr="00BA1372" w:rsidRDefault="00576FA6" w:rsidP="0055797B">
            <w:pPr>
              <w:rPr>
                <w:lang w:eastAsia="en-AU"/>
              </w:rPr>
            </w:pPr>
            <w:r w:rsidRPr="00BA1372">
              <w:rPr>
                <w:lang w:eastAsia="en-AU"/>
              </w:rPr>
              <w:t>This is acceptable.</w:t>
            </w:r>
          </w:p>
        </w:tc>
      </w:tr>
      <w:tr w:rsidR="00576FA6" w:rsidTr="0055797B">
        <w:tc>
          <w:tcPr>
            <w:tcW w:w="3085" w:type="dxa"/>
          </w:tcPr>
          <w:p w:rsidR="00576FA6" w:rsidRPr="00BA1372" w:rsidRDefault="00190D26" w:rsidP="0055797B">
            <w:pPr>
              <w:rPr>
                <w:lang w:eastAsia="en-AU"/>
              </w:rPr>
            </w:pPr>
            <w:r w:rsidRPr="00BA1372">
              <w:rPr>
                <w:lang w:eastAsia="en-AU"/>
              </w:rPr>
              <w:t xml:space="preserve">9. </w:t>
            </w:r>
            <w:r w:rsidR="00576FA6" w:rsidRPr="00BA1372">
              <w:rPr>
                <w:lang w:eastAsia="en-AU"/>
              </w:rPr>
              <w:t xml:space="preserve">The PI should contraindicate use of </w:t>
            </w:r>
            <w:proofErr w:type="spellStart"/>
            <w:r w:rsidR="00576FA6" w:rsidRPr="00BA1372">
              <w:rPr>
                <w:lang w:eastAsia="en-AU"/>
              </w:rPr>
              <w:t>asunaprevir</w:t>
            </w:r>
            <w:proofErr w:type="spellEnd"/>
            <w:r w:rsidR="00576FA6" w:rsidRPr="00BA1372">
              <w:rPr>
                <w:lang w:eastAsia="en-AU"/>
              </w:rPr>
              <w:t xml:space="preserve"> in patients who are hypersensitive to the active substance or its excipients.</w:t>
            </w:r>
          </w:p>
        </w:tc>
        <w:tc>
          <w:tcPr>
            <w:tcW w:w="3827" w:type="dxa"/>
          </w:tcPr>
          <w:p w:rsidR="00576FA6" w:rsidRPr="00BA1372" w:rsidRDefault="00576FA6" w:rsidP="0055797B">
            <w:pPr>
              <w:rPr>
                <w:lang w:eastAsia="en-AU"/>
              </w:rPr>
            </w:pPr>
            <w:r w:rsidRPr="00BA1372">
              <w:rPr>
                <w:rFonts w:eastAsia="TimesNewRoman" w:cs="TimesNewRoman"/>
                <w:i/>
                <w:lang w:eastAsia="en-AU"/>
              </w:rPr>
              <w:t xml:space="preserve">The statement </w:t>
            </w:r>
            <w:r w:rsidR="006A7F24" w:rsidRPr="00BA1372">
              <w:rPr>
                <w:rFonts w:eastAsia="TimesNewRoman" w:cs="TimesNewRoman"/>
                <w:i/>
                <w:lang w:eastAsia="en-AU"/>
              </w:rPr>
              <w:t>‘</w:t>
            </w:r>
            <w:r w:rsidRPr="00BA1372">
              <w:rPr>
                <w:rFonts w:eastAsia="TimesNewRoman" w:cs="TimesNewRoman"/>
                <w:i/>
                <w:lang w:eastAsia="en-AU"/>
              </w:rPr>
              <w:t xml:space="preserve">SUNVEPRA is contraindicated in patients with previously demonstrated hypersensitivity to </w:t>
            </w:r>
            <w:proofErr w:type="spellStart"/>
            <w:r w:rsidRPr="00BA1372">
              <w:rPr>
                <w:rFonts w:eastAsia="TimesNewRoman" w:cs="TimesNewRoman"/>
                <w:i/>
                <w:lang w:eastAsia="en-AU"/>
              </w:rPr>
              <w:t>asunaprevir</w:t>
            </w:r>
            <w:proofErr w:type="spellEnd"/>
            <w:r w:rsidRPr="00BA1372">
              <w:rPr>
                <w:rFonts w:eastAsia="TimesNewRoman" w:cs="TimesNewRoman"/>
                <w:i/>
                <w:lang w:eastAsia="en-AU"/>
              </w:rPr>
              <w:t xml:space="preserve"> or any component of the product</w:t>
            </w:r>
            <w:r w:rsidR="006A7F24" w:rsidRPr="00BA1372">
              <w:rPr>
                <w:rFonts w:eastAsia="TimesNewRoman" w:cs="TimesNewRoman"/>
                <w:i/>
                <w:lang w:eastAsia="en-AU"/>
              </w:rPr>
              <w:t>’</w:t>
            </w:r>
            <w:r w:rsidRPr="00BA1372">
              <w:rPr>
                <w:rFonts w:eastAsia="TimesNewRoman" w:cs="TimesNewRoman"/>
                <w:i/>
                <w:lang w:eastAsia="en-AU"/>
              </w:rPr>
              <w:t xml:space="preserve"> has been added to the </w:t>
            </w:r>
            <w:r w:rsidRPr="00BA1372">
              <w:rPr>
                <w:rFonts w:eastAsia="TimesNewRoman,Bold" w:cs="TimesNewRoman,Bold"/>
                <w:bCs/>
                <w:i/>
                <w:lang w:eastAsia="en-AU"/>
              </w:rPr>
              <w:t xml:space="preserve">CONTRAINDICATIONS </w:t>
            </w:r>
            <w:r w:rsidRPr="00BA1372">
              <w:rPr>
                <w:rFonts w:eastAsia="TimesNewRoman" w:cs="TimesNewRoman"/>
                <w:i/>
                <w:lang w:eastAsia="en-AU"/>
              </w:rPr>
              <w:t>section of the proposed PI.</w:t>
            </w:r>
          </w:p>
        </w:tc>
        <w:tc>
          <w:tcPr>
            <w:tcW w:w="1985" w:type="dxa"/>
          </w:tcPr>
          <w:p w:rsidR="00576FA6" w:rsidRPr="00BA1372" w:rsidRDefault="00576FA6" w:rsidP="0055797B">
            <w:pPr>
              <w:rPr>
                <w:lang w:eastAsia="en-AU"/>
              </w:rPr>
            </w:pPr>
            <w:r w:rsidRPr="00BA1372">
              <w:rPr>
                <w:lang w:eastAsia="en-AU"/>
              </w:rPr>
              <w:t>This is acceptable from a RMP perspective and is subject to final consideration by the Delegate.</w:t>
            </w:r>
          </w:p>
        </w:tc>
      </w:tr>
      <w:tr w:rsidR="00576FA6" w:rsidTr="0055797B">
        <w:tc>
          <w:tcPr>
            <w:tcW w:w="3085" w:type="dxa"/>
          </w:tcPr>
          <w:p w:rsidR="00576FA6" w:rsidRPr="00BA1372" w:rsidRDefault="00190D26" w:rsidP="0055797B">
            <w:pPr>
              <w:rPr>
                <w:lang w:eastAsia="en-AU"/>
              </w:rPr>
            </w:pPr>
            <w:r w:rsidRPr="00BA1372">
              <w:rPr>
                <w:lang w:eastAsia="en-AU"/>
              </w:rPr>
              <w:t xml:space="preserve">10. </w:t>
            </w:r>
            <w:r w:rsidR="00576FA6" w:rsidRPr="00BA1372">
              <w:rPr>
                <w:lang w:eastAsia="en-AU"/>
              </w:rPr>
              <w:t xml:space="preserve">The proposed PI contains advice that when co-administered with </w:t>
            </w:r>
            <w:proofErr w:type="spellStart"/>
            <w:r w:rsidR="00576FA6" w:rsidRPr="00BA1372">
              <w:rPr>
                <w:lang w:eastAsia="en-AU"/>
              </w:rPr>
              <w:t>asunaprevir</w:t>
            </w:r>
            <w:proofErr w:type="spellEnd"/>
            <w:r w:rsidR="00576FA6" w:rsidRPr="00BA1372">
              <w:rPr>
                <w:lang w:eastAsia="en-AU"/>
              </w:rPr>
              <w:t>, a combination hormonal oral contraceptive should contain at least 30</w:t>
            </w:r>
            <w:r w:rsidR="006A7F24" w:rsidRPr="00BA1372">
              <w:rPr>
                <w:lang w:eastAsia="en-AU"/>
              </w:rPr>
              <w:t xml:space="preserve"> </w:t>
            </w:r>
            <w:r w:rsidR="00576FA6" w:rsidRPr="00BA1372">
              <w:rPr>
                <w:lang w:eastAsia="en-AU"/>
              </w:rPr>
              <w:t xml:space="preserve">µg of </w:t>
            </w:r>
            <w:proofErr w:type="spellStart"/>
            <w:r w:rsidR="00576FA6" w:rsidRPr="00BA1372">
              <w:rPr>
                <w:lang w:eastAsia="en-AU"/>
              </w:rPr>
              <w:t>ethinyl</w:t>
            </w:r>
            <w:proofErr w:type="spellEnd"/>
            <w:r w:rsidR="00576FA6" w:rsidRPr="00BA1372">
              <w:rPr>
                <w:lang w:eastAsia="en-AU"/>
              </w:rPr>
              <w:t xml:space="preserve"> </w:t>
            </w:r>
            <w:proofErr w:type="spellStart"/>
            <w:r w:rsidR="00576FA6" w:rsidRPr="00BA1372">
              <w:rPr>
                <w:lang w:eastAsia="en-AU"/>
              </w:rPr>
              <w:t>estradiol</w:t>
            </w:r>
            <w:proofErr w:type="spellEnd"/>
            <w:r w:rsidR="00576FA6" w:rsidRPr="00BA1372">
              <w:rPr>
                <w:lang w:eastAsia="en-AU"/>
              </w:rPr>
              <w:t xml:space="preserve"> to offset the reduction in exposure caused by the drug-drug </w:t>
            </w:r>
            <w:r w:rsidR="00576FA6" w:rsidRPr="00BA1372">
              <w:rPr>
                <w:lang w:eastAsia="en-AU"/>
              </w:rPr>
              <w:lastRenderedPageBreak/>
              <w:t>interaction.</w:t>
            </w:r>
            <w:r w:rsidR="004936B4" w:rsidRPr="00BA1372">
              <w:rPr>
                <w:lang w:eastAsia="en-AU"/>
              </w:rPr>
              <w:t xml:space="preserve"> </w:t>
            </w:r>
            <w:r w:rsidR="00576FA6" w:rsidRPr="00BA1372">
              <w:rPr>
                <w:lang w:eastAsia="en-AU"/>
              </w:rPr>
              <w:t>This advice is found in the ‘Use in Pregnancy’ and ‘Drug Interactions’ sections.</w:t>
            </w:r>
            <w:r w:rsidR="004936B4" w:rsidRPr="00BA1372">
              <w:rPr>
                <w:lang w:eastAsia="en-AU"/>
              </w:rPr>
              <w:t xml:space="preserve"> </w:t>
            </w:r>
            <w:r w:rsidR="00576FA6" w:rsidRPr="00BA1372">
              <w:rPr>
                <w:lang w:eastAsia="en-AU"/>
              </w:rPr>
              <w:t xml:space="preserve">Given its clinical importance, the prevalence of oral contraceptive use and the requirement to use effective contraception during </w:t>
            </w:r>
            <w:proofErr w:type="spellStart"/>
            <w:r w:rsidR="00576FA6" w:rsidRPr="00BA1372">
              <w:rPr>
                <w:lang w:eastAsia="en-AU"/>
              </w:rPr>
              <w:t>asunaprevir</w:t>
            </w:r>
            <w:proofErr w:type="spellEnd"/>
            <w:r w:rsidR="00576FA6" w:rsidRPr="00BA1372">
              <w:rPr>
                <w:lang w:eastAsia="en-AU"/>
              </w:rPr>
              <w:t xml:space="preserve"> combination treatment it is recommended to the Delegate that such information is included as a separate precaution in the PI.</w:t>
            </w:r>
          </w:p>
        </w:tc>
        <w:tc>
          <w:tcPr>
            <w:tcW w:w="3827" w:type="dxa"/>
          </w:tcPr>
          <w:p w:rsidR="00576FA6" w:rsidRPr="00BA1372" w:rsidRDefault="00576FA6" w:rsidP="0055797B">
            <w:pPr>
              <w:rPr>
                <w:rFonts w:eastAsia="TimesNewRoman" w:cs="TimesNewRoman"/>
                <w:i/>
                <w:lang w:eastAsia="en-AU"/>
              </w:rPr>
            </w:pPr>
            <w:r w:rsidRPr="00BA1372">
              <w:rPr>
                <w:rFonts w:eastAsia="TimesNewRoman" w:cs="TimesNewRoman"/>
                <w:i/>
                <w:lang w:eastAsia="en-AU"/>
              </w:rPr>
              <w:lastRenderedPageBreak/>
              <w:t xml:space="preserve">The RMP evaluator’s recommendation has been noted. In accordance with this request, in the </w:t>
            </w:r>
            <w:r w:rsidRPr="00BA1372">
              <w:rPr>
                <w:rFonts w:eastAsia="TimesNewRoman,Bold" w:cs="TimesNewRoman,Bold"/>
                <w:bCs/>
                <w:i/>
                <w:lang w:eastAsia="en-AU"/>
              </w:rPr>
              <w:t xml:space="preserve">PRECAUTIONS </w:t>
            </w:r>
            <w:r w:rsidRPr="00BA1372">
              <w:rPr>
                <w:rFonts w:eastAsia="TimesNewRoman" w:cs="TimesNewRoman"/>
                <w:i/>
                <w:lang w:eastAsia="en-AU"/>
              </w:rPr>
              <w:t xml:space="preserve">section of the </w:t>
            </w:r>
            <w:proofErr w:type="spellStart"/>
            <w:r w:rsidR="006A7F24" w:rsidRPr="00BA1372">
              <w:rPr>
                <w:rFonts w:eastAsia="TimesNewRoman" w:cs="TimesNewRoman"/>
                <w:i/>
                <w:lang w:eastAsia="en-AU"/>
              </w:rPr>
              <w:t>Sunvepra</w:t>
            </w:r>
            <w:proofErr w:type="spellEnd"/>
            <w:r w:rsidR="006A7F24" w:rsidRPr="00BA1372">
              <w:rPr>
                <w:rFonts w:eastAsia="TimesNewRoman" w:cs="TimesNewRoman"/>
                <w:i/>
                <w:lang w:eastAsia="en-AU"/>
              </w:rPr>
              <w:t xml:space="preserve"> </w:t>
            </w:r>
            <w:r w:rsidRPr="00BA1372">
              <w:rPr>
                <w:rFonts w:eastAsia="TimesNewRoman" w:cs="TimesNewRoman"/>
                <w:i/>
                <w:lang w:eastAsia="en-AU"/>
              </w:rPr>
              <w:t xml:space="preserve">PI, a new subsection </w:t>
            </w:r>
            <w:r w:rsidRPr="00BA1372">
              <w:rPr>
                <w:rFonts w:eastAsia="TimesNewRoman,Bold" w:cs="TimesNewRoman,Bold"/>
                <w:bCs/>
                <w:i/>
                <w:lang w:eastAsia="en-AU"/>
              </w:rPr>
              <w:t>Oral Contraceptives,</w:t>
            </w:r>
            <w:r w:rsidRPr="00BA1372">
              <w:rPr>
                <w:rFonts w:eastAsia="TimesNewRoman" w:cs="TimesNewRoman"/>
                <w:i/>
                <w:lang w:eastAsia="en-AU"/>
              </w:rPr>
              <w:t xml:space="preserve"> detailing the recommendation for dosing of oral contraceptives when administered with ASV and DCV, has been added.</w:t>
            </w:r>
          </w:p>
        </w:tc>
        <w:tc>
          <w:tcPr>
            <w:tcW w:w="1985" w:type="dxa"/>
          </w:tcPr>
          <w:p w:rsidR="00576FA6" w:rsidRPr="00BA1372" w:rsidRDefault="00576FA6" w:rsidP="0055797B">
            <w:pPr>
              <w:rPr>
                <w:lang w:eastAsia="en-AU"/>
              </w:rPr>
            </w:pPr>
            <w:r w:rsidRPr="00BA1372">
              <w:rPr>
                <w:lang w:eastAsia="en-AU"/>
              </w:rPr>
              <w:t>This is acceptable from a RMP perspective and is subject to final consideration by the Delegate.</w:t>
            </w:r>
          </w:p>
        </w:tc>
      </w:tr>
      <w:tr w:rsidR="00576FA6" w:rsidTr="0055797B">
        <w:tc>
          <w:tcPr>
            <w:tcW w:w="3085" w:type="dxa"/>
          </w:tcPr>
          <w:p w:rsidR="00576FA6" w:rsidRPr="00BA1372" w:rsidRDefault="00190D26" w:rsidP="0055797B">
            <w:pPr>
              <w:rPr>
                <w:lang w:eastAsia="en-AU"/>
              </w:rPr>
            </w:pPr>
            <w:r w:rsidRPr="00BA1372">
              <w:rPr>
                <w:lang w:eastAsia="en-AU"/>
              </w:rPr>
              <w:lastRenderedPageBreak/>
              <w:t xml:space="preserve">11. </w:t>
            </w:r>
            <w:r w:rsidR="00576FA6" w:rsidRPr="00BA1372">
              <w:rPr>
                <w:lang w:eastAsia="en-AU"/>
              </w:rPr>
              <w:t xml:space="preserve">The precaution ‘Liver Enzymes’ contains advice to monitor enzymes ‘periodically during </w:t>
            </w:r>
            <w:proofErr w:type="spellStart"/>
            <w:r w:rsidR="00576FA6" w:rsidRPr="00BA1372">
              <w:rPr>
                <w:lang w:eastAsia="en-AU"/>
              </w:rPr>
              <w:t>Sunvepra</w:t>
            </w:r>
            <w:proofErr w:type="spellEnd"/>
            <w:r w:rsidR="00576FA6" w:rsidRPr="00BA1372">
              <w:rPr>
                <w:lang w:eastAsia="en-AU"/>
              </w:rPr>
              <w:t xml:space="preserve"> therapy.</w:t>
            </w:r>
            <w:r w:rsidR="004936B4" w:rsidRPr="00BA1372">
              <w:rPr>
                <w:lang w:eastAsia="en-AU"/>
              </w:rPr>
              <w:t xml:space="preserve"> </w:t>
            </w:r>
            <w:r w:rsidR="00576FA6" w:rsidRPr="00BA1372">
              <w:rPr>
                <w:lang w:eastAsia="en-AU"/>
              </w:rPr>
              <w:t>If clinically significant elevations in ALT levels ≥ 10 x upper limit of normal (ULN) are observed, treatment should be discontinued immediately and not be resumed’.</w:t>
            </w:r>
            <w:r w:rsidR="004936B4" w:rsidRPr="00BA1372">
              <w:rPr>
                <w:lang w:eastAsia="en-AU"/>
              </w:rPr>
              <w:t xml:space="preserve"> </w:t>
            </w:r>
            <w:r w:rsidR="00576FA6" w:rsidRPr="00BA1372">
              <w:rPr>
                <w:lang w:eastAsia="en-AU"/>
              </w:rPr>
              <w:t>The sponsor should confirm which guidelines this recommendation is based on, if any.</w:t>
            </w:r>
            <w:r w:rsidR="004936B4" w:rsidRPr="00BA1372">
              <w:rPr>
                <w:lang w:eastAsia="en-AU"/>
              </w:rPr>
              <w:t xml:space="preserve"> </w:t>
            </w:r>
            <w:r w:rsidR="00576FA6" w:rsidRPr="00BA1372">
              <w:rPr>
                <w:lang w:eastAsia="en-AU"/>
              </w:rPr>
              <w:t>Furthermore it is recommended to the Delegate that this precaution be expanded to advise that if any increase is seen in liver enzymes they should be monitored closely to document resolution.</w:t>
            </w:r>
            <w:r w:rsidR="004936B4" w:rsidRPr="00BA1372">
              <w:rPr>
                <w:lang w:eastAsia="en-AU"/>
              </w:rPr>
              <w:t xml:space="preserve"> </w:t>
            </w:r>
            <w:r w:rsidR="00576FA6" w:rsidRPr="00BA1372">
              <w:rPr>
                <w:lang w:eastAsia="en-AU"/>
              </w:rPr>
              <w:t xml:space="preserve">The frequency of liver enzyme testing should be guided by clinical judgement. </w:t>
            </w:r>
          </w:p>
        </w:tc>
        <w:tc>
          <w:tcPr>
            <w:tcW w:w="3827" w:type="dxa"/>
          </w:tcPr>
          <w:p w:rsidR="00576FA6" w:rsidRPr="00BA1372" w:rsidRDefault="00576FA6" w:rsidP="0055797B">
            <w:pPr>
              <w:rPr>
                <w:rFonts w:eastAsia="TimesNewRoman" w:cs="TimesNewRoman"/>
                <w:i/>
                <w:lang w:eastAsia="en-AU"/>
              </w:rPr>
            </w:pPr>
            <w:r w:rsidRPr="00BA1372">
              <w:rPr>
                <w:rFonts w:eastAsia="TimesNewRoman" w:cs="TimesNewRoman"/>
                <w:i/>
                <w:lang w:eastAsia="en-AU"/>
              </w:rPr>
              <w:t xml:space="preserve">The </w:t>
            </w:r>
            <w:r w:rsidR="006A7F24" w:rsidRPr="00BA1372">
              <w:rPr>
                <w:rFonts w:eastAsia="TimesNewRoman" w:cs="TimesNewRoman"/>
                <w:i/>
                <w:lang w:eastAsia="en-AU"/>
              </w:rPr>
              <w:t>s</w:t>
            </w:r>
            <w:r w:rsidRPr="00BA1372">
              <w:rPr>
                <w:rFonts w:eastAsia="TimesNewRoman" w:cs="TimesNewRoman"/>
                <w:i/>
                <w:lang w:eastAsia="en-AU"/>
              </w:rPr>
              <w:t xml:space="preserve">ponsor has completed hepatic safety analyses of data from regimens that include ASV in </w:t>
            </w:r>
            <w:r w:rsidR="006A7F24" w:rsidRPr="00BA1372">
              <w:rPr>
                <w:rFonts w:eastAsia="TimesNewRoman" w:cs="TimesNewRoman"/>
                <w:i/>
                <w:lang w:eastAsia="en-AU"/>
              </w:rPr>
              <w:t>S</w:t>
            </w:r>
            <w:r w:rsidRPr="00BA1372">
              <w:rPr>
                <w:rFonts w:eastAsia="TimesNewRoman" w:cs="TimesNewRoman"/>
                <w:i/>
                <w:lang w:eastAsia="en-AU"/>
              </w:rPr>
              <w:t xml:space="preserve">tudies in the BMS HCV DAA clinical development program evaluating the regimens that include ASV. The overview of these analyses is provided in </w:t>
            </w:r>
            <w:r w:rsidRPr="00BA1372">
              <w:rPr>
                <w:rFonts w:eastAsia="TimesNewRoman,Italic" w:cs="TimesNewRoman,Italic"/>
                <w:i/>
                <w:iCs/>
                <w:lang w:eastAsia="en-AU"/>
              </w:rPr>
              <w:t>Module 5.3.5.3 - Overview of</w:t>
            </w:r>
            <w:r w:rsidRPr="00BA1372">
              <w:rPr>
                <w:rFonts w:eastAsia="TimesNewRoman" w:cs="TimesNewRoman"/>
                <w:i/>
                <w:lang w:eastAsia="en-AU"/>
              </w:rPr>
              <w:t xml:space="preserve"> </w:t>
            </w:r>
            <w:r w:rsidRPr="00BA1372">
              <w:rPr>
                <w:rFonts w:eastAsia="TimesNewRoman,Italic" w:cs="TimesNewRoman,Italic"/>
                <w:i/>
                <w:iCs/>
                <w:lang w:eastAsia="en-AU"/>
              </w:rPr>
              <w:t xml:space="preserve">Hepatic Safety </w:t>
            </w:r>
            <w:r w:rsidRPr="00BA1372">
              <w:rPr>
                <w:rFonts w:eastAsia="TimesNewRoman" w:cs="TimesNewRoman"/>
                <w:i/>
                <w:lang w:eastAsia="en-AU"/>
              </w:rPr>
              <w:t>(DCN 930085333).</w:t>
            </w:r>
          </w:p>
          <w:p w:rsidR="00576FA6" w:rsidRPr="00BA1372" w:rsidRDefault="00576FA6" w:rsidP="0055797B">
            <w:pPr>
              <w:rPr>
                <w:rFonts w:eastAsia="TimesNewRoman" w:cs="TimesNewRoman"/>
                <w:i/>
                <w:lang w:eastAsia="en-AU"/>
              </w:rPr>
            </w:pPr>
            <w:r w:rsidRPr="00BA1372">
              <w:rPr>
                <w:rFonts w:eastAsia="TimesNewRoman" w:cs="TimesNewRoman"/>
                <w:i/>
                <w:lang w:eastAsia="en-AU"/>
              </w:rPr>
              <w:t xml:space="preserve">Based on these analyses, labelling recommendations are proposed for monitoring of liver enzymes. The </w:t>
            </w:r>
            <w:proofErr w:type="spellStart"/>
            <w:r w:rsidR="006A7F24" w:rsidRPr="00BA1372">
              <w:rPr>
                <w:rFonts w:eastAsia="TimesNewRoman" w:cs="TimesNewRoman"/>
                <w:i/>
                <w:lang w:eastAsia="en-AU"/>
              </w:rPr>
              <w:t>Sunvepra</w:t>
            </w:r>
            <w:proofErr w:type="spellEnd"/>
            <w:r w:rsidR="006A7F24" w:rsidRPr="00BA1372">
              <w:rPr>
                <w:rFonts w:eastAsia="TimesNewRoman" w:cs="TimesNewRoman"/>
                <w:i/>
                <w:lang w:eastAsia="en-AU"/>
              </w:rPr>
              <w:t xml:space="preserve"> </w:t>
            </w:r>
            <w:r w:rsidRPr="00BA1372">
              <w:rPr>
                <w:rFonts w:eastAsia="TimesNewRoman" w:cs="TimesNewRoman"/>
                <w:i/>
                <w:lang w:eastAsia="en-AU"/>
              </w:rPr>
              <w:t>PI provided along with this response has been revised to include the updated monitoring recommendations.</w:t>
            </w:r>
          </w:p>
          <w:p w:rsidR="00576FA6" w:rsidRPr="00BA1372" w:rsidRDefault="00576FA6" w:rsidP="0055797B">
            <w:pPr>
              <w:rPr>
                <w:rFonts w:eastAsia="TimesNewRoman" w:cs="TimesNewRoman"/>
                <w:lang w:eastAsia="en-AU"/>
              </w:rPr>
            </w:pPr>
            <w:r w:rsidRPr="00BA1372">
              <w:rPr>
                <w:rFonts w:eastAsia="TimesNewRoman" w:cs="TimesNewRoman"/>
                <w:i/>
                <w:lang w:eastAsia="en-AU"/>
              </w:rPr>
              <w:t xml:space="preserve">The updated </w:t>
            </w:r>
            <w:proofErr w:type="spellStart"/>
            <w:r w:rsidR="006A7F24" w:rsidRPr="00BA1372">
              <w:rPr>
                <w:rFonts w:eastAsia="TimesNewRoman" w:cs="TimesNewRoman"/>
                <w:i/>
                <w:lang w:eastAsia="en-AU"/>
              </w:rPr>
              <w:t>Sunvepra</w:t>
            </w:r>
            <w:proofErr w:type="spellEnd"/>
            <w:r w:rsidR="006A7F24" w:rsidRPr="00BA1372">
              <w:rPr>
                <w:rFonts w:eastAsia="TimesNewRoman" w:cs="TimesNewRoman"/>
                <w:i/>
                <w:lang w:eastAsia="en-AU"/>
              </w:rPr>
              <w:t xml:space="preserve"> </w:t>
            </w:r>
            <w:r w:rsidRPr="00BA1372">
              <w:rPr>
                <w:rFonts w:eastAsia="TimesNewRoman" w:cs="TimesNewRoman"/>
                <w:i/>
                <w:lang w:eastAsia="en-AU"/>
              </w:rPr>
              <w:t>PI is provided (clean copy and changes highlighted).</w:t>
            </w:r>
          </w:p>
        </w:tc>
        <w:tc>
          <w:tcPr>
            <w:tcW w:w="1985" w:type="dxa"/>
          </w:tcPr>
          <w:p w:rsidR="00576FA6" w:rsidRPr="00BA1372" w:rsidRDefault="00576FA6" w:rsidP="0055797B">
            <w:pPr>
              <w:rPr>
                <w:lang w:eastAsia="en-AU"/>
              </w:rPr>
            </w:pPr>
            <w:r w:rsidRPr="00BA1372">
              <w:rPr>
                <w:lang w:eastAsia="en-AU"/>
              </w:rPr>
              <w:t>The evaluator notes the changes, which are subject to final consideration by the Delegate.</w:t>
            </w:r>
          </w:p>
        </w:tc>
      </w:tr>
      <w:tr w:rsidR="00576FA6" w:rsidTr="0055797B">
        <w:tc>
          <w:tcPr>
            <w:tcW w:w="3085" w:type="dxa"/>
          </w:tcPr>
          <w:p w:rsidR="00576FA6" w:rsidRPr="00BA1372" w:rsidRDefault="00190D26" w:rsidP="0055797B">
            <w:pPr>
              <w:rPr>
                <w:lang w:eastAsia="en-AU"/>
              </w:rPr>
            </w:pPr>
            <w:r w:rsidRPr="00BA1372">
              <w:rPr>
                <w:lang w:eastAsia="en-AU"/>
              </w:rPr>
              <w:t xml:space="preserve">12. </w:t>
            </w:r>
            <w:r w:rsidR="00576FA6" w:rsidRPr="00BA1372">
              <w:rPr>
                <w:lang w:eastAsia="en-AU"/>
              </w:rPr>
              <w:t xml:space="preserve">Given the prevalence of HBV and/or HIV co-infection with HCV the PI should contain a specific </w:t>
            </w:r>
            <w:r w:rsidR="00576FA6" w:rsidRPr="00BA1372">
              <w:rPr>
                <w:lang w:eastAsia="en-AU"/>
              </w:rPr>
              <w:lastRenderedPageBreak/>
              <w:t xml:space="preserve">precaution providing information that the safety and efficacy of </w:t>
            </w:r>
            <w:proofErr w:type="spellStart"/>
            <w:r w:rsidR="00576FA6" w:rsidRPr="00BA1372">
              <w:rPr>
                <w:lang w:eastAsia="en-AU"/>
              </w:rPr>
              <w:t>asunaprevir</w:t>
            </w:r>
            <w:proofErr w:type="spellEnd"/>
            <w:r w:rsidR="00576FA6" w:rsidRPr="00BA1372">
              <w:rPr>
                <w:lang w:eastAsia="en-AU"/>
              </w:rPr>
              <w:t xml:space="preserve"> have not been established in HCV patients co-infected with HBV and/or HIV.</w:t>
            </w:r>
          </w:p>
        </w:tc>
        <w:tc>
          <w:tcPr>
            <w:tcW w:w="3827" w:type="dxa"/>
          </w:tcPr>
          <w:p w:rsidR="00576FA6" w:rsidRPr="00BA1372" w:rsidRDefault="006A7F24" w:rsidP="0055797B">
            <w:pPr>
              <w:rPr>
                <w:rFonts w:eastAsia="TimesNewRoman" w:cs="TimesNewRoman"/>
                <w:i/>
                <w:lang w:eastAsia="en-AU"/>
              </w:rPr>
            </w:pPr>
            <w:r w:rsidRPr="00BA1372">
              <w:rPr>
                <w:rFonts w:eastAsia="TimesNewRoman" w:cs="TimesNewRoman"/>
                <w:i/>
                <w:lang w:eastAsia="en-AU"/>
              </w:rPr>
              <w:lastRenderedPageBreak/>
              <w:t>The sponsor</w:t>
            </w:r>
            <w:r w:rsidR="00576FA6" w:rsidRPr="00BA1372">
              <w:rPr>
                <w:rFonts w:eastAsia="TimesNewRoman" w:cs="TimesNewRoman"/>
                <w:i/>
                <w:lang w:eastAsia="en-AU"/>
              </w:rPr>
              <w:t xml:space="preserve"> agrees to add the following subsection to the </w:t>
            </w:r>
            <w:r w:rsidR="00576FA6" w:rsidRPr="00BA1372">
              <w:rPr>
                <w:rFonts w:eastAsia="TimesNewRoman,Bold" w:cs="TimesNewRoman,Bold"/>
                <w:bCs/>
                <w:i/>
                <w:lang w:eastAsia="en-AU"/>
              </w:rPr>
              <w:t xml:space="preserve">PRECAUTIONS </w:t>
            </w:r>
            <w:r w:rsidR="00576FA6" w:rsidRPr="00BA1372">
              <w:rPr>
                <w:rFonts w:eastAsia="TimesNewRoman" w:cs="TimesNewRoman"/>
                <w:i/>
                <w:lang w:eastAsia="en-AU"/>
              </w:rPr>
              <w:t xml:space="preserve">section of the proposed PI for </w:t>
            </w:r>
            <w:proofErr w:type="spellStart"/>
            <w:r w:rsidRPr="00BA1372">
              <w:rPr>
                <w:rFonts w:eastAsia="TimesNewRoman" w:cs="TimesNewRoman"/>
                <w:i/>
                <w:lang w:eastAsia="en-AU"/>
              </w:rPr>
              <w:t>Sunvepra</w:t>
            </w:r>
            <w:proofErr w:type="spellEnd"/>
            <w:r w:rsidR="00576FA6" w:rsidRPr="00BA1372">
              <w:rPr>
                <w:rFonts w:eastAsia="TimesNewRoman" w:cs="TimesNewRoman"/>
                <w:i/>
                <w:lang w:eastAsia="en-AU"/>
              </w:rPr>
              <w:t>:</w:t>
            </w:r>
          </w:p>
          <w:p w:rsidR="00576FA6" w:rsidRPr="00BA1372" w:rsidRDefault="00576FA6" w:rsidP="0055797B">
            <w:pPr>
              <w:rPr>
                <w:rFonts w:eastAsia="TimesNewRoman,Bold" w:cs="TimesNewRoman,Bold"/>
                <w:bCs/>
                <w:i/>
                <w:u w:val="single"/>
                <w:lang w:eastAsia="en-AU"/>
              </w:rPr>
            </w:pPr>
            <w:r w:rsidRPr="00BA1372">
              <w:rPr>
                <w:rFonts w:eastAsia="TimesNewRoman,Bold" w:cs="TimesNewRoman,Bold"/>
                <w:bCs/>
                <w:i/>
                <w:u w:val="single"/>
                <w:lang w:eastAsia="en-AU"/>
              </w:rPr>
              <w:lastRenderedPageBreak/>
              <w:t>Co-infection with Human Immunodeficiency Virus (HIV) or Hepatitis B Virus (HBV)</w:t>
            </w:r>
          </w:p>
          <w:p w:rsidR="00576FA6" w:rsidRPr="00BA1372" w:rsidRDefault="00576FA6" w:rsidP="0055797B">
            <w:pPr>
              <w:rPr>
                <w:rFonts w:eastAsia="TimesNewRoman" w:cs="TimesNewRoman"/>
                <w:lang w:eastAsia="en-AU"/>
              </w:rPr>
            </w:pPr>
            <w:r w:rsidRPr="00BA1372">
              <w:rPr>
                <w:rFonts w:eastAsia="TimesNewRoman" w:cs="TimesNewRoman"/>
                <w:i/>
                <w:lang w:eastAsia="en-AU"/>
              </w:rPr>
              <w:t>The safety and efficacy of SUNVEPRA in the treatment of chronic HCV infection in patients who are co-infected with HIV or HBV have not been established.</w:t>
            </w:r>
          </w:p>
        </w:tc>
        <w:tc>
          <w:tcPr>
            <w:tcW w:w="1985" w:type="dxa"/>
          </w:tcPr>
          <w:p w:rsidR="00576FA6" w:rsidRPr="00BA1372" w:rsidRDefault="00576FA6" w:rsidP="0055797B">
            <w:pPr>
              <w:rPr>
                <w:lang w:eastAsia="en-AU"/>
              </w:rPr>
            </w:pPr>
            <w:r w:rsidRPr="00BA1372">
              <w:rPr>
                <w:lang w:eastAsia="en-AU"/>
              </w:rPr>
              <w:lastRenderedPageBreak/>
              <w:t xml:space="preserve">This is acceptable from a RMP perspective </w:t>
            </w:r>
            <w:r w:rsidRPr="00BA1372">
              <w:rPr>
                <w:lang w:eastAsia="en-AU"/>
              </w:rPr>
              <w:lastRenderedPageBreak/>
              <w:t>and is subject to final consideration by the Delegate.</w:t>
            </w:r>
          </w:p>
        </w:tc>
      </w:tr>
      <w:tr w:rsidR="00576FA6" w:rsidTr="0055797B">
        <w:tc>
          <w:tcPr>
            <w:tcW w:w="3085" w:type="dxa"/>
          </w:tcPr>
          <w:p w:rsidR="00576FA6" w:rsidRPr="00BA1372" w:rsidRDefault="00190D26" w:rsidP="0055797B">
            <w:pPr>
              <w:rPr>
                <w:lang w:eastAsia="en-AU"/>
              </w:rPr>
            </w:pPr>
            <w:r w:rsidRPr="00BA1372">
              <w:rPr>
                <w:lang w:eastAsia="en-AU"/>
              </w:rPr>
              <w:lastRenderedPageBreak/>
              <w:t xml:space="preserve">13. </w:t>
            </w:r>
            <w:r w:rsidR="00576FA6" w:rsidRPr="00BA1372">
              <w:rPr>
                <w:lang w:eastAsia="en-AU"/>
              </w:rPr>
              <w:t xml:space="preserve">For clarity the precaution ‘Liver Transplant Patients’ should align with the information in table 5.1-1 of the CCRMP that ‘the safety and efficacy of </w:t>
            </w:r>
            <w:proofErr w:type="spellStart"/>
            <w:r w:rsidR="00576FA6" w:rsidRPr="00BA1372">
              <w:rPr>
                <w:lang w:eastAsia="en-AU"/>
              </w:rPr>
              <w:t>asunaprevir</w:t>
            </w:r>
            <w:proofErr w:type="spellEnd"/>
            <w:r w:rsidR="00576FA6" w:rsidRPr="00BA1372">
              <w:rPr>
                <w:lang w:eastAsia="en-AU"/>
              </w:rPr>
              <w:t xml:space="preserve"> in the treatment of chronic HCV in patients who are pre-, peri-, or post-liver transplant have not been established’.</w:t>
            </w:r>
          </w:p>
        </w:tc>
        <w:tc>
          <w:tcPr>
            <w:tcW w:w="3827" w:type="dxa"/>
          </w:tcPr>
          <w:p w:rsidR="00576FA6" w:rsidRPr="00BA1372" w:rsidRDefault="006A7F24" w:rsidP="0055797B">
            <w:pPr>
              <w:rPr>
                <w:lang w:eastAsia="en-AU"/>
              </w:rPr>
            </w:pPr>
            <w:r w:rsidRPr="00BA1372">
              <w:rPr>
                <w:rFonts w:eastAsia="TimesNewRoman" w:cs="TimesNewRoman"/>
                <w:i/>
                <w:lang w:eastAsia="en-AU"/>
              </w:rPr>
              <w:t>The sponsor</w:t>
            </w:r>
            <w:r w:rsidR="00576FA6" w:rsidRPr="00BA1372">
              <w:rPr>
                <w:rFonts w:eastAsia="TimesNewRoman" w:cs="TimesNewRoman"/>
                <w:i/>
                <w:lang w:eastAsia="en-AU"/>
              </w:rPr>
              <w:t xml:space="preserve"> agrees to revise the subsection of </w:t>
            </w:r>
            <w:r w:rsidR="00576FA6" w:rsidRPr="00BA1372">
              <w:rPr>
                <w:rFonts w:eastAsia="TimesNewRoman,Bold" w:cs="TimesNewRoman,Bold"/>
                <w:bCs/>
                <w:i/>
                <w:lang w:eastAsia="en-AU"/>
              </w:rPr>
              <w:t xml:space="preserve">PRECAUTIONS </w:t>
            </w:r>
            <w:r w:rsidR="00576FA6" w:rsidRPr="00BA1372">
              <w:rPr>
                <w:rFonts w:eastAsia="TimesNewRoman" w:cs="TimesNewRoman"/>
                <w:i/>
                <w:lang w:eastAsia="en-AU"/>
              </w:rPr>
              <w:t xml:space="preserve">titled </w:t>
            </w:r>
            <w:r w:rsidRPr="00BA1372">
              <w:rPr>
                <w:rFonts w:eastAsia="TimesNewRoman" w:cs="TimesNewRoman"/>
                <w:i/>
                <w:lang w:eastAsia="en-AU"/>
              </w:rPr>
              <w:t>‘</w:t>
            </w:r>
            <w:r w:rsidR="00576FA6" w:rsidRPr="00BA1372">
              <w:rPr>
                <w:rFonts w:eastAsia="TimesNewRoman" w:cs="TimesNewRoman"/>
                <w:i/>
                <w:lang w:eastAsia="en-AU"/>
              </w:rPr>
              <w:t>Liver Transplant Patients</w:t>
            </w:r>
            <w:r w:rsidRPr="00BA1372">
              <w:rPr>
                <w:rFonts w:eastAsia="TimesNewRoman" w:cs="TimesNewRoman"/>
                <w:i/>
                <w:lang w:eastAsia="en-AU"/>
              </w:rPr>
              <w:t>’</w:t>
            </w:r>
            <w:r w:rsidR="00576FA6" w:rsidRPr="00BA1372">
              <w:rPr>
                <w:rFonts w:eastAsia="TimesNewRoman" w:cs="TimesNewRoman"/>
                <w:i/>
                <w:lang w:eastAsia="en-AU"/>
              </w:rPr>
              <w:t xml:space="preserve"> in the proposed PI to align with Table 5.1-1 of the ASV CCRMP.</w:t>
            </w:r>
          </w:p>
        </w:tc>
        <w:tc>
          <w:tcPr>
            <w:tcW w:w="1985" w:type="dxa"/>
          </w:tcPr>
          <w:p w:rsidR="00576FA6" w:rsidRPr="00BA1372" w:rsidRDefault="00576FA6" w:rsidP="0055797B">
            <w:pPr>
              <w:rPr>
                <w:lang w:eastAsia="en-AU"/>
              </w:rPr>
            </w:pPr>
            <w:r w:rsidRPr="00BA1372">
              <w:rPr>
                <w:lang w:eastAsia="en-AU"/>
              </w:rPr>
              <w:t>This is acceptable from a RMP perspective and is subject to final consideration by the Delegate.</w:t>
            </w:r>
          </w:p>
        </w:tc>
      </w:tr>
      <w:tr w:rsidR="00576FA6" w:rsidTr="0055797B">
        <w:tc>
          <w:tcPr>
            <w:tcW w:w="3085" w:type="dxa"/>
          </w:tcPr>
          <w:p w:rsidR="00576FA6" w:rsidRPr="00BA1372" w:rsidRDefault="00190D26" w:rsidP="0055797B">
            <w:pPr>
              <w:rPr>
                <w:lang w:eastAsia="en-AU"/>
              </w:rPr>
            </w:pPr>
            <w:r w:rsidRPr="00BA1372">
              <w:rPr>
                <w:lang w:eastAsia="en-AU"/>
              </w:rPr>
              <w:t xml:space="preserve">14. </w:t>
            </w:r>
            <w:r w:rsidR="00576FA6" w:rsidRPr="00BA1372">
              <w:rPr>
                <w:lang w:eastAsia="en-AU"/>
              </w:rPr>
              <w:t xml:space="preserve">Any changes to PI statements as a result of the evaluation process should be updated accordingly in ASA </w:t>
            </w:r>
            <w:r w:rsidR="006A7F24" w:rsidRPr="00BA1372">
              <w:rPr>
                <w:lang w:eastAsia="en-AU"/>
              </w:rPr>
              <w:t>T</w:t>
            </w:r>
            <w:r w:rsidR="00576FA6" w:rsidRPr="00BA1372">
              <w:rPr>
                <w:lang w:eastAsia="en-AU"/>
              </w:rPr>
              <w:t>able 4-1.</w:t>
            </w:r>
          </w:p>
        </w:tc>
        <w:tc>
          <w:tcPr>
            <w:tcW w:w="3827" w:type="dxa"/>
          </w:tcPr>
          <w:p w:rsidR="00576FA6" w:rsidRPr="00BA1372" w:rsidRDefault="00576FA6" w:rsidP="0055797B">
            <w:pPr>
              <w:rPr>
                <w:i/>
                <w:lang w:eastAsia="en-AU"/>
              </w:rPr>
            </w:pPr>
            <w:r w:rsidRPr="00BA1372">
              <w:rPr>
                <w:rFonts w:eastAsia="TimesNewRoman" w:cs="TimesNewRoman"/>
                <w:i/>
                <w:lang w:eastAsia="en-AU"/>
              </w:rPr>
              <w:t xml:space="preserve">The </w:t>
            </w:r>
            <w:r w:rsidR="00C95499" w:rsidRPr="00BA1372">
              <w:rPr>
                <w:rFonts w:eastAsia="TimesNewRoman" w:cs="TimesNewRoman"/>
                <w:i/>
                <w:lang w:eastAsia="en-AU"/>
              </w:rPr>
              <w:t>s</w:t>
            </w:r>
            <w:r w:rsidRPr="00BA1372">
              <w:rPr>
                <w:rFonts w:eastAsia="TimesNewRoman" w:cs="TimesNewRoman"/>
                <w:i/>
                <w:lang w:eastAsia="en-AU"/>
              </w:rPr>
              <w:t>ponsor will update Table 4-1 in the ASA v2.0 to reflect changes in the proposed PI.</w:t>
            </w:r>
          </w:p>
        </w:tc>
        <w:tc>
          <w:tcPr>
            <w:tcW w:w="1985" w:type="dxa"/>
          </w:tcPr>
          <w:p w:rsidR="00576FA6" w:rsidRPr="00BA1372" w:rsidRDefault="00576FA6" w:rsidP="0055797B">
            <w:pPr>
              <w:rPr>
                <w:lang w:eastAsia="en-AU"/>
              </w:rPr>
            </w:pPr>
            <w:r w:rsidRPr="00BA1372">
              <w:rPr>
                <w:lang w:eastAsia="en-AU"/>
              </w:rPr>
              <w:t>This is acceptable.</w:t>
            </w:r>
          </w:p>
        </w:tc>
      </w:tr>
      <w:tr w:rsidR="00576FA6" w:rsidTr="0055797B">
        <w:tc>
          <w:tcPr>
            <w:tcW w:w="3085" w:type="dxa"/>
          </w:tcPr>
          <w:p w:rsidR="00576FA6" w:rsidRPr="00BA1372" w:rsidRDefault="00190D26" w:rsidP="0055797B">
            <w:pPr>
              <w:rPr>
                <w:lang w:eastAsia="en-AU"/>
              </w:rPr>
            </w:pPr>
            <w:r w:rsidRPr="00BA1372">
              <w:rPr>
                <w:lang w:eastAsia="en-AU"/>
              </w:rPr>
              <w:t xml:space="preserve">15. </w:t>
            </w:r>
            <w:r w:rsidR="00576FA6" w:rsidRPr="00BA1372">
              <w:rPr>
                <w:lang w:eastAsia="en-AU"/>
              </w:rPr>
              <w:t xml:space="preserve">In regard to the proposed routine risk minimisation activities, it is recommended to the Delegate that the draft consumer medicine information </w:t>
            </w:r>
            <w:r w:rsidR="006A7F24" w:rsidRPr="00BA1372">
              <w:rPr>
                <w:lang w:eastAsia="en-AU"/>
              </w:rPr>
              <w:t xml:space="preserve">(CMI) </w:t>
            </w:r>
            <w:r w:rsidR="00576FA6" w:rsidRPr="00BA1372">
              <w:rPr>
                <w:lang w:eastAsia="en-AU"/>
              </w:rPr>
              <w:t>document be revised as necessary to reflect changes made to the PI during the evaluation process.</w:t>
            </w:r>
          </w:p>
        </w:tc>
        <w:tc>
          <w:tcPr>
            <w:tcW w:w="3827" w:type="dxa"/>
          </w:tcPr>
          <w:p w:rsidR="00576FA6" w:rsidRPr="00BA1372" w:rsidRDefault="00576FA6" w:rsidP="0055797B">
            <w:pPr>
              <w:rPr>
                <w:rFonts w:eastAsia="TimesNewRoman" w:cs="TimesNewRoman"/>
                <w:i/>
                <w:lang w:eastAsia="en-AU"/>
              </w:rPr>
            </w:pPr>
            <w:r w:rsidRPr="00BA1372">
              <w:rPr>
                <w:rFonts w:eastAsia="TimesNewRoman" w:cs="TimesNewRoman"/>
                <w:i/>
                <w:lang w:eastAsia="en-AU"/>
              </w:rPr>
              <w:t xml:space="preserve">The </w:t>
            </w:r>
            <w:r w:rsidR="006A7F24" w:rsidRPr="00BA1372">
              <w:rPr>
                <w:rFonts w:eastAsia="TimesNewRoman" w:cs="TimesNewRoman"/>
                <w:i/>
                <w:lang w:eastAsia="en-AU"/>
              </w:rPr>
              <w:t>s</w:t>
            </w:r>
            <w:r w:rsidRPr="00BA1372">
              <w:rPr>
                <w:rFonts w:eastAsia="TimesNewRoman" w:cs="TimesNewRoman"/>
                <w:i/>
                <w:lang w:eastAsia="en-AU"/>
              </w:rPr>
              <w:t>ponsor notes the evaluator’s comments that the Consumer Medicine Information (CMI) be updated to reflect changes made to the PI.</w:t>
            </w:r>
          </w:p>
          <w:p w:rsidR="00576FA6" w:rsidRPr="00BA1372" w:rsidRDefault="00576FA6" w:rsidP="0055797B">
            <w:pPr>
              <w:rPr>
                <w:rFonts w:eastAsia="TimesNewRoman" w:cs="TimesNewRoman"/>
                <w:i/>
                <w:lang w:eastAsia="en-AU"/>
              </w:rPr>
            </w:pPr>
            <w:r w:rsidRPr="00BA1372">
              <w:rPr>
                <w:rFonts w:eastAsia="TimesNewRoman" w:cs="TimesNewRoman"/>
                <w:i/>
                <w:lang w:eastAsia="en-AU"/>
              </w:rPr>
              <w:t xml:space="preserve">Based on the </w:t>
            </w:r>
            <w:proofErr w:type="spellStart"/>
            <w:r w:rsidR="006A7F24" w:rsidRPr="00BA1372">
              <w:rPr>
                <w:rFonts w:eastAsia="TimesNewRoman" w:cs="TimesNewRoman"/>
                <w:i/>
                <w:lang w:eastAsia="en-AU"/>
              </w:rPr>
              <w:t>Sunvepra</w:t>
            </w:r>
            <w:proofErr w:type="spellEnd"/>
            <w:r w:rsidR="006A7F24" w:rsidRPr="00BA1372">
              <w:rPr>
                <w:rFonts w:eastAsia="TimesNewRoman" w:cs="TimesNewRoman"/>
                <w:i/>
                <w:lang w:eastAsia="en-AU"/>
              </w:rPr>
              <w:t xml:space="preserve"> </w:t>
            </w:r>
            <w:r w:rsidRPr="00BA1372">
              <w:rPr>
                <w:rFonts w:eastAsia="TimesNewRoman" w:cs="TimesNewRoman"/>
                <w:i/>
                <w:lang w:eastAsia="en-AU"/>
              </w:rPr>
              <w:t xml:space="preserve">PI updates proposed in this response, the </w:t>
            </w:r>
            <w:proofErr w:type="spellStart"/>
            <w:r w:rsidR="006A7F24" w:rsidRPr="00BA1372">
              <w:rPr>
                <w:rFonts w:eastAsia="TimesNewRoman" w:cs="TimesNewRoman"/>
                <w:i/>
                <w:lang w:eastAsia="en-AU"/>
              </w:rPr>
              <w:t>Sunvepra</w:t>
            </w:r>
            <w:proofErr w:type="spellEnd"/>
            <w:r w:rsidR="006A7F24" w:rsidRPr="00BA1372">
              <w:rPr>
                <w:rFonts w:eastAsia="TimesNewRoman" w:cs="TimesNewRoman"/>
                <w:i/>
                <w:lang w:eastAsia="en-AU"/>
              </w:rPr>
              <w:t xml:space="preserve"> </w:t>
            </w:r>
            <w:r w:rsidRPr="00BA1372">
              <w:rPr>
                <w:rFonts w:eastAsia="TimesNewRoman" w:cs="TimesNewRoman"/>
                <w:i/>
                <w:lang w:eastAsia="en-AU"/>
              </w:rPr>
              <w:t>CMI has been updated accordingly.</w:t>
            </w:r>
          </w:p>
          <w:p w:rsidR="00576FA6" w:rsidRPr="00BA1372" w:rsidRDefault="00576FA6" w:rsidP="0055797B">
            <w:pPr>
              <w:rPr>
                <w:rFonts w:eastAsia="TimesNewRoman,Italic" w:cs="TimesNewRoman,Italic"/>
                <w:i/>
                <w:iCs/>
                <w:lang w:eastAsia="en-AU"/>
              </w:rPr>
            </w:pPr>
            <w:r w:rsidRPr="00BA1372">
              <w:rPr>
                <w:rFonts w:eastAsia="TimesNewRoman" w:cs="TimesNewRoman"/>
                <w:i/>
                <w:lang w:eastAsia="en-AU"/>
              </w:rPr>
              <w:t xml:space="preserve">The updated </w:t>
            </w:r>
            <w:proofErr w:type="spellStart"/>
            <w:r w:rsidR="006A7F24" w:rsidRPr="00BA1372">
              <w:rPr>
                <w:rFonts w:eastAsia="TimesNewRoman" w:cs="TimesNewRoman"/>
                <w:i/>
                <w:lang w:eastAsia="en-AU"/>
              </w:rPr>
              <w:t>Sunvepra</w:t>
            </w:r>
            <w:proofErr w:type="spellEnd"/>
            <w:r w:rsidR="006A7F24" w:rsidRPr="00BA1372">
              <w:rPr>
                <w:rFonts w:eastAsia="TimesNewRoman" w:cs="TimesNewRoman"/>
                <w:i/>
                <w:lang w:eastAsia="en-AU"/>
              </w:rPr>
              <w:t xml:space="preserve"> </w:t>
            </w:r>
            <w:r w:rsidRPr="00BA1372">
              <w:rPr>
                <w:rFonts w:eastAsia="TimesNewRoman" w:cs="TimesNewRoman"/>
                <w:i/>
                <w:lang w:eastAsia="en-AU"/>
              </w:rPr>
              <w:t>CMI is provided (clean copy and changes highlighted).</w:t>
            </w:r>
          </w:p>
        </w:tc>
        <w:tc>
          <w:tcPr>
            <w:tcW w:w="1985" w:type="dxa"/>
          </w:tcPr>
          <w:p w:rsidR="00576FA6" w:rsidRPr="00BA1372" w:rsidRDefault="00576FA6" w:rsidP="0055797B">
            <w:pPr>
              <w:rPr>
                <w:lang w:eastAsia="en-AU"/>
              </w:rPr>
            </w:pPr>
            <w:r w:rsidRPr="00BA1372">
              <w:rPr>
                <w:lang w:eastAsia="en-AU"/>
              </w:rPr>
              <w:t>This is acceptable.</w:t>
            </w:r>
          </w:p>
        </w:tc>
      </w:tr>
    </w:tbl>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190D26" w:rsidRDefault="00190D26" w:rsidP="006A7F24">
      <w:r>
        <w:t xml:space="preserve">It is considered that the sponsor’s response to the TGA </w:t>
      </w:r>
      <w:r w:rsidR="006A7F24">
        <w:t>r</w:t>
      </w:r>
      <w:r>
        <w:t xml:space="preserve">equest </w:t>
      </w:r>
      <w:r w:rsidR="006A7F24">
        <w:t xml:space="preserve">for further information </w:t>
      </w:r>
      <w:r>
        <w:t>has adequately addressed all of the issues identified in the RMP evaluation report.</w:t>
      </w:r>
      <w:r w:rsidR="004936B4">
        <w:t xml:space="preserve"> </w:t>
      </w:r>
      <w:r>
        <w:t>However there is an additional recommendation based on the sponsor’s response (see below).</w:t>
      </w:r>
    </w:p>
    <w:p w:rsidR="00190D26" w:rsidRDefault="00190D26" w:rsidP="006A7F24">
      <w:pPr>
        <w:pStyle w:val="Heading5"/>
      </w:pPr>
      <w:r>
        <w:lastRenderedPageBreak/>
        <w:t>Outstanding issues</w:t>
      </w:r>
    </w:p>
    <w:p w:rsidR="00190D26" w:rsidRDefault="00190D26" w:rsidP="006A7F24">
      <w:pPr>
        <w:pStyle w:val="Heading6"/>
        <w:rPr>
          <w:sz w:val="24"/>
          <w:szCs w:val="24"/>
        </w:rPr>
      </w:pPr>
      <w:r>
        <w:t>Issues in relation to the RMP evaluation report</w:t>
      </w:r>
    </w:p>
    <w:p w:rsidR="00190D26" w:rsidRDefault="00190D26" w:rsidP="006A7F24">
      <w:r>
        <w:t>There are no outstanding issues in relation to the RMP evaluation report for this submission.</w:t>
      </w:r>
    </w:p>
    <w:p w:rsidR="00C60B78" w:rsidRDefault="00190D26" w:rsidP="006A7F24">
      <w:pPr>
        <w:pStyle w:val="Heading6"/>
      </w:pPr>
      <w:r>
        <w:t>Additional recommendation based on the sponsor’s response</w:t>
      </w:r>
    </w:p>
    <w:p w:rsidR="00190D26" w:rsidRDefault="006A7F24" w:rsidP="006A7F24">
      <w:r>
        <w:t>According to T</w:t>
      </w:r>
      <w:r w:rsidR="00190D26">
        <w:t xml:space="preserve">able 4-1 in the revised Australia Specific </w:t>
      </w:r>
      <w:proofErr w:type="gramStart"/>
      <w:r w:rsidR="00190D26">
        <w:t>Annex</w:t>
      </w:r>
      <w:proofErr w:type="gramEnd"/>
      <w:r w:rsidR="00190D26">
        <w:t xml:space="preserve"> (version 2), the following PI precaution is proposed for the new item of missing information ‘Patients who failed prior treatment with NS3 protease inhibitors’:</w:t>
      </w:r>
      <w:r w:rsidR="004936B4">
        <w:t xml:space="preserve"> </w:t>
      </w:r>
      <w:r>
        <w:t>‘</w:t>
      </w:r>
      <w:r w:rsidR="00190D26">
        <w:rPr>
          <w:i/>
        </w:rPr>
        <w:t>SUNVEPRA has not been studied in patients who have previously failed therapy with a treatment regimen that includes SUNVEPRA or other HCV NS3/4A protease inhibitors</w:t>
      </w:r>
      <w:r>
        <w:t>’</w:t>
      </w:r>
      <w:r w:rsidR="00190D26">
        <w:t>.</w:t>
      </w:r>
      <w:r w:rsidR="004936B4">
        <w:t xml:space="preserve"> </w:t>
      </w:r>
      <w:r w:rsidR="00190D26">
        <w:t>This precaution does not appear in the draft PI and should be included.</w:t>
      </w:r>
    </w:p>
    <w:p w:rsidR="00190D26" w:rsidRPr="00BC3F83" w:rsidRDefault="00190D26" w:rsidP="00BC3F83">
      <w:pPr>
        <w:pStyle w:val="Heading5"/>
      </w:pPr>
      <w:r w:rsidRPr="00BC3F83">
        <w:t xml:space="preserve">Advice from the </w:t>
      </w:r>
      <w:r w:rsidRPr="00BC3F83">
        <w:rPr>
          <w:rStyle w:val="st1"/>
        </w:rPr>
        <w:t>Advisory Committee on the Safety of Medicines (ACSOM)</w:t>
      </w:r>
    </w:p>
    <w:p w:rsidR="00190D26" w:rsidRDefault="00190D26" w:rsidP="00190D26">
      <w:pPr>
        <w:spacing w:before="100" w:beforeAutospacing="1" w:after="100" w:afterAutospacing="1"/>
        <w:rPr>
          <w:sz w:val="24"/>
          <w:szCs w:val="24"/>
        </w:rPr>
      </w:pPr>
      <w:r w:rsidRPr="00BC3F83">
        <w:t>ACSOM advice was not sought for this submission</w:t>
      </w:r>
      <w:r>
        <w:rPr>
          <w:sz w:val="24"/>
          <w:szCs w:val="24"/>
        </w:rPr>
        <w:t>.</w:t>
      </w:r>
    </w:p>
    <w:p w:rsidR="00C60B78" w:rsidRDefault="00190D26" w:rsidP="00BC3F83">
      <w:pPr>
        <w:pStyle w:val="Heading5"/>
      </w:pPr>
      <w:r>
        <w:t>Key changes to the updated RMP</w:t>
      </w:r>
    </w:p>
    <w:p w:rsidR="00190D26" w:rsidRDefault="00190D26" w:rsidP="007A2E96">
      <w:pPr>
        <w:rPr>
          <w:rFonts w:cs="Arial"/>
        </w:rPr>
      </w:pPr>
      <w:proofErr w:type="spellStart"/>
      <w:r>
        <w:t>Asunaprevir</w:t>
      </w:r>
      <w:proofErr w:type="spellEnd"/>
      <w:r>
        <w:t xml:space="preserve"> Company Core RMP (version 1, dated 7 March 2014, data lock point 16 December 2013) </w:t>
      </w:r>
      <w:r w:rsidR="00BC3F83">
        <w:t>and</w:t>
      </w:r>
      <w:r>
        <w:t xml:space="preserve"> Australia Specific Annex (version 1, dated 31 March 2014)</w:t>
      </w:r>
      <w:r w:rsidR="00BC3F83">
        <w:t xml:space="preserve"> </w:t>
      </w:r>
      <w:r>
        <w:t>has been superseded by:</w:t>
      </w:r>
      <w:r w:rsidR="00BC3F83">
        <w:t xml:space="preserve"> </w:t>
      </w:r>
      <w:proofErr w:type="spellStart"/>
      <w:r>
        <w:rPr>
          <w:rFonts w:cs="Arial"/>
        </w:rPr>
        <w:t>Asunaprevir</w:t>
      </w:r>
      <w:proofErr w:type="spellEnd"/>
      <w:r>
        <w:rPr>
          <w:rFonts w:cs="Arial"/>
        </w:rPr>
        <w:t xml:space="preserve"> Company Core RMP (version 2, dated 22 December 2014, data lock point 15 November 2014) + Australia Specific Annex (version 2, dated 29 December 2014)</w:t>
      </w:r>
      <w:r w:rsidR="00BC3F83">
        <w:rPr>
          <w:rFonts w:cs="Arial"/>
        </w:rPr>
        <w:t>. A summary of the changes made are shown in Table 18.</w:t>
      </w:r>
    </w:p>
    <w:p w:rsidR="00BC3F83" w:rsidRDefault="00BC3F83" w:rsidP="00BC3F83">
      <w:pPr>
        <w:pStyle w:val="TableTitle"/>
      </w:pPr>
      <w:r>
        <w:t>Table 18: Summary of key changes made to CCRMP and ASA</w:t>
      </w:r>
    </w:p>
    <w:tbl>
      <w:tblPr>
        <w:tblStyle w:val="TableTGAblue"/>
        <w:tblW w:w="0" w:type="auto"/>
        <w:tblLayout w:type="fixed"/>
        <w:tblLook w:val="04A0" w:firstRow="1" w:lastRow="0" w:firstColumn="1" w:lastColumn="0" w:noHBand="0" w:noVBand="1"/>
      </w:tblPr>
      <w:tblGrid>
        <w:gridCol w:w="1951"/>
        <w:gridCol w:w="6769"/>
      </w:tblGrid>
      <w:tr w:rsidR="00190D26" w:rsidTr="0055797B">
        <w:trPr>
          <w:cnfStyle w:val="100000000000" w:firstRow="1" w:lastRow="0" w:firstColumn="0" w:lastColumn="0" w:oddVBand="0" w:evenVBand="0" w:oddHBand="0" w:evenHBand="0" w:firstRowFirstColumn="0" w:firstRowLastColumn="0" w:lastRowFirstColumn="0" w:lastRowLastColumn="0"/>
          <w:trHeight w:val="274"/>
        </w:trPr>
        <w:tc>
          <w:tcPr>
            <w:tcW w:w="8720" w:type="dxa"/>
            <w:gridSpan w:val="2"/>
          </w:tcPr>
          <w:p w:rsidR="00190D26" w:rsidRPr="00BA1372" w:rsidRDefault="00190D26" w:rsidP="0055797B">
            <w:pPr>
              <w:ind w:left="0"/>
              <w:rPr>
                <w:rFonts w:eastAsia="MS Mincho"/>
                <w:b w:val="0"/>
                <w:lang w:eastAsia="en-AU"/>
              </w:rPr>
            </w:pPr>
            <w:r w:rsidRPr="00BA1372">
              <w:rPr>
                <w:b w:val="0"/>
                <w:lang w:eastAsia="en-AU"/>
              </w:rPr>
              <w:t>Summary of</w:t>
            </w:r>
            <w:r w:rsidR="004936B4" w:rsidRPr="00BA1372">
              <w:rPr>
                <w:b w:val="0"/>
                <w:lang w:eastAsia="en-AU"/>
              </w:rPr>
              <w:t xml:space="preserve"> </w:t>
            </w:r>
            <w:r w:rsidRPr="00BA1372">
              <w:rPr>
                <w:b w:val="0"/>
                <w:lang w:eastAsia="en-AU"/>
              </w:rPr>
              <w:t>key changes between CCRMP (v 1)/ASA (v 1) and CCRMP (v 2)/ASA(v 2)</w:t>
            </w:r>
          </w:p>
        </w:tc>
      </w:tr>
      <w:tr w:rsidR="00190D26" w:rsidTr="0055797B">
        <w:trPr>
          <w:trHeight w:val="270"/>
        </w:trPr>
        <w:tc>
          <w:tcPr>
            <w:tcW w:w="1951" w:type="dxa"/>
            <w:hideMark/>
          </w:tcPr>
          <w:p w:rsidR="00190D26" w:rsidRPr="0055797B" w:rsidRDefault="00190D26" w:rsidP="0055797B">
            <w:pPr>
              <w:ind w:left="0"/>
              <w:rPr>
                <w:rFonts w:eastAsia="MS Mincho"/>
                <w:b/>
                <w:lang w:eastAsia="en-AU"/>
              </w:rPr>
            </w:pPr>
            <w:r w:rsidRPr="0055797B">
              <w:rPr>
                <w:b/>
                <w:lang w:eastAsia="en-AU"/>
              </w:rPr>
              <w:t>Safety specification</w:t>
            </w:r>
          </w:p>
        </w:tc>
        <w:tc>
          <w:tcPr>
            <w:tcW w:w="6769" w:type="dxa"/>
            <w:hideMark/>
          </w:tcPr>
          <w:p w:rsidR="00190D26" w:rsidRPr="00BA1372" w:rsidRDefault="00190D26" w:rsidP="0055797B">
            <w:pPr>
              <w:pStyle w:val="ListBullet"/>
              <w:ind w:left="0" w:firstLine="0"/>
              <w:rPr>
                <w:rFonts w:eastAsia="Times New Roman"/>
              </w:rPr>
            </w:pPr>
            <w:r w:rsidRPr="00BA1372">
              <w:t>New important identified risk: ‘Drug-drug interactions’</w:t>
            </w:r>
          </w:p>
          <w:p w:rsidR="00190D26" w:rsidRPr="00BA1372" w:rsidRDefault="00190D26" w:rsidP="0055797B">
            <w:pPr>
              <w:pStyle w:val="ListBullet"/>
              <w:ind w:left="0" w:firstLine="0"/>
            </w:pPr>
            <w:r w:rsidRPr="00BA1372">
              <w:t xml:space="preserve">New important potential risk: ‘Increased risk of hepatic adverse events in patients with severe renal impairment not receiving </w:t>
            </w:r>
            <w:proofErr w:type="spellStart"/>
            <w:r w:rsidRPr="00BA1372">
              <w:t>hemodialysis</w:t>
            </w:r>
            <w:proofErr w:type="spellEnd"/>
            <w:r w:rsidRPr="00BA1372">
              <w:t>’</w:t>
            </w:r>
          </w:p>
          <w:p w:rsidR="00190D26" w:rsidRPr="00BA1372" w:rsidRDefault="00190D26" w:rsidP="0055797B">
            <w:pPr>
              <w:pStyle w:val="ListBullet"/>
              <w:ind w:left="0" w:firstLine="0"/>
            </w:pPr>
            <w:r w:rsidRPr="00BA1372">
              <w:t>New missing information: ‘Patients who failed prior treatment with NS3 protease inhibitors’</w:t>
            </w:r>
          </w:p>
          <w:p w:rsidR="00190D26" w:rsidRPr="00BA1372" w:rsidRDefault="00190D26" w:rsidP="0055797B">
            <w:pPr>
              <w:pStyle w:val="ListBullet"/>
              <w:ind w:left="0" w:firstLine="0"/>
              <w:rPr>
                <w:rFonts w:eastAsia="Times New Roman"/>
              </w:rPr>
            </w:pPr>
            <w:r w:rsidRPr="00BA1372">
              <w:t>Amended missing information: ‘Use in liver transplant patients’ has been changed to ‘Use in pre-, peri-, and post-liver transplant patients’.</w:t>
            </w:r>
          </w:p>
        </w:tc>
      </w:tr>
      <w:tr w:rsidR="00190D26" w:rsidTr="0055797B">
        <w:trPr>
          <w:trHeight w:val="524"/>
        </w:trPr>
        <w:tc>
          <w:tcPr>
            <w:tcW w:w="1951" w:type="dxa"/>
            <w:hideMark/>
          </w:tcPr>
          <w:p w:rsidR="00190D26" w:rsidRPr="0055797B" w:rsidRDefault="00190D26" w:rsidP="0055797B">
            <w:pPr>
              <w:ind w:left="0"/>
              <w:rPr>
                <w:rFonts w:eastAsia="MS Mincho"/>
                <w:b/>
                <w:lang w:eastAsia="en-AU"/>
              </w:rPr>
            </w:pPr>
            <w:r w:rsidRPr="0055797B">
              <w:rPr>
                <w:b/>
                <w:lang w:eastAsia="en-AU"/>
              </w:rPr>
              <w:t>Pharmacovigilance activities</w:t>
            </w:r>
          </w:p>
        </w:tc>
        <w:tc>
          <w:tcPr>
            <w:tcW w:w="6769" w:type="dxa"/>
            <w:hideMark/>
          </w:tcPr>
          <w:p w:rsidR="00190D26" w:rsidRPr="00BA1372" w:rsidRDefault="00190D26" w:rsidP="0055797B">
            <w:pPr>
              <w:ind w:left="0"/>
              <w:rPr>
                <w:rFonts w:eastAsia="Times New Roman"/>
              </w:rPr>
            </w:pPr>
            <w:r w:rsidRPr="00BA1372">
              <w:t>Routine pharmacovigilance is proposed for the newly added risks.</w:t>
            </w:r>
          </w:p>
        </w:tc>
      </w:tr>
      <w:tr w:rsidR="00190D26" w:rsidTr="0055797B">
        <w:trPr>
          <w:trHeight w:val="524"/>
        </w:trPr>
        <w:tc>
          <w:tcPr>
            <w:tcW w:w="1951" w:type="dxa"/>
          </w:tcPr>
          <w:p w:rsidR="00190D26" w:rsidRPr="0055797B" w:rsidRDefault="00190D26" w:rsidP="0055797B">
            <w:pPr>
              <w:ind w:left="0"/>
              <w:rPr>
                <w:rFonts w:eastAsia="MS Mincho"/>
                <w:b/>
                <w:lang w:eastAsia="en-AU"/>
              </w:rPr>
            </w:pPr>
            <w:r w:rsidRPr="0055797B">
              <w:rPr>
                <w:b/>
                <w:lang w:eastAsia="en-AU"/>
              </w:rPr>
              <w:t>Risk minimisation activities</w:t>
            </w:r>
          </w:p>
        </w:tc>
        <w:tc>
          <w:tcPr>
            <w:tcW w:w="6769" w:type="dxa"/>
            <w:hideMark/>
          </w:tcPr>
          <w:p w:rsidR="00190D26" w:rsidRPr="00BA1372" w:rsidRDefault="00190D26" w:rsidP="0055797B">
            <w:pPr>
              <w:ind w:left="0"/>
              <w:rPr>
                <w:rFonts w:eastAsia="Times New Roman"/>
              </w:rPr>
            </w:pPr>
            <w:r w:rsidRPr="00BA1372">
              <w:t>Routine risk minimisation (</w:t>
            </w:r>
            <w:proofErr w:type="spellStart"/>
            <w:r w:rsidRPr="00BA1372">
              <w:t>ie</w:t>
            </w:r>
            <w:proofErr w:type="spellEnd"/>
            <w:r w:rsidRPr="00BA1372">
              <w:t xml:space="preserve"> product labelling statements) is proposed for the newly added risks.</w:t>
            </w:r>
          </w:p>
        </w:tc>
      </w:tr>
      <w:tr w:rsidR="00190D26" w:rsidTr="0055797B">
        <w:trPr>
          <w:trHeight w:val="524"/>
        </w:trPr>
        <w:tc>
          <w:tcPr>
            <w:tcW w:w="1951" w:type="dxa"/>
          </w:tcPr>
          <w:p w:rsidR="00190D26" w:rsidRPr="0055797B" w:rsidRDefault="00190D26" w:rsidP="0055797B">
            <w:pPr>
              <w:ind w:left="0"/>
              <w:rPr>
                <w:rFonts w:eastAsia="MS Mincho"/>
                <w:b/>
                <w:lang w:eastAsia="en-AU"/>
              </w:rPr>
            </w:pPr>
            <w:r w:rsidRPr="0055797B">
              <w:rPr>
                <w:b/>
                <w:lang w:eastAsia="en-AU"/>
              </w:rPr>
              <w:t>ASA</w:t>
            </w:r>
          </w:p>
        </w:tc>
        <w:tc>
          <w:tcPr>
            <w:tcW w:w="6769" w:type="dxa"/>
            <w:hideMark/>
          </w:tcPr>
          <w:p w:rsidR="00190D26" w:rsidRPr="00BA1372" w:rsidRDefault="00190D26" w:rsidP="0055797B">
            <w:pPr>
              <w:ind w:left="0"/>
              <w:rPr>
                <w:rFonts w:eastAsia="Times New Roman"/>
              </w:rPr>
            </w:pPr>
            <w:r w:rsidRPr="00BA1372">
              <w:t>Changes have been made to the PI text proposed for Australia in response to TGA evaluation reports.</w:t>
            </w:r>
          </w:p>
        </w:tc>
      </w:tr>
    </w:tbl>
    <w:p w:rsidR="00C60B78" w:rsidRDefault="00190D26" w:rsidP="00190D26">
      <w:pPr>
        <w:pStyle w:val="Heading5"/>
      </w:pPr>
      <w:r>
        <w:lastRenderedPageBreak/>
        <w:t>Suggested wording for conditions of registration</w:t>
      </w:r>
    </w:p>
    <w:p w:rsidR="00190D26" w:rsidRDefault="00190D26" w:rsidP="00190D26">
      <w:pPr>
        <w:pStyle w:val="Heading6"/>
        <w:rPr>
          <w:sz w:val="24"/>
          <w:szCs w:val="24"/>
        </w:rPr>
      </w:pPr>
      <w:r>
        <w:t>RMP</w:t>
      </w:r>
    </w:p>
    <w:p w:rsidR="00190D26" w:rsidRDefault="00190D26" w:rsidP="00330F91">
      <w:pPr>
        <w:rPr>
          <w:rFonts w:cs="Arial"/>
        </w:rPr>
      </w:pPr>
      <w:r>
        <w:t>Any changes to which the sponsor agreed become part of the risk management system, whether they are included in the currently available version of the RMP document or not included inadvertently or otherwise.</w:t>
      </w:r>
      <w:r w:rsidR="00BC3F83">
        <w:t xml:space="preserve"> </w:t>
      </w:r>
      <w:r>
        <w:rPr>
          <w:rFonts w:cs="Arial"/>
        </w:rPr>
        <w:t>The suggesting wording is:</w:t>
      </w:r>
    </w:p>
    <w:p w:rsidR="00190D26" w:rsidRDefault="00190D26" w:rsidP="00330F91">
      <w:pPr>
        <w:rPr>
          <w:rFonts w:cs="Arial"/>
        </w:rPr>
      </w:pPr>
      <w:r>
        <w:rPr>
          <w:rFonts w:cs="Arial"/>
        </w:rPr>
        <w:t xml:space="preserve">Implement </w:t>
      </w:r>
      <w:proofErr w:type="spellStart"/>
      <w:r>
        <w:rPr>
          <w:rFonts w:cs="Arial"/>
        </w:rPr>
        <w:t>Asunaprevir</w:t>
      </w:r>
      <w:proofErr w:type="spellEnd"/>
      <w:r>
        <w:rPr>
          <w:rFonts w:cs="Arial"/>
        </w:rPr>
        <w:t xml:space="preserve"> Company Core RMP (version 2, dated 22 December 2014, data lock point 15 November 2014) with Australia Specific Annex (version 2, dated 29 December 2014) and any future updates as a condition of registration.</w:t>
      </w:r>
    </w:p>
    <w:p w:rsidR="008E7846" w:rsidRPr="00792A32" w:rsidRDefault="008E7846" w:rsidP="008E7846">
      <w:pPr>
        <w:pStyle w:val="Heading2"/>
      </w:pPr>
      <w:bookmarkStart w:id="158" w:name="_Toc314842510"/>
      <w:bookmarkStart w:id="159" w:name="_Toc438125721"/>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16"/>
      <w:bookmarkEnd w:id="157"/>
      <w:bookmarkEnd w:id="158"/>
      <w:bookmarkEnd w:id="159"/>
    </w:p>
    <w:p w:rsidR="008E7846" w:rsidRDefault="008E7846" w:rsidP="008E7846">
      <w:bookmarkStart w:id="160"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61" w:name="_Toc314842511"/>
      <w:bookmarkStart w:id="162" w:name="_Toc438125722"/>
      <w:r>
        <w:t>Quality</w:t>
      </w:r>
      <w:bookmarkEnd w:id="160"/>
      <w:bookmarkEnd w:id="161"/>
      <w:bookmarkEnd w:id="162"/>
    </w:p>
    <w:p w:rsidR="00C60B78" w:rsidRDefault="00016899" w:rsidP="00016899">
      <w:bookmarkStart w:id="163" w:name="_Toc314842512"/>
      <w:r>
        <w:t>Registration of the proposed ‘</w:t>
      </w:r>
      <w:proofErr w:type="spellStart"/>
      <w:r w:rsidR="00BC3F83">
        <w:rPr>
          <w:szCs w:val="24"/>
        </w:rPr>
        <w:t>Sunvepra</w:t>
      </w:r>
      <w:proofErr w:type="spellEnd"/>
      <w:r w:rsidR="00BC3F83">
        <w:rPr>
          <w:szCs w:val="24"/>
        </w:rPr>
        <w:t>’</w:t>
      </w:r>
      <w:r w:rsidR="00BC3F83">
        <w:t xml:space="preserve"> </w:t>
      </w:r>
      <w:proofErr w:type="spellStart"/>
      <w:r>
        <w:t>asunaprevir</w:t>
      </w:r>
      <w:proofErr w:type="spellEnd"/>
      <w:r>
        <w:t xml:space="preserve"> 100mg soft </w:t>
      </w:r>
      <w:proofErr w:type="spellStart"/>
      <w:r>
        <w:t>gelatin</w:t>
      </w:r>
      <w:proofErr w:type="spellEnd"/>
      <w:r>
        <w:t xml:space="preserve"> capsules is recommended with respect to quality and </w:t>
      </w:r>
      <w:proofErr w:type="spellStart"/>
      <w:r>
        <w:t>biopharmaceutic</w:t>
      </w:r>
      <w:proofErr w:type="spellEnd"/>
      <w:r>
        <w:t xml:space="preserve"> aspects. All issues raised during the initial evaluation of this application have been satisfactorily resolved.</w:t>
      </w:r>
    </w:p>
    <w:p w:rsidR="008E7846" w:rsidRDefault="008E7846" w:rsidP="008E7846">
      <w:pPr>
        <w:pStyle w:val="Heading3"/>
      </w:pPr>
      <w:bookmarkStart w:id="164" w:name="_Toc438125723"/>
      <w:r>
        <w:t>Nonclinical</w:t>
      </w:r>
      <w:bookmarkEnd w:id="163"/>
      <w:bookmarkEnd w:id="164"/>
    </w:p>
    <w:p w:rsidR="00016899" w:rsidRDefault="00016899" w:rsidP="00BC3F83">
      <w:r>
        <w:t xml:space="preserve">There are nonclinical objections to the registration of </w:t>
      </w:r>
      <w:proofErr w:type="spellStart"/>
      <w:r>
        <w:t>asunaprevir</w:t>
      </w:r>
      <w:proofErr w:type="spellEnd"/>
      <w:r>
        <w:t>.</w:t>
      </w:r>
    </w:p>
    <w:p w:rsidR="00C60B78" w:rsidRDefault="00016899" w:rsidP="00BC3F83">
      <w:pPr>
        <w:rPr>
          <w:kern w:val="2"/>
        </w:rPr>
      </w:pPr>
      <w:r>
        <w:t xml:space="preserve">The overall quality of </w:t>
      </w:r>
      <w:r>
        <w:rPr>
          <w:kern w:val="2"/>
        </w:rPr>
        <w:t>the nonclinical dossier was good with all pivotal studies conducted according to GLP, and with high exposure margins employed.</w:t>
      </w:r>
    </w:p>
    <w:p w:rsidR="00C60B78" w:rsidRDefault="00016899" w:rsidP="00BC3F83">
      <w:r w:rsidRPr="00BC3F83">
        <w:t>In vitro,</w:t>
      </w:r>
      <w:r>
        <w:t xml:space="preserve"> </w:t>
      </w:r>
      <w:proofErr w:type="spellStart"/>
      <w:r>
        <w:t>asunaprevir</w:t>
      </w:r>
      <w:proofErr w:type="spellEnd"/>
      <w:r>
        <w:t xml:space="preserve"> inhibited the activity of purified NS3/4A protease enzyme complexes from HCV strains of genotypes 1b, 1a, 6a, 4a, 5a, and with a lower potency 2a, 2b, and 3a. Except for genotype 2b, </w:t>
      </w:r>
      <w:proofErr w:type="spellStart"/>
      <w:r>
        <w:t>asunaprevir</w:t>
      </w:r>
      <w:proofErr w:type="spellEnd"/>
      <w:r>
        <w:t xml:space="preserve"> was more potent than </w:t>
      </w:r>
      <w:proofErr w:type="spellStart"/>
      <w:r>
        <w:t>telaprevir</w:t>
      </w:r>
      <w:proofErr w:type="spellEnd"/>
      <w:r>
        <w:t>.</w:t>
      </w:r>
    </w:p>
    <w:p w:rsidR="00016899" w:rsidRPr="007A2E96" w:rsidRDefault="00016899" w:rsidP="00BC3F83">
      <w:proofErr w:type="spellStart"/>
      <w:r>
        <w:t>Asunaprevir</w:t>
      </w:r>
      <w:proofErr w:type="spellEnd"/>
      <w:r>
        <w:t xml:space="preserve"> is unlikely to be active against genotype 2a, 2b and 3a at the proposed clinical </w:t>
      </w:r>
      <w:r w:rsidRPr="007A2E96">
        <w:t>dose.</w:t>
      </w:r>
    </w:p>
    <w:p w:rsidR="00016899" w:rsidRPr="007A2E96" w:rsidRDefault="00016899" w:rsidP="00BC3F83">
      <w:r w:rsidRPr="007A2E96">
        <w:t xml:space="preserve">Based on findings </w:t>
      </w:r>
      <w:r w:rsidR="007A2E96" w:rsidRPr="007A2E96">
        <w:t>the relevant nonclinical</w:t>
      </w:r>
      <w:r w:rsidRPr="007A2E96">
        <w:t xml:space="preserve"> studies, </w:t>
      </w:r>
      <w:proofErr w:type="spellStart"/>
      <w:r w:rsidRPr="007A2E96">
        <w:t>asunaprevir</w:t>
      </w:r>
      <w:proofErr w:type="spellEnd"/>
      <w:r w:rsidRPr="007A2E96">
        <w:t xml:space="preserve"> is not expected to have any adverse effects on CNS, respiratory, gastrointestinal or cardiovascular function during clinical use.</w:t>
      </w:r>
    </w:p>
    <w:p w:rsidR="00016899" w:rsidRDefault="00016899" w:rsidP="00BC3F83">
      <w:r w:rsidRPr="007A2E96">
        <w:t xml:space="preserve">Absorption of </w:t>
      </w:r>
      <w:proofErr w:type="spellStart"/>
      <w:r w:rsidRPr="007A2E96">
        <w:t>asunaprevir</w:t>
      </w:r>
      <w:proofErr w:type="spellEnd"/>
      <w:r>
        <w:t xml:space="preserve"> was variable within species following oral administration of </w:t>
      </w:r>
      <w:proofErr w:type="spellStart"/>
      <w:r>
        <w:t>asunaprevir</w:t>
      </w:r>
      <w:proofErr w:type="spellEnd"/>
      <w:r>
        <w:t xml:space="preserve"> </w:t>
      </w:r>
      <w:proofErr w:type="gramStart"/>
      <w:r>
        <w:t>solution,</w:t>
      </w:r>
      <w:proofErr w:type="gramEnd"/>
      <w:r>
        <w:t xml:space="preserve"> with peak concentration occurring with the first few (1</w:t>
      </w:r>
      <w:r w:rsidR="00BC3F83">
        <w:t xml:space="preserve"> to </w:t>
      </w:r>
      <w:r>
        <w:t xml:space="preserve">6) </w:t>
      </w:r>
      <w:r w:rsidR="000F1CA4">
        <w:t>h</w:t>
      </w:r>
      <w:r>
        <w:t>. Plasma protein binding was high in all nonclinical species and humans.</w:t>
      </w:r>
    </w:p>
    <w:p w:rsidR="00016899" w:rsidRDefault="00016899" w:rsidP="00BC3F83">
      <w:pPr>
        <w:rPr>
          <w:kern w:val="2"/>
        </w:rPr>
      </w:pPr>
      <w:r>
        <w:t xml:space="preserve">Inducers/inhibitors of P glycoprotein, OATP 1B1 and 2B1 or CYP3A may alter the systemic exposure to </w:t>
      </w:r>
      <w:proofErr w:type="spellStart"/>
      <w:r>
        <w:t>asunaprevir</w:t>
      </w:r>
      <w:proofErr w:type="spellEnd"/>
      <w:r>
        <w:t xml:space="preserve">. </w:t>
      </w:r>
      <w:r w:rsidRPr="00BC3F83">
        <w:t>In vitro</w:t>
      </w:r>
      <w:r>
        <w:rPr>
          <w:i/>
        </w:rPr>
        <w:t xml:space="preserve"> </w:t>
      </w:r>
      <w:r>
        <w:t xml:space="preserve">studies indicate </w:t>
      </w:r>
      <w:proofErr w:type="spellStart"/>
      <w:r>
        <w:rPr>
          <w:kern w:val="2"/>
        </w:rPr>
        <w:t>asunaprevir</w:t>
      </w:r>
      <w:proofErr w:type="spellEnd"/>
      <w:r>
        <w:rPr>
          <w:kern w:val="2"/>
        </w:rPr>
        <w:t xml:space="preserve"> has the potential to affect </w:t>
      </w:r>
      <w:r>
        <w:t xml:space="preserve">the disposition of </w:t>
      </w:r>
      <w:r>
        <w:rPr>
          <w:kern w:val="2"/>
        </w:rPr>
        <w:t>co</w:t>
      </w:r>
      <w:r>
        <w:rPr>
          <w:kern w:val="2"/>
        </w:rPr>
        <w:noBreakHyphen/>
        <w:t>administered drugs that are substrates for</w:t>
      </w:r>
      <w:r>
        <w:t xml:space="preserve"> CYP2D6, CYP3A and UGT1A1</w:t>
      </w:r>
      <w:r>
        <w:rPr>
          <w:kern w:val="2"/>
        </w:rPr>
        <w:t xml:space="preserve">. There is some potential for </w:t>
      </w:r>
      <w:proofErr w:type="spellStart"/>
      <w:r>
        <w:rPr>
          <w:kern w:val="2"/>
        </w:rPr>
        <w:t>asunaprevir</w:t>
      </w:r>
      <w:proofErr w:type="spellEnd"/>
      <w:r>
        <w:rPr>
          <w:kern w:val="2"/>
        </w:rPr>
        <w:t xml:space="preserve"> and </w:t>
      </w:r>
      <w:proofErr w:type="spellStart"/>
      <w:r>
        <w:rPr>
          <w:kern w:val="2"/>
        </w:rPr>
        <w:t>daclatasvir</w:t>
      </w:r>
      <w:proofErr w:type="spellEnd"/>
      <w:r>
        <w:rPr>
          <w:kern w:val="2"/>
        </w:rPr>
        <w:t xml:space="preserve"> to affect exposure to each other.</w:t>
      </w:r>
    </w:p>
    <w:p w:rsidR="00016899" w:rsidRDefault="00016899" w:rsidP="00BC3F83">
      <w:r>
        <w:t>The liver was a target organ for toxicity in rats and dogs but only at very high multiples of exposure.</w:t>
      </w:r>
    </w:p>
    <w:p w:rsidR="00C60B78" w:rsidRDefault="00016899" w:rsidP="00BC3F83">
      <w:r>
        <w:t>A standard set of GLP</w:t>
      </w:r>
      <w:r w:rsidR="00BC3F83">
        <w:t xml:space="preserve"> </w:t>
      </w:r>
      <w:r>
        <w:t xml:space="preserve">compliant reproductive toxicity studies was submitted and examined fertility (in rats), </w:t>
      </w:r>
      <w:proofErr w:type="spellStart"/>
      <w:r>
        <w:t>embryofetal</w:t>
      </w:r>
      <w:proofErr w:type="spellEnd"/>
      <w:r>
        <w:t xml:space="preserve"> toxicity (mice and rabbits) and pre/postnatal development (rats). There were no drug</w:t>
      </w:r>
      <w:r w:rsidR="00BC3F83">
        <w:t xml:space="preserve"> </w:t>
      </w:r>
      <w:r>
        <w:t xml:space="preserve">related findings. Placental transfer and transfer of </w:t>
      </w:r>
      <w:r w:rsidR="006E3E56">
        <w:t>drug related</w:t>
      </w:r>
      <w:r>
        <w:t xml:space="preserve"> material into milk were shown in rats.</w:t>
      </w:r>
    </w:p>
    <w:p w:rsidR="00016899" w:rsidRDefault="00016899" w:rsidP="00BC3F83">
      <w:r>
        <w:lastRenderedPageBreak/>
        <w:t xml:space="preserve">Pregnancy </w:t>
      </w:r>
      <w:r w:rsidR="00BC3F83">
        <w:t>C</w:t>
      </w:r>
      <w:r>
        <w:t xml:space="preserve">ategory B1 is acceptable for </w:t>
      </w:r>
      <w:proofErr w:type="spellStart"/>
      <w:r>
        <w:t>asunaprevir</w:t>
      </w:r>
      <w:proofErr w:type="spellEnd"/>
      <w:r>
        <w:t>.</w:t>
      </w:r>
      <w:r w:rsidR="004936B4">
        <w:t xml:space="preserve"> </w:t>
      </w:r>
      <w:r>
        <w:t xml:space="preserve">When used in combination with </w:t>
      </w:r>
      <w:proofErr w:type="spellStart"/>
      <w:r>
        <w:t>daclatasvir</w:t>
      </w:r>
      <w:proofErr w:type="spellEnd"/>
      <w:r>
        <w:t xml:space="preserve"> (B3) or </w:t>
      </w:r>
      <w:proofErr w:type="spellStart"/>
      <w:r>
        <w:t>daclatasvir</w:t>
      </w:r>
      <w:proofErr w:type="spellEnd"/>
      <w:r>
        <w:t xml:space="preserve"> and </w:t>
      </w:r>
      <w:proofErr w:type="spellStart"/>
      <w:r>
        <w:t>peg</w:t>
      </w:r>
      <w:r w:rsidR="00BC3F83">
        <w:t>interferon</w:t>
      </w:r>
      <w:proofErr w:type="spellEnd"/>
      <w:r w:rsidR="00BC3F83">
        <w:t xml:space="preserve"> </w:t>
      </w:r>
      <w:proofErr w:type="spellStart"/>
      <w:r w:rsidR="00BC3F83">
        <w:t>alfa</w:t>
      </w:r>
      <w:proofErr w:type="spellEnd"/>
      <w:r w:rsidR="00BC3F83">
        <w:t xml:space="preserve"> and ribavirin (C</w:t>
      </w:r>
      <w:r>
        <w:t>ategory X), the most restrictive category is applicable.</w:t>
      </w:r>
    </w:p>
    <w:p w:rsidR="00C60B78" w:rsidRDefault="00016899" w:rsidP="00BC3F83">
      <w:pPr>
        <w:rPr>
          <w:kern w:val="2"/>
          <w:szCs w:val="20"/>
        </w:rPr>
      </w:pPr>
      <w:proofErr w:type="spellStart"/>
      <w:r>
        <w:t>Asunaprevir</w:t>
      </w:r>
      <w:proofErr w:type="spellEnd"/>
      <w:r>
        <w:t xml:space="preserve"> was not </w:t>
      </w:r>
      <w:proofErr w:type="spellStart"/>
      <w:r>
        <w:t>genotoxic</w:t>
      </w:r>
      <w:proofErr w:type="spellEnd"/>
      <w:r>
        <w:t xml:space="preserve"> in the standard battery of tests. </w:t>
      </w:r>
      <w:proofErr w:type="spellStart"/>
      <w:r>
        <w:rPr>
          <w:kern w:val="2"/>
        </w:rPr>
        <w:t>Asunaprevir</w:t>
      </w:r>
      <w:proofErr w:type="spellEnd"/>
      <w:r>
        <w:rPr>
          <w:kern w:val="2"/>
        </w:rPr>
        <w:t xml:space="preserve"> is unlikely to pose a mutagenic, </w:t>
      </w:r>
      <w:proofErr w:type="spellStart"/>
      <w:r>
        <w:rPr>
          <w:kern w:val="2"/>
        </w:rPr>
        <w:t>clastogenic</w:t>
      </w:r>
      <w:proofErr w:type="spellEnd"/>
      <w:r>
        <w:rPr>
          <w:kern w:val="2"/>
        </w:rPr>
        <w:t xml:space="preserve"> or carcinogenic risk to humans</w:t>
      </w:r>
      <w:r>
        <w:rPr>
          <w:kern w:val="2"/>
          <w:szCs w:val="20"/>
        </w:rPr>
        <w:t>.</w:t>
      </w:r>
    </w:p>
    <w:p w:rsidR="00016899" w:rsidRDefault="00016899" w:rsidP="00BC3F83">
      <w:r>
        <w:t>No particular targets for toxicity at clinically relevant exposure levels were identified in a juvenile toxicity study or in general repeat-dose toxicity studies.</w:t>
      </w:r>
    </w:p>
    <w:p w:rsidR="00016899" w:rsidRDefault="00016899" w:rsidP="00BC3F83">
      <w:pPr>
        <w:rPr>
          <w:kern w:val="2"/>
        </w:rPr>
      </w:pPr>
      <w:proofErr w:type="spellStart"/>
      <w:r>
        <w:rPr>
          <w:kern w:val="2"/>
        </w:rPr>
        <w:t>Asunaprevir</w:t>
      </w:r>
      <w:proofErr w:type="spellEnd"/>
      <w:r>
        <w:rPr>
          <w:kern w:val="2"/>
        </w:rPr>
        <w:t xml:space="preserve"> did not produce skin irritation and did not cause skin sensitisation.</w:t>
      </w:r>
      <w:r w:rsidR="00BC3F83">
        <w:rPr>
          <w:kern w:val="2"/>
        </w:rPr>
        <w:t xml:space="preserve"> </w:t>
      </w:r>
      <w:proofErr w:type="spellStart"/>
      <w:r w:rsidR="00BC3F83">
        <w:rPr>
          <w:kern w:val="2"/>
        </w:rPr>
        <w:t>A</w:t>
      </w:r>
      <w:r>
        <w:rPr>
          <w:kern w:val="2"/>
        </w:rPr>
        <w:t>sunaprevir</w:t>
      </w:r>
      <w:proofErr w:type="spellEnd"/>
      <w:r>
        <w:rPr>
          <w:kern w:val="2"/>
        </w:rPr>
        <w:t xml:space="preserve"> is potentially phototoxic and an ocular irritant.</w:t>
      </w:r>
    </w:p>
    <w:p w:rsidR="008E7846" w:rsidRDefault="008E7846" w:rsidP="008E7846">
      <w:pPr>
        <w:pStyle w:val="Heading3"/>
      </w:pPr>
      <w:bookmarkStart w:id="165" w:name="_Toc247691530"/>
      <w:bookmarkStart w:id="166" w:name="_Toc314842513"/>
      <w:bookmarkStart w:id="167" w:name="_Toc438125724"/>
      <w:r>
        <w:t>Clinical</w:t>
      </w:r>
      <w:bookmarkEnd w:id="165"/>
      <w:bookmarkEnd w:id="166"/>
      <w:bookmarkEnd w:id="167"/>
    </w:p>
    <w:p w:rsidR="00016899" w:rsidRDefault="00016899" w:rsidP="00BC3F83">
      <w:pPr>
        <w:pStyle w:val="Heading4"/>
      </w:pPr>
      <w:bookmarkStart w:id="168" w:name="_Toc314842514"/>
      <w:r>
        <w:t>Pharmacology</w:t>
      </w:r>
    </w:p>
    <w:p w:rsidR="00016899" w:rsidRDefault="00016899" w:rsidP="00016899">
      <w:r>
        <w:t xml:space="preserve">The submitted pharmacokinetic studies are summarised </w:t>
      </w:r>
      <w:r w:rsidR="00BC3F83">
        <w:t>in Attachment 2</w:t>
      </w:r>
      <w:r>
        <w:t>.</w:t>
      </w:r>
    </w:p>
    <w:p w:rsidR="00C60B78" w:rsidRDefault="00016899" w:rsidP="00016899">
      <w:r>
        <w:t xml:space="preserve">Absolute bioavailability was estimated to be 9.3%, with the proposed </w:t>
      </w:r>
      <w:proofErr w:type="spellStart"/>
      <w:r>
        <w:t>softgel</w:t>
      </w:r>
      <w:proofErr w:type="spellEnd"/>
      <w:r>
        <w:t xml:space="preserve"> capsule formulation</w:t>
      </w:r>
      <w:r>
        <w:rPr>
          <w:b/>
        </w:rPr>
        <w:t xml:space="preserve">. </w:t>
      </w:r>
      <w:r>
        <w:t>With the soft</w:t>
      </w:r>
      <w:r w:rsidR="00BC3F83">
        <w:t xml:space="preserve"> </w:t>
      </w:r>
      <w:r>
        <w:t>gel capsule formulation proposed for marketing, co-administration with a high fat meal resulted in increased bioavailability (AUC) by approximately 20%, with a 34% increase in</w:t>
      </w:r>
      <w:r w:rsidR="001F3724">
        <w:t xml:space="preserve"> </w:t>
      </w:r>
      <w:proofErr w:type="spellStart"/>
      <w:r w:rsidR="001F3724" w:rsidRPr="00D85066">
        <w:t>C</w:t>
      </w:r>
      <w:r w:rsidR="001F3724" w:rsidRPr="001F3724">
        <w:rPr>
          <w:vertAlign w:val="subscript"/>
        </w:rPr>
        <w:t>max</w:t>
      </w:r>
      <w:proofErr w:type="spellEnd"/>
      <w:r>
        <w:t xml:space="preserve">. </w:t>
      </w:r>
      <w:proofErr w:type="spellStart"/>
      <w:r w:rsidR="001F3724">
        <w:t>T</w:t>
      </w:r>
      <w:r w:rsidR="001F3724" w:rsidRPr="001F3724">
        <w:rPr>
          <w:vertAlign w:val="subscript"/>
        </w:rPr>
        <w:t>max</w:t>
      </w:r>
      <w:proofErr w:type="spellEnd"/>
      <w:r>
        <w:t xml:space="preserve"> was reduced by about 1.0 </w:t>
      </w:r>
      <w:r w:rsidR="006E3E56">
        <w:t>h</w:t>
      </w:r>
      <w:r w:rsidR="00BC3F83">
        <w:t>.</w:t>
      </w:r>
      <w:r>
        <w:t xml:space="preserve"> In ascending dose studies, increases in ASV AUC and</w:t>
      </w:r>
      <w:r w:rsidR="001F3724">
        <w:t xml:space="preserve"> </w:t>
      </w:r>
      <w:proofErr w:type="spellStart"/>
      <w:r w:rsidR="001F3724" w:rsidRPr="00D85066">
        <w:t>C</w:t>
      </w:r>
      <w:r w:rsidR="001F3724" w:rsidRPr="001F3724">
        <w:rPr>
          <w:vertAlign w:val="subscript"/>
        </w:rPr>
        <w:t>max</w:t>
      </w:r>
      <w:proofErr w:type="spellEnd"/>
      <w:r>
        <w:t xml:space="preserve"> were more than proportional to the increases in dose. Following IV use of [</w:t>
      </w:r>
      <w:r>
        <w:rPr>
          <w:vertAlign w:val="superscript"/>
        </w:rPr>
        <w:t>14</w:t>
      </w:r>
      <w:r>
        <w:t>C] ASV, volume of distribution at steady state</w:t>
      </w:r>
      <w:r w:rsidR="00BC3F83">
        <w:t xml:space="preserve"> was estimated to be 194 litres</w:t>
      </w:r>
      <w:r>
        <w:t xml:space="preserve"> suggesting extensive tissue distribution. In blood samples collected at trough and at </w:t>
      </w:r>
      <w:proofErr w:type="spellStart"/>
      <w:r w:rsidR="001F3724">
        <w:t>T</w:t>
      </w:r>
      <w:r w:rsidR="001F3724" w:rsidRPr="001F3724">
        <w:rPr>
          <w:vertAlign w:val="subscript"/>
        </w:rPr>
        <w:t>max</w:t>
      </w:r>
      <w:proofErr w:type="spellEnd"/>
      <w:r>
        <w:t>, protein binding was &gt;99%.</w:t>
      </w:r>
    </w:p>
    <w:p w:rsidR="00C60B78" w:rsidRDefault="00016899" w:rsidP="00016899">
      <w:pPr>
        <w:autoSpaceDE w:val="0"/>
        <w:autoSpaceDN w:val="0"/>
      </w:pPr>
      <w:r>
        <w:t>Only trace amounts of an orally administered dose of ASV are recovered in the urine, with mos</w:t>
      </w:r>
      <w:r w:rsidR="00BC3F83">
        <w:t>t being recovered in the faeces</w:t>
      </w:r>
      <w:r>
        <w:t xml:space="preserve">. Most of the </w:t>
      </w:r>
      <w:r w:rsidR="006E3E56">
        <w:t>drug related</w:t>
      </w:r>
      <w:r>
        <w:t xml:space="preserve"> material in faeces is the form of metabolites, with only 7.5% of the dose being unchanged ASV. These data indicate that metabolism is the major route of clearance for ASV.</w:t>
      </w:r>
    </w:p>
    <w:p w:rsidR="00C60B78" w:rsidRDefault="00016899" w:rsidP="00016899">
      <w:r>
        <w:t>In clinical interaction studies, co-administration of ASV with agents that inhibited CYP3A4 resulted in increased ASV systemic exposure</w:t>
      </w:r>
      <w:r w:rsidR="00BC3F83">
        <w:t>; for example</w:t>
      </w:r>
      <w:r>
        <w:t xml:space="preserve"> ketoconazole and ritonavir. Co-administration of ASV with rifampicin, an agent that induces CYP3A4, resulted in some decrease in ASV systemic exposure.</w:t>
      </w:r>
    </w:p>
    <w:p w:rsidR="00016899" w:rsidRDefault="00016899" w:rsidP="003B327F">
      <w:r>
        <w:t>Following IV [</w:t>
      </w:r>
      <w:r>
        <w:rPr>
          <w:vertAlign w:val="superscript"/>
        </w:rPr>
        <w:t>14</w:t>
      </w:r>
      <w:r>
        <w:t xml:space="preserve">C] ASV, total clearance was estimated to be 49.5 L/hr (825 mL/min). The </w:t>
      </w:r>
      <w:r w:rsidR="00BC3F83">
        <w:t>t</w:t>
      </w:r>
      <w:r w:rsidR="00BC3F83" w:rsidRPr="003B327F">
        <w:rPr>
          <w:vertAlign w:val="subscript"/>
        </w:rPr>
        <w:t>1/2</w:t>
      </w:r>
      <w:r>
        <w:t xml:space="preserve"> was estimated to be 13.7 </w:t>
      </w:r>
      <w:r w:rsidR="000F1CA4">
        <w:t>h</w:t>
      </w:r>
      <w:r>
        <w:t>. Following multiple doses of the soft</w:t>
      </w:r>
      <w:r w:rsidR="0009193B">
        <w:t xml:space="preserve"> </w:t>
      </w:r>
      <w:r>
        <w:t xml:space="preserve">gel capsule formulation at the 100 mg BD, </w:t>
      </w:r>
      <w:r w:rsidR="0009193B">
        <w:t xml:space="preserve">the </w:t>
      </w:r>
      <w:r>
        <w:t xml:space="preserve">mean </w:t>
      </w:r>
      <w:r w:rsidR="0009193B">
        <w:t>t1/2</w:t>
      </w:r>
      <w:r>
        <w:t xml:space="preserve"> across studies was 17.7 </w:t>
      </w:r>
      <w:r w:rsidR="000F1CA4">
        <w:t>h</w:t>
      </w:r>
      <w:r>
        <w:t>.</w:t>
      </w:r>
    </w:p>
    <w:p w:rsidR="00C60B78" w:rsidRDefault="00016899" w:rsidP="003B327F">
      <w:r>
        <w:t>Subjects with moderate or severe hepatic impairment had markedly increased systemic exposure to ASV compared to healthy volunteers (32</w:t>
      </w:r>
      <w:r w:rsidR="00BC3F83">
        <w:t xml:space="preserve"> </w:t>
      </w:r>
      <w:r>
        <w:t xml:space="preserve">fold </w:t>
      </w:r>
      <w:proofErr w:type="gramStart"/>
      <w:r>
        <w:t>increase</w:t>
      </w:r>
      <w:proofErr w:type="gramEnd"/>
      <w:r>
        <w:t xml:space="preserve"> in AUC for Child-Pugh class C and 9.8</w:t>
      </w:r>
      <w:r w:rsidR="0009193B">
        <w:t xml:space="preserve"> </w:t>
      </w:r>
      <w:r>
        <w:t>fold increase for class B).</w:t>
      </w:r>
      <w:r w:rsidR="0009193B">
        <w:rPr>
          <w:rStyle w:val="FootnoteReference"/>
        </w:rPr>
        <w:footnoteReference w:id="33"/>
      </w:r>
      <w:r>
        <w:t xml:space="preserve"> Subjects with mild (Class A) hepatic impairment </w:t>
      </w:r>
      <w:r w:rsidR="0009193B">
        <w:t>did not have increased exposure</w:t>
      </w:r>
      <w:r>
        <w:t>. In the draft PI, ASV is contraindicated in subjects with moderate to severe hepatic impairment. No dosage reduction is recommended for subjects with mild hepatic impairment.</w:t>
      </w:r>
    </w:p>
    <w:p w:rsidR="00016899" w:rsidRDefault="00016899" w:rsidP="003B327F">
      <w:r>
        <w:lastRenderedPageBreak/>
        <w:t xml:space="preserve">Patients with end stage renal disease on haemodialysis did not have an increased exposure to ASV based on AUC and </w:t>
      </w:r>
      <w:proofErr w:type="spellStart"/>
      <w:r>
        <w:t>C</w:t>
      </w:r>
      <w:r>
        <w:rPr>
          <w:vertAlign w:val="subscript"/>
        </w:rPr>
        <w:t>min</w:t>
      </w:r>
      <w:proofErr w:type="spellEnd"/>
      <w:r>
        <w:t xml:space="preserve"> values. Mean</w:t>
      </w:r>
      <w:r w:rsidR="001F3724">
        <w:t xml:space="preserve"> </w:t>
      </w:r>
      <w:proofErr w:type="spellStart"/>
      <w:r w:rsidR="001F3724" w:rsidRPr="00D85066">
        <w:t>C</w:t>
      </w:r>
      <w:r w:rsidR="001F3724" w:rsidRPr="001F3724">
        <w:rPr>
          <w:vertAlign w:val="subscript"/>
        </w:rPr>
        <w:t>max</w:t>
      </w:r>
      <w:proofErr w:type="spellEnd"/>
      <w:r>
        <w:t xml:space="preserve"> values were</w:t>
      </w:r>
      <w:r w:rsidR="0009193B">
        <w:t xml:space="preserve"> increased by approximately 25%</w:t>
      </w:r>
      <w:r>
        <w:t>. No dosage adjustment was initially recommended in the draft PI for subjects with impaired renal function.</w:t>
      </w:r>
      <w:r w:rsidR="004936B4">
        <w:t xml:space="preserve"> </w:t>
      </w:r>
      <w:r>
        <w:t xml:space="preserve">The </w:t>
      </w:r>
      <w:r w:rsidR="0009193B">
        <w:t>s</w:t>
      </w:r>
      <w:r>
        <w:t xml:space="preserve">econd round </w:t>
      </w:r>
      <w:r w:rsidR="0009193B">
        <w:t>clinical evaluation</w:t>
      </w:r>
      <w:r>
        <w:t xml:space="preserve"> evaluated a new study</w:t>
      </w:r>
      <w:r w:rsidR="004936B4">
        <w:t xml:space="preserve"> </w:t>
      </w:r>
      <w:r>
        <w:t>(A144311) which supported a recommendation for dose reduction to 100</w:t>
      </w:r>
      <w:r w:rsidR="0009193B">
        <w:t xml:space="preserve"> </w:t>
      </w:r>
      <w:r>
        <w:t xml:space="preserve">mg </w:t>
      </w:r>
      <w:r w:rsidR="0009193B">
        <w:t>Q</w:t>
      </w:r>
      <w:r>
        <w:t>D in patients with severe renal impairment not receiving dialysis.</w:t>
      </w:r>
    </w:p>
    <w:p w:rsidR="00C60B78" w:rsidRDefault="00016899" w:rsidP="00016899">
      <w:pPr>
        <w:spacing w:before="0" w:after="0" w:line="240" w:lineRule="auto"/>
        <w:rPr>
          <w:bCs/>
        </w:rPr>
      </w:pPr>
      <w:r>
        <w:rPr>
          <w:bCs/>
        </w:rPr>
        <w:t>No dedicated studies were conducted examining the effect of age and gender on ASV PK. In a population PK analysis, age and female gender was identified as a significant covariate. However, the magnitude of any effect on ASV exposure was small and unlikely to be clinically significant.</w:t>
      </w:r>
    </w:p>
    <w:p w:rsidR="00C60B78" w:rsidRDefault="00016899" w:rsidP="00016899">
      <w:pPr>
        <w:spacing w:before="0" w:after="0" w:line="240" w:lineRule="auto"/>
      </w:pPr>
      <w:r>
        <w:t xml:space="preserve">PK drug interactions are discussed in </w:t>
      </w:r>
      <w:r w:rsidR="0009193B">
        <w:t>Attachment 2</w:t>
      </w:r>
      <w:r>
        <w:t>. Of note, a number of contraindications are listed in the draft ASV PI as results of drug interactions.</w:t>
      </w:r>
      <w:r w:rsidR="004936B4">
        <w:t xml:space="preserve"> </w:t>
      </w:r>
      <w:r>
        <w:t>ASV is contraindicated</w:t>
      </w:r>
    </w:p>
    <w:p w:rsidR="00016899" w:rsidRDefault="00016899" w:rsidP="0009193B">
      <w:pPr>
        <w:pStyle w:val="ListBullet"/>
      </w:pPr>
      <w:r>
        <w:t>in patients receiving moderate or strong CYP3A4 inhibitors</w:t>
      </w:r>
    </w:p>
    <w:p w:rsidR="00016899" w:rsidRDefault="00016899" w:rsidP="0009193B">
      <w:pPr>
        <w:pStyle w:val="ListBullet"/>
      </w:pPr>
      <w:r>
        <w:t>in patients receiving moderate or strong CYP3A4 inducer</w:t>
      </w:r>
    </w:p>
    <w:p w:rsidR="00016899" w:rsidRDefault="00016899" w:rsidP="0009193B">
      <w:pPr>
        <w:pStyle w:val="ListBullet"/>
      </w:pPr>
      <w:r>
        <w:t>in patients receiving strong inhibitors of OAT-1B1/2B1</w:t>
      </w:r>
    </w:p>
    <w:p w:rsidR="00C60B78" w:rsidRDefault="00016899" w:rsidP="0009193B">
      <w:pPr>
        <w:pStyle w:val="ListBullet"/>
      </w:pPr>
      <w:r>
        <w:t>in patients receiving CYP2D6 substrates with a narrow therapeutic range</w:t>
      </w:r>
    </w:p>
    <w:p w:rsidR="00016899" w:rsidRDefault="00016899" w:rsidP="0009193B">
      <w:pPr>
        <w:rPr>
          <w:u w:val="single"/>
        </w:rPr>
      </w:pPr>
      <w:r>
        <w:t xml:space="preserve">ASV had no effect on the PK of substrates for </w:t>
      </w:r>
      <w:r w:rsidR="0009193B">
        <w:t>CYP</w:t>
      </w:r>
      <w:r>
        <w:t xml:space="preserve">2C9 (losartan), </w:t>
      </w:r>
      <w:r w:rsidR="0009193B">
        <w:t>CYP</w:t>
      </w:r>
      <w:r>
        <w:t xml:space="preserve">2C19 (omeprazole), and </w:t>
      </w:r>
      <w:r w:rsidR="0009193B">
        <w:t>CYP</w:t>
      </w:r>
      <w:r>
        <w:t>1A2 (caffeine).</w:t>
      </w:r>
      <w:r w:rsidR="0009193B">
        <w:t>Non</w:t>
      </w:r>
      <w:r>
        <w:t>clinical data suggested that ASV inhibited P-</w:t>
      </w:r>
      <w:proofErr w:type="spellStart"/>
      <w:r>
        <w:t>gp</w:t>
      </w:r>
      <w:proofErr w:type="spellEnd"/>
      <w:r>
        <w:t xml:space="preserve">. This was confirmed in a clinical study where ASV increased digoxin AUC by 30%. The draft PI recommends monitoring of serum digoxin concentrations when co-prescribed with ASV. In vitro, ASV was an inhibitor of OATP-1B1, 1B3, 2B1 and </w:t>
      </w:r>
      <w:r w:rsidR="0009193B">
        <w:t>breast cancer resistance protein (</w:t>
      </w:r>
      <w:r>
        <w:t>BCRP</w:t>
      </w:r>
      <w:r w:rsidR="0009193B">
        <w:t>)</w:t>
      </w:r>
      <w:r>
        <w:t xml:space="preserve">. In a clinical study, ASV caused increased systemic exposure to </w:t>
      </w:r>
      <w:proofErr w:type="spellStart"/>
      <w:r>
        <w:t>rosuvastatin</w:t>
      </w:r>
      <w:proofErr w:type="spellEnd"/>
      <w:r>
        <w:t xml:space="preserve"> (an OATP1B1, OATP1B3 and BCRP substrate).</w:t>
      </w:r>
    </w:p>
    <w:p w:rsidR="00016899" w:rsidRPr="0009193B" w:rsidRDefault="00016899" w:rsidP="0009193B">
      <w:pPr>
        <w:pStyle w:val="Heading4"/>
      </w:pPr>
      <w:r>
        <w:t>Dose selection</w:t>
      </w:r>
    </w:p>
    <w:p w:rsidR="00C60B78" w:rsidRDefault="00016899" w:rsidP="00016899">
      <w:r>
        <w:t xml:space="preserve">In the </w:t>
      </w:r>
      <w:r w:rsidR="004C5D5E">
        <w:t>Phase II</w:t>
      </w:r>
      <w:r>
        <w:t xml:space="preserve"> studies, the following ASV doses were tested: 200 mg QD, 200 mg </w:t>
      </w:r>
      <w:r w:rsidR="004C5D5E">
        <w:t>BD</w:t>
      </w:r>
      <w:r>
        <w:t xml:space="preserve"> and 600 mg </w:t>
      </w:r>
      <w:r w:rsidR="004C5D5E">
        <w:t>BD</w:t>
      </w:r>
      <w:r>
        <w:t xml:space="preserve">. In </w:t>
      </w:r>
      <w:r w:rsidR="004C5D5E">
        <w:t>Study A</w:t>
      </w:r>
      <w:r>
        <w:t xml:space="preserve">I447016 in non-Japanese subjects, ASV 200 mg </w:t>
      </w:r>
      <w:r w:rsidR="004C5D5E">
        <w:t>BD</w:t>
      </w:r>
      <w:r>
        <w:t xml:space="preserve">, ASV 600 mg QD, and ASV 600 mg </w:t>
      </w:r>
      <w:r w:rsidR="004C5D5E">
        <w:t>BD</w:t>
      </w:r>
      <w:r>
        <w:t xml:space="preserve"> doses were evaluated. All 3 studies (AI447011, AI447016, and AI447017) were conducted using the tablet formulation of ASV. Although all these ASV doses were generally well tolerated, a trend in the frequency and magnitude of ALT and AST elevations was observed at ASV doses &gt; 200 mg </w:t>
      </w:r>
      <w:r w:rsidR="004C5D5E">
        <w:t>BD</w:t>
      </w:r>
      <w:r>
        <w:t xml:space="preserve"> of the tablet formulation and this trend was associated with greater ASV exposure.</w:t>
      </w:r>
      <w:r w:rsidR="004936B4">
        <w:t xml:space="preserve"> </w:t>
      </w:r>
      <w:r>
        <w:t xml:space="preserve">The observed LFT data and high response rates in </w:t>
      </w:r>
      <w:r w:rsidR="004C5D5E">
        <w:t>Phase II</w:t>
      </w:r>
      <w:r>
        <w:t xml:space="preserve"> studies supported the prediction that ASV 200</w:t>
      </w:r>
      <w:r w:rsidR="0009193B">
        <w:t xml:space="preserve"> </w:t>
      </w:r>
      <w:r>
        <w:t xml:space="preserve">mg tablet </w:t>
      </w:r>
      <w:r w:rsidR="004C5D5E">
        <w:t>BD</w:t>
      </w:r>
      <w:r>
        <w:t xml:space="preserve"> offered the best balance of safety and efficacy.</w:t>
      </w:r>
    </w:p>
    <w:p w:rsidR="00016899" w:rsidRDefault="00016899" w:rsidP="00016899">
      <w:pPr>
        <w:autoSpaceDE w:val="0"/>
        <w:autoSpaceDN w:val="0"/>
      </w:pPr>
      <w:r>
        <w:t>A 10</w:t>
      </w:r>
      <w:r w:rsidR="004C5D5E">
        <w:t>0 mg</w:t>
      </w:r>
      <w:r>
        <w:t xml:space="preserve"> </w:t>
      </w:r>
      <w:r w:rsidR="004C5D5E">
        <w:t>BD</w:t>
      </w:r>
      <w:r>
        <w:t xml:space="preserve"> soft gel ASV capsule formulation was selected as </w:t>
      </w:r>
      <w:r w:rsidR="004C5D5E">
        <w:t>Phase III</w:t>
      </w:r>
      <w:r>
        <w:t xml:space="preserve"> formulation based on the results from a relative bioavailability study that indicated the bioavailability of the soft gel capsule was approximately 2</w:t>
      </w:r>
      <w:r w:rsidR="0009193B">
        <w:t xml:space="preserve"> </w:t>
      </w:r>
      <w:r>
        <w:t>fold higher compared with the tablet administered with food (</w:t>
      </w:r>
      <w:r w:rsidR="004C5D5E">
        <w:t>Study A</w:t>
      </w:r>
      <w:r>
        <w:t xml:space="preserve">I447043). Moreover, the soft gel capsule formulation mitigated the significant food effect observed with the tablet formulation. Based on these data, the soft gel ASV capsule at a dose of 100 mg </w:t>
      </w:r>
      <w:r w:rsidR="004C5D5E">
        <w:t>BD</w:t>
      </w:r>
      <w:r>
        <w:t xml:space="preserve"> administered either with or without meals was expected to approximate the AUC of the ASV 200 mg tablet administered with food in </w:t>
      </w:r>
      <w:r w:rsidR="004C5D5E">
        <w:t>Phase II</w:t>
      </w:r>
      <w:r>
        <w:t xml:space="preserve"> studies</w:t>
      </w:r>
    </w:p>
    <w:p w:rsidR="00016899" w:rsidRDefault="00016899" w:rsidP="00190D26">
      <w:pPr>
        <w:pStyle w:val="Heading4"/>
      </w:pPr>
      <w:r>
        <w:t>Efficacy</w:t>
      </w:r>
    </w:p>
    <w:p w:rsidR="00016899" w:rsidRDefault="00016899" w:rsidP="00016899">
      <w:pPr>
        <w:pStyle w:val="Bullet2"/>
        <w:numPr>
          <w:ilvl w:val="0"/>
          <w:numId w:val="0"/>
        </w:numPr>
        <w:tabs>
          <w:tab w:val="left" w:pos="720"/>
        </w:tabs>
      </w:pPr>
      <w:r>
        <w:t>The efficacy studies for the requested regimens of combination therapy were all common to the DCV submission and have been assessed in the DCV clinical evaluation report. They are cross referenced to that report and only brief summaries are provided in this report.</w:t>
      </w:r>
    </w:p>
    <w:p w:rsidR="00016899" w:rsidRPr="0009193B" w:rsidRDefault="00016899" w:rsidP="0009193B">
      <w:pPr>
        <w:pStyle w:val="Heading5"/>
      </w:pPr>
      <w:r>
        <w:lastRenderedPageBreak/>
        <w:t>Dual regimen (ASV/DCV)</w:t>
      </w:r>
    </w:p>
    <w:p w:rsidR="00016899" w:rsidRDefault="00016899" w:rsidP="00016899">
      <w:pPr>
        <w:rPr>
          <w:szCs w:val="20"/>
        </w:rPr>
      </w:pPr>
      <w:r>
        <w:t>Two pivotal and two supportive studies were included to support for ASV/DCV</w:t>
      </w:r>
      <w:r w:rsidR="004936B4">
        <w:t xml:space="preserve"> </w:t>
      </w:r>
      <w:r>
        <w:t xml:space="preserve">combination. These have </w:t>
      </w:r>
      <w:r w:rsidRPr="00C95499">
        <w:t>been evaluated in the DCV clinical evaluation report.</w:t>
      </w:r>
      <w:r w:rsidR="00C95499" w:rsidRPr="00C95499">
        <w:rPr>
          <w:rStyle w:val="FootnoteReference"/>
        </w:rPr>
        <w:footnoteReference w:id="34"/>
      </w:r>
      <w:r>
        <w:t xml:space="preserve"> Brief summaries are provided here.</w:t>
      </w:r>
    </w:p>
    <w:p w:rsidR="00016899" w:rsidRPr="0009193B" w:rsidRDefault="00016899" w:rsidP="0009193B">
      <w:pPr>
        <w:pStyle w:val="Heading6"/>
      </w:pPr>
      <w:bookmarkStart w:id="169" w:name="_Toc290846274"/>
      <w:bookmarkStart w:id="170" w:name="_Toc272414652"/>
      <w:bookmarkStart w:id="171" w:name="_Ref271037274"/>
      <w:r>
        <w:t>Pivotal efficacy studies</w:t>
      </w:r>
      <w:bookmarkEnd w:id="169"/>
      <w:bookmarkEnd w:id="170"/>
      <w:bookmarkEnd w:id="171"/>
    </w:p>
    <w:p w:rsidR="00016899" w:rsidRDefault="00016899" w:rsidP="00016899">
      <w:r w:rsidRPr="0009193B">
        <w:t>Study AI447028</w:t>
      </w:r>
      <w:r>
        <w:t xml:space="preserve"> was a randomised, multicentre, parallel group study with 3 cohorts of subjects with HCV GT-1b infection. The study included treatment naïve subjects (N=203), prior </w:t>
      </w:r>
      <w:proofErr w:type="spellStart"/>
      <w:r>
        <w:t>pegIFN</w:t>
      </w:r>
      <w:proofErr w:type="spellEnd"/>
      <w:r>
        <w:t xml:space="preserve">α/RBV non-responders (null and partial responders, N=205) and IFN intolerant/ineligible subjects (N=235). Overall 206/643 (32.0%) had compensated cirrhosis at baseline. Subjects in the treatment naïve cohort were randomised 2:1 to receive DCV 60 mg QD and ASV soft gel capsule 100 mg </w:t>
      </w:r>
      <w:r w:rsidR="004C5D5E">
        <w:t>BD</w:t>
      </w:r>
      <w:r>
        <w:t xml:space="preserve"> for 24 weeks and then followed for 24 weeks post treatment or placebo for 12 weeks (and then enrolled into another study of DCV/ASV open label for 24 weeks). There was no randomisation of the other 2 cohorts (all subjects received DCV 60 mg QD and ASV 100 mg </w:t>
      </w:r>
      <w:r w:rsidR="004C5D5E">
        <w:t>BD</w:t>
      </w:r>
      <w:r>
        <w:t>).</w:t>
      </w:r>
    </w:p>
    <w:p w:rsidR="00016899" w:rsidRDefault="00016899" w:rsidP="00016899">
      <w:r w:rsidRPr="0009193B">
        <w:t>Study AI447026 was</w:t>
      </w:r>
      <w:r>
        <w:t xml:space="preserve"> an open label study in 2 groups of Japanese subjects with HCV GT-1b infection. The study included prior </w:t>
      </w:r>
      <w:proofErr w:type="spellStart"/>
      <w:r>
        <w:t>pegIFN</w:t>
      </w:r>
      <w:proofErr w:type="spellEnd"/>
      <w:r>
        <w:t xml:space="preserve">α/RBV or IFNβ/RBV non-responders (null and partial responders N=87) or IFN intolerant/ineligible subjects (N=135). Overall, 22/222 (9.9%) subjects had compensated cirrhosis at baseline. All subjects were treated with DCV/ASV therapy (DCV 60 mg QD and ASV 100 mg soft gel capsule </w:t>
      </w:r>
      <w:r w:rsidR="004C5D5E">
        <w:t>BD</w:t>
      </w:r>
      <w:r>
        <w:t>) for 24 weeks and followed for 24 weeks post treatment.</w:t>
      </w:r>
    </w:p>
    <w:p w:rsidR="00016899" w:rsidRDefault="00016899" w:rsidP="00190D26">
      <w:pPr>
        <w:pStyle w:val="Heading6"/>
      </w:pPr>
      <w:r>
        <w:t>Supportive efficacy studies</w:t>
      </w:r>
    </w:p>
    <w:p w:rsidR="00016899" w:rsidRDefault="00016899" w:rsidP="00016899">
      <w:r w:rsidRPr="0009193B">
        <w:t>Study AI447017</w:t>
      </w:r>
      <w:r>
        <w:rPr>
          <w:b/>
        </w:rPr>
        <w:t xml:space="preserve"> </w:t>
      </w:r>
      <w:r>
        <w:t xml:space="preserve">was an open label study in Japanese subjects with HCV GT-1 infection. The study included </w:t>
      </w:r>
      <w:proofErr w:type="spellStart"/>
      <w:r>
        <w:t>pegIFN</w:t>
      </w:r>
      <w:proofErr w:type="spellEnd"/>
      <w:r>
        <w:t xml:space="preserve">α/RBV prior null responders (N=21) and IFN intolerant/ineligible subjects (N=22). Subjects with baseline cirrhosis were excluded. All subjects received DCV 60 mg QD and ASV 600 mg or 200 mg tablets </w:t>
      </w:r>
      <w:r w:rsidR="004C5D5E">
        <w:t>BD</w:t>
      </w:r>
      <w:r>
        <w:t xml:space="preserve"> for 24 weeks. Subjects with </w:t>
      </w:r>
      <w:proofErr w:type="spellStart"/>
      <w:r>
        <w:t>virologic</w:t>
      </w:r>
      <w:proofErr w:type="spellEnd"/>
      <w:r>
        <w:t xml:space="preserve"> failure were followed for 48 weeks post treatment and all other subjects were followed for 24 weeks post treatment.</w:t>
      </w:r>
    </w:p>
    <w:p w:rsidR="00016899" w:rsidRDefault="00016899" w:rsidP="00016899">
      <w:pPr>
        <w:spacing w:before="0" w:after="0" w:line="240" w:lineRule="auto"/>
        <w:contextualSpacing/>
      </w:pPr>
      <w:r>
        <w:t xml:space="preserve">Study </w:t>
      </w:r>
      <w:r w:rsidRPr="0009193B">
        <w:t>AI447011</w:t>
      </w:r>
      <w:r>
        <w:t xml:space="preserve"> included groups who received DUAL (DCV/ASV) or QUAD (DCV+ASV+ </w:t>
      </w:r>
      <w:proofErr w:type="spellStart"/>
      <w:r>
        <w:t>pegIFN</w:t>
      </w:r>
      <w:proofErr w:type="spellEnd"/>
      <w:r>
        <w:t xml:space="preserve">α/RBV) regimens. It was an open label study in </w:t>
      </w:r>
      <w:proofErr w:type="spellStart"/>
      <w:r>
        <w:t>pegIFN</w:t>
      </w:r>
      <w:proofErr w:type="spellEnd"/>
      <w:r>
        <w:t xml:space="preserve">α/RBV prior null responders (N=122) with HCV GT-1a or 1b. Subjects with cirrhosis were excluded. In the DCV/ASV group, 49 subjects received DCV 60 mg and ASV 600 mg tablet </w:t>
      </w:r>
      <w:r w:rsidR="004C5D5E">
        <w:t>BD</w:t>
      </w:r>
      <w:r>
        <w:t xml:space="preserve"> (N=11) or 200 mg tablet </w:t>
      </w:r>
      <w:r w:rsidR="004C5D5E">
        <w:t>BD</w:t>
      </w:r>
      <w:r>
        <w:t xml:space="preserve"> (N=18) or 200 mg tablet QD (N=20). The treatment period was 24 weeks and subjects were then followed for 48 weeks post treatment</w:t>
      </w:r>
    </w:p>
    <w:p w:rsidR="00016899" w:rsidRDefault="00EA1B9C" w:rsidP="003B4380">
      <w:pPr>
        <w:pStyle w:val="TableTitle"/>
      </w:pPr>
      <w:bookmarkStart w:id="172" w:name="_Toc401831790"/>
      <w:bookmarkStart w:id="173" w:name="_Toc401659981"/>
      <w:r>
        <w:t xml:space="preserve">Table 19: </w:t>
      </w:r>
      <w:r w:rsidR="00016899">
        <w:t>Efficacy of DUAL regimen in the pivotal and supportive studies</w:t>
      </w:r>
      <w:bookmarkEnd w:id="172"/>
    </w:p>
    <w:tbl>
      <w:tblPr>
        <w:tblStyle w:val="TableTGAblue"/>
        <w:tblW w:w="8613" w:type="dxa"/>
        <w:tblLayout w:type="fixed"/>
        <w:tblLook w:val="04A0" w:firstRow="1" w:lastRow="0" w:firstColumn="1" w:lastColumn="0" w:noHBand="0" w:noVBand="1"/>
      </w:tblPr>
      <w:tblGrid>
        <w:gridCol w:w="2216"/>
        <w:gridCol w:w="1701"/>
        <w:gridCol w:w="1470"/>
        <w:gridCol w:w="231"/>
        <w:gridCol w:w="1328"/>
        <w:gridCol w:w="370"/>
        <w:gridCol w:w="1297"/>
      </w:tblGrid>
      <w:tr w:rsidR="00016899" w:rsidRPr="00392F46" w:rsidTr="0055797B">
        <w:trPr>
          <w:cnfStyle w:val="100000000000" w:firstRow="1" w:lastRow="0" w:firstColumn="0" w:lastColumn="0" w:oddVBand="0" w:evenVBand="0" w:oddHBand="0" w:evenHBand="0" w:firstRowFirstColumn="0" w:firstRowLastColumn="0" w:lastRowFirstColumn="0" w:lastRowLastColumn="0"/>
        </w:trPr>
        <w:tc>
          <w:tcPr>
            <w:tcW w:w="2216" w:type="dxa"/>
            <w:vMerge w:val="restart"/>
            <w:hideMark/>
          </w:tcPr>
          <w:p w:rsidR="00016899" w:rsidRPr="00BA1372" w:rsidRDefault="00016899" w:rsidP="0055797B">
            <w:pPr>
              <w:rPr>
                <w:rFonts w:eastAsia="MS Mincho"/>
                <w:b w:val="0"/>
                <w:lang w:eastAsia="ja-JP"/>
              </w:rPr>
            </w:pPr>
            <w:r w:rsidRPr="00BA1372">
              <w:rPr>
                <w:b w:val="0"/>
              </w:rPr>
              <w:t xml:space="preserve">Endpoint </w:t>
            </w:r>
            <w:r w:rsidRPr="00BA1372">
              <w:rPr>
                <w:b w:val="0"/>
                <w:vertAlign w:val="superscript"/>
              </w:rPr>
              <w:t>b</w:t>
            </w:r>
          </w:p>
        </w:tc>
        <w:tc>
          <w:tcPr>
            <w:tcW w:w="6397" w:type="dxa"/>
            <w:gridSpan w:val="6"/>
            <w:hideMark/>
          </w:tcPr>
          <w:p w:rsidR="00016899" w:rsidRPr="00BA1372" w:rsidRDefault="00016899" w:rsidP="0055797B">
            <w:pPr>
              <w:rPr>
                <w:rFonts w:eastAsia="MS Mincho"/>
                <w:b w:val="0"/>
                <w:bCs/>
                <w:lang w:eastAsia="ja-JP"/>
              </w:rPr>
            </w:pPr>
            <w:proofErr w:type="spellStart"/>
            <w:r w:rsidRPr="00BA1372">
              <w:rPr>
                <w:b w:val="0"/>
                <w:bCs/>
              </w:rPr>
              <w:t>Virologic</w:t>
            </w:r>
            <w:proofErr w:type="spellEnd"/>
            <w:r w:rsidRPr="00BA1372">
              <w:rPr>
                <w:b w:val="0"/>
                <w:bCs/>
                <w:spacing w:val="-7"/>
              </w:rPr>
              <w:t xml:space="preserve"> </w:t>
            </w:r>
            <w:r w:rsidRPr="00BA1372">
              <w:rPr>
                <w:b w:val="0"/>
                <w:bCs/>
              </w:rPr>
              <w:t>Response: Number</w:t>
            </w:r>
            <w:r w:rsidRPr="00BA1372">
              <w:rPr>
                <w:b w:val="0"/>
                <w:bCs/>
                <w:spacing w:val="-6"/>
              </w:rPr>
              <w:t xml:space="preserve"> </w:t>
            </w:r>
            <w:r w:rsidRPr="00BA1372">
              <w:rPr>
                <w:b w:val="0"/>
                <w:bCs/>
              </w:rPr>
              <w:t>of</w:t>
            </w:r>
            <w:r w:rsidRPr="00BA1372">
              <w:rPr>
                <w:b w:val="0"/>
                <w:bCs/>
                <w:spacing w:val="-1"/>
              </w:rPr>
              <w:t xml:space="preserve"> </w:t>
            </w:r>
            <w:r w:rsidRPr="00BA1372">
              <w:rPr>
                <w:b w:val="0"/>
                <w:bCs/>
              </w:rPr>
              <w:t>Subjects</w:t>
            </w:r>
            <w:r w:rsidRPr="00BA1372">
              <w:rPr>
                <w:b w:val="0"/>
                <w:bCs/>
                <w:spacing w:val="-6"/>
              </w:rPr>
              <w:t xml:space="preserve"> </w:t>
            </w:r>
            <w:r w:rsidRPr="00BA1372">
              <w:rPr>
                <w:b w:val="0"/>
                <w:bCs/>
              </w:rPr>
              <w:t>(%)</w:t>
            </w:r>
            <w:r w:rsidRPr="00BA1372">
              <w:rPr>
                <w:b w:val="0"/>
                <w:bCs/>
                <w:spacing w:val="-2"/>
              </w:rPr>
              <w:t xml:space="preserve"> </w:t>
            </w:r>
            <w:r w:rsidRPr="00BA1372">
              <w:rPr>
                <w:b w:val="0"/>
                <w:bCs/>
              </w:rPr>
              <w:t>[95%</w:t>
            </w:r>
            <w:r w:rsidRPr="00BA1372">
              <w:rPr>
                <w:b w:val="0"/>
                <w:bCs/>
                <w:spacing w:val="-4"/>
              </w:rPr>
              <w:t xml:space="preserve"> </w:t>
            </w:r>
            <w:r w:rsidRPr="00BA1372">
              <w:rPr>
                <w:b w:val="0"/>
                <w:bCs/>
              </w:rPr>
              <w:t>CI</w:t>
            </w:r>
            <w:r w:rsidRPr="00BA1372">
              <w:rPr>
                <w:b w:val="0"/>
                <w:bCs/>
                <w:spacing w:val="36"/>
              </w:rPr>
              <w:t xml:space="preserve"> </w:t>
            </w:r>
            <w:r w:rsidRPr="00BA1372">
              <w:rPr>
                <w:b w:val="0"/>
                <w:bCs/>
                <w:spacing w:val="36"/>
                <w:vertAlign w:val="superscript"/>
              </w:rPr>
              <w:t>a</w:t>
            </w:r>
            <w:r w:rsidRPr="00BA1372">
              <w:rPr>
                <w:b w:val="0"/>
                <w:bCs/>
              </w:rPr>
              <w:t>]</w:t>
            </w:r>
          </w:p>
        </w:tc>
      </w:tr>
      <w:tr w:rsidR="00016899" w:rsidRPr="00392F46" w:rsidTr="0055797B">
        <w:tc>
          <w:tcPr>
            <w:tcW w:w="2216" w:type="dxa"/>
            <w:vMerge/>
            <w:hideMark/>
          </w:tcPr>
          <w:p w:rsidR="00016899" w:rsidRPr="00BA1372" w:rsidRDefault="00016899" w:rsidP="0055797B">
            <w:pPr>
              <w:rPr>
                <w:rFonts w:eastAsia="MS Mincho"/>
                <w:b/>
                <w:lang w:eastAsia="ja-JP"/>
              </w:rPr>
            </w:pPr>
          </w:p>
        </w:tc>
        <w:tc>
          <w:tcPr>
            <w:tcW w:w="1701" w:type="dxa"/>
            <w:hideMark/>
          </w:tcPr>
          <w:p w:rsidR="00016899" w:rsidRPr="00BA1372" w:rsidRDefault="00016899" w:rsidP="0055797B">
            <w:pPr>
              <w:rPr>
                <w:rFonts w:eastAsia="MS Mincho"/>
                <w:b/>
                <w:lang w:eastAsia="ja-JP"/>
              </w:rPr>
            </w:pPr>
            <w:r w:rsidRPr="00BA1372">
              <w:rPr>
                <w:bCs/>
                <w:spacing w:val="1"/>
                <w:position w:val="-1"/>
              </w:rPr>
              <w:t>Pivotal</w:t>
            </w:r>
            <w:r w:rsidR="00392F46" w:rsidRPr="00BA1372">
              <w:rPr>
                <w:bCs/>
                <w:spacing w:val="1"/>
                <w:position w:val="-1"/>
              </w:rPr>
              <w:t xml:space="preserve"> </w:t>
            </w:r>
            <w:r w:rsidRPr="00BA1372">
              <w:rPr>
                <w:bCs/>
                <w:spacing w:val="1"/>
                <w:w w:val="99"/>
                <w:position w:val="1"/>
              </w:rPr>
              <w:t>AI447028</w:t>
            </w:r>
            <w:r w:rsidRPr="00BA1372">
              <w:rPr>
                <w:bCs/>
                <w:spacing w:val="1"/>
                <w:w w:val="99"/>
                <w:position w:val="1"/>
                <w:vertAlign w:val="superscript"/>
              </w:rPr>
              <w:t>c</w:t>
            </w:r>
          </w:p>
        </w:tc>
        <w:tc>
          <w:tcPr>
            <w:tcW w:w="1470" w:type="dxa"/>
            <w:hideMark/>
          </w:tcPr>
          <w:p w:rsidR="00016899" w:rsidRPr="00BA1372" w:rsidRDefault="00016899" w:rsidP="0055797B">
            <w:pPr>
              <w:rPr>
                <w:rFonts w:eastAsia="MS Mincho"/>
                <w:b/>
                <w:lang w:eastAsia="ja-JP"/>
              </w:rPr>
            </w:pPr>
            <w:r w:rsidRPr="00BA1372">
              <w:rPr>
                <w:bCs/>
                <w:spacing w:val="1"/>
                <w:position w:val="-1"/>
              </w:rPr>
              <w:t>Pivotal</w:t>
            </w:r>
            <w:r w:rsidR="00392F46" w:rsidRPr="00BA1372">
              <w:rPr>
                <w:bCs/>
                <w:spacing w:val="1"/>
                <w:position w:val="-1"/>
              </w:rPr>
              <w:t xml:space="preserve"> </w:t>
            </w:r>
            <w:r w:rsidRPr="00BA1372">
              <w:rPr>
                <w:bCs/>
                <w:spacing w:val="1"/>
                <w:w w:val="99"/>
                <w:position w:val="1"/>
              </w:rPr>
              <w:t>AI447026</w:t>
            </w:r>
            <w:r w:rsidRPr="00BA1372">
              <w:rPr>
                <w:bCs/>
                <w:spacing w:val="1"/>
                <w:w w:val="99"/>
                <w:position w:val="1"/>
                <w:vertAlign w:val="superscript"/>
              </w:rPr>
              <w:t>c</w:t>
            </w:r>
          </w:p>
        </w:tc>
        <w:tc>
          <w:tcPr>
            <w:tcW w:w="1559" w:type="dxa"/>
            <w:gridSpan w:val="2"/>
            <w:hideMark/>
          </w:tcPr>
          <w:p w:rsidR="00016899" w:rsidRPr="00BA1372" w:rsidRDefault="00016899" w:rsidP="0055797B">
            <w:pPr>
              <w:rPr>
                <w:rFonts w:eastAsia="MS Mincho"/>
                <w:b/>
                <w:lang w:eastAsia="ja-JP"/>
              </w:rPr>
            </w:pPr>
            <w:r w:rsidRPr="00BA1372">
              <w:rPr>
                <w:bCs/>
                <w:w w:val="99"/>
                <w:position w:val="-1"/>
              </w:rPr>
              <w:t>Supportive</w:t>
            </w:r>
            <w:r w:rsidR="00392F46" w:rsidRPr="00BA1372">
              <w:rPr>
                <w:bCs/>
                <w:w w:val="99"/>
                <w:position w:val="-1"/>
              </w:rPr>
              <w:t xml:space="preserve"> </w:t>
            </w:r>
            <w:r w:rsidRPr="00BA1372">
              <w:rPr>
                <w:bCs/>
                <w:spacing w:val="1"/>
                <w:position w:val="1"/>
              </w:rPr>
              <w:t xml:space="preserve">AI447017 </w:t>
            </w:r>
            <w:r w:rsidRPr="00BA1372">
              <w:rPr>
                <w:bCs/>
                <w:spacing w:val="1"/>
                <w:position w:val="1"/>
                <w:vertAlign w:val="superscript"/>
              </w:rPr>
              <w:t>d, e</w:t>
            </w:r>
          </w:p>
        </w:tc>
        <w:tc>
          <w:tcPr>
            <w:tcW w:w="1667" w:type="dxa"/>
            <w:gridSpan w:val="2"/>
            <w:hideMark/>
          </w:tcPr>
          <w:p w:rsidR="00016899" w:rsidRPr="00BA1372" w:rsidRDefault="00016899" w:rsidP="0055797B">
            <w:pPr>
              <w:rPr>
                <w:rFonts w:eastAsia="MS Mincho"/>
                <w:b/>
                <w:lang w:eastAsia="ja-JP"/>
              </w:rPr>
            </w:pPr>
            <w:r w:rsidRPr="00BA1372">
              <w:rPr>
                <w:bCs/>
                <w:w w:val="99"/>
                <w:position w:val="-1"/>
              </w:rPr>
              <w:t>Supportive</w:t>
            </w:r>
            <w:r w:rsidR="00392F46" w:rsidRPr="00BA1372">
              <w:rPr>
                <w:bCs/>
                <w:w w:val="99"/>
                <w:position w:val="-1"/>
              </w:rPr>
              <w:t xml:space="preserve"> </w:t>
            </w:r>
            <w:r w:rsidRPr="00BA1372">
              <w:rPr>
                <w:bCs/>
                <w:spacing w:val="1"/>
                <w:position w:val="1"/>
              </w:rPr>
              <w:t xml:space="preserve">AI447011 </w:t>
            </w:r>
            <w:r w:rsidRPr="00BA1372">
              <w:rPr>
                <w:bCs/>
                <w:spacing w:val="1"/>
                <w:position w:val="1"/>
                <w:vertAlign w:val="superscript"/>
              </w:rPr>
              <w:t>d, f</w:t>
            </w:r>
          </w:p>
        </w:tc>
      </w:tr>
      <w:tr w:rsidR="00016899" w:rsidTr="0055797B">
        <w:trPr>
          <w:trHeight w:val="283"/>
        </w:trPr>
        <w:tc>
          <w:tcPr>
            <w:tcW w:w="8613" w:type="dxa"/>
            <w:gridSpan w:val="7"/>
            <w:hideMark/>
          </w:tcPr>
          <w:p w:rsidR="00016899" w:rsidRPr="00BA1372" w:rsidRDefault="00016899" w:rsidP="0055797B">
            <w:pPr>
              <w:rPr>
                <w:rFonts w:eastAsia="MS Mincho"/>
                <w:lang w:eastAsia="ja-JP"/>
              </w:rPr>
            </w:pPr>
            <w:r w:rsidRPr="00BA1372">
              <w:rPr>
                <w:bCs/>
                <w:spacing w:val="1"/>
              </w:rPr>
              <w:t>Treat</w:t>
            </w:r>
            <w:r w:rsidRPr="00BA1372">
              <w:rPr>
                <w:bCs/>
                <w:spacing w:val="-5"/>
              </w:rPr>
              <w:t>m</w:t>
            </w:r>
            <w:r w:rsidRPr="00BA1372">
              <w:rPr>
                <w:bCs/>
                <w:spacing w:val="1"/>
              </w:rPr>
              <w:t>en</w:t>
            </w:r>
            <w:r w:rsidRPr="00BA1372">
              <w:rPr>
                <w:bCs/>
              </w:rPr>
              <w:t>t</w:t>
            </w:r>
            <w:r w:rsidRPr="00BA1372">
              <w:rPr>
                <w:bCs/>
                <w:spacing w:val="-8"/>
              </w:rPr>
              <w:t xml:space="preserve"> </w:t>
            </w:r>
            <w:r w:rsidRPr="00BA1372">
              <w:rPr>
                <w:bCs/>
                <w:spacing w:val="1"/>
              </w:rPr>
              <w:t xml:space="preserve">naïve </w:t>
            </w:r>
          </w:p>
        </w:tc>
      </w:tr>
      <w:tr w:rsidR="00016899" w:rsidTr="0055797B">
        <w:tc>
          <w:tcPr>
            <w:tcW w:w="2216" w:type="dxa"/>
            <w:hideMark/>
          </w:tcPr>
          <w:p w:rsidR="00016899" w:rsidRPr="00BA1372" w:rsidRDefault="00016899" w:rsidP="0055797B">
            <w:pPr>
              <w:rPr>
                <w:rFonts w:eastAsia="MS Mincho"/>
                <w:lang w:eastAsia="ja-JP"/>
              </w:rPr>
            </w:pPr>
            <w:r w:rsidRPr="00BA1372">
              <w:rPr>
                <w:position w:val="6"/>
              </w:rPr>
              <w:t>SVR12</w:t>
            </w:r>
          </w:p>
        </w:tc>
        <w:tc>
          <w:tcPr>
            <w:tcW w:w="1701" w:type="dxa"/>
            <w:hideMark/>
          </w:tcPr>
          <w:p w:rsidR="00016899" w:rsidRPr="00BA1372" w:rsidRDefault="00016899" w:rsidP="0055797B">
            <w:pPr>
              <w:rPr>
                <w:rFonts w:eastAsia="MS Mincho"/>
                <w:lang w:eastAsia="ja-JP"/>
              </w:rPr>
            </w:pPr>
            <w:r w:rsidRPr="00BA1372">
              <w:t>184/205</w:t>
            </w:r>
            <w:r w:rsidRPr="00BA1372">
              <w:rPr>
                <w:spacing w:val="-6"/>
              </w:rPr>
              <w:t xml:space="preserve"> </w:t>
            </w:r>
            <w:r w:rsidRPr="00BA1372">
              <w:t>(90.6)</w:t>
            </w:r>
            <w:r w:rsidRPr="00BA1372">
              <w:rPr>
                <w:spacing w:val="-5"/>
              </w:rPr>
              <w:t xml:space="preserve"> </w:t>
            </w:r>
            <w:r w:rsidRPr="00BA1372">
              <w:rPr>
                <w:spacing w:val="1"/>
              </w:rPr>
              <w:t>[</w:t>
            </w:r>
            <w:r w:rsidRPr="00BA1372">
              <w:t>86.6</w:t>
            </w:r>
            <w:r w:rsidRPr="00BA1372">
              <w:rPr>
                <w:spacing w:val="-3"/>
              </w:rPr>
              <w:t xml:space="preserve"> </w:t>
            </w:r>
            <w:r w:rsidRPr="00BA1372">
              <w:t>, 94.</w:t>
            </w:r>
            <w:r w:rsidRPr="00BA1372">
              <w:rPr>
                <w:spacing w:val="1"/>
              </w:rPr>
              <w:t>6</w:t>
            </w:r>
            <w:r w:rsidRPr="00BA1372">
              <w:t>]</w:t>
            </w:r>
          </w:p>
        </w:tc>
        <w:tc>
          <w:tcPr>
            <w:tcW w:w="1701" w:type="dxa"/>
            <w:gridSpan w:val="2"/>
            <w:hideMark/>
          </w:tcPr>
          <w:p w:rsidR="00016899" w:rsidRPr="00BA1372" w:rsidRDefault="00016899" w:rsidP="0055797B">
            <w:pPr>
              <w:rPr>
                <w:rFonts w:eastAsia="MS Mincho"/>
                <w:lang w:eastAsia="ja-JP"/>
              </w:rPr>
            </w:pPr>
            <w:r w:rsidRPr="00BA1372">
              <w:t>NA</w:t>
            </w:r>
          </w:p>
        </w:tc>
        <w:tc>
          <w:tcPr>
            <w:tcW w:w="1698" w:type="dxa"/>
            <w:gridSpan w:val="2"/>
            <w:hideMark/>
          </w:tcPr>
          <w:p w:rsidR="00016899" w:rsidRPr="00BA1372" w:rsidRDefault="00016899" w:rsidP="0055797B">
            <w:pPr>
              <w:rPr>
                <w:rFonts w:eastAsia="MS Mincho"/>
                <w:lang w:eastAsia="ja-JP"/>
              </w:rPr>
            </w:pPr>
            <w:r w:rsidRPr="00BA1372">
              <w:t>NA</w:t>
            </w:r>
          </w:p>
        </w:tc>
        <w:tc>
          <w:tcPr>
            <w:tcW w:w="1297" w:type="dxa"/>
            <w:hideMark/>
          </w:tcPr>
          <w:p w:rsidR="00016899" w:rsidRPr="00BA1372" w:rsidRDefault="00016899" w:rsidP="0055797B">
            <w:pPr>
              <w:rPr>
                <w:rFonts w:eastAsia="MS Mincho"/>
                <w:lang w:eastAsia="ja-JP"/>
              </w:rPr>
            </w:pPr>
            <w:r w:rsidRPr="00BA1372">
              <w:t>NA</w:t>
            </w:r>
          </w:p>
        </w:tc>
      </w:tr>
      <w:tr w:rsidR="00016899" w:rsidTr="0055797B">
        <w:tc>
          <w:tcPr>
            <w:tcW w:w="2216" w:type="dxa"/>
            <w:hideMark/>
          </w:tcPr>
          <w:p w:rsidR="00016899" w:rsidRPr="00BA1372" w:rsidRDefault="00016899" w:rsidP="0055797B">
            <w:pPr>
              <w:rPr>
                <w:rFonts w:eastAsia="MS Mincho"/>
                <w:lang w:eastAsia="ja-JP"/>
              </w:rPr>
            </w:pPr>
            <w:r w:rsidRPr="00BA1372">
              <w:rPr>
                <w:position w:val="7"/>
              </w:rPr>
              <w:lastRenderedPageBreak/>
              <w:t>SVR24</w:t>
            </w:r>
          </w:p>
        </w:tc>
        <w:tc>
          <w:tcPr>
            <w:tcW w:w="1701" w:type="dxa"/>
            <w:hideMark/>
          </w:tcPr>
          <w:p w:rsidR="00016899" w:rsidRPr="00BA1372" w:rsidRDefault="00016899" w:rsidP="0055797B">
            <w:pPr>
              <w:rPr>
                <w:rFonts w:eastAsia="MS Mincho"/>
                <w:lang w:eastAsia="ja-JP"/>
              </w:rPr>
            </w:pPr>
            <w:r w:rsidRPr="00BA1372">
              <w:rPr>
                <w:spacing w:val="1"/>
              </w:rPr>
              <w:t>155/2</w:t>
            </w:r>
            <w:r w:rsidRPr="00BA1372">
              <w:rPr>
                <w:spacing w:val="-1"/>
              </w:rPr>
              <w:t>0</w:t>
            </w:r>
            <w:r w:rsidRPr="00BA1372">
              <w:t>3</w:t>
            </w:r>
            <w:r w:rsidRPr="00BA1372">
              <w:rPr>
                <w:spacing w:val="-7"/>
              </w:rPr>
              <w:t xml:space="preserve"> </w:t>
            </w:r>
            <w:r w:rsidRPr="00BA1372">
              <w:t>(76.4</w:t>
            </w:r>
            <w:r w:rsidRPr="00BA1372">
              <w:rPr>
                <w:spacing w:val="1"/>
              </w:rPr>
              <w:t xml:space="preserve">) </w:t>
            </w:r>
            <w:r w:rsidRPr="00BA1372">
              <w:rPr>
                <w:spacing w:val="1"/>
                <w:vertAlign w:val="superscript"/>
              </w:rPr>
              <w:t>f</w:t>
            </w:r>
          </w:p>
        </w:tc>
        <w:tc>
          <w:tcPr>
            <w:tcW w:w="1701" w:type="dxa"/>
            <w:gridSpan w:val="2"/>
            <w:hideMark/>
          </w:tcPr>
          <w:p w:rsidR="00016899" w:rsidRPr="00BA1372" w:rsidRDefault="00016899" w:rsidP="0055797B">
            <w:pPr>
              <w:rPr>
                <w:rFonts w:eastAsia="MS Mincho"/>
                <w:lang w:eastAsia="ja-JP"/>
              </w:rPr>
            </w:pPr>
            <w:r w:rsidRPr="00BA1372">
              <w:rPr>
                <w:position w:val="7"/>
              </w:rPr>
              <w:t>NA</w:t>
            </w:r>
          </w:p>
        </w:tc>
        <w:tc>
          <w:tcPr>
            <w:tcW w:w="1698" w:type="dxa"/>
            <w:gridSpan w:val="2"/>
            <w:hideMark/>
          </w:tcPr>
          <w:p w:rsidR="00016899" w:rsidRPr="00BA1372" w:rsidRDefault="00016899" w:rsidP="0055797B">
            <w:pPr>
              <w:rPr>
                <w:rFonts w:eastAsia="MS Mincho"/>
                <w:lang w:eastAsia="ja-JP"/>
              </w:rPr>
            </w:pPr>
            <w:r w:rsidRPr="00BA1372">
              <w:rPr>
                <w:position w:val="7"/>
              </w:rPr>
              <w:t>NA</w:t>
            </w:r>
          </w:p>
        </w:tc>
        <w:tc>
          <w:tcPr>
            <w:tcW w:w="1297" w:type="dxa"/>
            <w:hideMark/>
          </w:tcPr>
          <w:p w:rsidR="00016899" w:rsidRPr="00BA1372" w:rsidRDefault="00016899" w:rsidP="0055797B">
            <w:pPr>
              <w:rPr>
                <w:rFonts w:eastAsia="MS Mincho"/>
                <w:lang w:eastAsia="ja-JP"/>
              </w:rPr>
            </w:pPr>
            <w:r w:rsidRPr="00BA1372">
              <w:rPr>
                <w:position w:val="7"/>
              </w:rPr>
              <w:t>NA</w:t>
            </w:r>
          </w:p>
        </w:tc>
      </w:tr>
      <w:tr w:rsidR="00016899" w:rsidTr="0055797B">
        <w:tc>
          <w:tcPr>
            <w:tcW w:w="8613" w:type="dxa"/>
            <w:gridSpan w:val="7"/>
            <w:hideMark/>
          </w:tcPr>
          <w:p w:rsidR="00016899" w:rsidRPr="00BA1372" w:rsidRDefault="00016899" w:rsidP="0055797B">
            <w:pPr>
              <w:rPr>
                <w:rFonts w:eastAsia="MS Mincho"/>
                <w:lang w:eastAsia="ja-JP"/>
              </w:rPr>
            </w:pPr>
            <w:r w:rsidRPr="00BA1372">
              <w:rPr>
                <w:bCs/>
              </w:rPr>
              <w:t>Ineligible/intolerants</w:t>
            </w:r>
          </w:p>
        </w:tc>
      </w:tr>
      <w:tr w:rsidR="00016899" w:rsidTr="0055797B">
        <w:tc>
          <w:tcPr>
            <w:tcW w:w="2216" w:type="dxa"/>
            <w:hideMark/>
          </w:tcPr>
          <w:p w:rsidR="00016899" w:rsidRPr="00BA1372" w:rsidRDefault="00016899" w:rsidP="0055797B">
            <w:pPr>
              <w:rPr>
                <w:rFonts w:eastAsia="MS Mincho"/>
                <w:bCs/>
                <w:lang w:eastAsia="ja-JP"/>
              </w:rPr>
            </w:pPr>
            <w:r w:rsidRPr="00BA1372">
              <w:t>SVR12</w:t>
            </w:r>
          </w:p>
        </w:tc>
        <w:tc>
          <w:tcPr>
            <w:tcW w:w="1701" w:type="dxa"/>
            <w:hideMark/>
          </w:tcPr>
          <w:p w:rsidR="00016899" w:rsidRPr="00BA1372" w:rsidRDefault="00016899" w:rsidP="0055797B">
            <w:pPr>
              <w:rPr>
                <w:rFonts w:eastAsia="MS Mincho"/>
                <w:lang w:eastAsia="ja-JP"/>
              </w:rPr>
            </w:pPr>
            <w:r w:rsidRPr="00BA1372">
              <w:t>194/235</w:t>
            </w:r>
            <w:r w:rsidRPr="00BA1372">
              <w:rPr>
                <w:spacing w:val="-6"/>
              </w:rPr>
              <w:t xml:space="preserve"> </w:t>
            </w:r>
            <w:r w:rsidRPr="00BA1372">
              <w:t>(82.6)</w:t>
            </w:r>
            <w:r w:rsidRPr="00BA1372">
              <w:rPr>
                <w:spacing w:val="-5"/>
              </w:rPr>
              <w:t xml:space="preserve"> </w:t>
            </w:r>
            <w:r w:rsidRPr="00BA1372">
              <w:rPr>
                <w:spacing w:val="1"/>
              </w:rPr>
              <w:t>[77.</w:t>
            </w:r>
            <w:r w:rsidRPr="00BA1372">
              <w:t>7</w:t>
            </w:r>
            <w:r w:rsidRPr="00BA1372">
              <w:rPr>
                <w:spacing w:val="-3"/>
              </w:rPr>
              <w:t xml:space="preserve"> </w:t>
            </w:r>
            <w:r w:rsidRPr="00BA1372">
              <w:t xml:space="preserve">, </w:t>
            </w:r>
            <w:r w:rsidRPr="00BA1372">
              <w:rPr>
                <w:spacing w:val="1"/>
              </w:rPr>
              <w:t>87.4]</w:t>
            </w:r>
          </w:p>
        </w:tc>
        <w:tc>
          <w:tcPr>
            <w:tcW w:w="1701" w:type="dxa"/>
            <w:gridSpan w:val="2"/>
            <w:hideMark/>
          </w:tcPr>
          <w:p w:rsidR="00016899" w:rsidRPr="00BA1372" w:rsidRDefault="00016899" w:rsidP="0055797B">
            <w:pPr>
              <w:rPr>
                <w:rFonts w:eastAsia="MS Mincho"/>
                <w:lang w:eastAsia="ja-JP"/>
              </w:rPr>
            </w:pPr>
            <w:r w:rsidRPr="00BA1372">
              <w:t>119/135</w:t>
            </w:r>
            <w:r w:rsidRPr="00BA1372">
              <w:rPr>
                <w:spacing w:val="-6"/>
              </w:rPr>
              <w:t xml:space="preserve"> </w:t>
            </w:r>
            <w:r w:rsidRPr="00BA1372">
              <w:t xml:space="preserve">(88.1) </w:t>
            </w:r>
            <w:r w:rsidRPr="00BA1372">
              <w:rPr>
                <w:spacing w:val="1"/>
              </w:rPr>
              <w:t>[82.</w:t>
            </w:r>
            <w:r w:rsidRPr="00BA1372">
              <w:t>7</w:t>
            </w:r>
            <w:r w:rsidRPr="00BA1372">
              <w:rPr>
                <w:spacing w:val="-3"/>
              </w:rPr>
              <w:t xml:space="preserve"> </w:t>
            </w:r>
            <w:r w:rsidRPr="00BA1372">
              <w:t xml:space="preserve">, </w:t>
            </w:r>
            <w:r w:rsidRPr="00BA1372">
              <w:rPr>
                <w:spacing w:val="1"/>
              </w:rPr>
              <w:t>93.6]</w:t>
            </w:r>
          </w:p>
        </w:tc>
        <w:tc>
          <w:tcPr>
            <w:tcW w:w="1698" w:type="dxa"/>
            <w:gridSpan w:val="2"/>
            <w:hideMark/>
          </w:tcPr>
          <w:p w:rsidR="00016899" w:rsidRPr="00BA1372" w:rsidRDefault="00016899" w:rsidP="0055797B">
            <w:pPr>
              <w:rPr>
                <w:rFonts w:eastAsia="MS Mincho"/>
                <w:lang w:eastAsia="ja-JP"/>
              </w:rPr>
            </w:pPr>
            <w:r w:rsidRPr="00BA1372">
              <w:rPr>
                <w:spacing w:val="1"/>
              </w:rPr>
              <w:t>14/2</w:t>
            </w:r>
            <w:r w:rsidRPr="00BA1372">
              <w:t>2</w:t>
            </w:r>
            <w:r w:rsidRPr="00BA1372">
              <w:rPr>
                <w:spacing w:val="-4"/>
              </w:rPr>
              <w:t xml:space="preserve"> </w:t>
            </w:r>
            <w:r w:rsidRPr="00BA1372">
              <w:rPr>
                <w:spacing w:val="1"/>
              </w:rPr>
              <w:t>(63.6)</w:t>
            </w:r>
            <w:r w:rsidRPr="00BA1372">
              <w:rPr>
                <w:spacing w:val="-4"/>
              </w:rPr>
              <w:t xml:space="preserve"> </w:t>
            </w:r>
            <w:r w:rsidRPr="00BA1372">
              <w:rPr>
                <w:spacing w:val="1"/>
              </w:rPr>
              <w:t>[</w:t>
            </w:r>
            <w:r w:rsidRPr="00BA1372">
              <w:t>43.5,</w:t>
            </w:r>
            <w:r w:rsidRPr="00BA1372">
              <w:rPr>
                <w:spacing w:val="-4"/>
              </w:rPr>
              <w:t xml:space="preserve"> </w:t>
            </w:r>
            <w:r w:rsidRPr="00BA1372">
              <w:t>83.</w:t>
            </w:r>
            <w:r w:rsidRPr="00BA1372">
              <w:rPr>
                <w:spacing w:val="1"/>
              </w:rPr>
              <w:t>7</w:t>
            </w:r>
            <w:r w:rsidRPr="00BA1372">
              <w:t>]</w:t>
            </w:r>
          </w:p>
        </w:tc>
        <w:tc>
          <w:tcPr>
            <w:tcW w:w="1297" w:type="dxa"/>
          </w:tcPr>
          <w:p w:rsidR="00016899" w:rsidRPr="00BA1372" w:rsidRDefault="00016899" w:rsidP="0055797B">
            <w:pPr>
              <w:rPr>
                <w:rFonts w:eastAsia="MS Mincho"/>
                <w:lang w:eastAsia="ja-JP"/>
              </w:rPr>
            </w:pPr>
          </w:p>
        </w:tc>
      </w:tr>
      <w:tr w:rsidR="00016899" w:rsidTr="0055797B">
        <w:tc>
          <w:tcPr>
            <w:tcW w:w="2216" w:type="dxa"/>
            <w:hideMark/>
          </w:tcPr>
          <w:p w:rsidR="00016899" w:rsidRPr="00BA1372" w:rsidRDefault="00016899" w:rsidP="0055797B">
            <w:pPr>
              <w:rPr>
                <w:rFonts w:eastAsia="MS Mincho"/>
                <w:lang w:eastAsia="ja-JP"/>
              </w:rPr>
            </w:pPr>
            <w:r w:rsidRPr="00BA1372">
              <w:t>SVR24</w:t>
            </w:r>
          </w:p>
        </w:tc>
        <w:tc>
          <w:tcPr>
            <w:tcW w:w="1701" w:type="dxa"/>
            <w:hideMark/>
          </w:tcPr>
          <w:p w:rsidR="00016899" w:rsidRPr="00BA1372" w:rsidRDefault="00016899" w:rsidP="0055797B">
            <w:pPr>
              <w:rPr>
                <w:rFonts w:eastAsia="MS Mincho"/>
                <w:lang w:eastAsia="ja-JP"/>
              </w:rPr>
            </w:pPr>
            <w:r w:rsidRPr="00BA1372">
              <w:t xml:space="preserve">168/235 (71.5) </w:t>
            </w:r>
            <w:r w:rsidRPr="00BA1372">
              <w:rPr>
                <w:vertAlign w:val="superscript"/>
              </w:rPr>
              <w:t>g</w:t>
            </w:r>
          </w:p>
        </w:tc>
        <w:tc>
          <w:tcPr>
            <w:tcW w:w="1701" w:type="dxa"/>
            <w:gridSpan w:val="2"/>
            <w:hideMark/>
          </w:tcPr>
          <w:p w:rsidR="00016899" w:rsidRPr="00BA1372" w:rsidRDefault="00016899" w:rsidP="0055797B">
            <w:pPr>
              <w:rPr>
                <w:rFonts w:eastAsia="MS Mincho"/>
                <w:lang w:eastAsia="ja-JP"/>
              </w:rPr>
            </w:pPr>
            <w:r w:rsidRPr="00BA1372">
              <w:t>118/135</w:t>
            </w:r>
            <w:r w:rsidRPr="00BA1372">
              <w:rPr>
                <w:spacing w:val="-6"/>
              </w:rPr>
              <w:t xml:space="preserve"> </w:t>
            </w:r>
            <w:r w:rsidRPr="00BA1372">
              <w:t>(87.4)</w:t>
            </w:r>
          </w:p>
        </w:tc>
        <w:tc>
          <w:tcPr>
            <w:tcW w:w="1698" w:type="dxa"/>
            <w:gridSpan w:val="2"/>
            <w:hideMark/>
          </w:tcPr>
          <w:p w:rsidR="00016899" w:rsidRPr="00BA1372" w:rsidRDefault="00016899" w:rsidP="0055797B">
            <w:pPr>
              <w:rPr>
                <w:rFonts w:eastAsia="MS Mincho"/>
                <w:spacing w:val="1"/>
                <w:lang w:eastAsia="ja-JP"/>
              </w:rPr>
            </w:pPr>
            <w:r w:rsidRPr="00BA1372">
              <w:rPr>
                <w:spacing w:val="1"/>
              </w:rPr>
              <w:t>1</w:t>
            </w:r>
            <w:r w:rsidRPr="00BA1372">
              <w:t>4/22</w:t>
            </w:r>
            <w:r w:rsidRPr="00BA1372">
              <w:rPr>
                <w:spacing w:val="-4"/>
              </w:rPr>
              <w:t xml:space="preserve"> </w:t>
            </w:r>
            <w:r w:rsidRPr="00BA1372">
              <w:t>(63.6)</w:t>
            </w:r>
          </w:p>
        </w:tc>
        <w:tc>
          <w:tcPr>
            <w:tcW w:w="1297" w:type="dxa"/>
            <w:hideMark/>
          </w:tcPr>
          <w:p w:rsidR="00016899" w:rsidRPr="00BA1372" w:rsidRDefault="00016899" w:rsidP="0055797B">
            <w:pPr>
              <w:rPr>
                <w:rFonts w:eastAsia="MS Mincho"/>
                <w:lang w:eastAsia="ja-JP"/>
              </w:rPr>
            </w:pPr>
            <w:r w:rsidRPr="00BA1372">
              <w:t>NA</w:t>
            </w:r>
          </w:p>
        </w:tc>
      </w:tr>
      <w:tr w:rsidR="00016899" w:rsidTr="0055797B">
        <w:tc>
          <w:tcPr>
            <w:tcW w:w="8613" w:type="dxa"/>
            <w:gridSpan w:val="7"/>
            <w:hideMark/>
          </w:tcPr>
          <w:p w:rsidR="00016899" w:rsidRPr="00BA1372" w:rsidRDefault="00016899" w:rsidP="0055797B">
            <w:pPr>
              <w:rPr>
                <w:rFonts w:eastAsia="MS Mincho"/>
                <w:lang w:eastAsia="ja-JP"/>
              </w:rPr>
            </w:pPr>
            <w:r w:rsidRPr="00BA1372">
              <w:rPr>
                <w:bCs/>
              </w:rPr>
              <w:t>Prior</w:t>
            </w:r>
            <w:r w:rsidRPr="00BA1372">
              <w:rPr>
                <w:bCs/>
                <w:spacing w:val="-4"/>
              </w:rPr>
              <w:t xml:space="preserve"> </w:t>
            </w:r>
            <w:r w:rsidRPr="00BA1372">
              <w:rPr>
                <w:bCs/>
              </w:rPr>
              <w:t>non</w:t>
            </w:r>
            <w:r w:rsidRPr="00BA1372">
              <w:rPr>
                <w:bCs/>
                <w:spacing w:val="1"/>
              </w:rPr>
              <w:t>-</w:t>
            </w:r>
            <w:r w:rsidRPr="00BA1372">
              <w:rPr>
                <w:bCs/>
              </w:rPr>
              <w:t>responders</w:t>
            </w:r>
          </w:p>
        </w:tc>
      </w:tr>
      <w:tr w:rsidR="00016899" w:rsidTr="0055797B">
        <w:tc>
          <w:tcPr>
            <w:tcW w:w="2216" w:type="dxa"/>
            <w:hideMark/>
          </w:tcPr>
          <w:p w:rsidR="00016899" w:rsidRPr="00BA1372" w:rsidRDefault="00016899" w:rsidP="0055797B">
            <w:pPr>
              <w:rPr>
                <w:rFonts w:eastAsia="MS Mincho"/>
                <w:lang w:eastAsia="ja-JP"/>
              </w:rPr>
            </w:pPr>
            <w:r w:rsidRPr="00BA1372">
              <w:t>SVR12</w:t>
            </w:r>
          </w:p>
        </w:tc>
        <w:tc>
          <w:tcPr>
            <w:tcW w:w="1701" w:type="dxa"/>
            <w:hideMark/>
          </w:tcPr>
          <w:p w:rsidR="00016899" w:rsidRPr="00BA1372" w:rsidRDefault="00016899" w:rsidP="0055797B">
            <w:pPr>
              <w:rPr>
                <w:rFonts w:eastAsia="MS Mincho"/>
                <w:lang w:eastAsia="ja-JP"/>
              </w:rPr>
            </w:pPr>
            <w:r w:rsidRPr="00BA1372">
              <w:t>169/205</w:t>
            </w:r>
            <w:r w:rsidRPr="00BA1372">
              <w:rPr>
                <w:spacing w:val="-6"/>
              </w:rPr>
              <w:t xml:space="preserve"> </w:t>
            </w:r>
            <w:r w:rsidRPr="00BA1372">
              <w:t>(82.4)</w:t>
            </w:r>
            <w:r w:rsidRPr="00BA1372">
              <w:rPr>
                <w:spacing w:val="-5"/>
              </w:rPr>
              <w:t xml:space="preserve"> </w:t>
            </w:r>
            <w:r w:rsidRPr="00BA1372">
              <w:rPr>
                <w:spacing w:val="1"/>
              </w:rPr>
              <w:t>[77.</w:t>
            </w:r>
            <w:r w:rsidRPr="00BA1372">
              <w:t>2</w:t>
            </w:r>
            <w:r w:rsidRPr="00BA1372">
              <w:rPr>
                <w:spacing w:val="-3"/>
              </w:rPr>
              <w:t xml:space="preserve"> </w:t>
            </w:r>
            <w:r w:rsidRPr="00BA1372">
              <w:t xml:space="preserve">, </w:t>
            </w:r>
            <w:r w:rsidRPr="00BA1372">
              <w:rPr>
                <w:spacing w:val="1"/>
              </w:rPr>
              <w:t>87.6]</w:t>
            </w:r>
          </w:p>
        </w:tc>
        <w:tc>
          <w:tcPr>
            <w:tcW w:w="1701" w:type="dxa"/>
            <w:gridSpan w:val="2"/>
            <w:hideMark/>
          </w:tcPr>
          <w:p w:rsidR="00016899" w:rsidRPr="00BA1372" w:rsidRDefault="00016899" w:rsidP="0055797B">
            <w:pPr>
              <w:rPr>
                <w:rFonts w:eastAsia="MS Mincho"/>
                <w:lang w:eastAsia="ja-JP"/>
              </w:rPr>
            </w:pPr>
            <w:r w:rsidRPr="00BA1372">
              <w:rPr>
                <w:spacing w:val="1"/>
              </w:rPr>
              <w:t>70/8</w:t>
            </w:r>
            <w:r w:rsidRPr="00BA1372">
              <w:t>7</w:t>
            </w:r>
            <w:r w:rsidRPr="00BA1372">
              <w:rPr>
                <w:spacing w:val="-4"/>
              </w:rPr>
              <w:t xml:space="preserve"> </w:t>
            </w:r>
            <w:r w:rsidRPr="00BA1372">
              <w:rPr>
                <w:spacing w:val="1"/>
              </w:rPr>
              <w:t>(80.5) [72.1</w:t>
            </w:r>
            <w:r w:rsidRPr="00BA1372">
              <w:t>,</w:t>
            </w:r>
            <w:r w:rsidRPr="00BA1372">
              <w:rPr>
                <w:spacing w:val="-4"/>
              </w:rPr>
              <w:t xml:space="preserve"> </w:t>
            </w:r>
            <w:r w:rsidRPr="00BA1372">
              <w:rPr>
                <w:spacing w:val="1"/>
              </w:rPr>
              <w:t>88.8]</w:t>
            </w:r>
          </w:p>
        </w:tc>
        <w:tc>
          <w:tcPr>
            <w:tcW w:w="1698" w:type="dxa"/>
            <w:gridSpan w:val="2"/>
            <w:hideMark/>
          </w:tcPr>
          <w:p w:rsidR="00016899" w:rsidRPr="00BA1372" w:rsidRDefault="00016899" w:rsidP="0055797B">
            <w:pPr>
              <w:rPr>
                <w:rFonts w:eastAsia="MS Mincho"/>
                <w:spacing w:val="1"/>
                <w:lang w:eastAsia="ja-JP"/>
              </w:rPr>
            </w:pPr>
            <w:r w:rsidRPr="00BA1372">
              <w:rPr>
                <w:spacing w:val="1"/>
              </w:rPr>
              <w:t>10/1</w:t>
            </w:r>
            <w:r w:rsidRPr="00BA1372">
              <w:t>1</w:t>
            </w:r>
            <w:r w:rsidRPr="00BA1372">
              <w:rPr>
                <w:spacing w:val="-4"/>
              </w:rPr>
              <w:t xml:space="preserve"> </w:t>
            </w:r>
            <w:r w:rsidRPr="00BA1372">
              <w:rPr>
                <w:spacing w:val="1"/>
              </w:rPr>
              <w:t>(90.9)</w:t>
            </w:r>
            <w:r w:rsidRPr="00BA1372">
              <w:rPr>
                <w:spacing w:val="-4"/>
              </w:rPr>
              <w:t xml:space="preserve"> </w:t>
            </w:r>
            <w:r w:rsidRPr="00BA1372">
              <w:rPr>
                <w:spacing w:val="1"/>
              </w:rPr>
              <w:t>(73.9</w:t>
            </w:r>
            <w:r w:rsidRPr="00BA1372">
              <w:t>,</w:t>
            </w:r>
            <w:r w:rsidRPr="00BA1372">
              <w:rPr>
                <w:spacing w:val="-4"/>
              </w:rPr>
              <w:t xml:space="preserve"> </w:t>
            </w:r>
            <w:r w:rsidRPr="00BA1372">
              <w:rPr>
                <w:spacing w:val="1"/>
              </w:rPr>
              <w:t>100.0]</w:t>
            </w:r>
          </w:p>
        </w:tc>
        <w:tc>
          <w:tcPr>
            <w:tcW w:w="1297" w:type="dxa"/>
            <w:hideMark/>
          </w:tcPr>
          <w:p w:rsidR="00016899" w:rsidRPr="00BA1372" w:rsidRDefault="00016899" w:rsidP="0055797B">
            <w:pPr>
              <w:rPr>
                <w:rFonts w:eastAsia="MS Mincho"/>
                <w:lang w:eastAsia="ja-JP"/>
              </w:rPr>
            </w:pPr>
            <w:r w:rsidRPr="00BA1372">
              <w:rPr>
                <w:spacing w:val="1"/>
              </w:rPr>
              <w:t>1</w:t>
            </w:r>
            <w:r w:rsidRPr="00BA1372">
              <w:t>5/18</w:t>
            </w:r>
            <w:r w:rsidRPr="00BA1372">
              <w:rPr>
                <w:spacing w:val="-1"/>
              </w:rPr>
              <w:t xml:space="preserve"> </w:t>
            </w:r>
            <w:r w:rsidRPr="00BA1372">
              <w:rPr>
                <w:spacing w:val="1"/>
              </w:rPr>
              <w:t>(83.3) [66.</w:t>
            </w:r>
            <w:r w:rsidRPr="00BA1372">
              <w:t xml:space="preserve">1, </w:t>
            </w:r>
            <w:r w:rsidRPr="00BA1372">
              <w:rPr>
                <w:spacing w:val="1"/>
              </w:rPr>
              <w:t>100]</w:t>
            </w:r>
          </w:p>
        </w:tc>
      </w:tr>
      <w:tr w:rsidR="00016899" w:rsidTr="0055797B">
        <w:tc>
          <w:tcPr>
            <w:tcW w:w="2216" w:type="dxa"/>
            <w:hideMark/>
          </w:tcPr>
          <w:p w:rsidR="00016899" w:rsidRPr="00BA1372" w:rsidRDefault="00016899" w:rsidP="0055797B">
            <w:pPr>
              <w:rPr>
                <w:rFonts w:eastAsia="MS Mincho"/>
                <w:lang w:eastAsia="ja-JP"/>
              </w:rPr>
            </w:pPr>
            <w:r w:rsidRPr="00BA1372">
              <w:t>SVR24</w:t>
            </w:r>
          </w:p>
        </w:tc>
        <w:tc>
          <w:tcPr>
            <w:tcW w:w="1701" w:type="dxa"/>
            <w:hideMark/>
          </w:tcPr>
          <w:p w:rsidR="00016899" w:rsidRPr="00BA1372" w:rsidRDefault="00016899" w:rsidP="0055797B">
            <w:pPr>
              <w:rPr>
                <w:rFonts w:eastAsia="MS Mincho"/>
                <w:lang w:eastAsia="ja-JP"/>
              </w:rPr>
            </w:pPr>
            <w:r w:rsidRPr="00BA1372">
              <w:t xml:space="preserve">152/205 (74.1) </w:t>
            </w:r>
            <w:r w:rsidRPr="00BA1372">
              <w:rPr>
                <w:vertAlign w:val="superscript"/>
              </w:rPr>
              <w:t>f</w:t>
            </w:r>
          </w:p>
        </w:tc>
        <w:tc>
          <w:tcPr>
            <w:tcW w:w="1701" w:type="dxa"/>
            <w:gridSpan w:val="2"/>
            <w:hideMark/>
          </w:tcPr>
          <w:p w:rsidR="00016899" w:rsidRPr="00BA1372" w:rsidRDefault="00016899" w:rsidP="0055797B">
            <w:pPr>
              <w:rPr>
                <w:rFonts w:eastAsia="MS Mincho"/>
                <w:spacing w:val="1"/>
                <w:lang w:eastAsia="ja-JP"/>
              </w:rPr>
            </w:pPr>
            <w:r w:rsidRPr="00BA1372">
              <w:rPr>
                <w:spacing w:val="1"/>
              </w:rPr>
              <w:t>70/8</w:t>
            </w:r>
            <w:r w:rsidRPr="00BA1372">
              <w:t>7</w:t>
            </w:r>
            <w:r w:rsidRPr="00BA1372">
              <w:rPr>
                <w:spacing w:val="-4"/>
              </w:rPr>
              <w:t xml:space="preserve"> </w:t>
            </w:r>
            <w:r w:rsidRPr="00BA1372">
              <w:rPr>
                <w:spacing w:val="1"/>
              </w:rPr>
              <w:t>(80.5</w:t>
            </w:r>
            <w:r w:rsidRPr="00BA1372">
              <w:t>)</w:t>
            </w:r>
          </w:p>
        </w:tc>
        <w:tc>
          <w:tcPr>
            <w:tcW w:w="1698" w:type="dxa"/>
            <w:gridSpan w:val="2"/>
            <w:hideMark/>
          </w:tcPr>
          <w:p w:rsidR="00016899" w:rsidRPr="00BA1372" w:rsidRDefault="00016899" w:rsidP="0055797B">
            <w:pPr>
              <w:rPr>
                <w:rFonts w:eastAsia="MS Mincho"/>
                <w:spacing w:val="1"/>
                <w:lang w:eastAsia="ja-JP"/>
              </w:rPr>
            </w:pPr>
            <w:r w:rsidRPr="00BA1372">
              <w:rPr>
                <w:spacing w:val="1"/>
              </w:rPr>
              <w:t>10/1</w:t>
            </w:r>
            <w:r w:rsidRPr="00BA1372">
              <w:t>1</w:t>
            </w:r>
            <w:r w:rsidRPr="00BA1372">
              <w:rPr>
                <w:spacing w:val="-4"/>
              </w:rPr>
              <w:t xml:space="preserve"> </w:t>
            </w:r>
            <w:r w:rsidRPr="00BA1372">
              <w:rPr>
                <w:spacing w:val="1"/>
              </w:rPr>
              <w:t>(90.9</w:t>
            </w:r>
            <w:r w:rsidRPr="00BA1372">
              <w:t>)</w:t>
            </w:r>
          </w:p>
        </w:tc>
        <w:tc>
          <w:tcPr>
            <w:tcW w:w="1297" w:type="dxa"/>
            <w:hideMark/>
          </w:tcPr>
          <w:p w:rsidR="00016899" w:rsidRPr="00BA1372" w:rsidRDefault="00016899" w:rsidP="0055797B">
            <w:pPr>
              <w:rPr>
                <w:rFonts w:eastAsia="MS Mincho"/>
                <w:lang w:eastAsia="ja-JP"/>
              </w:rPr>
            </w:pPr>
            <w:r w:rsidRPr="00BA1372">
              <w:rPr>
                <w:spacing w:val="1"/>
              </w:rPr>
              <w:t>16/1</w:t>
            </w:r>
            <w:r w:rsidRPr="00BA1372">
              <w:t>8</w:t>
            </w:r>
            <w:r w:rsidRPr="00BA1372">
              <w:rPr>
                <w:spacing w:val="-4"/>
              </w:rPr>
              <w:t xml:space="preserve"> </w:t>
            </w:r>
            <w:r w:rsidRPr="00BA1372">
              <w:rPr>
                <w:spacing w:val="1"/>
              </w:rPr>
              <w:t>(88.9)</w:t>
            </w:r>
          </w:p>
        </w:tc>
      </w:tr>
    </w:tbl>
    <w:p w:rsidR="00016899" w:rsidRPr="00EA1B9C" w:rsidRDefault="00016899" w:rsidP="0055797B">
      <w:pPr>
        <w:pStyle w:val="TableDescription"/>
      </w:pPr>
      <w:r w:rsidRPr="00EA1B9C">
        <w:t xml:space="preserve">a Confidence intervals presented for planned analyses; b On-treatment </w:t>
      </w:r>
      <w:proofErr w:type="spellStart"/>
      <w:r w:rsidRPr="00EA1B9C">
        <w:t>virologic</w:t>
      </w:r>
      <w:proofErr w:type="spellEnd"/>
      <w:r w:rsidRPr="00EA1B9C">
        <w:t xml:space="preserve"> rates; c Included null and partial responders (all subjects infected with GT-1b); d Includes null responders only; e Subjects in Cohort 2 (prior null responders; N = 11) and Cohort 3/4 (ineligible-naïve/intolerants; N = 22) treated in Expansion Phase of study for 24 weeks at recommended dose; f Subjects in Cohort 1A (prior null responders, N = 18) treated in Expansion Phase of study for 24 weeks at recommended dose; g AI447028 CSR completed for primary endpoint (SVR12). SVR24 rates are based on database as of 22-Nov-2013 in which 83 subjects remained in follow-up.</w:t>
      </w:r>
    </w:p>
    <w:p w:rsidR="00C60B78" w:rsidRDefault="00016899" w:rsidP="00EA1B9C">
      <w:r w:rsidRPr="00EA1B9C">
        <w:t xml:space="preserve">In </w:t>
      </w:r>
      <w:r w:rsidR="00486662">
        <w:t>treatment naïve</w:t>
      </w:r>
      <w:r w:rsidRPr="00EA1B9C">
        <w:t xml:space="preserve"> HCV GT-1b-infected subjects, the SVR12 rates were 90.6% (95% CI: 86.6, 94.6) in AI447028.</w:t>
      </w:r>
    </w:p>
    <w:p w:rsidR="00016899" w:rsidRDefault="00016899" w:rsidP="00016899">
      <w:r>
        <w:t>In HCV GT-1b-infected patients who were IFN/RBV-based therapy intolerant/ineligible, the</w:t>
      </w:r>
      <w:r w:rsidR="004936B4">
        <w:t xml:space="preserve"> </w:t>
      </w:r>
      <w:r>
        <w:t>SVR12 rates was 82.6% (</w:t>
      </w:r>
      <w:r w:rsidR="00EA1B9C">
        <w:t>95% CI: 77.7, 87.4) in AI447028</w:t>
      </w:r>
      <w:r>
        <w:t>, 88.1% (95% CI: 82.7, 93.6) in AI447026 and 63.6% (95% CI: 43.5, 83.7) in</w:t>
      </w:r>
      <w:r w:rsidR="004936B4">
        <w:t xml:space="preserve"> </w:t>
      </w:r>
      <w:r>
        <w:t>AI447017.</w:t>
      </w:r>
    </w:p>
    <w:p w:rsidR="00C60B78" w:rsidRDefault="00016899" w:rsidP="00016899">
      <w:r>
        <w:t xml:space="preserve">In HCV GT-1b-infected patients who were prior non-responders, the SVR12 rates achieved were 82.4% (95% CI: 77.2, 87.6) in </w:t>
      </w:r>
      <w:r w:rsidR="004C5D5E">
        <w:t>Study A</w:t>
      </w:r>
      <w:r w:rsidR="00EA1B9C">
        <w:t>I447028</w:t>
      </w:r>
      <w:r>
        <w:t>, 80.5% (</w:t>
      </w:r>
      <w:r w:rsidR="00EA1B9C">
        <w:t>95% CI: 72.1, 88.8) in AI447026</w:t>
      </w:r>
      <w:r>
        <w:t>, and 83.3% (9</w:t>
      </w:r>
      <w:r w:rsidR="00EA1B9C">
        <w:t>5% CI: 66.1, 100.0) in AI447011</w:t>
      </w:r>
      <w:r>
        <w:t>.</w:t>
      </w:r>
    </w:p>
    <w:p w:rsidR="00C60B78" w:rsidRDefault="00016899" w:rsidP="0055797B">
      <w:pPr>
        <w:pageBreakBefore/>
      </w:pPr>
      <w:r>
        <w:lastRenderedPageBreak/>
        <w:t>Further:</w:t>
      </w:r>
    </w:p>
    <w:p w:rsidR="00016899" w:rsidRDefault="00016899" w:rsidP="00EA1B9C">
      <w:pPr>
        <w:pStyle w:val="ListBullet"/>
      </w:pPr>
      <w:r>
        <w:t>In GT-1b prior null responders, the SVR12 rates were 82.4% in AI447028, 81.3% in AI447026 and 83.3% in AI447011.</w:t>
      </w:r>
    </w:p>
    <w:p w:rsidR="00016899" w:rsidRDefault="00016899" w:rsidP="00EA1B9C">
      <w:pPr>
        <w:pStyle w:val="ListBullet"/>
      </w:pPr>
      <w:r>
        <w:t xml:space="preserve">In GT-1b prior partial responders, the SVR12 rates were 82.1% in AI447028 </w:t>
      </w:r>
      <w:r w:rsidR="00EA1B9C">
        <w:t>and 77.8% in AI447026</w:t>
      </w:r>
      <w:r>
        <w:t>.</w:t>
      </w:r>
    </w:p>
    <w:p w:rsidR="00016899" w:rsidRDefault="00016899" w:rsidP="00016899">
      <w:r>
        <w:t>Overall, in DCV/ASV-treated subjects, SVR12 rates were comparable across all subgroups of baseline host factors including age (&lt;65 and ≥65 years), gender, cirrhosis status, IL-28B polymorphism, prior treatment history (null or partial response to HCV therapy, or IFN/RBV-based therapy intolerant/ineligible) and viral factors (such as viral load). The rates of Viral Breakthrough were low (4</w:t>
      </w:r>
      <w:r w:rsidR="00EA1B9C">
        <w:t xml:space="preserve"> to </w:t>
      </w:r>
      <w:r>
        <w:t>13%).</w:t>
      </w:r>
    </w:p>
    <w:p w:rsidR="00EA1B9C" w:rsidRDefault="00016899" w:rsidP="00EA1B9C">
      <w:pPr>
        <w:pStyle w:val="Heading5"/>
      </w:pPr>
      <w:r>
        <w:t xml:space="preserve">QUAD </w:t>
      </w:r>
      <w:r w:rsidR="0055797B">
        <w:t>r</w:t>
      </w:r>
      <w:r>
        <w:t>egimen (</w:t>
      </w:r>
      <w:proofErr w:type="spellStart"/>
      <w:r>
        <w:t>ASV+DCV+pegIFN</w:t>
      </w:r>
      <w:proofErr w:type="spellEnd"/>
      <w:r>
        <w:t>α+RBV)</w:t>
      </w:r>
      <w:bookmarkStart w:id="174" w:name="_Toc401659982"/>
      <w:bookmarkEnd w:id="173"/>
    </w:p>
    <w:p w:rsidR="00016899" w:rsidRDefault="00016899" w:rsidP="00EA1B9C">
      <w:pPr>
        <w:pStyle w:val="Heading6"/>
      </w:pPr>
      <w:r>
        <w:t>Pivotal studies</w:t>
      </w:r>
      <w:bookmarkEnd w:id="174"/>
    </w:p>
    <w:p w:rsidR="00C60B78" w:rsidRDefault="00016899" w:rsidP="00016899">
      <w:pPr>
        <w:spacing w:before="0" w:after="0" w:line="240" w:lineRule="auto"/>
        <w:contextualSpacing/>
        <w:rPr>
          <w:rFonts w:cs="TimesNewRomanPSMT"/>
          <w:color w:val="000000"/>
        </w:rPr>
      </w:pPr>
      <w:r>
        <w:t xml:space="preserve">Study A1447029 was a </w:t>
      </w:r>
      <w:r w:rsidR="004C5D5E">
        <w:t>Phase III</w:t>
      </w:r>
      <w:r>
        <w:t xml:space="preserve">, open label, single arm study with ASV and DCV plus </w:t>
      </w:r>
      <w:proofErr w:type="spellStart"/>
      <w:r>
        <w:t>pegIFN</w:t>
      </w:r>
      <w:proofErr w:type="spellEnd"/>
      <w:r>
        <w:t>α/RBV (QUAD) i</w:t>
      </w:r>
      <w:r>
        <w:rPr>
          <w:rFonts w:cs="TimesNewRomanPSMT"/>
          <w:color w:val="000000"/>
        </w:rPr>
        <w:t xml:space="preserve">n adults with </w:t>
      </w:r>
      <w:r>
        <w:t>chronic HCV GT1 or 4 infection</w:t>
      </w:r>
      <w:r>
        <w:rPr>
          <w:rFonts w:cs="TimesNewRomanPSMT"/>
          <w:color w:val="000000"/>
        </w:rPr>
        <w:t xml:space="preserve"> who were partial or null responders to treatment with </w:t>
      </w:r>
      <w:proofErr w:type="spellStart"/>
      <w:r>
        <w:rPr>
          <w:rFonts w:cs="TimesNewRomanPSMT"/>
          <w:color w:val="000000"/>
        </w:rPr>
        <w:t>peginterferon</w:t>
      </w:r>
      <w:proofErr w:type="spellEnd"/>
      <w:r>
        <w:rPr>
          <w:rFonts w:cs="TimesNewRomanPSMT"/>
          <w:color w:val="000000"/>
        </w:rPr>
        <w:t xml:space="preserve"> </w:t>
      </w:r>
      <w:proofErr w:type="spellStart"/>
      <w:r>
        <w:rPr>
          <w:rFonts w:cs="TimesNewRomanPSMT"/>
          <w:color w:val="000000"/>
        </w:rPr>
        <w:t>alfa</w:t>
      </w:r>
      <w:proofErr w:type="spellEnd"/>
      <w:r>
        <w:rPr>
          <w:rFonts w:cs="TimesNewRomanPSMT"/>
          <w:color w:val="000000"/>
        </w:rPr>
        <w:t xml:space="preserve"> 2a or 2b and ribavirin. The primary efficacy endpoint was the SVR12.</w:t>
      </w:r>
    </w:p>
    <w:p w:rsidR="00016899" w:rsidRDefault="00016899" w:rsidP="00016899">
      <w:pPr>
        <w:spacing w:before="0" w:after="0" w:line="240" w:lineRule="auto"/>
        <w:contextualSpacing/>
        <w:rPr>
          <w:rFonts w:cs="TimesNewRomanPSMT"/>
          <w:color w:val="000000"/>
        </w:rPr>
      </w:pPr>
      <w:r>
        <w:rPr>
          <w:rFonts w:cs="TimesNewRomanPSMT"/>
          <w:color w:val="000000"/>
        </w:rPr>
        <w:t>There were 354 subjects with HCV GT-1 (89%) and 44 subjects with GT-4(11%).</w:t>
      </w:r>
      <w:r w:rsidR="004936B4">
        <w:rPr>
          <w:rFonts w:cs="TimesNewRomanPSMT"/>
          <w:color w:val="000000"/>
        </w:rPr>
        <w:t xml:space="preserve"> </w:t>
      </w:r>
      <w:r>
        <w:rPr>
          <w:rFonts w:cs="TimesNewRomanPSMT"/>
          <w:color w:val="000000"/>
        </w:rPr>
        <w:t xml:space="preserve">The 398 treated subjects had a median age of 53 years; 69% were male; 76% were </w:t>
      </w:r>
      <w:r w:rsidR="00EA1B9C">
        <w:rPr>
          <w:rFonts w:cs="TimesNewRomanPSMT"/>
          <w:color w:val="000000"/>
        </w:rPr>
        <w:t>W</w:t>
      </w:r>
      <w:r>
        <w:rPr>
          <w:rFonts w:cs="TimesNewRomanPSMT"/>
          <w:color w:val="000000"/>
        </w:rPr>
        <w:t xml:space="preserve">hite, 12% were Asian, 9% were </w:t>
      </w:r>
      <w:r w:rsidR="00EA1B9C">
        <w:rPr>
          <w:rFonts w:cs="TimesNewRomanPSMT"/>
          <w:color w:val="000000"/>
        </w:rPr>
        <w:t>B</w:t>
      </w:r>
      <w:r>
        <w:rPr>
          <w:rFonts w:cs="TimesNewRomanPSMT"/>
          <w:color w:val="000000"/>
        </w:rPr>
        <w:t>lack; 9% were Hispanic/Latino. The mean baseline HCV RNA level was 6.46 log10 IU/</w:t>
      </w:r>
      <w:r w:rsidRPr="00C95499">
        <w:rPr>
          <w:rFonts w:cs="TimesNewRomanPSMT"/>
        </w:rPr>
        <w:t xml:space="preserve">mL; 23% of subjects </w:t>
      </w:r>
      <w:r w:rsidRPr="00C95499">
        <w:rPr>
          <w:rFonts w:cs="TimesNewRomanPSMT"/>
          <w:color w:val="000000"/>
        </w:rPr>
        <w:t>had</w:t>
      </w:r>
      <w:r>
        <w:rPr>
          <w:rFonts w:cs="TimesNewRomanPSMT"/>
          <w:color w:val="000000"/>
        </w:rPr>
        <w:t xml:space="preserve"> compensated cirrhosis (Child-Pugh A);</w:t>
      </w:r>
      <w:r w:rsidR="004936B4">
        <w:rPr>
          <w:rFonts w:cs="TimesNewRomanPSMT"/>
          <w:color w:val="000000"/>
        </w:rPr>
        <w:t xml:space="preserve"> </w:t>
      </w:r>
      <w:r>
        <w:rPr>
          <w:rFonts w:cs="TimesNewRomanPSMT"/>
          <w:color w:val="000000"/>
        </w:rPr>
        <w:t>91% of subjects had non-CC IL28B genotype.</w:t>
      </w:r>
    </w:p>
    <w:p w:rsidR="00016899" w:rsidRDefault="00016899" w:rsidP="00016899">
      <w:pPr>
        <w:spacing w:before="0" w:after="0" w:line="240" w:lineRule="auto"/>
        <w:contextualSpacing/>
        <w:rPr>
          <w:rFonts w:cs="TimesNewRomanPSMT"/>
          <w:color w:val="000000"/>
        </w:rPr>
      </w:pPr>
      <w:r>
        <w:rPr>
          <w:rFonts w:cs="TimesNewRomanPSMT"/>
          <w:color w:val="000000"/>
        </w:rPr>
        <w:t xml:space="preserve">Subjects received DCV 60 mg </w:t>
      </w:r>
      <w:r w:rsidR="00EA1B9C">
        <w:rPr>
          <w:rFonts w:cs="TimesNewRomanPSMT"/>
          <w:color w:val="000000"/>
        </w:rPr>
        <w:t>QD</w:t>
      </w:r>
      <w:r>
        <w:rPr>
          <w:rFonts w:cs="TimesNewRomanPSMT"/>
          <w:color w:val="000000"/>
        </w:rPr>
        <w:t>,</w:t>
      </w:r>
      <w:r>
        <w:t xml:space="preserve"> ASV</w:t>
      </w:r>
      <w:r>
        <w:rPr>
          <w:rFonts w:cs="TimesNewRomanPSMT"/>
          <w:color w:val="000000"/>
        </w:rPr>
        <w:t xml:space="preserve">100 mg </w:t>
      </w:r>
      <w:r w:rsidR="00EA1B9C">
        <w:rPr>
          <w:rFonts w:cs="TimesNewRomanPSMT"/>
          <w:color w:val="000000"/>
        </w:rPr>
        <w:t>BD</w:t>
      </w:r>
      <w:r>
        <w:rPr>
          <w:rFonts w:cs="TimesNewRomanPSMT"/>
          <w:color w:val="000000"/>
        </w:rPr>
        <w:t xml:space="preserve">, </w:t>
      </w:r>
      <w:proofErr w:type="spellStart"/>
      <w:r>
        <w:rPr>
          <w:rFonts w:cs="TimesNewRomanPSMT"/>
          <w:color w:val="000000"/>
        </w:rPr>
        <w:t>peginterferon</w:t>
      </w:r>
      <w:proofErr w:type="spellEnd"/>
      <w:r>
        <w:rPr>
          <w:rFonts w:cs="TimesNewRomanPSMT"/>
          <w:color w:val="000000"/>
        </w:rPr>
        <w:t xml:space="preserve"> </w:t>
      </w:r>
      <w:proofErr w:type="spellStart"/>
      <w:r>
        <w:rPr>
          <w:rFonts w:cs="TimesNewRomanPSMT"/>
          <w:color w:val="000000"/>
        </w:rPr>
        <w:t>alfa</w:t>
      </w:r>
      <w:proofErr w:type="spellEnd"/>
      <w:r>
        <w:rPr>
          <w:rFonts w:cs="TimesNewRomanPSMT"/>
          <w:color w:val="000000"/>
        </w:rPr>
        <w:t xml:space="preserve"> 2a or 2b weekly injection, and ribavirin 1000 mg per day (body weight less than 75 kg) or 1200 mg per day</w:t>
      </w:r>
      <w:r>
        <w:t xml:space="preserve"> </w:t>
      </w:r>
      <w:r>
        <w:rPr>
          <w:rFonts w:cs="TimesNewRomanPSMT"/>
          <w:color w:val="000000"/>
        </w:rPr>
        <w:t>(at least 75 kg) in two divided doses for 24 weeks followed by 24 weeks of follow-up after</w:t>
      </w:r>
      <w:r>
        <w:t xml:space="preserve"> </w:t>
      </w:r>
      <w:r>
        <w:rPr>
          <w:rFonts w:cs="TimesNewRomanPSMT"/>
          <w:color w:val="000000"/>
        </w:rPr>
        <w:t>completion of treatment or early discontinuation.</w:t>
      </w:r>
    </w:p>
    <w:p w:rsidR="00C60B78" w:rsidRDefault="00016899" w:rsidP="00016899">
      <w:pPr>
        <w:spacing w:before="0" w:after="0" w:line="240" w:lineRule="auto"/>
        <w:contextualSpacing/>
      </w:pPr>
      <w:r>
        <w:t xml:space="preserve">Results for the primary efficacy outcome are presented in Table </w:t>
      </w:r>
      <w:r w:rsidR="00EA1B9C">
        <w:t>20</w:t>
      </w:r>
      <w:r>
        <w:t xml:space="preserve"> below.</w:t>
      </w:r>
    </w:p>
    <w:p w:rsidR="00016899" w:rsidRDefault="00EA1B9C" w:rsidP="00EA1B9C">
      <w:pPr>
        <w:pStyle w:val="TableTitle"/>
      </w:pPr>
      <w:r>
        <w:t xml:space="preserve">Table 20: </w:t>
      </w:r>
      <w:r w:rsidR="00016899">
        <w:t>Key efficacy results for Study A1447029</w:t>
      </w:r>
    </w:p>
    <w:p w:rsidR="00016899" w:rsidRDefault="00295947" w:rsidP="00016899">
      <w:pPr>
        <w:spacing w:before="0" w:after="0" w:line="240" w:lineRule="auto"/>
        <w:contextualSpacing/>
        <w:rPr>
          <w:b/>
        </w:rPr>
      </w:pPr>
      <w:r>
        <w:rPr>
          <w:b/>
          <w:noProof/>
          <w:lang w:eastAsia="en-AU"/>
        </w:rPr>
        <w:drawing>
          <wp:inline distT="0" distB="0" distL="0" distR="0" wp14:anchorId="3A7B7A15" wp14:editId="2E073D77">
            <wp:extent cx="5435600" cy="1917700"/>
            <wp:effectExtent l="19050" t="19050" r="12700" b="25400"/>
            <wp:docPr id="4" name="Picture 1" descr="Table 20: Key efficacy results for Study A1447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20: Key efficacy results for Study A1447029"/>
                    <pic:cNvPicPr>
                      <a:picLocks noChangeAspect="1" noChangeArrowheads="1"/>
                    </pic:cNvPicPr>
                  </pic:nvPicPr>
                  <pic:blipFill>
                    <a:blip r:embed="rId17">
                      <a:lum bright="-20000" contrast="40000"/>
                      <a:extLst>
                        <a:ext uri="{28A0092B-C50C-407E-A947-70E740481C1C}">
                          <a14:useLocalDpi xmlns:a14="http://schemas.microsoft.com/office/drawing/2010/main" val="0"/>
                        </a:ext>
                      </a:extLst>
                    </a:blip>
                    <a:srcRect l="697" t="2252" b="3542"/>
                    <a:stretch>
                      <a:fillRect/>
                    </a:stretch>
                  </pic:blipFill>
                  <pic:spPr bwMode="auto">
                    <a:xfrm>
                      <a:off x="0" y="0"/>
                      <a:ext cx="5435600" cy="1917700"/>
                    </a:xfrm>
                    <a:prstGeom prst="rect">
                      <a:avLst/>
                    </a:prstGeom>
                    <a:noFill/>
                    <a:ln w="12700" cmpd="sng">
                      <a:solidFill>
                        <a:srgbClr val="000000"/>
                      </a:solidFill>
                      <a:miter lim="800000"/>
                      <a:headEnd/>
                      <a:tailEnd/>
                    </a:ln>
                    <a:effectLst/>
                  </pic:spPr>
                </pic:pic>
              </a:graphicData>
            </a:graphic>
          </wp:inline>
        </w:drawing>
      </w:r>
    </w:p>
    <w:p w:rsidR="00016899" w:rsidRDefault="00016899" w:rsidP="00EA1B9C">
      <w:r>
        <w:t>The efficacy of QUAD regimen (DCV/ASV/</w:t>
      </w:r>
      <w:proofErr w:type="spellStart"/>
      <w:r>
        <w:t>peginterferon</w:t>
      </w:r>
      <w:proofErr w:type="spellEnd"/>
      <w:r>
        <w:t xml:space="preserve"> </w:t>
      </w:r>
      <w:proofErr w:type="spellStart"/>
      <w:r>
        <w:t>alfa</w:t>
      </w:r>
      <w:proofErr w:type="spellEnd"/>
      <w:r>
        <w:t>/RBV) in HCV genotype 1 and 4 null responders indicates that this regimen is expected to be effective in HCV genotype 1 and 4 subjects who are treatment-naive.</w:t>
      </w:r>
    </w:p>
    <w:p w:rsidR="00016899" w:rsidRPr="00EA1B9C" w:rsidRDefault="00016899" w:rsidP="00EA1B9C">
      <w:pPr>
        <w:pStyle w:val="Heading6"/>
        <w:rPr>
          <w:rFonts w:eastAsia="MS Mincho"/>
        </w:rPr>
      </w:pPr>
      <w:r>
        <w:t>Supportive study</w:t>
      </w:r>
    </w:p>
    <w:p w:rsidR="00016899" w:rsidRDefault="004C5D5E" w:rsidP="00EA1B9C">
      <w:r w:rsidRPr="003B4380">
        <w:t>Study A</w:t>
      </w:r>
      <w:r w:rsidR="00016899" w:rsidRPr="003B4380">
        <w:t>I447011</w:t>
      </w:r>
      <w:r w:rsidR="00EA1B9C">
        <w:t xml:space="preserve"> </w:t>
      </w:r>
      <w:r w:rsidR="00016899">
        <w:t xml:space="preserve">was an open label study. The aim of this </w:t>
      </w:r>
      <w:r>
        <w:t>Phase II</w:t>
      </w:r>
      <w:r w:rsidR="00016899">
        <w:t xml:space="preserve"> proof-of-concept study (AI447011) was to combine DCV+ASV</w:t>
      </w:r>
      <w:r w:rsidR="00016899">
        <w:rPr>
          <w:rFonts w:cs="Cambria"/>
        </w:rPr>
        <w:t>+/</w:t>
      </w:r>
      <w:proofErr w:type="spellStart"/>
      <w:r w:rsidR="00016899">
        <w:t>pegIFN</w:t>
      </w:r>
      <w:proofErr w:type="spellEnd"/>
      <w:r w:rsidR="00016899">
        <w:rPr>
          <w:rFonts w:cs="Symbol"/>
        </w:rPr>
        <w:t>α</w:t>
      </w:r>
      <w:r w:rsidR="00016899">
        <w:t xml:space="preserve">/RBV or RBV for up to 24 weeks in prior null responders to </w:t>
      </w:r>
      <w:proofErr w:type="spellStart"/>
      <w:r w:rsidR="00016899">
        <w:t>pegIFN</w:t>
      </w:r>
      <w:proofErr w:type="spellEnd"/>
      <w:r w:rsidR="00016899">
        <w:t>α/RBV therapy.</w:t>
      </w:r>
      <w:r w:rsidR="00486662">
        <w:t xml:space="preserve"> </w:t>
      </w:r>
      <w:r w:rsidR="00016899">
        <w:t xml:space="preserve">This study used an </w:t>
      </w:r>
      <w:r w:rsidR="00EF24D1">
        <w:t>open label</w:t>
      </w:r>
      <w:r w:rsidR="00016899">
        <w:t xml:space="preserve"> design to permit frequent examination of antiviral and safety data from a sentinel cohort of prior null responders (Group A receiving Dual therapy and Group B</w:t>
      </w:r>
      <w:r w:rsidR="00EA1B9C">
        <w:t xml:space="preserve"> </w:t>
      </w:r>
      <w:r w:rsidR="00016899">
        <w:t xml:space="preserve">receiving Quad therapy) intended to inform the design of subsequent expansion cohorts receiving Dual (Groups A1 </w:t>
      </w:r>
      <w:r w:rsidR="00016899">
        <w:lastRenderedPageBreak/>
        <w:t>and A2) and Quad (20 subjects in Group B1 and 20 in Group B2) therapy. An additional group (Group B3) received DCV/ASV/RBV.</w:t>
      </w:r>
    </w:p>
    <w:p w:rsidR="00C60B78" w:rsidRDefault="00016899" w:rsidP="00EA1B9C">
      <w:r>
        <w:t>The QUAD therapy group comprised 51 subjects:</w:t>
      </w:r>
    </w:p>
    <w:p w:rsidR="00C60B78" w:rsidRDefault="00016899" w:rsidP="00486662">
      <w:pPr>
        <w:pStyle w:val="ListBullet"/>
      </w:pPr>
      <w:r>
        <w:t xml:space="preserve">B1: DCV 60 mg QD / ASV 200 mg tablet </w:t>
      </w:r>
      <w:r w:rsidR="004C5D5E">
        <w:t>BD</w:t>
      </w:r>
      <w:r>
        <w:t xml:space="preserve"> (N=20)</w:t>
      </w:r>
    </w:p>
    <w:p w:rsidR="00C60B78" w:rsidRDefault="00016899" w:rsidP="00486662">
      <w:pPr>
        <w:pStyle w:val="ListBullet"/>
      </w:pPr>
      <w:r>
        <w:t>B2: DCV 60mg QD/ ASV 200 mg tablet QD (N=21)</w:t>
      </w:r>
    </w:p>
    <w:p w:rsidR="00C60B78" w:rsidRDefault="00016899" w:rsidP="00486662">
      <w:pPr>
        <w:pStyle w:val="ListBullet"/>
      </w:pPr>
      <w:r>
        <w:t xml:space="preserve">B3: DCV 60 mg QD/ASV 600 mg tablet </w:t>
      </w:r>
      <w:r w:rsidR="004C5D5E">
        <w:t>BD</w:t>
      </w:r>
      <w:r>
        <w:t xml:space="preserve"> (N=10)</w:t>
      </w:r>
    </w:p>
    <w:p w:rsidR="00016899" w:rsidRDefault="00016899" w:rsidP="00486662">
      <w:r>
        <w:t>The treatment period was 24 weeks and subjects were then followed for 48 weeks post treatment.</w:t>
      </w:r>
    </w:p>
    <w:p w:rsidR="00016899" w:rsidRPr="00486662" w:rsidRDefault="00016899" w:rsidP="00486662">
      <w:r w:rsidRPr="00486662">
        <w:t xml:space="preserve">Results for efficacy outcomes showed that the QUAD therapy produced high rates of </w:t>
      </w:r>
      <w:proofErr w:type="spellStart"/>
      <w:r w:rsidRPr="00486662">
        <w:t>virologic</w:t>
      </w:r>
      <w:proofErr w:type="spellEnd"/>
      <w:r w:rsidRPr="00486662">
        <w:t xml:space="preserve"> response in prior null responders with GT-1b and -1a.</w:t>
      </w:r>
    </w:p>
    <w:p w:rsidR="00016899" w:rsidRDefault="00016899" w:rsidP="00486662">
      <w:r>
        <w:t>SVR12 (Primary efficacy endpoint) were 95.0% in Group B1 and 95.2% in Group B2.</w:t>
      </w:r>
    </w:p>
    <w:p w:rsidR="00016899" w:rsidRDefault="00016899" w:rsidP="00486662">
      <w:proofErr w:type="spellStart"/>
      <w:r>
        <w:t>Virologic</w:t>
      </w:r>
      <w:proofErr w:type="spellEnd"/>
      <w:r>
        <w:t xml:space="preserve"> response rates during </w:t>
      </w:r>
      <w:r w:rsidRPr="007A2E96">
        <w:t>treatment (RVR</w:t>
      </w:r>
      <w:r w:rsidR="007A2E96" w:rsidRPr="007A2E96">
        <w:rPr>
          <w:rStyle w:val="FootnoteReference"/>
        </w:rPr>
        <w:footnoteReference w:id="35"/>
      </w:r>
      <w:r w:rsidRPr="007A2E96">
        <w:t xml:space="preserve">, </w:t>
      </w:r>
      <w:proofErr w:type="spellStart"/>
      <w:r w:rsidRPr="007A2E96">
        <w:t>cEVR</w:t>
      </w:r>
      <w:proofErr w:type="spellEnd"/>
      <w:r w:rsidR="007A2E96" w:rsidRPr="007A2E96">
        <w:rPr>
          <w:rStyle w:val="FootnoteReference"/>
        </w:rPr>
        <w:footnoteReference w:id="36"/>
      </w:r>
      <w:r w:rsidRPr="007A2E96">
        <w:t>, EOTR</w:t>
      </w:r>
      <w:r w:rsidR="007A2E96" w:rsidRPr="007A2E96">
        <w:rPr>
          <w:rStyle w:val="FootnoteReference"/>
        </w:rPr>
        <w:footnoteReference w:id="37"/>
      </w:r>
      <w:r w:rsidRPr="007A2E96">
        <w:t>) and</w:t>
      </w:r>
      <w:r>
        <w:t xml:space="preserve"> SVR12/SVR24 rates during follow-up were consistently high in both Group B1 and B2. Among subjects with HCV RNA results at follow-up Weeks 12 and 24, the concordance of SVR24 with SVR12 (based on the criteria HCV RNA &lt; LLOQ, TND) was 100% in both Group B1 and B2.</w:t>
      </w:r>
    </w:p>
    <w:p w:rsidR="00C60B78" w:rsidRDefault="00016899" w:rsidP="00486662">
      <w:r>
        <w:t>Overall, for the QUAD regimen, the SVR12 rates achieved in:</w:t>
      </w:r>
    </w:p>
    <w:p w:rsidR="00016899" w:rsidRDefault="00016899" w:rsidP="00486662">
      <w:pPr>
        <w:pStyle w:val="ListBullet"/>
      </w:pPr>
      <w:r>
        <w:t>GT-1 prior non-responders were 330/354, 93.2% (95% CI: 90.6, 95.8) in AI447029</w:t>
      </w:r>
      <w:r w:rsidR="000F1CA4">
        <w:t xml:space="preserve"> </w:t>
      </w:r>
      <w:r>
        <w:t>and 19/20, 95.0% (95% CI: 81.9,</w:t>
      </w:r>
      <w:r w:rsidR="00486662">
        <w:t xml:space="preserve"> 99.5) in AI447011</w:t>
      </w:r>
      <w:r>
        <w:t>:</w:t>
      </w:r>
    </w:p>
    <w:p w:rsidR="00016899" w:rsidRDefault="00016899" w:rsidP="00486662">
      <w:pPr>
        <w:pStyle w:val="ListBullet"/>
      </w:pPr>
      <w:r>
        <w:t>GT-1 prior null responders, the SVR12 rates were 93.6% in AI447029</w:t>
      </w:r>
      <w:r w:rsidR="004936B4">
        <w:t xml:space="preserve"> </w:t>
      </w:r>
      <w:r>
        <w:t>to 95.0% in AI447011</w:t>
      </w:r>
    </w:p>
    <w:p w:rsidR="00016899" w:rsidRDefault="00016899" w:rsidP="00486662">
      <w:pPr>
        <w:pStyle w:val="ListBullet"/>
      </w:pPr>
      <w:r>
        <w:t>GT-1 prior partial responders, the S</w:t>
      </w:r>
      <w:r w:rsidR="00486662">
        <w:t>VR12 rate was 91.7% in AI447029</w:t>
      </w:r>
    </w:p>
    <w:p w:rsidR="00016899" w:rsidRDefault="00016899" w:rsidP="00486662">
      <w:pPr>
        <w:pStyle w:val="ListBullet"/>
      </w:pPr>
      <w:r>
        <w:t>GT-4 prior non-responders, the SVR12 rate was 44/44, 100.0% (95% CI: 100.0, 100.0) in AI447029</w:t>
      </w:r>
    </w:p>
    <w:p w:rsidR="00016899" w:rsidRDefault="00016899" w:rsidP="00016899">
      <w:r>
        <w:t xml:space="preserve">SVR12 rates with the QUAD therapy were consistently high across all host factor subgroups (including age, gender, cirrhosis status, </w:t>
      </w:r>
      <w:proofErr w:type="gramStart"/>
      <w:r>
        <w:t>IL</w:t>
      </w:r>
      <w:proofErr w:type="gramEnd"/>
      <w:r>
        <w:t>-28B polymorphism, prior null or partial response to HCV therapy) and viral factors (such as viral load). SVR12 rates with DCV QUAD therapy were minimally affected by baseline NS5A-L31, NS5A-Y93H and NS3-R155 polymorphisms and not affected by NS3-D168 polymorphisms.</w:t>
      </w:r>
    </w:p>
    <w:p w:rsidR="00016899" w:rsidRPr="00486662" w:rsidRDefault="00016899" w:rsidP="00486662">
      <w:pPr>
        <w:pStyle w:val="Heading4"/>
      </w:pPr>
      <w:r>
        <w:t>Safety</w:t>
      </w:r>
    </w:p>
    <w:p w:rsidR="00016899" w:rsidRDefault="00486662" w:rsidP="00016899">
      <w:pPr>
        <w:autoSpaceDE w:val="0"/>
        <w:autoSpaceDN w:val="0"/>
        <w:rPr>
          <w:szCs w:val="20"/>
        </w:rPr>
      </w:pPr>
      <w:r>
        <w:t xml:space="preserve">The all </w:t>
      </w:r>
      <w:r w:rsidR="00016899">
        <w:t xml:space="preserve">oral therapy of DCV (60 mg QD) in combination with ASV (100 mg </w:t>
      </w:r>
      <w:r w:rsidR="004C5D5E">
        <w:t>BD</w:t>
      </w:r>
      <w:r w:rsidR="00016899">
        <w:t xml:space="preserve">) has a favourable safety and tolerability profile compared to the currently approved standard therapy regimens in HCV GT-1b subjects who are </w:t>
      </w:r>
      <w:r>
        <w:t>treatment naïve</w:t>
      </w:r>
      <w:r w:rsidR="00016899">
        <w:t xml:space="preserve">, </w:t>
      </w:r>
      <w:r>
        <w:t>treatment experienced</w:t>
      </w:r>
      <w:r w:rsidR="00016899">
        <w:t>, or ineligible/intolerant to IFN/RBV-based therapy, including subjects with compensated cirrhosis and the elderly.</w:t>
      </w:r>
    </w:p>
    <w:p w:rsidR="00016899" w:rsidRDefault="00016899" w:rsidP="00016899">
      <w:pPr>
        <w:autoSpaceDE w:val="0"/>
        <w:autoSpaceDN w:val="0"/>
      </w:pPr>
      <w:r>
        <w:t xml:space="preserve">The AEs reported for </w:t>
      </w:r>
      <w:proofErr w:type="spellStart"/>
      <w:r>
        <w:t>PegIFN</w:t>
      </w:r>
      <w:proofErr w:type="spellEnd"/>
      <w:r>
        <w:t>α/</w:t>
      </w:r>
      <w:r w:rsidRPr="007A2E96">
        <w:t xml:space="preserve">RBV or TVR or BOC plus </w:t>
      </w:r>
      <w:proofErr w:type="spellStart"/>
      <w:r w:rsidRPr="007A2E96">
        <w:t>pegIFN</w:t>
      </w:r>
      <w:proofErr w:type="spellEnd"/>
      <w:r w:rsidRPr="007A2E96">
        <w:t>α</w:t>
      </w:r>
      <w:r>
        <w:t xml:space="preserve">/RBV such as </w:t>
      </w:r>
      <w:proofErr w:type="spellStart"/>
      <w:r>
        <w:t>haematologic</w:t>
      </w:r>
      <w:proofErr w:type="spellEnd"/>
      <w:r>
        <w:t xml:space="preserve"> disorders (anaemia, neutropenia and </w:t>
      </w:r>
      <w:proofErr w:type="spellStart"/>
      <w:r>
        <w:t>thrombocytopaenia</w:t>
      </w:r>
      <w:proofErr w:type="spellEnd"/>
      <w:r>
        <w:t>), psychiatric disorders (depression), flu</w:t>
      </w:r>
      <w:r w:rsidR="00486662">
        <w:t xml:space="preserve"> </w:t>
      </w:r>
      <w:r>
        <w:t>like symptoms, rash and anorectal disorders) were reported infrequently with the DCV/ASV regimen.</w:t>
      </w:r>
    </w:p>
    <w:p w:rsidR="00016899" w:rsidRDefault="00016899" w:rsidP="00016899">
      <w:pPr>
        <w:autoSpaceDE w:val="0"/>
        <w:autoSpaceDN w:val="0"/>
      </w:pPr>
      <w:r>
        <w:t xml:space="preserve">The major AE for the combination is ALT/AST elevations. The second round </w:t>
      </w:r>
      <w:r w:rsidR="00486662">
        <w:t xml:space="preserve">clinical </w:t>
      </w:r>
      <w:proofErr w:type="spellStart"/>
      <w:r w:rsidR="00486662">
        <w:t>evalaution</w:t>
      </w:r>
      <w:proofErr w:type="spellEnd"/>
      <w:r>
        <w:t xml:space="preserve"> accepts this appears to be due to the</w:t>
      </w:r>
      <w:r w:rsidR="004936B4">
        <w:t xml:space="preserve"> </w:t>
      </w:r>
      <w:r>
        <w:t xml:space="preserve">ASV component. Concurrent (within ±4 weeks of each other) Grade 3/4 ALT and Grade 3/4 AST laboratory abnormalities were </w:t>
      </w:r>
      <w:r>
        <w:lastRenderedPageBreak/>
        <w:t>reported in 2.9% of DCV/ASV-treated subjects. The events appeared to be easily monitored and readily corrected after cessation of study therapy.</w:t>
      </w:r>
    </w:p>
    <w:p w:rsidR="00016899" w:rsidRDefault="00016899" w:rsidP="00016899">
      <w:pPr>
        <w:autoSpaceDE w:val="0"/>
        <w:autoSpaceDN w:val="0"/>
      </w:pPr>
      <w:r>
        <w:t xml:space="preserve">The safety profile of the DCV Quad regimen (DCV/ASV in combination with </w:t>
      </w:r>
      <w:proofErr w:type="spellStart"/>
      <w:r>
        <w:t>pegIFN</w:t>
      </w:r>
      <w:proofErr w:type="spellEnd"/>
      <w:r>
        <w:t xml:space="preserve">α/RBV) in HCV GT 1 or 4 subjects who failed previous IFN/RBV-based therapy, was similar to that reported historically with </w:t>
      </w:r>
      <w:proofErr w:type="spellStart"/>
      <w:r>
        <w:t>pegIFN</w:t>
      </w:r>
      <w:proofErr w:type="spellEnd"/>
      <w:r>
        <w:t>α/RBV alone (</w:t>
      </w:r>
      <w:r w:rsidR="00486662">
        <w:t>that is,</w:t>
      </w:r>
      <w:r>
        <w:t xml:space="preserve"> Grade 3</w:t>
      </w:r>
      <w:r w:rsidR="00486662">
        <w:t xml:space="preserve"> to </w:t>
      </w:r>
      <w:r>
        <w:t xml:space="preserve">4 </w:t>
      </w:r>
      <w:proofErr w:type="spellStart"/>
      <w:r>
        <w:t>haematologic</w:t>
      </w:r>
      <w:proofErr w:type="spellEnd"/>
      <w:r>
        <w:t xml:space="preserve"> abnormalities and other AEs characteristic of </w:t>
      </w:r>
      <w:proofErr w:type="spellStart"/>
      <w:r>
        <w:t>pegIFN</w:t>
      </w:r>
      <w:proofErr w:type="spellEnd"/>
      <w:r>
        <w:t>α/RBV therapy), with the exception of similar elevated transaminase levels as observed in the other ASV studies.</w:t>
      </w:r>
    </w:p>
    <w:p w:rsidR="00C60B78" w:rsidRDefault="00016899" w:rsidP="00297990">
      <w:pPr>
        <w:pStyle w:val="Heading5"/>
      </w:pPr>
      <w:r>
        <w:t xml:space="preserve">New </w:t>
      </w:r>
      <w:r w:rsidR="00486662" w:rsidRPr="00486662">
        <w:t>s</w:t>
      </w:r>
      <w:r w:rsidRPr="00486662">
        <w:t>afety</w:t>
      </w:r>
      <w:r>
        <w:t xml:space="preserve"> information submitted</w:t>
      </w:r>
    </w:p>
    <w:p w:rsidR="00016899" w:rsidRDefault="00016899" w:rsidP="00016899">
      <w:r>
        <w:t>The sponsor has provided new information on the safety of ASV in relation to the following:</w:t>
      </w:r>
    </w:p>
    <w:p w:rsidR="00016899" w:rsidRDefault="00016899" w:rsidP="00486662">
      <w:pPr>
        <w:pStyle w:val="ListBullet"/>
      </w:pPr>
      <w:r>
        <w:t>A new review of the hepatic safety based on the data in the submission as well as data from studies that were ongoing at the time of the submission</w:t>
      </w:r>
    </w:p>
    <w:p w:rsidR="00297990" w:rsidRDefault="00016899" w:rsidP="00297990">
      <w:pPr>
        <w:pStyle w:val="Heading6"/>
      </w:pPr>
      <w:r>
        <w:t>Hepatic safety</w:t>
      </w:r>
    </w:p>
    <w:p w:rsidR="00016899" w:rsidRDefault="00016899" w:rsidP="00016899">
      <w:pPr>
        <w:rPr>
          <w:b/>
        </w:rPr>
      </w:pPr>
      <w:r>
        <w:t>Preliminary hepatic safety data are briefly presented for 2 hepatic cases of clinical interest from ongoing studies in the DCV/ASV/BCV (DCV 3DAA) clinical program. The combination regimen includes DCV, a HCV NS5A replication complex inhibitor, ASV, a HCV NS3/4A protease inhibitor, and BCV (BMS-791325), a HCV NS5B thumb 1 nonnucleoside polymerase inhibitor.</w:t>
      </w:r>
    </w:p>
    <w:p w:rsidR="00016899" w:rsidRDefault="00016899" w:rsidP="00016899">
      <w:pPr>
        <w:autoSpaceDE w:val="0"/>
        <w:autoSpaceDN w:val="0"/>
      </w:pPr>
      <w:r>
        <w:t xml:space="preserve">From these ongoing studies 2 further cases of </w:t>
      </w:r>
      <w:proofErr w:type="spellStart"/>
      <w:r>
        <w:t>pDILI</w:t>
      </w:r>
      <w:proofErr w:type="spellEnd"/>
      <w:r>
        <w:t xml:space="preserve"> were reported. One patient developed Grade 4 abnormal AST/ALT elevation on </w:t>
      </w:r>
      <w:r w:rsidR="00297990">
        <w:t>D</w:t>
      </w:r>
      <w:r>
        <w:t>ay 43 of treatment but returned to normal with cessation of study drugs. The other pa</w:t>
      </w:r>
      <w:r w:rsidR="00297990">
        <w:t>tient had study drug ceased on Da</w:t>
      </w:r>
      <w:r>
        <w:t xml:space="preserve">y 42 when </w:t>
      </w:r>
      <w:r w:rsidR="00297990">
        <w:t>the patient</w:t>
      </w:r>
      <w:r>
        <w:t xml:space="preserve"> presented with jaundice and was hospitalised due to </w:t>
      </w:r>
      <w:proofErr w:type="spellStart"/>
      <w:r>
        <w:t>hyperbilirubinaemia</w:t>
      </w:r>
      <w:proofErr w:type="spellEnd"/>
      <w:r>
        <w:t xml:space="preserve"> (Grade 4), AST increased (Grade 4), ALT increased (Grade 4), ALP increased (Grade 1). </w:t>
      </w:r>
      <w:r w:rsidR="00297990">
        <w:t>The patient</w:t>
      </w:r>
      <w:r>
        <w:t xml:space="preserve"> experienced clinical signs of hepatic encephalopathy (</w:t>
      </w:r>
      <w:proofErr w:type="spellStart"/>
      <w:r>
        <w:t>asterixis</w:t>
      </w:r>
      <w:proofErr w:type="spellEnd"/>
      <w:r>
        <w:t>) which was resolving but not normal at time of follow up.</w:t>
      </w:r>
    </w:p>
    <w:p w:rsidR="00C60B78" w:rsidRDefault="00016899" w:rsidP="00016899">
      <w:pPr>
        <w:autoSpaceDE w:val="0"/>
        <w:autoSpaceDN w:val="0"/>
      </w:pPr>
      <w:r>
        <w:t>The conclusions of the sponsor were:</w:t>
      </w:r>
    </w:p>
    <w:p w:rsidR="00016899" w:rsidRPr="00297990" w:rsidRDefault="00016899" w:rsidP="00297990">
      <w:pPr>
        <w:pStyle w:val="ListBullet"/>
        <w:rPr>
          <w:i/>
        </w:rPr>
      </w:pPr>
      <w:r w:rsidRPr="00297990">
        <w:rPr>
          <w:i/>
        </w:rPr>
        <w:t xml:space="preserve">When ASV was combined with DCV </w:t>
      </w:r>
      <w:r w:rsidRPr="00297990">
        <w:rPr>
          <w:rFonts w:cs="Cambria"/>
          <w:i/>
        </w:rPr>
        <w:t>±</w:t>
      </w:r>
      <w:r w:rsidRPr="00297990">
        <w:rPr>
          <w:i/>
        </w:rPr>
        <w:t xml:space="preserve"> </w:t>
      </w:r>
      <w:proofErr w:type="spellStart"/>
      <w:r w:rsidRPr="00297990">
        <w:rPr>
          <w:i/>
        </w:rPr>
        <w:t>pegIFN</w:t>
      </w:r>
      <w:proofErr w:type="spellEnd"/>
      <w:r w:rsidRPr="00297990">
        <w:rPr>
          <w:i/>
        </w:rPr>
        <w:t>α/RBV), ALT elevations were observed, which are associated with ASV use</w:t>
      </w:r>
      <w:r w:rsidR="00297990">
        <w:rPr>
          <w:i/>
        </w:rPr>
        <w:t>.</w:t>
      </w:r>
    </w:p>
    <w:p w:rsidR="00016899" w:rsidRPr="00297990" w:rsidRDefault="00016899" w:rsidP="00297990">
      <w:pPr>
        <w:pStyle w:val="ListBullet"/>
        <w:rPr>
          <w:i/>
        </w:rPr>
      </w:pPr>
      <w:r w:rsidRPr="00297990">
        <w:rPr>
          <w:i/>
        </w:rPr>
        <w:t>In general, these ALT elevations to date have been reversible after study drug has been discontinued</w:t>
      </w:r>
      <w:r w:rsidR="00297990">
        <w:rPr>
          <w:i/>
        </w:rPr>
        <w:t>.</w:t>
      </w:r>
    </w:p>
    <w:p w:rsidR="00016899" w:rsidRPr="00297990" w:rsidRDefault="00016899" w:rsidP="00297990">
      <w:pPr>
        <w:pStyle w:val="ListBullet"/>
        <w:rPr>
          <w:i/>
        </w:rPr>
      </w:pPr>
      <w:r w:rsidRPr="00297990">
        <w:rPr>
          <w:i/>
        </w:rPr>
        <w:t xml:space="preserve">Infrequently, these ALT elevations are associated with increased bilirubin (subjects meeting biochemical criteria for </w:t>
      </w:r>
      <w:proofErr w:type="spellStart"/>
      <w:r w:rsidRPr="00297990">
        <w:rPr>
          <w:i/>
        </w:rPr>
        <w:t>Hy</w:t>
      </w:r>
      <w:r w:rsidR="00297990">
        <w:rPr>
          <w:i/>
        </w:rPr>
        <w:t>’</w:t>
      </w:r>
      <w:r w:rsidRPr="00297990">
        <w:rPr>
          <w:i/>
        </w:rPr>
        <w:t>s</w:t>
      </w:r>
      <w:proofErr w:type="spellEnd"/>
      <w:r w:rsidRPr="00297990">
        <w:rPr>
          <w:i/>
        </w:rPr>
        <w:t xml:space="preserve"> law or </w:t>
      </w:r>
      <w:proofErr w:type="spellStart"/>
      <w:r w:rsidRPr="00297990">
        <w:rPr>
          <w:i/>
        </w:rPr>
        <w:t>pDILI</w:t>
      </w:r>
      <w:proofErr w:type="spellEnd"/>
      <w:r w:rsidRPr="00297990">
        <w:rPr>
          <w:i/>
        </w:rPr>
        <w:t xml:space="preserve"> criteria) without clinical evidence of hepatic decompensation. However, one case of a subject with severe liver injury, who exhibited evidence of hepatic encephalopathy, has been reported among subjects receiving HCV 3DAA (DCV/ASV/BCV); further evaluation of this case is ongoing.</w:t>
      </w:r>
    </w:p>
    <w:p w:rsidR="00016899" w:rsidRDefault="00016899" w:rsidP="00016899">
      <w:pPr>
        <w:autoSpaceDE w:val="0"/>
        <w:autoSpaceDN w:val="0"/>
        <w:rPr>
          <w:i/>
        </w:rPr>
      </w:pPr>
      <w:r>
        <w:rPr>
          <w:i/>
        </w:rPr>
        <w:t>Given the above, patients receiving DCV/ASV or DCV/ASV/</w:t>
      </w:r>
      <w:proofErr w:type="spellStart"/>
      <w:r>
        <w:rPr>
          <w:i/>
        </w:rPr>
        <w:t>pegIFN</w:t>
      </w:r>
      <w:proofErr w:type="spellEnd"/>
      <w:r>
        <w:rPr>
          <w:i/>
        </w:rPr>
        <w:t>α/RBV, should have close monitoring of liver enzymes: at least once every 2 weeks for the initial 12 weeks of treatment, and every 4 weeks thereafter until completion of therapy. Any upward trend in ALT/AST levels warrants more frequent monitoring. If on-treatment elevations in ALT levels 10 times ULN or greater occur, treatment should be discontinued immediately and not be resumed.</w:t>
      </w:r>
    </w:p>
    <w:p w:rsidR="00016899" w:rsidRDefault="00016899" w:rsidP="00016899">
      <w:pPr>
        <w:autoSpaceDE w:val="0"/>
        <w:autoSpaceDN w:val="0"/>
      </w:pPr>
      <w:r>
        <w:t>It is noted that this recommendation for monitoring is now included in the revised PI.</w:t>
      </w:r>
    </w:p>
    <w:p w:rsidR="008E7846" w:rsidRDefault="00386150" w:rsidP="007B6132">
      <w:pPr>
        <w:pStyle w:val="Heading3"/>
        <w:rPr>
          <w:lang w:eastAsia="en-AU"/>
        </w:rPr>
      </w:pPr>
      <w:bookmarkStart w:id="175" w:name="_Toc438125725"/>
      <w:r>
        <w:rPr>
          <w:lang w:eastAsia="en-AU"/>
        </w:rPr>
        <w:t>Risk m</w:t>
      </w:r>
      <w:r w:rsidR="008E7846">
        <w:rPr>
          <w:lang w:eastAsia="en-AU"/>
        </w:rPr>
        <w:t xml:space="preserve">anagement </w:t>
      </w:r>
      <w:r>
        <w:rPr>
          <w:lang w:eastAsia="en-AU"/>
        </w:rPr>
        <w:t>p</w:t>
      </w:r>
      <w:r w:rsidR="008E7846">
        <w:rPr>
          <w:lang w:eastAsia="en-AU"/>
        </w:rPr>
        <w:t>lan</w:t>
      </w:r>
      <w:bookmarkEnd w:id="168"/>
      <w:bookmarkEnd w:id="175"/>
    </w:p>
    <w:p w:rsidR="00016899" w:rsidRDefault="00016899" w:rsidP="008652B5">
      <w:r>
        <w:t>The RMP evaluation report is included for ACPM information. There are no outstanding issues in relation to the RMP evaluation report for this submission. ACSOM advice was not sought for this submission.</w:t>
      </w:r>
    </w:p>
    <w:p w:rsidR="00C60B78" w:rsidRDefault="00016899" w:rsidP="008652B5">
      <w:r>
        <w:lastRenderedPageBreak/>
        <w:t>The RMP evaluator has suggested the following wording as the conditions of registration:</w:t>
      </w:r>
    </w:p>
    <w:p w:rsidR="00016899" w:rsidRDefault="00016899" w:rsidP="008652B5">
      <w:pPr>
        <w:pStyle w:val="ListBullet"/>
      </w:pPr>
      <w:r>
        <w:t xml:space="preserve">Implement </w:t>
      </w:r>
      <w:proofErr w:type="spellStart"/>
      <w:r>
        <w:t>Asunaprevir</w:t>
      </w:r>
      <w:proofErr w:type="spellEnd"/>
      <w:r>
        <w:t xml:space="preserve"> Company Core RMP (version 2, dated 22 December 2014, data lock point 15 November 2014) with Australia Specific Annex (version 2, dated 29 December 2014) and any future updates as a condition of registration.</w:t>
      </w:r>
    </w:p>
    <w:p w:rsidR="008652B5" w:rsidRPr="008652B5" w:rsidRDefault="00016899" w:rsidP="008652B5">
      <w:pPr>
        <w:pStyle w:val="Heading4"/>
        <w:rPr>
          <w:rStyle w:val="Heading5Char"/>
          <w:rFonts w:eastAsia="Cambria"/>
          <w:b/>
          <w:bCs/>
          <w:i w:val="0"/>
          <w:color w:val="auto"/>
        </w:rPr>
      </w:pPr>
      <w:r w:rsidRPr="008652B5">
        <w:rPr>
          <w:rStyle w:val="Heading5Char"/>
          <w:rFonts w:eastAsia="Cambria"/>
          <w:b/>
          <w:bCs/>
          <w:i w:val="0"/>
          <w:color w:val="auto"/>
        </w:rPr>
        <w:t>Additional recommendation based on the sponsor’s response</w:t>
      </w:r>
    </w:p>
    <w:p w:rsidR="00016899" w:rsidRDefault="008652B5" w:rsidP="008652B5">
      <w:pPr>
        <w:rPr>
          <w:szCs w:val="20"/>
          <w:u w:val="single"/>
        </w:rPr>
      </w:pPr>
      <w:r>
        <w:t>According to T</w:t>
      </w:r>
      <w:r w:rsidR="00016899">
        <w:t xml:space="preserve">able 4-1 in the revised Australia Specific </w:t>
      </w:r>
      <w:proofErr w:type="gramStart"/>
      <w:r w:rsidR="00016899">
        <w:t>Annex</w:t>
      </w:r>
      <w:proofErr w:type="gramEnd"/>
      <w:r w:rsidR="00016899">
        <w:t xml:space="preserve"> (version 2), the following PI precaution is proposed for the new item of missing information ‘Patients who failed prior treatment with NS3 protease inhibitors’:</w:t>
      </w:r>
      <w:r w:rsidR="004936B4">
        <w:t xml:space="preserve"> </w:t>
      </w:r>
      <w:r w:rsidR="006A7F24">
        <w:t>‘</w:t>
      </w:r>
      <w:r w:rsidR="00016899">
        <w:t>SUNVEPRA has not been studied in patients who have previously failed therapy with a treatment regimen that includes SUNVEPRA or other HCV NS3/4A protease inhibitors</w:t>
      </w:r>
      <w:r w:rsidR="006A7F24">
        <w:t>’</w:t>
      </w:r>
      <w:r w:rsidR="00016899">
        <w:t>.</w:t>
      </w:r>
      <w:r w:rsidR="004936B4">
        <w:t xml:space="preserve"> </w:t>
      </w:r>
      <w:r w:rsidR="00016899">
        <w:t>This precaution does not appear in the draft PI and should be included</w:t>
      </w:r>
    </w:p>
    <w:p w:rsidR="008E7846" w:rsidRDefault="00AA0ED0" w:rsidP="008E7846">
      <w:pPr>
        <w:pStyle w:val="Heading3"/>
      </w:pPr>
      <w:bookmarkStart w:id="176" w:name="_Toc247691531"/>
      <w:bookmarkStart w:id="177" w:name="_Toc314842515"/>
      <w:bookmarkStart w:id="178" w:name="_Toc196046505"/>
      <w:bookmarkStart w:id="179" w:name="_Toc196046949"/>
      <w:bookmarkStart w:id="180" w:name="_Toc438125726"/>
      <w:r>
        <w:t>Risk-benefit a</w:t>
      </w:r>
      <w:r w:rsidR="008E7846">
        <w:t>nalysis</w:t>
      </w:r>
      <w:bookmarkEnd w:id="176"/>
      <w:bookmarkEnd w:id="177"/>
      <w:bookmarkEnd w:id="180"/>
    </w:p>
    <w:p w:rsidR="00C60B78" w:rsidRDefault="00D23139" w:rsidP="00D23139">
      <w:pPr>
        <w:pStyle w:val="Heading4"/>
      </w:pPr>
      <w:r w:rsidRPr="00D23139">
        <w:t>Delegate’s considerations</w:t>
      </w:r>
    </w:p>
    <w:p w:rsidR="00016899" w:rsidRDefault="00016899" w:rsidP="00016899">
      <w:pPr>
        <w:rPr>
          <w:szCs w:val="20"/>
        </w:rPr>
      </w:pPr>
      <w:r>
        <w:t xml:space="preserve">Based on the review of the new information provided by the sponsor in response to the first round evaluation, the clinical evaluator recommends the registration approval of </w:t>
      </w:r>
      <w:proofErr w:type="spellStart"/>
      <w:r w:rsidR="008652B5">
        <w:t>Sunvepra</w:t>
      </w:r>
      <w:proofErr w:type="spellEnd"/>
      <w:r w:rsidR="008652B5">
        <w:t xml:space="preserve"> </w:t>
      </w:r>
      <w:r>
        <w:t>(</w:t>
      </w:r>
      <w:proofErr w:type="spellStart"/>
      <w:r>
        <w:t>asunaprevir</w:t>
      </w:r>
      <w:proofErr w:type="spellEnd"/>
      <w:r>
        <w:t>) for the proposed indications:</w:t>
      </w:r>
    </w:p>
    <w:p w:rsidR="00016899" w:rsidRPr="008652B5" w:rsidRDefault="008652B5" w:rsidP="00016899">
      <w:pPr>
        <w:ind w:left="284"/>
        <w:rPr>
          <w:i/>
        </w:rPr>
      </w:pPr>
      <w:proofErr w:type="spellStart"/>
      <w:r w:rsidRPr="008652B5">
        <w:rPr>
          <w:i/>
        </w:rPr>
        <w:t>Sunvepra</w:t>
      </w:r>
      <w:proofErr w:type="spellEnd"/>
      <w:r w:rsidRPr="008652B5">
        <w:rPr>
          <w:i/>
        </w:rPr>
        <w:t xml:space="preserve"> </w:t>
      </w:r>
      <w:r w:rsidR="00016899" w:rsidRPr="008652B5">
        <w:rPr>
          <w:i/>
        </w:rPr>
        <w:t>(</w:t>
      </w:r>
      <w:proofErr w:type="spellStart"/>
      <w:r w:rsidR="00016899" w:rsidRPr="008652B5">
        <w:rPr>
          <w:i/>
        </w:rPr>
        <w:t>asunaprevir</w:t>
      </w:r>
      <w:proofErr w:type="spellEnd"/>
      <w:r w:rsidR="00016899" w:rsidRPr="008652B5">
        <w:rPr>
          <w:i/>
        </w:rPr>
        <w:t>) is indicated for the treatment of chronic hepatitis C virus (HCV) infection in adults with compensated liver disease (including cirrhosis) in combination with:</w:t>
      </w:r>
    </w:p>
    <w:p w:rsidR="00016899" w:rsidRPr="008652B5" w:rsidRDefault="008652B5" w:rsidP="003E4216">
      <w:pPr>
        <w:pStyle w:val="ListParagraph"/>
        <w:numPr>
          <w:ilvl w:val="0"/>
          <w:numId w:val="14"/>
        </w:numPr>
        <w:tabs>
          <w:tab w:val="left" w:pos="284"/>
          <w:tab w:val="left" w:pos="709"/>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djustRightInd/>
        <w:snapToGrid/>
        <w:spacing w:before="0" w:after="0" w:line="240" w:lineRule="auto"/>
        <w:ind w:left="709" w:hanging="425"/>
        <w:rPr>
          <w:i/>
        </w:rPr>
      </w:pPr>
      <w:proofErr w:type="spellStart"/>
      <w:r w:rsidRPr="008652B5">
        <w:rPr>
          <w:i/>
        </w:rPr>
        <w:t>Daklinza</w:t>
      </w:r>
      <w:proofErr w:type="spellEnd"/>
      <w:r w:rsidR="00016899" w:rsidRPr="008652B5">
        <w:rPr>
          <w:i/>
        </w:rPr>
        <w:t xml:space="preserve">, an NS5A replication complex inhibitor, for patients with HCV genotype 1b infection (See </w:t>
      </w:r>
      <w:r w:rsidRPr="008652B5">
        <w:rPr>
          <w:i/>
        </w:rPr>
        <w:t xml:space="preserve">Clinical Trials </w:t>
      </w:r>
      <w:r w:rsidR="00016899" w:rsidRPr="008652B5">
        <w:rPr>
          <w:i/>
        </w:rPr>
        <w:t xml:space="preserve">and </w:t>
      </w:r>
      <w:r w:rsidRPr="008652B5">
        <w:rPr>
          <w:i/>
        </w:rPr>
        <w:t>Dosage And Administration</w:t>
      </w:r>
      <w:r w:rsidR="00016899" w:rsidRPr="008652B5">
        <w:rPr>
          <w:i/>
        </w:rPr>
        <w:t>)</w:t>
      </w:r>
    </w:p>
    <w:p w:rsidR="00016899" w:rsidRPr="008652B5" w:rsidRDefault="008652B5" w:rsidP="003E4216">
      <w:pPr>
        <w:pStyle w:val="ListParagraph"/>
        <w:numPr>
          <w:ilvl w:val="0"/>
          <w:numId w:val="14"/>
        </w:numPr>
        <w:tabs>
          <w:tab w:val="left" w:pos="284"/>
          <w:tab w:val="left" w:pos="709"/>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djustRightInd/>
        <w:snapToGrid/>
        <w:spacing w:before="0" w:after="0" w:line="240" w:lineRule="auto"/>
        <w:ind w:left="709" w:hanging="425"/>
        <w:rPr>
          <w:i/>
        </w:rPr>
      </w:pPr>
      <w:proofErr w:type="spellStart"/>
      <w:r w:rsidRPr="008652B5">
        <w:rPr>
          <w:i/>
        </w:rPr>
        <w:t>Daklinza</w:t>
      </w:r>
      <w:proofErr w:type="spellEnd"/>
      <w:r w:rsidR="00016899" w:rsidRPr="008652B5">
        <w:rPr>
          <w:i/>
        </w:rPr>
        <w:t xml:space="preserve">, </w:t>
      </w:r>
      <w:proofErr w:type="spellStart"/>
      <w:r w:rsidR="00016899" w:rsidRPr="008652B5">
        <w:rPr>
          <w:i/>
        </w:rPr>
        <w:t>peginterferon</w:t>
      </w:r>
      <w:proofErr w:type="spellEnd"/>
      <w:r w:rsidR="00016899" w:rsidRPr="008652B5">
        <w:rPr>
          <w:i/>
        </w:rPr>
        <w:t xml:space="preserve"> </w:t>
      </w:r>
      <w:proofErr w:type="spellStart"/>
      <w:r w:rsidR="00016899" w:rsidRPr="008652B5">
        <w:rPr>
          <w:i/>
        </w:rPr>
        <w:t>alfa</w:t>
      </w:r>
      <w:proofErr w:type="spellEnd"/>
      <w:r w:rsidR="00016899" w:rsidRPr="008652B5">
        <w:rPr>
          <w:i/>
        </w:rPr>
        <w:t xml:space="preserve">, and ribavirin for patients with HCV genotype 1 or 4 infection (see </w:t>
      </w:r>
      <w:r w:rsidRPr="008652B5">
        <w:rPr>
          <w:i/>
        </w:rPr>
        <w:t>Clinical Trials and</w:t>
      </w:r>
      <w:r w:rsidR="00016899" w:rsidRPr="008652B5">
        <w:rPr>
          <w:i/>
        </w:rPr>
        <w:t xml:space="preserve"> </w:t>
      </w:r>
      <w:r w:rsidRPr="008652B5">
        <w:rPr>
          <w:i/>
        </w:rPr>
        <w:t>Dosage and Administration</w:t>
      </w:r>
      <w:r w:rsidR="00016899" w:rsidRPr="008652B5">
        <w:rPr>
          <w:i/>
        </w:rPr>
        <w:t>)</w:t>
      </w:r>
    </w:p>
    <w:p w:rsidR="00016899" w:rsidRPr="008652B5" w:rsidRDefault="00016899" w:rsidP="008652B5">
      <w:r w:rsidRPr="008652B5">
        <w:t>The recommended regimens and treatment durations are as follows</w:t>
      </w:r>
      <w:r w:rsidR="008652B5">
        <w:t xml:space="preserve"> (Table 21):</w:t>
      </w:r>
    </w:p>
    <w:p w:rsidR="00016899" w:rsidRDefault="008652B5" w:rsidP="00190D26">
      <w:pPr>
        <w:pStyle w:val="TableTitle"/>
      </w:pPr>
      <w:r>
        <w:t xml:space="preserve">Table 21: </w:t>
      </w:r>
      <w:r w:rsidR="00016899">
        <w:t xml:space="preserve">Recommended Regimens for </w:t>
      </w:r>
      <w:proofErr w:type="spellStart"/>
      <w:r>
        <w:t>Sunvepra</w:t>
      </w:r>
      <w:proofErr w:type="spellEnd"/>
      <w:r>
        <w:t xml:space="preserve"> </w:t>
      </w:r>
      <w:r w:rsidR="00016899">
        <w:t>100 mg Twice Daily Combination Therapy</w:t>
      </w:r>
    </w:p>
    <w:tbl>
      <w:tblPr>
        <w:tblStyle w:val="TableTGAblue"/>
        <w:tblW w:w="4948" w:type="pct"/>
        <w:tblLook w:val="04A0" w:firstRow="1" w:lastRow="0" w:firstColumn="1" w:lastColumn="0" w:noHBand="0" w:noVBand="1"/>
      </w:tblPr>
      <w:tblGrid>
        <w:gridCol w:w="2235"/>
        <w:gridCol w:w="4570"/>
        <w:gridCol w:w="1824"/>
      </w:tblGrid>
      <w:tr w:rsidR="00016899" w:rsidTr="0055797B">
        <w:trPr>
          <w:cnfStyle w:val="100000000000" w:firstRow="1" w:lastRow="0" w:firstColumn="0" w:lastColumn="0" w:oddVBand="0" w:evenVBand="0" w:oddHBand="0" w:evenHBand="0" w:firstRowFirstColumn="0" w:firstRowLastColumn="0" w:lastRowFirstColumn="0" w:lastRowLastColumn="0"/>
        </w:trPr>
        <w:tc>
          <w:tcPr>
            <w:tcW w:w="1295" w:type="pct"/>
            <w:hideMark/>
          </w:tcPr>
          <w:p w:rsidR="00016899" w:rsidRPr="00BA1372" w:rsidRDefault="00016899" w:rsidP="0055797B">
            <w:pPr>
              <w:rPr>
                <w:rFonts w:eastAsia="MS Mincho"/>
                <w:b w:val="0"/>
                <w:lang w:eastAsia="ja-JP"/>
              </w:rPr>
            </w:pPr>
            <w:r w:rsidRPr="00BA1372">
              <w:rPr>
                <w:b w:val="0"/>
              </w:rPr>
              <w:t xml:space="preserve">HCV Genotype </w:t>
            </w:r>
            <w:r w:rsidRPr="00BA1372">
              <w:rPr>
                <w:b w:val="0"/>
                <w:vertAlign w:val="superscript"/>
              </w:rPr>
              <w:t>a</w:t>
            </w:r>
          </w:p>
        </w:tc>
        <w:tc>
          <w:tcPr>
            <w:tcW w:w="2648" w:type="pct"/>
            <w:hideMark/>
          </w:tcPr>
          <w:p w:rsidR="00016899" w:rsidRPr="00BA1372" w:rsidRDefault="00016899" w:rsidP="0055797B">
            <w:pPr>
              <w:rPr>
                <w:rFonts w:eastAsia="MS Mincho"/>
                <w:b w:val="0"/>
                <w:lang w:eastAsia="ja-JP"/>
              </w:rPr>
            </w:pPr>
            <w:r w:rsidRPr="00BA1372">
              <w:rPr>
                <w:b w:val="0"/>
              </w:rPr>
              <w:t>Treatment</w:t>
            </w:r>
          </w:p>
        </w:tc>
        <w:tc>
          <w:tcPr>
            <w:tcW w:w="1057" w:type="pct"/>
            <w:hideMark/>
          </w:tcPr>
          <w:p w:rsidR="00016899" w:rsidRPr="00BA1372" w:rsidRDefault="00016899" w:rsidP="0055797B">
            <w:pPr>
              <w:rPr>
                <w:rFonts w:eastAsia="MS Mincho"/>
                <w:b w:val="0"/>
                <w:lang w:eastAsia="ja-JP"/>
              </w:rPr>
            </w:pPr>
            <w:r w:rsidRPr="00BA1372">
              <w:rPr>
                <w:b w:val="0"/>
              </w:rPr>
              <w:t>Duration</w:t>
            </w:r>
          </w:p>
        </w:tc>
      </w:tr>
      <w:tr w:rsidR="00016899" w:rsidTr="0055797B">
        <w:tc>
          <w:tcPr>
            <w:tcW w:w="1295" w:type="pct"/>
            <w:hideMark/>
          </w:tcPr>
          <w:p w:rsidR="00016899" w:rsidRPr="00BA1372" w:rsidRDefault="00016899" w:rsidP="0055797B">
            <w:pPr>
              <w:rPr>
                <w:rFonts w:eastAsia="MS Mincho"/>
                <w:lang w:eastAsia="ja-JP"/>
              </w:rPr>
            </w:pPr>
            <w:r w:rsidRPr="00BA1372">
              <w:t>Genotype 1b</w:t>
            </w:r>
          </w:p>
        </w:tc>
        <w:tc>
          <w:tcPr>
            <w:tcW w:w="2648" w:type="pct"/>
            <w:hideMark/>
          </w:tcPr>
          <w:p w:rsidR="00016899" w:rsidRPr="00BA1372" w:rsidRDefault="008652B5" w:rsidP="0055797B">
            <w:proofErr w:type="spellStart"/>
            <w:r w:rsidRPr="00BA1372">
              <w:t>Sunvepra</w:t>
            </w:r>
            <w:proofErr w:type="spellEnd"/>
            <w:r w:rsidRPr="00BA1372">
              <w:t xml:space="preserve"> and </w:t>
            </w:r>
            <w:proofErr w:type="spellStart"/>
            <w:r w:rsidRPr="00BA1372">
              <w:t>Daklinza</w:t>
            </w:r>
            <w:proofErr w:type="spellEnd"/>
          </w:p>
        </w:tc>
        <w:tc>
          <w:tcPr>
            <w:tcW w:w="1057" w:type="pct"/>
            <w:hideMark/>
          </w:tcPr>
          <w:p w:rsidR="00016899" w:rsidRPr="00BA1372" w:rsidRDefault="00016899" w:rsidP="0055797B">
            <w:pPr>
              <w:rPr>
                <w:rFonts w:eastAsia="MS Mincho"/>
                <w:lang w:eastAsia="ja-JP"/>
              </w:rPr>
            </w:pPr>
            <w:r w:rsidRPr="00BA1372">
              <w:t>24 weeks</w:t>
            </w:r>
          </w:p>
        </w:tc>
      </w:tr>
      <w:tr w:rsidR="00016899" w:rsidTr="0055797B">
        <w:tc>
          <w:tcPr>
            <w:tcW w:w="1295" w:type="pct"/>
            <w:hideMark/>
          </w:tcPr>
          <w:p w:rsidR="00016899" w:rsidRPr="00BA1372" w:rsidRDefault="00016899" w:rsidP="0055797B">
            <w:pPr>
              <w:rPr>
                <w:rFonts w:eastAsia="MS Mincho"/>
                <w:lang w:eastAsia="ja-JP"/>
              </w:rPr>
            </w:pPr>
            <w:r w:rsidRPr="00BA1372">
              <w:t>Genotype 1 and 4</w:t>
            </w:r>
          </w:p>
        </w:tc>
        <w:tc>
          <w:tcPr>
            <w:tcW w:w="2648" w:type="pct"/>
            <w:hideMark/>
          </w:tcPr>
          <w:p w:rsidR="00016899" w:rsidRPr="00BA1372" w:rsidRDefault="008652B5" w:rsidP="0055797B">
            <w:pPr>
              <w:rPr>
                <w:rFonts w:eastAsia="MS Mincho"/>
                <w:lang w:eastAsia="ja-JP"/>
              </w:rPr>
            </w:pPr>
            <w:proofErr w:type="spellStart"/>
            <w:r w:rsidRPr="00BA1372">
              <w:t>Sunvepra</w:t>
            </w:r>
            <w:proofErr w:type="spellEnd"/>
            <w:r w:rsidRPr="00BA1372">
              <w:t xml:space="preserve">, </w:t>
            </w:r>
            <w:proofErr w:type="spellStart"/>
            <w:r w:rsidRPr="00BA1372">
              <w:t>Daklinza</w:t>
            </w:r>
            <w:proofErr w:type="spellEnd"/>
            <w:r w:rsidR="00016899" w:rsidRPr="00BA1372">
              <w:t xml:space="preserve">, </w:t>
            </w:r>
            <w:proofErr w:type="spellStart"/>
            <w:r w:rsidR="00016899" w:rsidRPr="00BA1372">
              <w:t>peginterferon</w:t>
            </w:r>
            <w:proofErr w:type="spellEnd"/>
            <w:r w:rsidR="00016899" w:rsidRPr="00BA1372">
              <w:t xml:space="preserve"> </w:t>
            </w:r>
            <w:proofErr w:type="spellStart"/>
            <w:r w:rsidR="00016899" w:rsidRPr="00BA1372">
              <w:t>alfa</w:t>
            </w:r>
            <w:proofErr w:type="spellEnd"/>
            <w:r w:rsidR="00016899" w:rsidRPr="00BA1372">
              <w:t>, and ribavirin</w:t>
            </w:r>
          </w:p>
        </w:tc>
        <w:tc>
          <w:tcPr>
            <w:tcW w:w="1057" w:type="pct"/>
            <w:hideMark/>
          </w:tcPr>
          <w:p w:rsidR="00016899" w:rsidRPr="00BA1372" w:rsidRDefault="00016899" w:rsidP="0055797B">
            <w:pPr>
              <w:rPr>
                <w:rFonts w:eastAsia="MS Mincho"/>
                <w:lang w:eastAsia="ja-JP"/>
              </w:rPr>
            </w:pPr>
            <w:r w:rsidRPr="00BA1372">
              <w:t>24 weeks</w:t>
            </w:r>
          </w:p>
        </w:tc>
      </w:tr>
    </w:tbl>
    <w:p w:rsidR="00016899" w:rsidRDefault="00016899" w:rsidP="0055797B">
      <w:pPr>
        <w:pStyle w:val="TableDescription"/>
        <w:rPr>
          <w:rFonts w:eastAsia="MS Mincho"/>
          <w:szCs w:val="20"/>
          <w:lang w:eastAsia="ja-JP"/>
        </w:rPr>
      </w:pPr>
      <w:proofErr w:type="gramStart"/>
      <w:r>
        <w:t>a</w:t>
      </w:r>
      <w:proofErr w:type="gramEnd"/>
      <w:r>
        <w:t xml:space="preserve"> Treatment-naïve or failed prior treatment with </w:t>
      </w:r>
      <w:proofErr w:type="spellStart"/>
      <w:r>
        <w:t>peginterferon</w:t>
      </w:r>
      <w:proofErr w:type="spellEnd"/>
      <w:r>
        <w:t xml:space="preserve"> </w:t>
      </w:r>
      <w:proofErr w:type="spellStart"/>
      <w:r>
        <w:t>alfa</w:t>
      </w:r>
      <w:proofErr w:type="spellEnd"/>
      <w:r>
        <w:t>/ribavirin</w:t>
      </w:r>
    </w:p>
    <w:p w:rsidR="00016899" w:rsidRDefault="00016899" w:rsidP="00016899">
      <w:r>
        <w:t xml:space="preserve">This approval matches the recommended approval for </w:t>
      </w:r>
      <w:proofErr w:type="spellStart"/>
      <w:r>
        <w:t>daclatasvir</w:t>
      </w:r>
      <w:proofErr w:type="spellEnd"/>
      <w:r>
        <w:t>.</w:t>
      </w:r>
    </w:p>
    <w:p w:rsidR="00C60B78" w:rsidRDefault="00016899" w:rsidP="00016899">
      <w:r>
        <w:t xml:space="preserve">In dose selection studies a trend in the frequency and magnitude of ALT and AST elevations was observed at ASV doses &gt; 200 mg </w:t>
      </w:r>
      <w:r w:rsidR="004C5D5E">
        <w:t>BD</w:t>
      </w:r>
      <w:r>
        <w:t xml:space="preserve"> of the tablet formulation. When ASV was combined with DCV ± </w:t>
      </w:r>
      <w:proofErr w:type="spellStart"/>
      <w:r>
        <w:t>pegIFN</w:t>
      </w:r>
      <w:proofErr w:type="spellEnd"/>
      <w:r>
        <w:t>α/RBV),</w:t>
      </w:r>
      <w:r w:rsidR="004936B4">
        <w:t xml:space="preserve"> </w:t>
      </w:r>
      <w:r>
        <w:t>ALT elevations were observed.</w:t>
      </w:r>
      <w:r w:rsidR="004936B4">
        <w:t xml:space="preserve"> </w:t>
      </w:r>
      <w:r>
        <w:t xml:space="preserve">For the DCV/ASV regimen Grade 3/4 AE reported were increased ALT (4%) and increased AST (3%). The review of hepatic safety based on </w:t>
      </w:r>
      <w:r w:rsidR="004C5D5E">
        <w:t>Phase II</w:t>
      </w:r>
      <w:r>
        <w:t xml:space="preserve"> studies of ASV and DCV reports</w:t>
      </w:r>
      <w:r w:rsidR="00C95499">
        <w:rPr>
          <w:rStyle w:val="FootnoteReference"/>
        </w:rPr>
        <w:footnoteReference w:id="38"/>
      </w:r>
      <w:r>
        <w:t xml:space="preserve"> somewhat higher frequency of Grade 3-4 ALT (9.8%) and AST (7.8%) abnormalities with DCV+ASV. The CER considers</w:t>
      </w:r>
      <w:r w:rsidR="004936B4">
        <w:t xml:space="preserve"> </w:t>
      </w:r>
      <w:r>
        <w:t xml:space="preserve">transaminase elevations appear to be easily monitored and </w:t>
      </w:r>
      <w:r>
        <w:lastRenderedPageBreak/>
        <w:t>readily corrected after cessation of study therapy. Close monitoring of liver enzymes now recommended in draft PI.</w:t>
      </w:r>
    </w:p>
    <w:p w:rsidR="00016899" w:rsidRDefault="00016899" w:rsidP="00016899">
      <w:r>
        <w:t xml:space="preserve">Infrequently, these ALT elevations are associated with increased bilirubin (subjects meeting biochemical criteria for </w:t>
      </w:r>
      <w:proofErr w:type="spellStart"/>
      <w:r>
        <w:t>Hy’s</w:t>
      </w:r>
      <w:proofErr w:type="spellEnd"/>
      <w:r>
        <w:t xml:space="preserve"> law</w:t>
      </w:r>
      <w:r w:rsidR="00297990">
        <w:rPr>
          <w:rStyle w:val="FootnoteReference"/>
        </w:rPr>
        <w:footnoteReference w:id="39"/>
      </w:r>
      <w:r>
        <w:t xml:space="preserve"> or </w:t>
      </w:r>
      <w:proofErr w:type="spellStart"/>
      <w:r>
        <w:t>pDILI</w:t>
      </w:r>
      <w:proofErr w:type="spellEnd"/>
      <w:r>
        <w:t xml:space="preserve"> criteria) without clinical evidence of hepatic decompensation. However, one case of a subject with severe liver injury, who exhibited evidence of hepatic encephalopathy, has been reported among subjects receiving HCV 3DAA (DCV/ASV/BCV).</w:t>
      </w:r>
    </w:p>
    <w:p w:rsidR="00C60B78" w:rsidRDefault="00016899" w:rsidP="00016899">
      <w:r>
        <w:t>ASV</w:t>
      </w:r>
      <w:r w:rsidR="004936B4">
        <w:t xml:space="preserve"> </w:t>
      </w:r>
      <w:r>
        <w:t>is contraindicated for patients with moderate or severe hepatic impairment.</w:t>
      </w:r>
    </w:p>
    <w:p w:rsidR="00016899" w:rsidRDefault="00016899" w:rsidP="00016899">
      <w:r>
        <w:t>Patient numbers assessed for safety in the ASV combination regimens at the recommended dose total 918 for</w:t>
      </w:r>
      <w:r w:rsidR="004936B4">
        <w:t xml:space="preserve"> </w:t>
      </w:r>
      <w:r>
        <w:t>DCV/ASV, 418 for DCV Quad and 189 for ASV/</w:t>
      </w:r>
      <w:proofErr w:type="spellStart"/>
      <w:r>
        <w:t>pegIFN</w:t>
      </w:r>
      <w:proofErr w:type="spellEnd"/>
      <w:r>
        <w:t>/RBV.</w:t>
      </w:r>
    </w:p>
    <w:p w:rsidR="00C60B78" w:rsidRDefault="00016899" w:rsidP="008652B5">
      <w:pPr>
        <w:pStyle w:val="Heading4"/>
      </w:pPr>
      <w:r>
        <w:t xml:space="preserve">Summary of </w:t>
      </w:r>
      <w:r w:rsidR="0055797B">
        <w:t>i</w:t>
      </w:r>
      <w:r>
        <w:t>ssues</w:t>
      </w:r>
    </w:p>
    <w:p w:rsidR="00016899" w:rsidRDefault="00016899" w:rsidP="00016899">
      <w:r>
        <w:t xml:space="preserve">In dose selection studies a trend in the frequency and magnitude of ALT and AST elevations was observed at ASV doses &gt; 200 mg </w:t>
      </w:r>
      <w:r w:rsidR="004C5D5E">
        <w:t>BD</w:t>
      </w:r>
      <w:r>
        <w:t xml:space="preserve"> of the tablet formulation. When ASV was combined with DCV ± </w:t>
      </w:r>
      <w:proofErr w:type="spellStart"/>
      <w:r>
        <w:t>pegIFN</w:t>
      </w:r>
      <w:proofErr w:type="spellEnd"/>
      <w:r>
        <w:t>α/RBV),</w:t>
      </w:r>
      <w:r w:rsidR="004936B4">
        <w:t xml:space="preserve"> </w:t>
      </w:r>
      <w:r>
        <w:t>ALT and AST elevations were observed.</w:t>
      </w:r>
      <w:r w:rsidR="004936B4">
        <w:t xml:space="preserve"> </w:t>
      </w:r>
      <w:r>
        <w:rPr>
          <w:sz w:val="21"/>
          <w:szCs w:val="20"/>
        </w:rPr>
        <w:t xml:space="preserve">For the DCV/ASV regimen Grade 3/ 4 AE reported were increased ALT (4%) and increased AST (3%). The review of hepatic safety presented in second round CER for DCV (p104) based on </w:t>
      </w:r>
      <w:r w:rsidR="004C5D5E">
        <w:rPr>
          <w:sz w:val="21"/>
          <w:szCs w:val="20"/>
        </w:rPr>
        <w:t>Phase II</w:t>
      </w:r>
      <w:r>
        <w:rPr>
          <w:sz w:val="21"/>
          <w:szCs w:val="20"/>
        </w:rPr>
        <w:t xml:space="preserve"> studies of ASV and DCV reports somewhat higher frequency of Grade 3-4 ALT (9.8%) and AST (7.8%) abnormalities with DCV+ASV . The CER considers</w:t>
      </w:r>
      <w:r w:rsidR="004936B4">
        <w:rPr>
          <w:sz w:val="21"/>
          <w:szCs w:val="20"/>
        </w:rPr>
        <w:t xml:space="preserve"> </w:t>
      </w:r>
      <w:r>
        <w:rPr>
          <w:sz w:val="21"/>
          <w:szCs w:val="20"/>
        </w:rPr>
        <w:t xml:space="preserve">transaminase elevations </w:t>
      </w:r>
      <w:r>
        <w:t>appear to be easily monitored and readily corrected after cessation of study therapy.</w:t>
      </w:r>
      <w:r>
        <w:rPr>
          <w:sz w:val="21"/>
          <w:szCs w:val="20"/>
        </w:rPr>
        <w:t xml:space="preserve"> </w:t>
      </w:r>
      <w:r>
        <w:t>Close monitoring of liver enzymes now recommended in draft PI.</w:t>
      </w:r>
      <w:r w:rsidR="004936B4">
        <w:t xml:space="preserve"> </w:t>
      </w:r>
      <w:r>
        <w:t>ASV is contraindicated in patients with moderate or severe hepatic impairment.</w:t>
      </w:r>
    </w:p>
    <w:p w:rsidR="00C60B78" w:rsidRDefault="00016899" w:rsidP="00016899">
      <w:r>
        <w:t xml:space="preserve">Infrequently, these ALT elevations are associated with increased bilirubin (subjects meeting biochemical criteria for </w:t>
      </w:r>
      <w:proofErr w:type="spellStart"/>
      <w:r>
        <w:t>Hy’s</w:t>
      </w:r>
      <w:proofErr w:type="spellEnd"/>
      <w:r>
        <w:t xml:space="preserve"> law or </w:t>
      </w:r>
      <w:proofErr w:type="spellStart"/>
      <w:r>
        <w:t>pDILI</w:t>
      </w:r>
      <w:proofErr w:type="spellEnd"/>
      <w:r>
        <w:t xml:space="preserve"> criteria) without clinical evidence of hepatic decompensation. However, one case of a subject with severe liver injury, who exhibited evidence of hepatic encephalopathy, has been reported among subjects receiving HCV 3DAA (DCV/ASV/BCV). Numbers assessed for safety in the ASV combination regimens at the recommended dose total 918 for</w:t>
      </w:r>
      <w:r w:rsidR="004936B4">
        <w:t xml:space="preserve"> </w:t>
      </w:r>
      <w:r>
        <w:t>DCV/ASV, 418 for DCV Quad and 189 for ASV/</w:t>
      </w:r>
      <w:proofErr w:type="spellStart"/>
      <w:r>
        <w:t>pegIFN</w:t>
      </w:r>
      <w:proofErr w:type="spellEnd"/>
      <w:r>
        <w:t>/RBV.</w:t>
      </w:r>
    </w:p>
    <w:p w:rsidR="00C60B78" w:rsidRDefault="00016899" w:rsidP="00016899">
      <w:r>
        <w:t xml:space="preserve">Comparative data are not available for DCV+ASV to newer medicines for the treatment of CHC. In USA, the ASV submission has been withdrawn with the reason stated by </w:t>
      </w:r>
      <w:r w:rsidR="008652B5">
        <w:t>the sponsor as</w:t>
      </w:r>
      <w:r>
        <w:t xml:space="preserve"> </w:t>
      </w:r>
      <w:r w:rsidR="006A7F24">
        <w:t>‘</w:t>
      </w:r>
      <w:r w:rsidRPr="008652B5">
        <w:rPr>
          <w:i/>
        </w:rPr>
        <w:t xml:space="preserve">Due to evolving HCV treatment landscape resulting in access to multiple all-oral treatment options with high cure rates and 12-week treatment duration for HCV genotype 1 patients in the U.S., 24 week treatment with </w:t>
      </w:r>
      <w:proofErr w:type="spellStart"/>
      <w:r w:rsidRPr="008652B5">
        <w:rPr>
          <w:i/>
        </w:rPr>
        <w:t>daclatasvir</w:t>
      </w:r>
      <w:proofErr w:type="spellEnd"/>
      <w:r w:rsidRPr="008652B5">
        <w:rPr>
          <w:i/>
        </w:rPr>
        <w:t xml:space="preserve"> (DCV</w:t>
      </w:r>
      <w:proofErr w:type="gramStart"/>
      <w:r w:rsidRPr="008652B5">
        <w:rPr>
          <w:i/>
        </w:rPr>
        <w:t>)+</w:t>
      </w:r>
      <w:proofErr w:type="gramEnd"/>
      <w:r w:rsidRPr="008652B5">
        <w:rPr>
          <w:i/>
        </w:rPr>
        <w:t xml:space="preserve">ASV and </w:t>
      </w:r>
      <w:proofErr w:type="spellStart"/>
      <w:r w:rsidRPr="008652B5">
        <w:rPr>
          <w:i/>
        </w:rPr>
        <w:t>DCV+ASV+peginterferon-alfa</w:t>
      </w:r>
      <w:proofErr w:type="spellEnd"/>
      <w:r w:rsidRPr="008652B5">
        <w:rPr>
          <w:i/>
        </w:rPr>
        <w:t>/ribavirin is considered not to be competitive in the U.S</w:t>
      </w:r>
      <w:r>
        <w:t>.</w:t>
      </w:r>
      <w:r w:rsidR="006A7F24">
        <w:t>’</w:t>
      </w:r>
    </w:p>
    <w:p w:rsidR="00D23139" w:rsidRDefault="0077023F" w:rsidP="00D23139">
      <w:pPr>
        <w:pStyle w:val="Heading4"/>
      </w:pPr>
      <w:r>
        <w:t>Delegate’s</w:t>
      </w:r>
      <w:r w:rsidRPr="00D23139">
        <w:t xml:space="preserve"> </w:t>
      </w:r>
      <w:r w:rsidR="0055797B">
        <w:t>p</w:t>
      </w:r>
      <w:r w:rsidR="00D23139" w:rsidRPr="00D23139">
        <w:t>roposed action</w:t>
      </w:r>
    </w:p>
    <w:p w:rsidR="00C60B78" w:rsidRDefault="0077023F" w:rsidP="0077023F">
      <w:r>
        <w:t xml:space="preserve">The Delegate agrees with the clinical evaluator and proposes the registration approval for </w:t>
      </w:r>
      <w:proofErr w:type="spellStart"/>
      <w:r>
        <w:t>Sunvepra</w:t>
      </w:r>
      <w:proofErr w:type="spellEnd"/>
      <w:r>
        <w:t xml:space="preserve"> for use in combination with other medicinal products for the treatment of chronic hepatitis C virus (HCV) infection in adults with compensated liver disease.</w:t>
      </w:r>
    </w:p>
    <w:p w:rsidR="0077023F" w:rsidRDefault="0077023F" w:rsidP="0077023F">
      <w:r>
        <w:t>The proposed regimens and treatment durations are considered acceptable.</w:t>
      </w:r>
    </w:p>
    <w:p w:rsidR="00016899" w:rsidRPr="00016899" w:rsidRDefault="008652B5" w:rsidP="00016899">
      <w:r>
        <w:rPr>
          <w:bCs/>
        </w:rPr>
        <w:t>The Delegate had</w:t>
      </w:r>
      <w:r w:rsidR="00016899">
        <w:rPr>
          <w:bCs/>
        </w:rPr>
        <w:t xml:space="preserve"> no reason to say, at this time, that the application for </w:t>
      </w:r>
      <w:proofErr w:type="spellStart"/>
      <w:r w:rsidR="0077023F">
        <w:rPr>
          <w:bCs/>
        </w:rPr>
        <w:t>Sunvepra</w:t>
      </w:r>
      <w:proofErr w:type="spellEnd"/>
      <w:r w:rsidR="00016899">
        <w:rPr>
          <w:bCs/>
        </w:rPr>
        <w:t xml:space="preserve"> should not be approved for registration.</w:t>
      </w:r>
    </w:p>
    <w:p w:rsidR="00D23139" w:rsidRDefault="00D23139" w:rsidP="00D23139">
      <w:pPr>
        <w:pStyle w:val="Heading4"/>
      </w:pPr>
      <w:r w:rsidRPr="00D23139">
        <w:lastRenderedPageBreak/>
        <w:t>Request for ACPM advice</w:t>
      </w:r>
    </w:p>
    <w:p w:rsidR="00016899" w:rsidRDefault="00016899" w:rsidP="00016899">
      <w:r>
        <w:t>The committee is requested to provide advice on the following specific issues:</w:t>
      </w:r>
    </w:p>
    <w:p w:rsidR="00016899" w:rsidRDefault="00016899" w:rsidP="0077023F">
      <w:pPr>
        <w:pStyle w:val="Numberbullet0"/>
      </w:pPr>
      <w:r>
        <w:t xml:space="preserve">Are </w:t>
      </w:r>
      <w:proofErr w:type="spellStart"/>
      <w:r w:rsidR="0077023F">
        <w:t>Sunvepra</w:t>
      </w:r>
      <w:proofErr w:type="spellEnd"/>
      <w:r w:rsidR="0077023F">
        <w:t xml:space="preserve"> </w:t>
      </w:r>
      <w:r>
        <w:t>(</w:t>
      </w:r>
      <w:proofErr w:type="spellStart"/>
      <w:r>
        <w:t>asunaprevir</w:t>
      </w:r>
      <w:proofErr w:type="spellEnd"/>
      <w:r>
        <w:t>) indications proposed, which include two specific combination regimens, considered acceptable compared to the DAKLINZA (</w:t>
      </w:r>
      <w:proofErr w:type="spellStart"/>
      <w:proofErr w:type="gramStart"/>
      <w:r>
        <w:t>daclatasvir</w:t>
      </w:r>
      <w:proofErr w:type="spellEnd"/>
      <w:r>
        <w:t xml:space="preserve"> )</w:t>
      </w:r>
      <w:proofErr w:type="gramEnd"/>
      <w:r>
        <w:t xml:space="preserve"> indications which rely on referral [see CLINICAL TRIALS and DOSAGE and ADMINISTRATION]?</w:t>
      </w:r>
    </w:p>
    <w:p w:rsidR="00C60B78" w:rsidRDefault="00016899" w:rsidP="0077023F">
      <w:pPr>
        <w:pStyle w:val="Numberbullet0"/>
      </w:pPr>
      <w:r>
        <w:t>Has</w:t>
      </w:r>
      <w:r w:rsidR="004936B4">
        <w:t xml:space="preserve"> </w:t>
      </w:r>
      <w:r>
        <w:t xml:space="preserve">hepatic safety of </w:t>
      </w:r>
      <w:proofErr w:type="spellStart"/>
      <w:r>
        <w:t>asunaprevir</w:t>
      </w:r>
      <w:proofErr w:type="spellEnd"/>
      <w:r>
        <w:t xml:space="preserve"> has been adequately established in chronic hepatitis C patients?</w:t>
      </w:r>
    </w:p>
    <w:p w:rsidR="00016899" w:rsidRPr="00016899" w:rsidRDefault="00016899" w:rsidP="0077023F">
      <w:pPr>
        <w:pStyle w:val="Numberbullet0"/>
      </w:pPr>
      <w:r>
        <w:t>The committee is (also) requested to provide advice on any other issues that it thinks may be relevant to a decision on whether or not to approve this application.</w:t>
      </w:r>
    </w:p>
    <w:p w:rsidR="00C60B78" w:rsidRDefault="00D23139" w:rsidP="00D23139">
      <w:pPr>
        <w:pStyle w:val="Heading4"/>
      </w:pPr>
      <w:r w:rsidRPr="00D23139">
        <w:t xml:space="preserve">Response from </w:t>
      </w:r>
      <w:r w:rsidR="00C531D4">
        <w:t>s</w:t>
      </w:r>
      <w:r w:rsidRPr="00D23139">
        <w:t>ponsor</w:t>
      </w:r>
    </w:p>
    <w:p w:rsidR="00C60B78" w:rsidRDefault="0077023F" w:rsidP="0077023F">
      <w:r>
        <w:t>The s</w:t>
      </w:r>
      <w:r w:rsidR="00190D26">
        <w:t xml:space="preserve">ponsor acknowledges the Delegate’s proposal to approve the registration of </w:t>
      </w:r>
      <w:proofErr w:type="spellStart"/>
      <w:r>
        <w:t>Sunvepra</w:t>
      </w:r>
      <w:proofErr w:type="spellEnd"/>
      <w:r>
        <w:t xml:space="preserve"> </w:t>
      </w:r>
      <w:r w:rsidR="00190D26">
        <w:t xml:space="preserve">for use in combination with other medicinal products for the treatment of chronic hepatitis C (HCV) infection in adults with compensated liver disease. The </w:t>
      </w:r>
      <w:r>
        <w:t>s</w:t>
      </w:r>
      <w:r w:rsidR="00190D26">
        <w:t>ponsor welcomes the opportunity to comment on the questions asked of the ACPM in the Delegate’s Request for ACPM’s Advice (DRA).</w:t>
      </w:r>
    </w:p>
    <w:p w:rsidR="00C60B78" w:rsidRDefault="0077023F" w:rsidP="0077023F">
      <w:pPr>
        <w:pStyle w:val="Heading5"/>
      </w:pPr>
      <w:r>
        <w:t>Advice sought and sponsor’s comments</w:t>
      </w:r>
    </w:p>
    <w:p w:rsidR="00C60B78" w:rsidRDefault="0077023F" w:rsidP="0077023F">
      <w:pPr>
        <w:pStyle w:val="Heading6"/>
      </w:pPr>
      <w:r>
        <w:t xml:space="preserve">Question </w:t>
      </w:r>
      <w:r w:rsidR="00190D26">
        <w:t xml:space="preserve">1: Are </w:t>
      </w:r>
      <w:proofErr w:type="spellStart"/>
      <w:r>
        <w:t>Sunvepra</w:t>
      </w:r>
      <w:proofErr w:type="spellEnd"/>
      <w:r>
        <w:t xml:space="preserve"> </w:t>
      </w:r>
      <w:r w:rsidR="00190D26">
        <w:t>(</w:t>
      </w:r>
      <w:proofErr w:type="spellStart"/>
      <w:r w:rsidR="00190D26">
        <w:t>asunaprevir</w:t>
      </w:r>
      <w:proofErr w:type="spellEnd"/>
      <w:r w:rsidR="00190D26">
        <w:t xml:space="preserve">) indications proposed, which include two specific combination regimens, considered acceptable compared to the </w:t>
      </w:r>
      <w:proofErr w:type="spellStart"/>
      <w:r>
        <w:t>Daklinza</w:t>
      </w:r>
      <w:proofErr w:type="spellEnd"/>
      <w:r>
        <w:t xml:space="preserve"> </w:t>
      </w:r>
      <w:r w:rsidR="00190D26">
        <w:t>(</w:t>
      </w:r>
      <w:proofErr w:type="spellStart"/>
      <w:r w:rsidR="00190D26">
        <w:t>daclatasvir</w:t>
      </w:r>
      <w:proofErr w:type="spellEnd"/>
      <w:r w:rsidR="00190D26">
        <w:t xml:space="preserve">) indications which rely on referral [see </w:t>
      </w:r>
      <w:r>
        <w:t xml:space="preserve">Clinical Trials </w:t>
      </w:r>
      <w:r w:rsidR="00190D26">
        <w:t xml:space="preserve">and </w:t>
      </w:r>
      <w:r>
        <w:t xml:space="preserve">Dosage </w:t>
      </w:r>
      <w:r w:rsidR="00190D26">
        <w:t xml:space="preserve">and </w:t>
      </w:r>
      <w:r>
        <w:t>Administration</w:t>
      </w:r>
      <w:r w:rsidR="00190D26">
        <w:t>]?</w:t>
      </w:r>
    </w:p>
    <w:p w:rsidR="00C60B78" w:rsidRDefault="00190D26" w:rsidP="0077023F">
      <w:r>
        <w:t xml:space="preserve">The </w:t>
      </w:r>
      <w:r w:rsidR="0077023F">
        <w:t>s</w:t>
      </w:r>
      <w:r>
        <w:t xml:space="preserve">ponsor acknowledges that the presentation of the </w:t>
      </w:r>
      <w:proofErr w:type="spellStart"/>
      <w:r w:rsidR="0077023F">
        <w:t>Sunvepra</w:t>
      </w:r>
      <w:proofErr w:type="spellEnd"/>
      <w:r w:rsidR="0077023F">
        <w:t xml:space="preserve"> </w:t>
      </w:r>
      <w:r>
        <w:t xml:space="preserve">indications section is inconsistent with the presentation of the </w:t>
      </w:r>
      <w:proofErr w:type="spellStart"/>
      <w:r w:rsidR="0077023F">
        <w:t>Daklinza</w:t>
      </w:r>
      <w:proofErr w:type="spellEnd"/>
      <w:r w:rsidR="0077023F">
        <w:t xml:space="preserve"> </w:t>
      </w:r>
      <w:r>
        <w:t>indications section, and also with that of other newer direct acting antiviral agents (DAA) approved in Australia (</w:t>
      </w:r>
      <w:proofErr w:type="spellStart"/>
      <w:r w:rsidR="0077023F">
        <w:t>Olysio</w:t>
      </w:r>
      <w:proofErr w:type="spellEnd"/>
      <w:r w:rsidR="0077023F">
        <w:t xml:space="preserve"> </w:t>
      </w:r>
      <w:r>
        <w:t xml:space="preserve">and </w:t>
      </w:r>
      <w:proofErr w:type="spellStart"/>
      <w:r w:rsidR="0077023F">
        <w:t>Sovaldi</w:t>
      </w:r>
      <w:proofErr w:type="spellEnd"/>
      <w:r>
        <w:t>).</w:t>
      </w:r>
    </w:p>
    <w:p w:rsidR="00C60B78" w:rsidRDefault="00190D26" w:rsidP="0077023F">
      <w:r>
        <w:t xml:space="preserve">The </w:t>
      </w:r>
      <w:r w:rsidR="0077023F">
        <w:t>s</w:t>
      </w:r>
      <w:r>
        <w:t xml:space="preserve">ponsor is willing to align the indications section of the </w:t>
      </w:r>
      <w:proofErr w:type="spellStart"/>
      <w:r w:rsidR="0077023F">
        <w:t>Sunvepra</w:t>
      </w:r>
      <w:proofErr w:type="spellEnd"/>
      <w:r w:rsidR="0077023F">
        <w:t xml:space="preserve"> </w:t>
      </w:r>
      <w:r>
        <w:t>PI to maintain consistency with all new DAAs approved in Australia and proposes to reformat as shown below:</w:t>
      </w:r>
    </w:p>
    <w:p w:rsidR="00C60B78" w:rsidRDefault="0077023F" w:rsidP="0077023F">
      <w:pPr>
        <w:ind w:left="720"/>
        <w:rPr>
          <w:i/>
        </w:rPr>
      </w:pPr>
      <w:proofErr w:type="spellStart"/>
      <w:r w:rsidRPr="0077023F">
        <w:rPr>
          <w:i/>
        </w:rPr>
        <w:t>Sunvepra</w:t>
      </w:r>
      <w:proofErr w:type="spellEnd"/>
      <w:r w:rsidRPr="0077023F">
        <w:rPr>
          <w:i/>
        </w:rPr>
        <w:t xml:space="preserve"> </w:t>
      </w:r>
      <w:r w:rsidR="00190D26" w:rsidRPr="0077023F">
        <w:rPr>
          <w:i/>
        </w:rPr>
        <w:t>(</w:t>
      </w:r>
      <w:proofErr w:type="spellStart"/>
      <w:r w:rsidR="00190D26" w:rsidRPr="0077023F">
        <w:rPr>
          <w:i/>
        </w:rPr>
        <w:t>asunaprevir</w:t>
      </w:r>
      <w:proofErr w:type="spellEnd"/>
      <w:r w:rsidR="00190D26" w:rsidRPr="0077023F">
        <w:rPr>
          <w:i/>
        </w:rPr>
        <w:t xml:space="preserve">) is indicated in combination with other medicinal products for the treatment of chronic hepatitis C virus (HCV) infection in adults with compensated liver disease (including cirrhosis) [see </w:t>
      </w:r>
      <w:r w:rsidRPr="0077023F">
        <w:rPr>
          <w:i/>
        </w:rPr>
        <w:t xml:space="preserve">Clinical Trials </w:t>
      </w:r>
      <w:r w:rsidR="00190D26" w:rsidRPr="0077023F">
        <w:rPr>
          <w:i/>
        </w:rPr>
        <w:t xml:space="preserve">and </w:t>
      </w:r>
      <w:r>
        <w:rPr>
          <w:i/>
        </w:rPr>
        <w:t>D</w:t>
      </w:r>
      <w:r w:rsidRPr="0077023F">
        <w:rPr>
          <w:i/>
        </w:rPr>
        <w:t xml:space="preserve">osage and </w:t>
      </w:r>
      <w:proofErr w:type="spellStart"/>
      <w:r>
        <w:rPr>
          <w:i/>
        </w:rPr>
        <w:t>D</w:t>
      </w:r>
      <w:r w:rsidRPr="0077023F">
        <w:rPr>
          <w:i/>
        </w:rPr>
        <w:t>dministration</w:t>
      </w:r>
      <w:proofErr w:type="spellEnd"/>
      <w:r w:rsidR="00190D26" w:rsidRPr="0077023F">
        <w:rPr>
          <w:i/>
        </w:rPr>
        <w:t>].</w:t>
      </w:r>
    </w:p>
    <w:p w:rsidR="00C60B78" w:rsidRDefault="0077023F" w:rsidP="0077023F">
      <w:pPr>
        <w:pStyle w:val="Heading6"/>
      </w:pPr>
      <w:r>
        <w:t xml:space="preserve">Question </w:t>
      </w:r>
      <w:r w:rsidR="00190D26">
        <w:t xml:space="preserve">2: Has hepatic safety of </w:t>
      </w:r>
      <w:proofErr w:type="spellStart"/>
      <w:r w:rsidR="00190D26">
        <w:t>asunaprevir</w:t>
      </w:r>
      <w:proofErr w:type="spellEnd"/>
      <w:r w:rsidR="00190D26">
        <w:t xml:space="preserve"> has been adequately established in chronic hepatitis C patients?</w:t>
      </w:r>
    </w:p>
    <w:p w:rsidR="00C60B78" w:rsidRDefault="00190D26" w:rsidP="0077023F">
      <w:r>
        <w:t xml:space="preserve">The </w:t>
      </w:r>
      <w:r w:rsidR="0077023F">
        <w:t>s</w:t>
      </w:r>
      <w:r>
        <w:t xml:space="preserve">ponsor provided an Overview of Hepatic Safety for </w:t>
      </w:r>
      <w:proofErr w:type="spellStart"/>
      <w:r>
        <w:t>asunaprevir</w:t>
      </w:r>
      <w:proofErr w:type="spellEnd"/>
      <w:r>
        <w:t xml:space="preserve"> with the</w:t>
      </w:r>
      <w:r w:rsidR="0077023F">
        <w:t>ir</w:t>
      </w:r>
      <w:r>
        <w:t xml:space="preserve"> response</w:t>
      </w:r>
      <w:r w:rsidR="0077023F">
        <w:t xml:space="preserve"> to TGA’s request for further information</w:t>
      </w:r>
      <w:r>
        <w:t xml:space="preserve">, summarising hepatic safety analyses from all clinical development programs which have studied regimens of </w:t>
      </w:r>
      <w:proofErr w:type="spellStart"/>
      <w:r>
        <w:t>asunaprevir</w:t>
      </w:r>
      <w:proofErr w:type="spellEnd"/>
      <w:r>
        <w:t xml:space="preserve"> (</w:t>
      </w:r>
      <w:proofErr w:type="spellStart"/>
      <w:r>
        <w:t>daclatasvir</w:t>
      </w:r>
      <w:proofErr w:type="spellEnd"/>
      <w:r>
        <w:t xml:space="preserve"> [DCV]/</w:t>
      </w:r>
      <w:proofErr w:type="spellStart"/>
      <w:r>
        <w:t>asunaprevir</w:t>
      </w:r>
      <w:proofErr w:type="spellEnd"/>
      <w:r>
        <w:t xml:space="preserve"> [ASV], </w:t>
      </w:r>
      <w:proofErr w:type="spellStart"/>
      <w:r>
        <w:t>pegIFN</w:t>
      </w:r>
      <w:proofErr w:type="spellEnd"/>
      <w:r>
        <w:t xml:space="preserve">/RBV, or DCV/ASV/ </w:t>
      </w:r>
      <w:proofErr w:type="spellStart"/>
      <w:r>
        <w:t>beclabuvir</w:t>
      </w:r>
      <w:proofErr w:type="spellEnd"/>
      <w:r>
        <w:t xml:space="preserve"> [DCV/ASV/BCV]).</w:t>
      </w:r>
    </w:p>
    <w:p w:rsidR="00C60B78" w:rsidRDefault="00190D26" w:rsidP="0077023F">
      <w:r>
        <w:t xml:space="preserve">Based on the </w:t>
      </w:r>
      <w:r w:rsidR="00451F8E">
        <w:t xml:space="preserve">sponsor’s </w:t>
      </w:r>
      <w:r>
        <w:t>current understanding of the hepatic safety analyses presented in the report:</w:t>
      </w:r>
    </w:p>
    <w:p w:rsidR="00C60B78" w:rsidRDefault="00190D26" w:rsidP="0077023F">
      <w:pPr>
        <w:pStyle w:val="ListBullet"/>
      </w:pPr>
      <w:r>
        <w:t>When ASV was combined with DCV (</w:t>
      </w:r>
      <w:proofErr w:type="spellStart"/>
      <w:r>
        <w:t>pegIFN</w:t>
      </w:r>
      <w:proofErr w:type="spellEnd"/>
      <w:r>
        <w:t>α/RBV), ALT elevations were observed, which are associated with ASV use.</w:t>
      </w:r>
    </w:p>
    <w:p w:rsidR="00C60B78" w:rsidRDefault="00190D26" w:rsidP="0077023F">
      <w:pPr>
        <w:pStyle w:val="ListBullet"/>
      </w:pPr>
      <w:r>
        <w:t>In general, these ALT elevations to date have been reversible after study drug has been discontinued.</w:t>
      </w:r>
    </w:p>
    <w:p w:rsidR="00C60B78" w:rsidRDefault="00190D26" w:rsidP="003E4216">
      <w:pPr>
        <w:pStyle w:val="ListBullet"/>
        <w:rPr>
          <w:sz w:val="23"/>
          <w:szCs w:val="23"/>
        </w:rPr>
      </w:pPr>
      <w:r>
        <w:t xml:space="preserve">Infrequently, these ALT elevations are associated with increased bilirubin (subjects meeting biochemical criteria for </w:t>
      </w:r>
      <w:proofErr w:type="spellStart"/>
      <w:r>
        <w:t>Hy’s</w:t>
      </w:r>
      <w:proofErr w:type="spellEnd"/>
      <w:r>
        <w:t xml:space="preserve"> law or </w:t>
      </w:r>
      <w:proofErr w:type="spellStart"/>
      <w:r>
        <w:t>pDILI</w:t>
      </w:r>
      <w:proofErr w:type="spellEnd"/>
      <w:r>
        <w:t xml:space="preserve"> criteria) without clinical evidence of </w:t>
      </w:r>
      <w:r w:rsidR="003E4216" w:rsidRPr="0077023F">
        <w:rPr>
          <w:sz w:val="23"/>
          <w:szCs w:val="23"/>
        </w:rPr>
        <w:lastRenderedPageBreak/>
        <w:t>hepatic decompensation. However, one case of a subject with severe liver injury, who exhibited evidence of hepatic encephalopathy, has been reported among subjects receiving HCV 3DAA (DCV/ASV/BCV); further evaluation of this case is ongoing.</w:t>
      </w:r>
    </w:p>
    <w:p w:rsidR="00C60B78" w:rsidRDefault="003E4216" w:rsidP="0077023F">
      <w:r>
        <w:t xml:space="preserve">The </w:t>
      </w:r>
      <w:r w:rsidR="0077023F">
        <w:t>s</w:t>
      </w:r>
      <w:r>
        <w:t>ponsor consequently recommends that patients receiving DCV/ASV or DCV/ASV/</w:t>
      </w:r>
      <w:proofErr w:type="spellStart"/>
      <w:r>
        <w:t>pegIFN</w:t>
      </w:r>
      <w:proofErr w:type="spellEnd"/>
      <w:r>
        <w:t>α/RBV should have close monitoring of liver enzymes: at least once every 2 weeks for the initial 12 weeks of treatment, and every 4 weeks thereafter until completion of therapy. Any upward trend in ALT/AST levels warrants more frequent monitoring. If on-treatment elevations in ALT levels 10 times ULN or greater occur, treatment should be discontinued immediately and not be resumed.</w:t>
      </w:r>
    </w:p>
    <w:p w:rsidR="00C60B78" w:rsidRDefault="003E4216" w:rsidP="0077023F">
      <w:r>
        <w:t xml:space="preserve">Comprehensive text regarding this monitoring and discontinuation guidance (if on-treatment elevations in ALT levels 10 times ULN or greater occur, treatment should be discontinued immediately and not be resumed) has been added to the Australian </w:t>
      </w:r>
      <w:proofErr w:type="spellStart"/>
      <w:r w:rsidR="0077023F">
        <w:t>Sunvepra</w:t>
      </w:r>
      <w:proofErr w:type="spellEnd"/>
      <w:r w:rsidR="0077023F">
        <w:t xml:space="preserve"> </w:t>
      </w:r>
      <w:r>
        <w:t xml:space="preserve">PI. This text has been accepted by the </w:t>
      </w:r>
      <w:r w:rsidR="0077023F">
        <w:t>clinical evaluator in the second round evaluation</w:t>
      </w:r>
      <w:r>
        <w:t xml:space="preserve">. As also noted by the Delegate, </w:t>
      </w:r>
      <w:proofErr w:type="spellStart"/>
      <w:r>
        <w:t>asunaprevir</w:t>
      </w:r>
      <w:proofErr w:type="spellEnd"/>
      <w:r>
        <w:t xml:space="preserve"> is contraindicated for patients with moderate or severe hepatic impairment. The </w:t>
      </w:r>
      <w:r w:rsidR="0077023F">
        <w:t>s</w:t>
      </w:r>
      <w:r>
        <w:t xml:space="preserve">ponsor believes that these PI measures are appropriate as one of the risk minimisation strategies to ensure patient safety during treatment with </w:t>
      </w:r>
      <w:proofErr w:type="spellStart"/>
      <w:r>
        <w:t>asunaprevir</w:t>
      </w:r>
      <w:proofErr w:type="spellEnd"/>
      <w:r>
        <w:t>.</w:t>
      </w:r>
    </w:p>
    <w:p w:rsidR="00C60B78" w:rsidRDefault="003E4216" w:rsidP="0077023F">
      <w:r>
        <w:t xml:space="preserve">The </w:t>
      </w:r>
      <w:r w:rsidR="0077023F">
        <w:t>s</w:t>
      </w:r>
      <w:r>
        <w:t xml:space="preserve">ponsor is committed to ongoing surveillance of the hepatic safety of </w:t>
      </w:r>
      <w:proofErr w:type="spellStart"/>
      <w:r>
        <w:t>asunaprevir</w:t>
      </w:r>
      <w:proofErr w:type="spellEnd"/>
      <w:r>
        <w:t xml:space="preserve"> worldwide. The combination of DCV/ASV was introduced into the market in Japan on 3 September 2014. The </w:t>
      </w:r>
      <w:r w:rsidR="0077023F">
        <w:t>third</w:t>
      </w:r>
      <w:r>
        <w:t xml:space="preserve"> interim report of the Early Post-Marketing Phase Vigilance (EPPV, an enhanced routine pharmacovigilance program requirement for all new drugs during their first 6 months on the market in Japan), covering the period 3 September 2014 through 2 January 2015, provided an estimated exposure of approximately 15,000 patients. There have been 70 serious adverse event reports (including 111 events) received during this period, with the greatest number (21/70, 30%) involving the hepatobiliary system. No cases with fatal outcome were reported.</w:t>
      </w:r>
    </w:p>
    <w:p w:rsidR="00C60B78" w:rsidRDefault="003E4216" w:rsidP="0077023F">
      <w:r>
        <w:t xml:space="preserve">In conclusion, the </w:t>
      </w:r>
      <w:r w:rsidR="0077023F">
        <w:t>s</w:t>
      </w:r>
      <w:r>
        <w:t>ponsor believes that the hepatic safety of ASV is adequately established and the recommendations for hepatic monitoring and guidance on when to discontinue treatment, along with post-marketing monitoring, are sufficient.</w:t>
      </w:r>
    </w:p>
    <w:p w:rsidR="00C60B78" w:rsidRDefault="0077023F" w:rsidP="0077023F">
      <w:pPr>
        <w:pStyle w:val="Heading5"/>
      </w:pPr>
      <w:r>
        <w:t>Sponsor’s comments on other aspects</w:t>
      </w:r>
    </w:p>
    <w:p w:rsidR="00C60B78" w:rsidRDefault="003E4216" w:rsidP="0077023F">
      <w:pPr>
        <w:pStyle w:val="Heading6"/>
      </w:pPr>
      <w:r>
        <w:t>Population Pharmacokinetic Analysis and Pharmaceutical Subcommittee (PSC) Discussions</w:t>
      </w:r>
    </w:p>
    <w:p w:rsidR="00C60B78" w:rsidRDefault="003E4216" w:rsidP="0077023F">
      <w:r>
        <w:t>The PSC recommended that the numerical value of the impact of co-</w:t>
      </w:r>
      <w:proofErr w:type="spellStart"/>
      <w:r>
        <w:t>variates</w:t>
      </w:r>
      <w:proofErr w:type="spellEnd"/>
      <w:r>
        <w:t xml:space="preserve"> reported in the population pharmacokinetic analysis should be reported in the PI sections concerning elderly patients, gender and race. The magnitude of all these covariate effects on ASV exposure is not considered clinically relevant and the </w:t>
      </w:r>
      <w:r w:rsidR="0077023F">
        <w:t>s</w:t>
      </w:r>
      <w:r>
        <w:t>ponsor is updating the PI accordingly.</w:t>
      </w:r>
    </w:p>
    <w:p w:rsidR="00D23139" w:rsidRDefault="003E4216" w:rsidP="0077023F">
      <w:pPr>
        <w:rPr>
          <w:b/>
          <w:bCs/>
        </w:rPr>
      </w:pPr>
      <w:r>
        <w:t xml:space="preserve">The </w:t>
      </w:r>
      <w:r w:rsidR="0077023F">
        <w:t>s</w:t>
      </w:r>
      <w:r>
        <w:t xml:space="preserve">ponsor notes that there are no outstanding RMP issues and confirms that the PI has been updated to include a new </w:t>
      </w:r>
      <w:r w:rsidR="0077023F" w:rsidRPr="0077023F">
        <w:rPr>
          <w:i/>
        </w:rPr>
        <w:t>Precaution</w:t>
      </w:r>
      <w:r w:rsidR="0077023F">
        <w:t xml:space="preserve"> </w:t>
      </w:r>
      <w:r>
        <w:t>regarding the missing information for patients who failed prior treatment with protease inhibitors.</w:t>
      </w:r>
    </w:p>
    <w:p w:rsidR="008E7846" w:rsidRDefault="008E7846" w:rsidP="008E7846">
      <w:pPr>
        <w:pStyle w:val="Heading4"/>
      </w:pPr>
      <w:r>
        <w:t xml:space="preserve">Advisory </w:t>
      </w:r>
      <w:r w:rsidR="00C531D4">
        <w:t>c</w:t>
      </w:r>
      <w:r>
        <w:t xml:space="preserve">ommittee </w:t>
      </w:r>
      <w:r w:rsidR="00C531D4">
        <w:t>c</w:t>
      </w:r>
      <w:r>
        <w:t>onsiderations</w:t>
      </w:r>
    </w:p>
    <w:p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rsidR="003E4216" w:rsidRDefault="003E4216" w:rsidP="003E4216">
      <w:pPr>
        <w:spacing w:line="240" w:lineRule="auto"/>
        <w:rPr>
          <w:rFonts w:eastAsia="MS Mincho" w:cs="Calibri"/>
          <w:b/>
          <w:color w:val="000000"/>
          <w:lang w:eastAsia="ja-JP"/>
        </w:rPr>
      </w:pPr>
      <w:r w:rsidRPr="0036174C">
        <w:rPr>
          <w:bCs/>
        </w:rPr>
        <w:t>The ACPM, taking into account the submitted evidence of pharmaceutical quality, safety and efficacy advised that</w:t>
      </w:r>
      <w:r>
        <w:rPr>
          <w:bCs/>
        </w:rPr>
        <w:t xml:space="preserve"> </w:t>
      </w:r>
      <w:proofErr w:type="spellStart"/>
      <w:r w:rsidR="00330F91" w:rsidRPr="006A13AF">
        <w:rPr>
          <w:rFonts w:eastAsia="Times New Roman" w:cs="Arial"/>
          <w:lang w:eastAsia="en-AU"/>
        </w:rPr>
        <w:t>Sunvepra</w:t>
      </w:r>
      <w:proofErr w:type="spellEnd"/>
      <w:r w:rsidR="00330F91" w:rsidRPr="006A13AF">
        <w:rPr>
          <w:rFonts w:eastAsia="Times New Roman" w:cs="Arial"/>
          <w:b/>
          <w:lang w:eastAsia="en-AU"/>
        </w:rPr>
        <w:t xml:space="preserve"> </w:t>
      </w:r>
      <w:r w:rsidRPr="006A13AF">
        <w:rPr>
          <w:rFonts w:eastAsia="Times New Roman" w:cs="Arial"/>
          <w:lang w:eastAsia="en-AU"/>
        </w:rPr>
        <w:t xml:space="preserve">soft </w:t>
      </w:r>
      <w:proofErr w:type="spellStart"/>
      <w:r w:rsidRPr="006A13AF">
        <w:rPr>
          <w:rFonts w:eastAsia="Times New Roman" w:cs="Arial"/>
          <w:lang w:eastAsia="en-AU"/>
        </w:rPr>
        <w:t>gelatin</w:t>
      </w:r>
      <w:proofErr w:type="spellEnd"/>
      <w:r w:rsidRPr="006A13AF">
        <w:rPr>
          <w:rFonts w:eastAsia="Times New Roman" w:cs="Arial"/>
          <w:lang w:eastAsia="en-AU"/>
        </w:rPr>
        <w:t xml:space="preserve"> capsules, containing 100 mg </w:t>
      </w:r>
      <w:proofErr w:type="spellStart"/>
      <w:r>
        <w:rPr>
          <w:rFonts w:eastAsia="Times New Roman" w:cs="Arial"/>
          <w:lang w:eastAsia="en-AU"/>
        </w:rPr>
        <w:t>a</w:t>
      </w:r>
      <w:r w:rsidRPr="006A13AF">
        <w:rPr>
          <w:rFonts w:eastAsia="Times New Roman" w:cs="Arial"/>
          <w:lang w:eastAsia="en-AU"/>
        </w:rPr>
        <w:t>sunaprevi</w:t>
      </w:r>
      <w:r>
        <w:rPr>
          <w:rFonts w:eastAsia="Times New Roman" w:cs="Arial"/>
          <w:lang w:eastAsia="en-AU"/>
        </w:rPr>
        <w:t>r</w:t>
      </w:r>
      <w:proofErr w:type="spellEnd"/>
      <w:r>
        <w:rPr>
          <w:rFonts w:eastAsia="Times New Roman" w:cs="Arial"/>
          <w:lang w:eastAsia="en-AU"/>
        </w:rPr>
        <w:t xml:space="preserve"> has </w:t>
      </w:r>
      <w:r w:rsidRPr="008B5DC7">
        <w:rPr>
          <w:rFonts w:eastAsia="MS Mincho" w:cs="Calibri"/>
          <w:color w:val="000000"/>
          <w:lang w:eastAsia="ja-JP"/>
        </w:rPr>
        <w:t>an overall positive benef</w:t>
      </w:r>
      <w:r>
        <w:rPr>
          <w:rFonts w:eastAsia="MS Mincho" w:cs="Calibri"/>
          <w:color w:val="000000"/>
          <w:lang w:eastAsia="ja-JP"/>
        </w:rPr>
        <w:t>it–risk profile for the following modified</w:t>
      </w:r>
      <w:r w:rsidRPr="008B5DC7">
        <w:rPr>
          <w:rFonts w:eastAsia="MS Mincho" w:cs="Calibri"/>
          <w:color w:val="000000"/>
          <w:lang w:eastAsia="ja-JP"/>
        </w:rPr>
        <w:t xml:space="preserve"> indicatio</w:t>
      </w:r>
      <w:r w:rsidRPr="009E5ADA">
        <w:rPr>
          <w:rFonts w:eastAsia="MS Mincho" w:cs="Calibri"/>
          <w:lang w:eastAsia="ja-JP"/>
        </w:rPr>
        <w:t>n:</w:t>
      </w:r>
    </w:p>
    <w:p w:rsidR="003E4216" w:rsidRPr="0077023F" w:rsidRDefault="0077023F" w:rsidP="003E4216">
      <w:pPr>
        <w:ind w:left="720"/>
        <w:rPr>
          <w:i/>
        </w:rPr>
      </w:pPr>
      <w:proofErr w:type="spellStart"/>
      <w:r w:rsidRPr="0077023F">
        <w:rPr>
          <w:i/>
        </w:rPr>
        <w:lastRenderedPageBreak/>
        <w:t>Sunvepra</w:t>
      </w:r>
      <w:proofErr w:type="spellEnd"/>
      <w:r w:rsidRPr="0077023F">
        <w:rPr>
          <w:i/>
        </w:rPr>
        <w:t xml:space="preserve"> </w:t>
      </w:r>
      <w:r w:rsidR="003E4216" w:rsidRPr="0077023F">
        <w:rPr>
          <w:i/>
        </w:rPr>
        <w:t>(</w:t>
      </w:r>
      <w:proofErr w:type="spellStart"/>
      <w:r w:rsidR="003E4216" w:rsidRPr="0077023F">
        <w:rPr>
          <w:i/>
        </w:rPr>
        <w:t>asunaprevir</w:t>
      </w:r>
      <w:proofErr w:type="spellEnd"/>
      <w:r w:rsidR="003E4216" w:rsidRPr="0077023F">
        <w:rPr>
          <w:i/>
        </w:rPr>
        <w:t xml:space="preserve">) is indicated in combination with other active treatments for the treatment of chronic hepatitis C virus (HCV) infection in adults with compensated liver disease (including cirrhosis) </w:t>
      </w:r>
      <w:r w:rsidR="003E4216" w:rsidRPr="0077023F">
        <w:rPr>
          <w:i/>
          <w:u w:val="single"/>
        </w:rPr>
        <w:t>[</w:t>
      </w:r>
      <w:r w:rsidR="003E4216" w:rsidRPr="0077023F">
        <w:rPr>
          <w:i/>
        </w:rPr>
        <w:t xml:space="preserve">see </w:t>
      </w:r>
      <w:r w:rsidRPr="0077023F">
        <w:rPr>
          <w:i/>
        </w:rPr>
        <w:t xml:space="preserve">Clinical Trials </w:t>
      </w:r>
      <w:r w:rsidR="003E4216" w:rsidRPr="0077023F">
        <w:rPr>
          <w:i/>
        </w:rPr>
        <w:t xml:space="preserve">and </w:t>
      </w:r>
      <w:r w:rsidRPr="0077023F">
        <w:rPr>
          <w:i/>
        </w:rPr>
        <w:t>Dosage and Administration</w:t>
      </w:r>
      <w:r w:rsidR="003E4216" w:rsidRPr="0077023F">
        <w:rPr>
          <w:i/>
        </w:rPr>
        <w:t>].</w:t>
      </w:r>
    </w:p>
    <w:p w:rsidR="003E4216" w:rsidRDefault="003E4216" w:rsidP="003E4216">
      <w:pPr>
        <w:rPr>
          <w:bCs/>
          <w:iCs/>
        </w:rPr>
      </w:pPr>
      <w:r>
        <w:rPr>
          <w:bCs/>
          <w:iCs/>
        </w:rPr>
        <w:t>In making this recommendation the ACPM:</w:t>
      </w:r>
    </w:p>
    <w:p w:rsidR="003E4216" w:rsidRPr="00415137" w:rsidRDefault="003E4216" w:rsidP="0077023F">
      <w:pPr>
        <w:pStyle w:val="ListBullet"/>
      </w:pPr>
      <w:r>
        <w:t xml:space="preserve">Advised that the combination of DCV and ASV for 24 weeks should be for the treatment of HCV genotype 1b in patients </w:t>
      </w:r>
      <w:r>
        <w:rPr>
          <w:rFonts w:eastAsia="Times New Roman" w:cs="Arial"/>
        </w:rPr>
        <w:t xml:space="preserve">who have received no prior treatment or who have failed </w:t>
      </w:r>
      <w:proofErr w:type="spellStart"/>
      <w:r>
        <w:rPr>
          <w:rFonts w:eastAsia="Times New Roman" w:cs="Arial"/>
        </w:rPr>
        <w:t>peginterferon</w:t>
      </w:r>
      <w:proofErr w:type="spellEnd"/>
      <w:r>
        <w:rPr>
          <w:rFonts w:eastAsia="Times New Roman" w:cs="Arial"/>
        </w:rPr>
        <w:t xml:space="preserve"> </w:t>
      </w:r>
      <w:proofErr w:type="spellStart"/>
      <w:r>
        <w:rPr>
          <w:rFonts w:eastAsia="Times New Roman" w:cs="Arial"/>
        </w:rPr>
        <w:t>alfa</w:t>
      </w:r>
      <w:proofErr w:type="spellEnd"/>
      <w:r>
        <w:rPr>
          <w:rFonts w:eastAsia="Times New Roman" w:cs="Arial"/>
        </w:rPr>
        <w:t>/RBV combination, which is</w:t>
      </w:r>
      <w:r>
        <w:t xml:space="preserve"> similar to the Japanese population enrolled in Study </w:t>
      </w:r>
      <w:r w:rsidRPr="00724EBD">
        <w:t>AI447017</w:t>
      </w:r>
      <w:r>
        <w:t>.</w:t>
      </w:r>
    </w:p>
    <w:p w:rsidR="003E4216" w:rsidRPr="004236BF" w:rsidRDefault="003E4216" w:rsidP="0077023F">
      <w:pPr>
        <w:pStyle w:val="ListBullet"/>
      </w:pPr>
      <w:r>
        <w:t xml:space="preserve">Noted that the QUAD treatment regimen containing </w:t>
      </w:r>
      <w:r>
        <w:rPr>
          <w:rFonts w:eastAsia="Times New Roman" w:cs="Arial"/>
        </w:rPr>
        <w:t>DCV/ASV/</w:t>
      </w:r>
      <w:proofErr w:type="spellStart"/>
      <w:r>
        <w:rPr>
          <w:rFonts w:eastAsia="Times New Roman" w:cs="Arial"/>
        </w:rPr>
        <w:t>pegINF</w:t>
      </w:r>
      <w:proofErr w:type="spellEnd"/>
      <w:r>
        <w:rPr>
          <w:rFonts w:eastAsia="Times New Roman" w:cs="Arial"/>
        </w:rPr>
        <w:t>/RBV appeared to provide an increased response rate but at the cost of increased toxicity.</w:t>
      </w:r>
    </w:p>
    <w:p w:rsidR="003E4216" w:rsidRDefault="003E4216" w:rsidP="0077023F">
      <w:pPr>
        <w:pStyle w:val="ListBullet"/>
        <w:rPr>
          <w:rFonts w:cs="Calibri"/>
          <w:color w:val="000000"/>
        </w:rPr>
      </w:pPr>
      <w:r>
        <w:rPr>
          <w:rFonts w:cs="Calibri"/>
          <w:color w:val="000000"/>
        </w:rPr>
        <w:t xml:space="preserve">Expressed concern regarding the elevations of bilirubin and liver </w:t>
      </w:r>
      <w:r>
        <w:t>transaminases</w:t>
      </w:r>
      <w:r>
        <w:rPr>
          <w:rFonts w:cs="Calibri"/>
          <w:color w:val="000000"/>
        </w:rPr>
        <w:t xml:space="preserve"> with </w:t>
      </w:r>
      <w:proofErr w:type="spellStart"/>
      <w:r>
        <w:rPr>
          <w:rFonts w:cs="Calibri"/>
          <w:color w:val="000000"/>
        </w:rPr>
        <w:t>asunaprevir</w:t>
      </w:r>
      <w:proofErr w:type="spellEnd"/>
      <w:r>
        <w:rPr>
          <w:rFonts w:cs="Calibri"/>
          <w:color w:val="000000"/>
        </w:rPr>
        <w:t xml:space="preserve"> containing regimens.</w:t>
      </w:r>
    </w:p>
    <w:p w:rsidR="003E4216" w:rsidRPr="00377ADD" w:rsidRDefault="003E4216" w:rsidP="003E4216">
      <w:pPr>
        <w:adjustRightInd w:val="0"/>
        <w:snapToGrid w:val="0"/>
        <w:spacing w:after="0" w:line="240" w:lineRule="auto"/>
        <w:rPr>
          <w:rFonts w:eastAsia="MS Mincho"/>
          <w:bCs/>
          <w:lang w:eastAsia="ja-JP"/>
        </w:rPr>
      </w:pPr>
      <w:r w:rsidRPr="00D72E3F">
        <w:rPr>
          <w:rFonts w:eastAsia="Times New Roman" w:cs="Arial"/>
          <w:b/>
          <w:i/>
          <w:lang w:eastAsia="en-AU"/>
        </w:rPr>
        <w:t>Proposed conditions of registration</w:t>
      </w:r>
    </w:p>
    <w:p w:rsidR="003E4216" w:rsidRPr="00377ADD" w:rsidRDefault="003E4216" w:rsidP="003E4216">
      <w:pPr>
        <w:adjustRightInd w:val="0"/>
        <w:snapToGrid w:val="0"/>
        <w:spacing w:line="240" w:lineRule="auto"/>
        <w:rPr>
          <w:rFonts w:eastAsia="MS Mincho"/>
          <w:bCs/>
          <w:lang w:eastAsia="ja-JP"/>
        </w:rPr>
      </w:pPr>
      <w:r w:rsidRPr="00377ADD">
        <w:rPr>
          <w:rFonts w:eastAsia="MS Mincho" w:cs="Calibri"/>
          <w:lang w:eastAsia="ja-JP"/>
        </w:rPr>
        <w:t>T</w:t>
      </w:r>
      <w:r w:rsidRPr="00377ADD">
        <w:rPr>
          <w:rFonts w:eastAsia="MS Mincho"/>
          <w:bCs/>
          <w:lang w:eastAsia="ja-JP"/>
        </w:rPr>
        <w:t xml:space="preserve">he ACPM agreed with the </w:t>
      </w:r>
      <w:r w:rsidR="0077023F">
        <w:rPr>
          <w:rFonts w:eastAsia="MS Mincho"/>
          <w:bCs/>
          <w:lang w:eastAsia="ja-JP"/>
        </w:rPr>
        <w:t>D</w:t>
      </w:r>
      <w:r w:rsidRPr="00377ADD">
        <w:rPr>
          <w:rFonts w:eastAsia="MS Mincho"/>
          <w:bCs/>
          <w:lang w:eastAsia="ja-JP"/>
        </w:rPr>
        <w:t>elegate on the proposed conditions of registration and advised on the inclusion of the following</w:t>
      </w:r>
      <w:r w:rsidRPr="00377ADD">
        <w:rPr>
          <w:rFonts w:eastAsia="MS Mincho"/>
          <w:bCs/>
          <w:iCs/>
          <w:lang w:eastAsia="ja-JP"/>
        </w:rPr>
        <w:t>:</w:t>
      </w:r>
    </w:p>
    <w:p w:rsidR="003E4216" w:rsidRPr="000705AE" w:rsidRDefault="003E4216" w:rsidP="0077023F">
      <w:pPr>
        <w:pStyle w:val="ListBullet"/>
        <w:rPr>
          <w:bCs/>
          <w:iCs/>
        </w:rPr>
      </w:pPr>
      <w:proofErr w:type="gramStart"/>
      <w:r>
        <w:rPr>
          <w:rFonts w:eastAsia="Times New Roman" w:cs="Arial"/>
          <w:lang w:eastAsia="en-AU"/>
        </w:rPr>
        <w:t>a</w:t>
      </w:r>
      <w:proofErr w:type="gramEnd"/>
      <w:r>
        <w:rPr>
          <w:rFonts w:eastAsia="Times New Roman" w:cs="Arial"/>
          <w:lang w:eastAsia="en-AU"/>
        </w:rPr>
        <w:t xml:space="preserve"> requirement to monitor</w:t>
      </w:r>
      <w:r w:rsidRPr="000705AE">
        <w:rPr>
          <w:rFonts w:eastAsia="Times New Roman" w:cs="Arial"/>
          <w:lang w:eastAsia="en-AU"/>
        </w:rPr>
        <w:t xml:space="preserve"> </w:t>
      </w:r>
      <w:r>
        <w:rPr>
          <w:rFonts w:eastAsia="Times New Roman" w:cs="Arial"/>
          <w:lang w:eastAsia="en-AU"/>
        </w:rPr>
        <w:t xml:space="preserve">and report </w:t>
      </w:r>
      <w:r w:rsidRPr="000705AE">
        <w:rPr>
          <w:rFonts w:eastAsia="Times New Roman" w:cs="Arial"/>
          <w:lang w:eastAsia="en-AU"/>
        </w:rPr>
        <w:t xml:space="preserve">liver toxicity </w:t>
      </w:r>
      <w:r>
        <w:t xml:space="preserve">in patients receiving </w:t>
      </w:r>
      <w:proofErr w:type="spellStart"/>
      <w:r>
        <w:t>asunaprevir</w:t>
      </w:r>
      <w:proofErr w:type="spellEnd"/>
      <w:r w:rsidRPr="006736BE">
        <w:t>-containing</w:t>
      </w:r>
      <w:r>
        <w:t xml:space="preserve"> regimens.</w:t>
      </w:r>
    </w:p>
    <w:p w:rsidR="00C60B78" w:rsidRDefault="003E4216" w:rsidP="0077023F">
      <w:pPr>
        <w:pStyle w:val="Heading5"/>
        <w:rPr>
          <w:rFonts w:eastAsia="MS Mincho"/>
          <w:highlight w:val="yellow"/>
          <w:lang w:eastAsia="ja-JP"/>
        </w:rPr>
      </w:pPr>
      <w:r w:rsidRPr="006A13AF">
        <w:rPr>
          <w:rFonts w:eastAsia="MS Mincho"/>
          <w:lang w:eastAsia="ja-JP"/>
        </w:rPr>
        <w:t>Proposed Product Information (PI)/Consumer Medicine Information (CMI) amendments</w:t>
      </w:r>
    </w:p>
    <w:p w:rsidR="00C60B78" w:rsidRDefault="003E4216" w:rsidP="003E4216">
      <w:r>
        <w:rPr>
          <w:rFonts w:eastAsia="MS Mincho"/>
          <w:bCs/>
          <w:lang w:eastAsia="ja-JP"/>
        </w:rPr>
        <w:t xml:space="preserve">The ACPM agreed </w:t>
      </w:r>
      <w:r w:rsidR="0077023F">
        <w:rPr>
          <w:rFonts w:eastAsia="MS Mincho"/>
          <w:bCs/>
          <w:lang w:eastAsia="ja-JP"/>
        </w:rPr>
        <w:t>with the D</w:t>
      </w:r>
      <w:r w:rsidRPr="00BF556F">
        <w:rPr>
          <w:rFonts w:eastAsia="MS Mincho"/>
          <w:bCs/>
          <w:lang w:eastAsia="ja-JP"/>
        </w:rPr>
        <w:t>elegate to the proposed amendments to the Product Information (PI) and Consumer Medicine Information (CMI) and specifically advised on the inclusion of the following</w:t>
      </w:r>
      <w:r>
        <w:rPr>
          <w:rFonts w:eastAsia="MS Mincho"/>
          <w:bCs/>
          <w:lang w:eastAsia="ja-JP"/>
        </w:rPr>
        <w:t>:</w:t>
      </w:r>
    </w:p>
    <w:p w:rsidR="00C60B78" w:rsidRDefault="003E4216" w:rsidP="0077023F">
      <w:pPr>
        <w:pStyle w:val="ListBullet"/>
        <w:rPr>
          <w:rFonts w:eastAsia="Times New Roman" w:cs="Arial"/>
        </w:rPr>
      </w:pPr>
      <w:r w:rsidRPr="0089545A">
        <w:t xml:space="preserve">Inclusion of a black box warning to highlight the risk of elevated bilirubin levels and </w:t>
      </w:r>
      <w:r>
        <w:t>liver transaminases</w:t>
      </w:r>
      <w:r w:rsidRPr="0089545A">
        <w:t xml:space="preserve"> when using </w:t>
      </w:r>
      <w:proofErr w:type="spellStart"/>
      <w:r w:rsidRPr="0089545A">
        <w:t>asunaprevir</w:t>
      </w:r>
      <w:proofErr w:type="spellEnd"/>
      <w:r w:rsidRPr="0089545A">
        <w:t xml:space="preserve"> containing regimens and ensure appropriate monitoring.</w:t>
      </w:r>
    </w:p>
    <w:p w:rsidR="003E4216" w:rsidRPr="00BD228F" w:rsidRDefault="003E4216" w:rsidP="0077023F">
      <w:pPr>
        <w:pStyle w:val="ListBullet"/>
        <w:rPr>
          <w:rFonts w:cs="Arial"/>
        </w:rPr>
      </w:pPr>
      <w:r>
        <w:rPr>
          <w:rFonts w:eastAsia="Times New Roman" w:cs="Arial"/>
        </w:rPr>
        <w:t xml:space="preserve">Specify a lower level </w:t>
      </w:r>
      <w:r w:rsidRPr="00BD228F">
        <w:t>of ALT elevation of five times the upper limit of normal (ULN) for treatment discontinuation for</w:t>
      </w:r>
      <w:r w:rsidR="0077023F">
        <w:t xml:space="preserve"> patients receiving </w:t>
      </w:r>
      <w:proofErr w:type="spellStart"/>
      <w:r w:rsidR="0077023F">
        <w:t>asunaprevir</w:t>
      </w:r>
      <w:proofErr w:type="spellEnd"/>
      <w:r w:rsidR="0077023F">
        <w:t xml:space="preserve"> </w:t>
      </w:r>
      <w:r w:rsidRPr="00BD228F">
        <w:t>containing regimens.</w:t>
      </w:r>
    </w:p>
    <w:p w:rsidR="003E4216" w:rsidRDefault="003E4216" w:rsidP="0077023F">
      <w:pPr>
        <w:pStyle w:val="ListBullet"/>
        <w:rPr>
          <w:rFonts w:cs="Arial"/>
        </w:rPr>
      </w:pPr>
      <w:r w:rsidRPr="0089545A">
        <w:rPr>
          <w:rFonts w:cs="Arial"/>
        </w:rPr>
        <w:t xml:space="preserve">Replacement of Table 10 in </w:t>
      </w:r>
      <w:r w:rsidR="0077023F" w:rsidRPr="0077023F">
        <w:rPr>
          <w:rFonts w:cs="Arial"/>
          <w:i/>
        </w:rPr>
        <w:t>Dosage and Administration</w:t>
      </w:r>
      <w:r w:rsidR="0077023F" w:rsidRPr="0089545A">
        <w:rPr>
          <w:rFonts w:cs="Arial"/>
        </w:rPr>
        <w:t xml:space="preserve"> </w:t>
      </w:r>
      <w:r w:rsidR="00C531D4">
        <w:rPr>
          <w:rFonts w:cs="Arial"/>
        </w:rPr>
        <w:t>as follows:</w:t>
      </w:r>
    </w:p>
    <w:p w:rsidR="00C531D4" w:rsidRDefault="00C531D4" w:rsidP="00C531D4">
      <w:r w:rsidRPr="00653D62">
        <w:t xml:space="preserve">Recommended Regimens with </w:t>
      </w:r>
      <w:proofErr w:type="spellStart"/>
      <w:r w:rsidRPr="00653D62">
        <w:t>D</w:t>
      </w:r>
      <w:r>
        <w:t>aklinza</w:t>
      </w:r>
      <w:proofErr w:type="spellEnd"/>
      <w:r w:rsidRPr="00653D62">
        <w:t xml:space="preserve"> 60 mg Once Daily Combination Therapy</w:t>
      </w:r>
    </w:p>
    <w:tbl>
      <w:tblPr>
        <w:tblStyle w:val="TableTGAblue"/>
        <w:tblW w:w="8750" w:type="dxa"/>
        <w:tblLayout w:type="fixed"/>
        <w:tblLook w:val="04A0" w:firstRow="1" w:lastRow="0" w:firstColumn="1" w:lastColumn="0" w:noHBand="0" w:noVBand="1"/>
      </w:tblPr>
      <w:tblGrid>
        <w:gridCol w:w="1526"/>
        <w:gridCol w:w="2557"/>
        <w:gridCol w:w="2977"/>
        <w:gridCol w:w="1690"/>
      </w:tblGrid>
      <w:tr w:rsidR="003E4216" w:rsidRPr="008352C4" w:rsidTr="00C531D4">
        <w:trPr>
          <w:cnfStyle w:val="100000000000" w:firstRow="1" w:lastRow="0" w:firstColumn="0" w:lastColumn="0" w:oddVBand="0" w:evenVBand="0" w:oddHBand="0" w:evenHBand="0" w:firstRowFirstColumn="0" w:firstRowLastColumn="0" w:lastRowFirstColumn="0" w:lastRowLastColumn="0"/>
        </w:trPr>
        <w:tc>
          <w:tcPr>
            <w:tcW w:w="1526" w:type="dxa"/>
          </w:tcPr>
          <w:p w:rsidR="003E4216" w:rsidRPr="0077023F" w:rsidRDefault="003E4216" w:rsidP="00C531D4">
            <w:pPr>
              <w:rPr>
                <w:b w:val="0"/>
              </w:rPr>
            </w:pPr>
            <w:r w:rsidRPr="0077023F">
              <w:rPr>
                <w:b w:val="0"/>
              </w:rPr>
              <w:t>Genotype</w:t>
            </w:r>
          </w:p>
        </w:tc>
        <w:tc>
          <w:tcPr>
            <w:tcW w:w="2557" w:type="dxa"/>
          </w:tcPr>
          <w:p w:rsidR="003E4216" w:rsidRPr="0077023F" w:rsidRDefault="003E4216" w:rsidP="00C531D4">
            <w:pPr>
              <w:rPr>
                <w:b w:val="0"/>
              </w:rPr>
            </w:pPr>
            <w:r w:rsidRPr="0077023F">
              <w:rPr>
                <w:b w:val="0"/>
              </w:rPr>
              <w:t>Prior treatment experience</w:t>
            </w:r>
          </w:p>
        </w:tc>
        <w:tc>
          <w:tcPr>
            <w:tcW w:w="2977" w:type="dxa"/>
          </w:tcPr>
          <w:p w:rsidR="003E4216" w:rsidRPr="0077023F" w:rsidRDefault="003E4216" w:rsidP="00C531D4">
            <w:pPr>
              <w:rPr>
                <w:b w:val="0"/>
              </w:rPr>
            </w:pPr>
            <w:r w:rsidRPr="0077023F">
              <w:rPr>
                <w:b w:val="0"/>
              </w:rPr>
              <w:t>Combination</w:t>
            </w:r>
          </w:p>
        </w:tc>
        <w:tc>
          <w:tcPr>
            <w:tcW w:w="1690" w:type="dxa"/>
          </w:tcPr>
          <w:p w:rsidR="003E4216" w:rsidRPr="0077023F" w:rsidRDefault="003E4216" w:rsidP="00C531D4">
            <w:pPr>
              <w:rPr>
                <w:b w:val="0"/>
              </w:rPr>
            </w:pPr>
            <w:r w:rsidRPr="0077023F">
              <w:rPr>
                <w:b w:val="0"/>
              </w:rPr>
              <w:t>Duration</w:t>
            </w:r>
          </w:p>
        </w:tc>
      </w:tr>
      <w:tr w:rsidR="003E4216" w:rsidRPr="008352C4" w:rsidTr="00C531D4">
        <w:tc>
          <w:tcPr>
            <w:tcW w:w="1526" w:type="dxa"/>
          </w:tcPr>
          <w:p w:rsidR="003E4216" w:rsidRPr="00653D62" w:rsidRDefault="003E4216" w:rsidP="00C531D4">
            <w:r w:rsidRPr="00653D62">
              <w:t>1b</w:t>
            </w:r>
          </w:p>
        </w:tc>
        <w:tc>
          <w:tcPr>
            <w:tcW w:w="2557" w:type="dxa"/>
          </w:tcPr>
          <w:p w:rsidR="003E4216" w:rsidRPr="00653D62" w:rsidRDefault="003E4216" w:rsidP="00C531D4">
            <w:r w:rsidRPr="00653D62">
              <w:t xml:space="preserve">None, or failed </w:t>
            </w:r>
            <w:proofErr w:type="spellStart"/>
            <w:r w:rsidRPr="00653D62">
              <w:t>peg</w:t>
            </w:r>
            <w:r>
              <w:t>interferon</w:t>
            </w:r>
            <w:proofErr w:type="spellEnd"/>
            <w:r>
              <w:t xml:space="preserve"> </w:t>
            </w:r>
            <w:proofErr w:type="spellStart"/>
            <w:r>
              <w:t>alfa</w:t>
            </w:r>
            <w:proofErr w:type="spellEnd"/>
            <w:r w:rsidRPr="00653D62">
              <w:t>/ribavirin</w:t>
            </w:r>
          </w:p>
        </w:tc>
        <w:tc>
          <w:tcPr>
            <w:tcW w:w="2977" w:type="dxa"/>
          </w:tcPr>
          <w:p w:rsidR="003E4216" w:rsidRPr="00653D62" w:rsidRDefault="003E4216" w:rsidP="00C531D4">
            <w:proofErr w:type="spellStart"/>
            <w:r w:rsidRPr="00653D62">
              <w:t>Daclatasvir</w:t>
            </w:r>
            <w:proofErr w:type="spellEnd"/>
            <w:r w:rsidRPr="00653D62">
              <w:t xml:space="preserve"> </w:t>
            </w:r>
            <w:r w:rsidRPr="00653D62">
              <w:rPr>
                <w:spacing w:val="2"/>
              </w:rPr>
              <w:t>a</w:t>
            </w:r>
            <w:r w:rsidRPr="00653D62">
              <w:rPr>
                <w:spacing w:val="-1"/>
              </w:rPr>
              <w:t>n</w:t>
            </w:r>
            <w:r w:rsidRPr="00653D62">
              <w:t>d</w:t>
            </w:r>
            <w:r w:rsidRPr="00653D62">
              <w:rPr>
                <w:spacing w:val="10"/>
              </w:rPr>
              <w:t xml:space="preserve"> </w:t>
            </w:r>
            <w:proofErr w:type="spellStart"/>
            <w:r w:rsidRPr="00653D62">
              <w:t>asunaprevir</w:t>
            </w:r>
            <w:proofErr w:type="spellEnd"/>
          </w:p>
        </w:tc>
        <w:tc>
          <w:tcPr>
            <w:tcW w:w="1690" w:type="dxa"/>
          </w:tcPr>
          <w:p w:rsidR="003E4216" w:rsidRPr="00653D62" w:rsidRDefault="003E4216" w:rsidP="00C531D4">
            <w:r w:rsidRPr="00653D62">
              <w:rPr>
                <w:spacing w:val="1"/>
              </w:rPr>
              <w:t>2</w:t>
            </w:r>
            <w:r w:rsidRPr="00653D62">
              <w:t>4</w:t>
            </w:r>
            <w:r w:rsidRPr="00653D62">
              <w:rPr>
                <w:spacing w:val="8"/>
              </w:rPr>
              <w:t xml:space="preserve"> </w:t>
            </w:r>
            <w:r w:rsidRPr="00653D62">
              <w:rPr>
                <w:spacing w:val="-4"/>
                <w:w w:val="103"/>
              </w:rPr>
              <w:t>w</w:t>
            </w:r>
            <w:r w:rsidRPr="00653D62">
              <w:rPr>
                <w:w w:val="103"/>
              </w:rPr>
              <w:t>e</w:t>
            </w:r>
            <w:r w:rsidRPr="00653D62">
              <w:rPr>
                <w:spacing w:val="3"/>
                <w:w w:val="103"/>
              </w:rPr>
              <w:t>e</w:t>
            </w:r>
            <w:r w:rsidRPr="00653D62">
              <w:rPr>
                <w:spacing w:val="-1"/>
                <w:w w:val="103"/>
              </w:rPr>
              <w:t>k</w:t>
            </w:r>
            <w:r w:rsidRPr="00653D62">
              <w:rPr>
                <w:w w:val="103"/>
              </w:rPr>
              <w:t>s</w:t>
            </w:r>
          </w:p>
        </w:tc>
      </w:tr>
      <w:tr w:rsidR="003E4216" w:rsidRPr="008352C4" w:rsidTr="00C531D4">
        <w:tc>
          <w:tcPr>
            <w:tcW w:w="1526" w:type="dxa"/>
          </w:tcPr>
          <w:p w:rsidR="003E4216" w:rsidRPr="00377ADD" w:rsidRDefault="003E4216" w:rsidP="00C531D4">
            <w:r w:rsidRPr="00377ADD">
              <w:t>1 or 4</w:t>
            </w:r>
          </w:p>
        </w:tc>
        <w:tc>
          <w:tcPr>
            <w:tcW w:w="2557" w:type="dxa"/>
          </w:tcPr>
          <w:p w:rsidR="003E4216" w:rsidRPr="00377ADD" w:rsidRDefault="003E4216" w:rsidP="00C531D4">
            <w:pPr>
              <w:rPr>
                <w:spacing w:val="30"/>
                <w:position w:val="-3"/>
              </w:rPr>
            </w:pPr>
            <w:r w:rsidRPr="00377ADD">
              <w:t xml:space="preserve">None, or failed </w:t>
            </w:r>
            <w:proofErr w:type="spellStart"/>
            <w:r w:rsidRPr="00377ADD">
              <w:t>peginterferon</w:t>
            </w:r>
            <w:proofErr w:type="spellEnd"/>
            <w:r w:rsidRPr="00377ADD">
              <w:t xml:space="preserve"> </w:t>
            </w:r>
            <w:proofErr w:type="spellStart"/>
            <w:r w:rsidRPr="00377ADD">
              <w:t>alfa</w:t>
            </w:r>
            <w:proofErr w:type="spellEnd"/>
            <w:r w:rsidRPr="00377ADD">
              <w:t>/ribavirin</w:t>
            </w:r>
          </w:p>
        </w:tc>
        <w:tc>
          <w:tcPr>
            <w:tcW w:w="2977" w:type="dxa"/>
          </w:tcPr>
          <w:p w:rsidR="003E4216" w:rsidRPr="00377ADD" w:rsidRDefault="003E4216" w:rsidP="00C531D4">
            <w:pPr>
              <w:rPr>
                <w:spacing w:val="30"/>
                <w:position w:val="-3"/>
              </w:rPr>
            </w:pPr>
            <w:proofErr w:type="spellStart"/>
            <w:r w:rsidRPr="00377ADD">
              <w:rPr>
                <w:position w:val="-3"/>
              </w:rPr>
              <w:t>Daclatasvir</w:t>
            </w:r>
            <w:proofErr w:type="spellEnd"/>
            <w:r w:rsidRPr="00377ADD">
              <w:rPr>
                <w:position w:val="-3"/>
              </w:rPr>
              <w:t>,</w:t>
            </w:r>
            <w:r w:rsidRPr="00377ADD">
              <w:rPr>
                <w:spacing w:val="3"/>
                <w:position w:val="-3"/>
              </w:rPr>
              <w:t xml:space="preserve"> </w:t>
            </w:r>
            <w:proofErr w:type="spellStart"/>
            <w:r w:rsidRPr="00377ADD">
              <w:rPr>
                <w:spacing w:val="1"/>
                <w:position w:val="-3"/>
              </w:rPr>
              <w:t>asunaprevir</w:t>
            </w:r>
            <w:proofErr w:type="spellEnd"/>
            <w:r w:rsidRPr="00377ADD">
              <w:rPr>
                <w:position w:val="-3"/>
              </w:rPr>
              <w:t xml:space="preserve">, </w:t>
            </w:r>
            <w:proofErr w:type="spellStart"/>
            <w:r w:rsidRPr="00377ADD">
              <w:rPr>
                <w:position w:val="-3"/>
              </w:rPr>
              <w:t>peginterferon</w:t>
            </w:r>
            <w:proofErr w:type="spellEnd"/>
            <w:r w:rsidRPr="00377ADD">
              <w:rPr>
                <w:position w:val="-3"/>
              </w:rPr>
              <w:t xml:space="preserve"> </w:t>
            </w:r>
            <w:proofErr w:type="spellStart"/>
            <w:r w:rsidRPr="00377ADD">
              <w:rPr>
                <w:position w:val="-3"/>
              </w:rPr>
              <w:t>alfa</w:t>
            </w:r>
            <w:proofErr w:type="spellEnd"/>
            <w:r w:rsidRPr="00377ADD">
              <w:rPr>
                <w:position w:val="-3"/>
              </w:rPr>
              <w:t>, and ribavirin</w:t>
            </w:r>
          </w:p>
        </w:tc>
        <w:tc>
          <w:tcPr>
            <w:tcW w:w="1690" w:type="dxa"/>
          </w:tcPr>
          <w:p w:rsidR="003E4216" w:rsidRPr="00653D62" w:rsidRDefault="003E4216" w:rsidP="00C531D4">
            <w:r w:rsidRPr="00377ADD">
              <w:rPr>
                <w:spacing w:val="1"/>
                <w:position w:val="9"/>
              </w:rPr>
              <w:t>2</w:t>
            </w:r>
            <w:r w:rsidRPr="00377ADD">
              <w:rPr>
                <w:position w:val="9"/>
              </w:rPr>
              <w:t>4</w:t>
            </w:r>
            <w:r w:rsidRPr="00377ADD">
              <w:rPr>
                <w:spacing w:val="8"/>
                <w:position w:val="9"/>
              </w:rPr>
              <w:t xml:space="preserve"> </w:t>
            </w:r>
            <w:r w:rsidRPr="00377ADD">
              <w:rPr>
                <w:spacing w:val="-4"/>
                <w:w w:val="103"/>
                <w:position w:val="9"/>
              </w:rPr>
              <w:t>w</w:t>
            </w:r>
            <w:r w:rsidRPr="00377ADD">
              <w:rPr>
                <w:w w:val="103"/>
                <w:position w:val="9"/>
              </w:rPr>
              <w:t>e</w:t>
            </w:r>
            <w:r w:rsidRPr="00377ADD">
              <w:rPr>
                <w:spacing w:val="3"/>
                <w:w w:val="103"/>
                <w:position w:val="9"/>
              </w:rPr>
              <w:t>e</w:t>
            </w:r>
            <w:r w:rsidRPr="00377ADD">
              <w:rPr>
                <w:spacing w:val="-1"/>
                <w:w w:val="103"/>
                <w:position w:val="9"/>
              </w:rPr>
              <w:t>k</w:t>
            </w:r>
            <w:r w:rsidRPr="00377ADD">
              <w:rPr>
                <w:w w:val="103"/>
                <w:position w:val="9"/>
              </w:rPr>
              <w:t>s</w:t>
            </w:r>
          </w:p>
        </w:tc>
      </w:tr>
    </w:tbl>
    <w:p w:rsidR="003E4216" w:rsidRPr="006A13AF" w:rsidRDefault="003E4216" w:rsidP="003E4216">
      <w:pPr>
        <w:spacing w:after="0" w:line="240" w:lineRule="auto"/>
        <w:rPr>
          <w:rFonts w:eastAsia="Times New Roman" w:cs="Arial"/>
          <w:b/>
          <w:i/>
          <w:lang w:eastAsia="en-AU"/>
        </w:rPr>
      </w:pPr>
      <w:r w:rsidRPr="006A13AF">
        <w:rPr>
          <w:rFonts w:eastAsia="Times New Roman" w:cs="Arial"/>
          <w:b/>
          <w:i/>
          <w:lang w:eastAsia="en-AU"/>
        </w:rPr>
        <w:t>Specific advice</w:t>
      </w:r>
    </w:p>
    <w:p w:rsidR="003E4216" w:rsidRPr="006A13AF" w:rsidRDefault="003E4216" w:rsidP="003E4216">
      <w:pPr>
        <w:spacing w:line="240" w:lineRule="auto"/>
        <w:rPr>
          <w:rFonts w:eastAsia="Times New Roman" w:cs="Arial"/>
          <w:lang w:eastAsia="en-AU"/>
        </w:rPr>
      </w:pPr>
      <w:r w:rsidRPr="006A13AF">
        <w:rPr>
          <w:rFonts w:eastAsia="Times New Roman" w:cs="Arial"/>
          <w:lang w:eastAsia="en-AU"/>
        </w:rPr>
        <w:t>The ACPM advised the followi</w:t>
      </w:r>
      <w:r w:rsidR="0077023F">
        <w:rPr>
          <w:rFonts w:eastAsia="Times New Roman" w:cs="Arial"/>
          <w:lang w:eastAsia="en-AU"/>
        </w:rPr>
        <w:t>ng in response to the specific D</w:t>
      </w:r>
      <w:r w:rsidRPr="006A13AF">
        <w:rPr>
          <w:rFonts w:eastAsia="Times New Roman" w:cs="Arial"/>
          <w:lang w:eastAsia="en-AU"/>
        </w:rPr>
        <w:t>elegate’s questions on this submission:</w:t>
      </w:r>
    </w:p>
    <w:p w:rsidR="003E4216" w:rsidRPr="0077023F" w:rsidRDefault="003E4216" w:rsidP="0077023F">
      <w:pPr>
        <w:pStyle w:val="Numberbullet0"/>
        <w:numPr>
          <w:ilvl w:val="0"/>
          <w:numId w:val="35"/>
        </w:numPr>
        <w:rPr>
          <w:i/>
        </w:rPr>
      </w:pPr>
      <w:r w:rsidRPr="0077023F">
        <w:rPr>
          <w:i/>
        </w:rPr>
        <w:lastRenderedPageBreak/>
        <w:t xml:space="preserve">Are </w:t>
      </w:r>
      <w:proofErr w:type="spellStart"/>
      <w:r w:rsidR="0077023F" w:rsidRPr="0077023F">
        <w:rPr>
          <w:i/>
        </w:rPr>
        <w:t>Sunvepra</w:t>
      </w:r>
      <w:proofErr w:type="spellEnd"/>
      <w:r w:rsidR="0077023F" w:rsidRPr="0077023F">
        <w:rPr>
          <w:i/>
        </w:rPr>
        <w:t xml:space="preserve"> </w:t>
      </w:r>
      <w:r w:rsidRPr="0077023F">
        <w:rPr>
          <w:i/>
        </w:rPr>
        <w:t>(</w:t>
      </w:r>
      <w:proofErr w:type="spellStart"/>
      <w:r w:rsidRPr="0077023F">
        <w:rPr>
          <w:i/>
        </w:rPr>
        <w:t>asunaprevir</w:t>
      </w:r>
      <w:proofErr w:type="spellEnd"/>
      <w:r w:rsidRPr="0077023F">
        <w:rPr>
          <w:i/>
        </w:rPr>
        <w:t xml:space="preserve">) indications proposed, which include two specific combination regimens, considered acceptable compared to the </w:t>
      </w:r>
      <w:proofErr w:type="spellStart"/>
      <w:r w:rsidR="0077023F" w:rsidRPr="0077023F">
        <w:rPr>
          <w:i/>
        </w:rPr>
        <w:t>Daklinza</w:t>
      </w:r>
      <w:proofErr w:type="spellEnd"/>
      <w:r w:rsidR="0077023F" w:rsidRPr="0077023F">
        <w:rPr>
          <w:i/>
        </w:rPr>
        <w:t xml:space="preserve"> </w:t>
      </w:r>
      <w:r w:rsidRPr="0077023F">
        <w:rPr>
          <w:i/>
        </w:rPr>
        <w:t>(</w:t>
      </w:r>
      <w:proofErr w:type="spellStart"/>
      <w:r w:rsidRPr="0077023F">
        <w:rPr>
          <w:i/>
        </w:rPr>
        <w:t>daclatasvir</w:t>
      </w:r>
      <w:proofErr w:type="spellEnd"/>
      <w:r w:rsidRPr="0077023F">
        <w:rPr>
          <w:i/>
        </w:rPr>
        <w:t xml:space="preserve">) indications which rely on referral [see </w:t>
      </w:r>
      <w:r w:rsidR="0077023F" w:rsidRPr="0077023F">
        <w:rPr>
          <w:i/>
        </w:rPr>
        <w:t xml:space="preserve">Clinical Trials </w:t>
      </w:r>
      <w:r w:rsidRPr="0077023F">
        <w:rPr>
          <w:i/>
        </w:rPr>
        <w:t xml:space="preserve">and </w:t>
      </w:r>
      <w:r w:rsidR="0077023F" w:rsidRPr="0077023F">
        <w:rPr>
          <w:i/>
        </w:rPr>
        <w:t>Dosage and Administration</w:t>
      </w:r>
      <w:r w:rsidRPr="0077023F">
        <w:rPr>
          <w:i/>
        </w:rPr>
        <w:t>]?</w:t>
      </w:r>
    </w:p>
    <w:p w:rsidR="00C60B78" w:rsidRDefault="003E4216" w:rsidP="003E4216">
      <w:pPr>
        <w:spacing w:line="240" w:lineRule="auto"/>
        <w:ind w:left="357"/>
        <w:rPr>
          <w:rFonts w:eastAsia="Times New Roman" w:cs="Arial"/>
        </w:rPr>
      </w:pPr>
      <w:r>
        <w:rPr>
          <w:rFonts w:eastAsia="Times New Roman" w:cs="Arial"/>
        </w:rPr>
        <w:t xml:space="preserve">The ACPM advised that there was sufficient evidence for an indication which reflected the Japanese population in Study </w:t>
      </w:r>
      <w:r w:rsidRPr="00724EBD">
        <w:t>AI447017</w:t>
      </w:r>
      <w:r w:rsidRPr="00724EBD">
        <w:rPr>
          <w:rFonts w:eastAsia="Times New Roman" w:cs="Arial"/>
        </w:rPr>
        <w:t>,</w:t>
      </w:r>
      <w:r>
        <w:rPr>
          <w:rFonts w:eastAsia="Times New Roman" w:cs="Arial"/>
        </w:rPr>
        <w:t xml:space="preserve"> </w:t>
      </w:r>
      <w:r w:rsidR="0077023F">
        <w:rPr>
          <w:rFonts w:eastAsia="Times New Roman" w:cs="Arial"/>
        </w:rPr>
        <w:t>that is,</w:t>
      </w:r>
      <w:r>
        <w:rPr>
          <w:rFonts w:eastAsia="Times New Roman" w:cs="Arial"/>
        </w:rPr>
        <w:t xml:space="preserve"> HCV genotype 1b infection, in combination with DCV, in patients who have received no prior treatment or who have failed </w:t>
      </w:r>
      <w:proofErr w:type="spellStart"/>
      <w:r>
        <w:rPr>
          <w:rFonts w:eastAsia="Times New Roman" w:cs="Arial"/>
        </w:rPr>
        <w:t>peginterferon</w:t>
      </w:r>
      <w:proofErr w:type="spellEnd"/>
      <w:r>
        <w:rPr>
          <w:rFonts w:eastAsia="Times New Roman" w:cs="Arial"/>
        </w:rPr>
        <w:t xml:space="preserve"> </w:t>
      </w:r>
      <w:proofErr w:type="spellStart"/>
      <w:r>
        <w:rPr>
          <w:rFonts w:eastAsia="Times New Roman" w:cs="Arial"/>
        </w:rPr>
        <w:t>alfa</w:t>
      </w:r>
      <w:proofErr w:type="spellEnd"/>
      <w:r>
        <w:rPr>
          <w:rFonts w:eastAsia="Times New Roman" w:cs="Arial"/>
        </w:rPr>
        <w:t>/RBV combination.</w:t>
      </w:r>
    </w:p>
    <w:p w:rsidR="003E4216" w:rsidRDefault="003E4216" w:rsidP="003E4216">
      <w:pPr>
        <w:spacing w:line="240" w:lineRule="auto"/>
        <w:ind w:left="357"/>
        <w:rPr>
          <w:rFonts w:eastAsia="Times New Roman" w:cs="Arial"/>
        </w:rPr>
      </w:pPr>
      <w:r>
        <w:rPr>
          <w:rFonts w:eastAsia="Times New Roman" w:cs="Arial"/>
        </w:rPr>
        <w:t>Regarding the QUAD combination therapy (DCV/ASV/</w:t>
      </w:r>
      <w:proofErr w:type="spellStart"/>
      <w:r>
        <w:rPr>
          <w:rFonts w:eastAsia="Times New Roman" w:cs="Arial"/>
        </w:rPr>
        <w:t>pegINF</w:t>
      </w:r>
      <w:proofErr w:type="spellEnd"/>
      <w:r>
        <w:rPr>
          <w:rFonts w:eastAsia="Times New Roman" w:cs="Arial"/>
        </w:rPr>
        <w:t xml:space="preserve">/RBV) in patients with HCV genotype 1 or 4, the ACPM noted that this combination appeared to provide an increased response rate but at the cost of increased toxicity. The ACPM was concerned about liver toxicity with the combination therapy, particularly as the evidence suggests a strong liver toxicity signal with </w:t>
      </w:r>
      <w:proofErr w:type="spellStart"/>
      <w:r w:rsidRPr="00724EBD">
        <w:rPr>
          <w:rFonts w:eastAsia="Times New Roman" w:cs="Arial"/>
        </w:rPr>
        <w:t>asunaprevir</w:t>
      </w:r>
      <w:proofErr w:type="spellEnd"/>
      <w:r w:rsidRPr="00724EBD">
        <w:rPr>
          <w:rFonts w:eastAsia="Times New Roman" w:cs="Arial"/>
        </w:rPr>
        <w:t xml:space="preserve"> –containing regimens</w:t>
      </w:r>
      <w:r>
        <w:rPr>
          <w:rFonts w:eastAsia="Times New Roman" w:cs="Arial"/>
        </w:rPr>
        <w:t xml:space="preserve">. The ACPM noted that the </w:t>
      </w:r>
      <w:r w:rsidRPr="00646374">
        <w:rPr>
          <w:rFonts w:eastAsia="Times New Roman" w:cs="Arial"/>
        </w:rPr>
        <w:t xml:space="preserve">Periodic Safety Update Report </w:t>
      </w:r>
      <w:r>
        <w:rPr>
          <w:rFonts w:eastAsia="Times New Roman" w:cs="Arial"/>
        </w:rPr>
        <w:t>(</w:t>
      </w:r>
      <w:r w:rsidRPr="00646374">
        <w:rPr>
          <w:rFonts w:eastAsia="Times New Roman" w:cs="Arial"/>
        </w:rPr>
        <w:t>PSUR</w:t>
      </w:r>
      <w:r>
        <w:rPr>
          <w:rFonts w:eastAsia="Times New Roman" w:cs="Arial"/>
        </w:rPr>
        <w:t>)</w:t>
      </w:r>
      <w:r w:rsidRPr="00646374">
        <w:rPr>
          <w:rFonts w:eastAsia="Times New Roman" w:cs="Arial"/>
        </w:rPr>
        <w:t xml:space="preserve"> </w:t>
      </w:r>
      <w:r>
        <w:rPr>
          <w:rFonts w:eastAsia="Times New Roman" w:cs="Arial"/>
        </w:rPr>
        <w:t>reported s</w:t>
      </w:r>
      <w:r w:rsidRPr="00646374">
        <w:rPr>
          <w:rFonts w:eastAsia="Times New Roman" w:cs="Arial"/>
        </w:rPr>
        <w:t xml:space="preserve">erious </w:t>
      </w:r>
      <w:r>
        <w:rPr>
          <w:rFonts w:eastAsia="Times New Roman" w:cs="Arial"/>
        </w:rPr>
        <w:t>(cumulative)</w:t>
      </w:r>
      <w:r w:rsidRPr="00646374">
        <w:rPr>
          <w:rFonts w:eastAsia="Times New Roman" w:cs="Arial"/>
        </w:rPr>
        <w:t xml:space="preserve"> increase</w:t>
      </w:r>
      <w:r>
        <w:rPr>
          <w:rFonts w:eastAsia="Times New Roman" w:cs="Arial"/>
        </w:rPr>
        <w:t xml:space="preserve">s in </w:t>
      </w:r>
      <w:r w:rsidRPr="00646374">
        <w:rPr>
          <w:rFonts w:eastAsia="Times New Roman" w:cs="Arial"/>
        </w:rPr>
        <w:t xml:space="preserve">ALT </w:t>
      </w:r>
      <w:r>
        <w:rPr>
          <w:rFonts w:eastAsia="Times New Roman" w:cs="Arial"/>
        </w:rPr>
        <w:t xml:space="preserve">in </w:t>
      </w:r>
      <w:r w:rsidRPr="00646374">
        <w:rPr>
          <w:rFonts w:eastAsia="Times New Roman" w:cs="Arial"/>
        </w:rPr>
        <w:t xml:space="preserve">5 </w:t>
      </w:r>
      <w:r>
        <w:rPr>
          <w:rFonts w:eastAsia="Times New Roman" w:cs="Arial"/>
        </w:rPr>
        <w:t xml:space="preserve">patients, and </w:t>
      </w:r>
      <w:r w:rsidRPr="00646374">
        <w:rPr>
          <w:rFonts w:eastAsia="Times New Roman" w:cs="Arial"/>
        </w:rPr>
        <w:t xml:space="preserve">18 not </w:t>
      </w:r>
      <w:r>
        <w:rPr>
          <w:rFonts w:eastAsia="Times New Roman" w:cs="Arial"/>
        </w:rPr>
        <w:t xml:space="preserve">classified as </w:t>
      </w:r>
      <w:r w:rsidRPr="00646374">
        <w:rPr>
          <w:rFonts w:eastAsia="Times New Roman" w:cs="Arial"/>
        </w:rPr>
        <w:t>serious</w:t>
      </w:r>
      <w:r>
        <w:rPr>
          <w:rFonts w:eastAsia="Times New Roman" w:cs="Arial"/>
        </w:rPr>
        <w:t>.</w:t>
      </w:r>
    </w:p>
    <w:p w:rsidR="003E4216" w:rsidRDefault="003E4216" w:rsidP="003E4216">
      <w:pPr>
        <w:spacing w:line="240" w:lineRule="auto"/>
        <w:ind w:left="357"/>
        <w:rPr>
          <w:rFonts w:eastAsia="Times New Roman" w:cs="Arial"/>
        </w:rPr>
      </w:pPr>
      <w:r>
        <w:rPr>
          <w:rFonts w:eastAsia="Times New Roman" w:cs="Arial"/>
        </w:rPr>
        <w:t xml:space="preserve">The ACPM noted the sponsor’s proposed monitoring strategy for liver toxicity in the PI, which instructs prescribers to monitor </w:t>
      </w:r>
      <w:r w:rsidRPr="00724EBD">
        <w:rPr>
          <w:rFonts w:eastAsia="Times New Roman" w:cs="Arial"/>
        </w:rPr>
        <w:t xml:space="preserve">LFTs 2 weekly for 12 weeks, </w:t>
      </w:r>
      <w:r>
        <w:rPr>
          <w:rFonts w:eastAsia="Times New Roman" w:cs="Arial"/>
        </w:rPr>
        <w:t xml:space="preserve">then </w:t>
      </w:r>
      <w:r w:rsidRPr="00724EBD">
        <w:rPr>
          <w:rFonts w:eastAsia="Times New Roman" w:cs="Arial"/>
        </w:rPr>
        <w:t>4 weekly until 24 weeks</w:t>
      </w:r>
      <w:r>
        <w:rPr>
          <w:rFonts w:eastAsia="Times New Roman" w:cs="Arial"/>
        </w:rPr>
        <w:t>. In addition the PI states that</w:t>
      </w:r>
      <w:r w:rsidRPr="00724EBD">
        <w:rPr>
          <w:rFonts w:eastAsia="Times New Roman" w:cs="Arial"/>
        </w:rPr>
        <w:t xml:space="preserve"> ASV </w:t>
      </w:r>
      <w:r>
        <w:rPr>
          <w:rFonts w:eastAsia="Times New Roman" w:cs="Arial"/>
        </w:rPr>
        <w:t>is</w:t>
      </w:r>
      <w:r w:rsidRPr="00724EBD">
        <w:rPr>
          <w:rFonts w:eastAsia="Times New Roman" w:cs="Arial"/>
        </w:rPr>
        <w:t xml:space="preserve"> contraindicated for patients with moderate or severe hepatic impairment.</w:t>
      </w:r>
      <w:r>
        <w:rPr>
          <w:rFonts w:eastAsia="Times New Roman" w:cs="Arial"/>
        </w:rPr>
        <w:t xml:space="preserve"> The ACPM considered that these warnings should be strengthened by a black box warning about monitoring for liver toxicity with </w:t>
      </w:r>
      <w:proofErr w:type="spellStart"/>
      <w:r>
        <w:rPr>
          <w:rFonts w:eastAsia="Times New Roman" w:cs="Arial"/>
        </w:rPr>
        <w:t>asunaprevir</w:t>
      </w:r>
      <w:proofErr w:type="spellEnd"/>
      <w:r>
        <w:rPr>
          <w:rFonts w:eastAsia="Times New Roman" w:cs="Arial"/>
        </w:rPr>
        <w:t>-containing regimens (see response to Q</w:t>
      </w:r>
      <w:r w:rsidR="00B70E14">
        <w:rPr>
          <w:rFonts w:eastAsia="Times New Roman" w:cs="Arial"/>
        </w:rPr>
        <w:t xml:space="preserve">uestion </w:t>
      </w:r>
      <w:r>
        <w:rPr>
          <w:rFonts w:eastAsia="Times New Roman" w:cs="Arial"/>
        </w:rPr>
        <w:t>2 below).</w:t>
      </w:r>
    </w:p>
    <w:p w:rsidR="00C60B78" w:rsidRDefault="003E4216" w:rsidP="00B70E14">
      <w:pPr>
        <w:pStyle w:val="Numberbullet0"/>
        <w:rPr>
          <w:i/>
        </w:rPr>
      </w:pPr>
      <w:r w:rsidRPr="00B70E14">
        <w:rPr>
          <w:i/>
        </w:rPr>
        <w:t xml:space="preserve">Has hepatic safety of </w:t>
      </w:r>
      <w:proofErr w:type="spellStart"/>
      <w:r w:rsidRPr="00B70E14">
        <w:rPr>
          <w:i/>
        </w:rPr>
        <w:t>asunaprevir</w:t>
      </w:r>
      <w:proofErr w:type="spellEnd"/>
      <w:r w:rsidRPr="00B70E14">
        <w:rPr>
          <w:i/>
        </w:rPr>
        <w:t xml:space="preserve"> has been adequately established in chronic hepatitis C patients?</w:t>
      </w:r>
    </w:p>
    <w:p w:rsidR="00C60B78" w:rsidRDefault="003E4216" w:rsidP="003E4216">
      <w:pPr>
        <w:spacing w:line="240" w:lineRule="auto"/>
        <w:ind w:left="357"/>
        <w:rPr>
          <w:rFonts w:eastAsia="Times New Roman" w:cs="Arial"/>
        </w:rPr>
      </w:pPr>
      <w:r w:rsidRPr="00724EBD">
        <w:rPr>
          <w:rFonts w:eastAsia="Times New Roman" w:cs="Arial"/>
        </w:rPr>
        <w:t xml:space="preserve">The ACPM was concerned about the risk of </w:t>
      </w:r>
      <w:r>
        <w:rPr>
          <w:rFonts w:eastAsia="Times New Roman" w:cs="Arial"/>
        </w:rPr>
        <w:t xml:space="preserve">liver toxicity with </w:t>
      </w:r>
      <w:proofErr w:type="spellStart"/>
      <w:r>
        <w:rPr>
          <w:rFonts w:eastAsia="Times New Roman" w:cs="Arial"/>
        </w:rPr>
        <w:t>asunaprevir</w:t>
      </w:r>
      <w:proofErr w:type="spellEnd"/>
      <w:r w:rsidRPr="00724EBD">
        <w:rPr>
          <w:rFonts w:eastAsia="Times New Roman" w:cs="Arial"/>
        </w:rPr>
        <w:t xml:space="preserve">–containing regimens and considered that there was sufficient evidence of a strong liver toxicity signal. The ACPM noted that the risk was not unmanageable with regular monitoring of LFTs and bilirubin. However, the ACPM advised that the warning about liver toxicity should be strengthened by use of a black box warning to highlight the risk of elevated bilirubin levels and liver functions tests when using </w:t>
      </w:r>
      <w:proofErr w:type="spellStart"/>
      <w:r w:rsidRPr="00724EBD">
        <w:rPr>
          <w:rFonts w:eastAsia="Times New Roman" w:cs="Arial"/>
        </w:rPr>
        <w:t>asu</w:t>
      </w:r>
      <w:r>
        <w:rPr>
          <w:rFonts w:eastAsia="Times New Roman" w:cs="Arial"/>
        </w:rPr>
        <w:t>naprevir</w:t>
      </w:r>
      <w:proofErr w:type="spellEnd"/>
      <w:r>
        <w:rPr>
          <w:rFonts w:eastAsia="Times New Roman" w:cs="Arial"/>
        </w:rPr>
        <w:t xml:space="preserve"> containing regimens to</w:t>
      </w:r>
      <w:r w:rsidRPr="00724EBD">
        <w:rPr>
          <w:rFonts w:eastAsia="Times New Roman" w:cs="Arial"/>
        </w:rPr>
        <w:t xml:space="preserve"> ensure appropriate monitoring.</w:t>
      </w:r>
    </w:p>
    <w:p w:rsidR="003E4216" w:rsidRPr="00BD228F" w:rsidRDefault="003E4216" w:rsidP="003E4216">
      <w:pPr>
        <w:spacing w:line="240" w:lineRule="auto"/>
        <w:ind w:left="357"/>
        <w:rPr>
          <w:rFonts w:eastAsia="Times New Roman" w:cs="Arial"/>
          <w:b/>
          <w:lang w:eastAsia="en-AU"/>
        </w:rPr>
      </w:pPr>
      <w:r w:rsidRPr="00BD228F">
        <w:t xml:space="preserve">The ACPM also advised that, rather than the proposed ten times levels, a lower level of ALT elevation of five times the upper limit of normal should be specified for treatment discontinuation for patients receiving </w:t>
      </w:r>
      <w:proofErr w:type="spellStart"/>
      <w:r w:rsidRPr="00BD228F">
        <w:t>asunaprevir</w:t>
      </w:r>
      <w:proofErr w:type="spellEnd"/>
      <w:r w:rsidRPr="00BD228F">
        <w:t>-containing regimens.</w:t>
      </w:r>
    </w:p>
    <w:p w:rsidR="003E4216" w:rsidRPr="00B70E14" w:rsidRDefault="003E4216" w:rsidP="00B70E14">
      <w:pPr>
        <w:pStyle w:val="Numberbullet0"/>
        <w:rPr>
          <w:i/>
        </w:rPr>
      </w:pPr>
      <w:r w:rsidRPr="00B70E14">
        <w:rPr>
          <w:i/>
        </w:rPr>
        <w:t>The committee is (also) requested to provide advice on any other issues that it thinks may be relevant to a decision on whether or not to approve this application.</w:t>
      </w:r>
    </w:p>
    <w:p w:rsidR="003E4216" w:rsidRDefault="003E4216" w:rsidP="003E4216">
      <w:pPr>
        <w:spacing w:line="240" w:lineRule="auto"/>
        <w:rPr>
          <w:rFonts w:eastAsia="Times New Roman" w:cs="Arial"/>
        </w:rPr>
      </w:pPr>
      <w:r>
        <w:rPr>
          <w:rFonts w:eastAsia="Times New Roman" w:cs="Arial"/>
        </w:rPr>
        <w:t xml:space="preserve">The ACPM advised that the place of ASV in the treatment of HCV is uncertain as there are combination therapies available with </w:t>
      </w:r>
      <w:proofErr w:type="gramStart"/>
      <w:r>
        <w:rPr>
          <w:rFonts w:eastAsia="Times New Roman" w:cs="Arial"/>
        </w:rPr>
        <w:t>a treatment</w:t>
      </w:r>
      <w:proofErr w:type="gramEnd"/>
      <w:r>
        <w:rPr>
          <w:rFonts w:eastAsia="Times New Roman" w:cs="Arial"/>
        </w:rPr>
        <w:t xml:space="preserve"> duration of 12 weeks, as opposed to 24 weeks for ASV-combination therapy. There is also concern regarding hepatic safety with ASV-containing regimens.</w:t>
      </w:r>
    </w:p>
    <w:p w:rsidR="003E4216" w:rsidRDefault="003E4216" w:rsidP="003E4216">
      <w:pPr>
        <w:spacing w:line="240" w:lineRule="auto"/>
        <w:rPr>
          <w:rFonts w:eastAsia="Times New Roman" w:cs="Arial"/>
        </w:rPr>
      </w:pPr>
      <w:r>
        <w:rPr>
          <w:rFonts w:eastAsia="Times New Roman" w:cs="Arial"/>
        </w:rPr>
        <w:t>The ACPM considered that i</w:t>
      </w:r>
      <w:r w:rsidRPr="00C01448">
        <w:rPr>
          <w:rFonts w:eastAsia="Times New Roman" w:cs="Arial"/>
        </w:rPr>
        <w:t xml:space="preserve">nteractions </w:t>
      </w:r>
      <w:r>
        <w:rPr>
          <w:rFonts w:eastAsia="Times New Roman" w:cs="Arial"/>
        </w:rPr>
        <w:t xml:space="preserve">of ASV </w:t>
      </w:r>
      <w:r w:rsidRPr="00C01448">
        <w:rPr>
          <w:rFonts w:eastAsia="Times New Roman" w:cs="Arial"/>
        </w:rPr>
        <w:t xml:space="preserve">with </w:t>
      </w:r>
      <w:r>
        <w:rPr>
          <w:rFonts w:eastAsia="Times New Roman" w:cs="Arial"/>
        </w:rPr>
        <w:t>other medicines that use the CYP</w:t>
      </w:r>
      <w:r w:rsidRPr="00C01448">
        <w:rPr>
          <w:rFonts w:eastAsia="Times New Roman" w:cs="Arial"/>
        </w:rPr>
        <w:t xml:space="preserve">3A4 </w:t>
      </w:r>
      <w:r>
        <w:rPr>
          <w:rFonts w:eastAsia="Times New Roman" w:cs="Arial"/>
        </w:rPr>
        <w:t xml:space="preserve">metabolic pathway may </w:t>
      </w:r>
      <w:r w:rsidRPr="00C01448">
        <w:rPr>
          <w:rFonts w:eastAsia="Times New Roman" w:cs="Arial"/>
        </w:rPr>
        <w:t xml:space="preserve">limit use in </w:t>
      </w:r>
      <w:r>
        <w:rPr>
          <w:rFonts w:eastAsia="Times New Roman" w:cs="Arial"/>
        </w:rPr>
        <w:t>patients with human immunodeficiency virus (</w:t>
      </w:r>
      <w:r w:rsidRPr="00C01448">
        <w:rPr>
          <w:rFonts w:eastAsia="Times New Roman" w:cs="Arial"/>
        </w:rPr>
        <w:t>HIV</w:t>
      </w:r>
      <w:r>
        <w:rPr>
          <w:rFonts w:eastAsia="Times New Roman" w:cs="Arial"/>
        </w:rPr>
        <w:t>)</w:t>
      </w:r>
      <w:r w:rsidRPr="00C01448">
        <w:rPr>
          <w:rFonts w:eastAsia="Times New Roman" w:cs="Arial"/>
        </w:rPr>
        <w:t>/HCV co-infection</w:t>
      </w:r>
      <w:r>
        <w:rPr>
          <w:rFonts w:eastAsia="Times New Roman" w:cs="Arial"/>
        </w:rPr>
        <w:t>.</w:t>
      </w:r>
    </w:p>
    <w:p w:rsidR="003E4216" w:rsidRPr="00C01448" w:rsidRDefault="003E4216" w:rsidP="003E4216">
      <w:pPr>
        <w:spacing w:line="240" w:lineRule="auto"/>
        <w:rPr>
          <w:rFonts w:eastAsia="Times New Roman" w:cs="Arial"/>
        </w:rPr>
      </w:pPr>
      <w:r>
        <w:rPr>
          <w:rFonts w:eastAsia="Times New Roman" w:cs="Arial"/>
        </w:rPr>
        <w:t>The ACPM considered that non-inferiority studies would be preferable rather than single arm studies in order to ascertain efficacy of new treatments compared with current standard of care regimens.</w:t>
      </w:r>
    </w:p>
    <w:p w:rsidR="003E4216" w:rsidRPr="00A322B3" w:rsidRDefault="003E4216" w:rsidP="003E4216">
      <w:r>
        <w:rPr>
          <w:rFonts w:eastAsia="MS Mincho"/>
          <w:bCs/>
          <w:lang w:eastAsia="ja-JP"/>
        </w:rPr>
        <w:t>The ACPM advised that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8E7846">
      <w:pPr>
        <w:pStyle w:val="Heading3"/>
      </w:pPr>
      <w:bookmarkStart w:id="181" w:name="_Toc247691532"/>
      <w:bookmarkStart w:id="182" w:name="_Toc314842516"/>
      <w:bookmarkStart w:id="183" w:name="_Toc438125727"/>
      <w:bookmarkEnd w:id="117"/>
      <w:bookmarkEnd w:id="178"/>
      <w:bookmarkEnd w:id="179"/>
      <w:r>
        <w:lastRenderedPageBreak/>
        <w:t>Outcome</w:t>
      </w:r>
      <w:bookmarkEnd w:id="181"/>
      <w:bookmarkEnd w:id="182"/>
      <w:bookmarkEnd w:id="183"/>
    </w:p>
    <w:p w:rsidR="00D23139" w:rsidRPr="00090750" w:rsidRDefault="00D23139" w:rsidP="00B70E14">
      <w:bookmarkStart w:id="184" w:name="_Toc247691533"/>
      <w:bookmarkStart w:id="185" w:name="_Toc314842517"/>
      <w:r w:rsidRPr="00090750">
        <w:t xml:space="preserve">Based on a review of quality, safety and efficacy, TGA approved the registration of </w:t>
      </w:r>
      <w:proofErr w:type="spellStart"/>
      <w:r w:rsidR="007342F4" w:rsidRPr="00090750">
        <w:t>S</w:t>
      </w:r>
      <w:r w:rsidR="00090750" w:rsidRPr="00090750">
        <w:t>unvepra</w:t>
      </w:r>
      <w:proofErr w:type="spellEnd"/>
      <w:r w:rsidR="007342F4" w:rsidRPr="00090750">
        <w:t xml:space="preserve"> </w:t>
      </w:r>
      <w:r w:rsidR="00090750" w:rsidRPr="00090750">
        <w:t>(</w:t>
      </w:r>
      <w:proofErr w:type="spellStart"/>
      <w:r w:rsidR="007342F4" w:rsidRPr="00090750">
        <w:t>asunaprevir</w:t>
      </w:r>
      <w:proofErr w:type="spellEnd"/>
      <w:r w:rsidR="00090750" w:rsidRPr="00090750">
        <w:t>)</w:t>
      </w:r>
      <w:r w:rsidR="007342F4" w:rsidRPr="00090750">
        <w:t xml:space="preserve"> 100 </w:t>
      </w:r>
      <w:r w:rsidR="00090750" w:rsidRPr="00090750">
        <w:t>m</w:t>
      </w:r>
      <w:r w:rsidR="007342F4" w:rsidRPr="00090750">
        <w:t xml:space="preserve">g capsule blister </w:t>
      </w:r>
      <w:r w:rsidRPr="00090750">
        <w:t xml:space="preserve">for </w:t>
      </w:r>
      <w:r w:rsidR="007342F4" w:rsidRPr="00090750">
        <w:t>oral administration</w:t>
      </w:r>
      <w:r w:rsidRPr="00090750">
        <w:t>, indicated for:</w:t>
      </w:r>
    </w:p>
    <w:p w:rsidR="00D23139" w:rsidRPr="00090750" w:rsidRDefault="00090750" w:rsidP="00090750">
      <w:pPr>
        <w:ind w:left="720"/>
        <w:rPr>
          <w:i/>
        </w:rPr>
      </w:pPr>
      <w:proofErr w:type="spellStart"/>
      <w:r w:rsidRPr="00090750">
        <w:rPr>
          <w:i/>
        </w:rPr>
        <w:t>Sunvepra</w:t>
      </w:r>
      <w:proofErr w:type="spellEnd"/>
      <w:r w:rsidRPr="00090750">
        <w:rPr>
          <w:i/>
        </w:rPr>
        <w:t xml:space="preserve"> </w:t>
      </w:r>
      <w:r w:rsidR="007342F4" w:rsidRPr="00090750">
        <w:rPr>
          <w:i/>
        </w:rPr>
        <w:t>(</w:t>
      </w:r>
      <w:proofErr w:type="spellStart"/>
      <w:r w:rsidR="007342F4" w:rsidRPr="00090750">
        <w:rPr>
          <w:i/>
        </w:rPr>
        <w:t>asunaprevir</w:t>
      </w:r>
      <w:proofErr w:type="spellEnd"/>
      <w:r w:rsidR="007342F4" w:rsidRPr="00090750">
        <w:rPr>
          <w:i/>
        </w:rPr>
        <w:t xml:space="preserve">) is indicated in combination with other medicinal products for the treatment of chronic hepatitis C virus (HCV) infection in adults with compensated liver disease (including cirrhosis) </w:t>
      </w:r>
      <w:r>
        <w:rPr>
          <w:i/>
        </w:rPr>
        <w:t>[</w:t>
      </w:r>
      <w:r w:rsidR="007342F4" w:rsidRPr="00090750">
        <w:rPr>
          <w:i/>
        </w:rPr>
        <w:t xml:space="preserve">see </w:t>
      </w:r>
      <w:r w:rsidRPr="00090750">
        <w:rPr>
          <w:i/>
        </w:rPr>
        <w:t xml:space="preserve">Clinical Trials </w:t>
      </w:r>
      <w:r w:rsidR="007342F4" w:rsidRPr="00090750">
        <w:rPr>
          <w:i/>
        </w:rPr>
        <w:t xml:space="preserve">and </w:t>
      </w:r>
      <w:r w:rsidRPr="00090750">
        <w:rPr>
          <w:i/>
        </w:rPr>
        <w:t>Dosage and Administration</w:t>
      </w:r>
      <w:r w:rsidR="007342F4" w:rsidRPr="00090750">
        <w:rPr>
          <w:i/>
        </w:rPr>
        <w:t>.</w:t>
      </w:r>
      <w:r>
        <w:rPr>
          <w:i/>
        </w:rPr>
        <w:t>]</w:t>
      </w:r>
    </w:p>
    <w:p w:rsidR="00D23139" w:rsidRPr="00D23139" w:rsidRDefault="00D23139" w:rsidP="00D23139">
      <w:pPr>
        <w:pStyle w:val="Heading4"/>
      </w:pPr>
      <w:r w:rsidRPr="00D23139">
        <w:t>Specific conditions of registration applying to these goods</w:t>
      </w:r>
    </w:p>
    <w:p w:rsidR="00D23139" w:rsidRPr="00D23139" w:rsidRDefault="00090750" w:rsidP="00090750">
      <w:r>
        <w:t xml:space="preserve">The </w:t>
      </w:r>
      <w:proofErr w:type="spellStart"/>
      <w:r>
        <w:t>Sunvepra</w:t>
      </w:r>
      <w:proofErr w:type="spellEnd"/>
      <w:r>
        <w:t xml:space="preserve"> (</w:t>
      </w:r>
      <w:proofErr w:type="spellStart"/>
      <w:r>
        <w:t>asunaprevir</w:t>
      </w:r>
      <w:proofErr w:type="spellEnd"/>
      <w:r>
        <w:t>) Company Core Risk Management Plan (RMP), (version 2, dated 22 December 2014, data lock point 15 November 2014) with Australia Specific Annex version 2, dated 29 December 2014) provided with the submission PM-2014-00648-1-2, and any subsequent revisions, as agreed with the TGA will be implemented in Australia.</w:t>
      </w:r>
    </w:p>
    <w:p w:rsidR="008E7846" w:rsidRDefault="00A80B5B" w:rsidP="00D23139">
      <w:pPr>
        <w:pStyle w:val="Heading2"/>
      </w:pPr>
      <w:bookmarkStart w:id="186" w:name="_Toc438125728"/>
      <w:proofErr w:type="gramStart"/>
      <w:r>
        <w:t>Attachment 1.</w:t>
      </w:r>
      <w:proofErr w:type="gramEnd"/>
      <w:r>
        <w:t xml:space="preserve"> </w:t>
      </w:r>
      <w:r w:rsidR="008E7846">
        <w:t xml:space="preserve">Product </w:t>
      </w:r>
      <w:r w:rsidR="00AA0ED0">
        <w:t>I</w:t>
      </w:r>
      <w:r w:rsidR="008E7846">
        <w:t>nformation</w:t>
      </w:r>
      <w:bookmarkEnd w:id="184"/>
      <w:bookmarkEnd w:id="185"/>
      <w:bookmarkEnd w:id="186"/>
    </w:p>
    <w:p w:rsidR="00C60B78" w:rsidRDefault="002B3624" w:rsidP="00C80137">
      <w:r w:rsidRPr="002B3624">
        <w:t xml:space="preserve">The Product Information approved for </w:t>
      </w:r>
      <w:proofErr w:type="spellStart"/>
      <w:r w:rsidR="00190D26">
        <w:t>Sunvepra</w:t>
      </w:r>
      <w:proofErr w:type="spellEnd"/>
      <w:r w:rsidRPr="002B3624">
        <w:t xml:space="preserve"> at the time this </w:t>
      </w:r>
      <w:proofErr w:type="spellStart"/>
      <w:r w:rsidRPr="002B3624">
        <w:t>AusPAR</w:t>
      </w:r>
      <w:proofErr w:type="spellEnd"/>
      <w:r w:rsidRPr="002B3624">
        <w:t xml:space="preserve"> was published is at Attachment 1. For the most recent Product Information please refer to the TGA website at &lt;</w:t>
      </w:r>
      <w:hyperlink r:id="rId18" w:history="1">
        <w:r w:rsidR="00383221">
          <w:rPr>
            <w:rStyle w:val="Hyperlink"/>
          </w:rPr>
          <w:t>https://www.tga.gov.au/product-information-pi</w:t>
        </w:r>
      </w:hyperlink>
      <w:r w:rsidRPr="002B3624">
        <w:t>&gt;.</w:t>
      </w:r>
    </w:p>
    <w:p w:rsidR="001C32CD" w:rsidRDefault="00C80137" w:rsidP="00B70E14">
      <w:pPr>
        <w:pStyle w:val="Heading2"/>
        <w:rPr>
          <w:lang w:eastAsia="ja-JP"/>
        </w:rPr>
      </w:pPr>
      <w:bookmarkStart w:id="187" w:name="_Toc438125729"/>
      <w:proofErr w:type="gramStart"/>
      <w:r>
        <w:rPr>
          <w:lang w:eastAsia="en-AU"/>
        </w:rPr>
        <w:t>Attachment 2.</w:t>
      </w:r>
      <w:proofErr w:type="gramEnd"/>
      <w:r w:rsidR="00A80B5B">
        <w:rPr>
          <w:lang w:eastAsia="en-AU"/>
        </w:rPr>
        <w:t xml:space="preserve"> </w:t>
      </w:r>
      <w:r>
        <w:rPr>
          <w:lang w:eastAsia="en-AU"/>
        </w:rPr>
        <w:t>Extract from the Clinical Evaluation Report</w:t>
      </w:r>
      <w:bookmarkEnd w:id="187"/>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3" w:history="1">
              <w:r w:rsidRPr="004C239D">
                <w:rPr>
                  <w:rStyle w:val="Hyperlink"/>
                </w:rPr>
                <w:t>info@tga.gov.au</w:t>
              </w:r>
            </w:hyperlink>
            <w:r w:rsidR="004936B4">
              <w:t xml:space="preserve"> </w:t>
            </w:r>
            <w:r w:rsidRPr="00487162">
              <w:t>Phone: 1800 020 653</w:t>
            </w:r>
            <w:r w:rsidR="004936B4">
              <w:t xml:space="preserve"> </w:t>
            </w:r>
            <w:r w:rsidRPr="00487162">
              <w:t>Fax: 02 6232 8605</w:t>
            </w:r>
          </w:p>
          <w:p w:rsidR="001C32CD" w:rsidRPr="004C239D" w:rsidRDefault="009A6908" w:rsidP="00A05FA4">
            <w:pPr>
              <w:pStyle w:val="Address"/>
              <w:spacing w:line="260" w:lineRule="atLeast"/>
              <w:rPr>
                <w:b/>
                <w:color w:val="0000FF"/>
                <w:u w:val="single"/>
              </w:rPr>
            </w:pPr>
            <w:hyperlink r:id="rId24" w:history="1">
              <w:r w:rsidR="004F47D6">
                <w:rPr>
                  <w:rStyle w:val="Hyperlink"/>
                  <w:b/>
                </w:rPr>
                <w:t>https://www.tga.gov.au</w:t>
              </w:r>
            </w:hyperlink>
          </w:p>
        </w:tc>
      </w:tr>
    </w:tbl>
    <w:p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AEB" w:rsidRDefault="00F95AEB" w:rsidP="00C40A36">
      <w:pPr>
        <w:spacing w:after="0"/>
      </w:pPr>
      <w:r>
        <w:separator/>
      </w:r>
    </w:p>
  </w:endnote>
  <w:endnote w:type="continuationSeparator" w:id="0">
    <w:p w:rsidR="00F95AEB" w:rsidRDefault="00F95AE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F95AEB" w:rsidRPr="00487162" w:rsidTr="00DB750B">
      <w:trPr>
        <w:trHeight w:val="269"/>
      </w:trPr>
      <w:tc>
        <w:tcPr>
          <w:tcW w:w="7371" w:type="dxa"/>
          <w:tcMar>
            <w:top w:w="142" w:type="dxa"/>
            <w:bottom w:w="0" w:type="dxa"/>
          </w:tcMar>
        </w:tcPr>
        <w:p w:rsidR="00F95AEB" w:rsidRPr="00016899" w:rsidRDefault="00F95AEB" w:rsidP="000D4D9B">
          <w:pPr>
            <w:pStyle w:val="Footer"/>
            <w:rPr>
              <w:szCs w:val="17"/>
            </w:rPr>
          </w:pPr>
          <w:proofErr w:type="spellStart"/>
          <w:r w:rsidRPr="00016899">
            <w:rPr>
              <w:szCs w:val="17"/>
            </w:rPr>
            <w:t>AusPAR</w:t>
          </w:r>
          <w:proofErr w:type="spellEnd"/>
          <w:r w:rsidRPr="00016899">
            <w:rPr>
              <w:szCs w:val="17"/>
            </w:rPr>
            <w:t xml:space="preserve"> </w:t>
          </w:r>
          <w:proofErr w:type="spellStart"/>
          <w:r w:rsidRPr="00016899">
            <w:rPr>
              <w:szCs w:val="17"/>
            </w:rPr>
            <w:t>Sunvepra</w:t>
          </w:r>
          <w:proofErr w:type="spellEnd"/>
          <w:r w:rsidRPr="00016899">
            <w:rPr>
              <w:szCs w:val="17"/>
            </w:rPr>
            <w:t xml:space="preserve"> </w:t>
          </w:r>
          <w:proofErr w:type="spellStart"/>
          <w:r w:rsidRPr="00CC3888">
            <w:rPr>
              <w:szCs w:val="17"/>
            </w:rPr>
            <w:t>asunaprevir</w:t>
          </w:r>
          <w:proofErr w:type="spellEnd"/>
          <w:r w:rsidRPr="00CC3888">
            <w:rPr>
              <w:szCs w:val="17"/>
            </w:rPr>
            <w:t xml:space="preserve"> </w:t>
          </w:r>
          <w:r w:rsidRPr="00016899">
            <w:rPr>
              <w:szCs w:val="17"/>
            </w:rPr>
            <w:t xml:space="preserve">Bristol-Myers Squibb Australia Pty Ltd PM- </w:t>
          </w:r>
          <w:r w:rsidRPr="0028611D">
            <w:rPr>
              <w:noProof/>
            </w:rPr>
            <w:t>2014-00648-1-2</w:t>
          </w:r>
          <w:r w:rsidRPr="00016899">
            <w:rPr>
              <w:szCs w:val="17"/>
            </w:rPr>
            <w:br/>
          </w:r>
          <w:r>
            <w:rPr>
              <w:szCs w:val="17"/>
            </w:rPr>
            <w:t>Final 14 December 2015</w:t>
          </w:r>
        </w:p>
      </w:tc>
      <w:tc>
        <w:tcPr>
          <w:tcW w:w="1490" w:type="dxa"/>
          <w:tcMar>
            <w:top w:w="142" w:type="dxa"/>
            <w:bottom w:w="0" w:type="dxa"/>
          </w:tcMar>
        </w:tcPr>
        <w:p w:rsidR="00F95AEB" w:rsidRPr="00487162" w:rsidRDefault="00F95AEB" w:rsidP="00DB750B">
          <w:pPr>
            <w:pStyle w:val="Footer"/>
            <w:jc w:val="right"/>
          </w:pPr>
          <w:r w:rsidRPr="00487162">
            <w:t xml:space="preserve">Page </w:t>
          </w:r>
          <w:r>
            <w:fldChar w:fldCharType="begin"/>
          </w:r>
          <w:r>
            <w:instrText xml:space="preserve"> PAGE  \* Arabic </w:instrText>
          </w:r>
          <w:r>
            <w:fldChar w:fldCharType="separate"/>
          </w:r>
          <w:r w:rsidR="009A6908">
            <w:rPr>
              <w:noProof/>
            </w:rPr>
            <w:t>2</w:t>
          </w:r>
          <w:r>
            <w:fldChar w:fldCharType="end"/>
          </w:r>
          <w:r w:rsidRPr="00487162">
            <w:t xml:space="preserve"> of </w:t>
          </w:r>
          <w:fldSimple w:instr=" NUMPAGES  \* Arabic ">
            <w:r w:rsidR="009A6908">
              <w:rPr>
                <w:noProof/>
              </w:rPr>
              <w:t>71</w:t>
            </w:r>
          </w:fldSimple>
        </w:p>
      </w:tc>
    </w:tr>
  </w:tbl>
  <w:p w:rsidR="00F95AEB" w:rsidRDefault="00F95AEB"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95AEB" w:rsidRPr="00487162" w:rsidTr="00E45619">
      <w:trPr>
        <w:trHeight w:val="269"/>
      </w:trPr>
      <w:tc>
        <w:tcPr>
          <w:tcW w:w="4519" w:type="dxa"/>
          <w:tcBorders>
            <w:top w:val="single" w:sz="4" w:space="0" w:color="auto"/>
          </w:tcBorders>
          <w:tcMar>
            <w:top w:w="142" w:type="dxa"/>
            <w:bottom w:w="0" w:type="dxa"/>
          </w:tcMar>
        </w:tcPr>
        <w:p w:rsidR="00F95AEB" w:rsidRPr="00487162" w:rsidRDefault="00F95AEB" w:rsidP="00FE1DEE">
          <w:pPr>
            <w:pStyle w:val="Footer"/>
          </w:pPr>
          <w:r w:rsidRPr="00487162">
            <w:t>Document title, Part #, Section # - Section title</w:t>
          </w:r>
        </w:p>
        <w:p w:rsidR="00F95AEB" w:rsidRPr="00487162" w:rsidRDefault="00F95AEB" w:rsidP="00FE1DEE">
          <w:pPr>
            <w:pStyle w:val="Footer"/>
          </w:pPr>
          <w:r w:rsidRPr="00487162">
            <w:t>V1.0 October 2010</w:t>
          </w:r>
        </w:p>
      </w:tc>
      <w:tc>
        <w:tcPr>
          <w:tcW w:w="4342" w:type="dxa"/>
          <w:tcBorders>
            <w:top w:val="single" w:sz="4" w:space="0" w:color="auto"/>
          </w:tcBorders>
          <w:tcMar>
            <w:top w:w="142" w:type="dxa"/>
            <w:bottom w:w="0" w:type="dxa"/>
          </w:tcMar>
        </w:tcPr>
        <w:p w:rsidR="00F95AEB" w:rsidRPr="00487162" w:rsidRDefault="00F95AEB"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66</w:t>
            </w:r>
          </w:fldSimple>
        </w:p>
      </w:tc>
    </w:tr>
  </w:tbl>
  <w:p w:rsidR="00F95AEB" w:rsidRDefault="00F95A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EB" w:rsidRPr="001C32CD" w:rsidRDefault="00F95AEB"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95AEB" w:rsidTr="0010601F">
      <w:trPr>
        <w:trHeight w:val="108"/>
      </w:trPr>
      <w:tc>
        <w:tcPr>
          <w:tcW w:w="8875" w:type="dxa"/>
          <w:gridSpan w:val="2"/>
          <w:tcBorders>
            <w:bottom w:val="single" w:sz="4" w:space="0" w:color="auto"/>
          </w:tcBorders>
          <w:tcMar>
            <w:right w:w="284" w:type="dxa"/>
          </w:tcMar>
        </w:tcPr>
        <w:p w:rsidR="00F95AEB" w:rsidRDefault="00F95AEB" w:rsidP="006E08B3">
          <w:pPr>
            <w:pStyle w:val="Heading3"/>
          </w:pPr>
          <w:r>
            <w:t>Copyright</w:t>
          </w:r>
        </w:p>
        <w:p w:rsidR="00F95AEB" w:rsidRDefault="00F95AEB" w:rsidP="006E08B3">
          <w:r>
            <w:rPr>
              <w:rFonts w:cs="Arial"/>
            </w:rPr>
            <w:t>©</w:t>
          </w:r>
          <w:r>
            <w:t xml:space="preserve"> Commonwealth of Australia [add year]</w:t>
          </w:r>
        </w:p>
        <w:p w:rsidR="00F95AEB" w:rsidRDefault="00F95AEB" w:rsidP="006E08B3"/>
        <w:p w:rsidR="00F95AEB" w:rsidRDefault="00F95AEB"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F95AEB" w:rsidRDefault="00F95AEB" w:rsidP="006E08B3"/>
        <w:p w:rsidR="00F95AEB" w:rsidRDefault="00F95AEB" w:rsidP="006E08B3">
          <w:pPr>
            <w:pStyle w:val="Heading3"/>
          </w:pPr>
          <w:r>
            <w:t>Confidentiality</w:t>
          </w:r>
        </w:p>
        <w:p w:rsidR="00F95AEB" w:rsidRDefault="00F95AEB"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F95AEB" w:rsidRDefault="00F95AEB" w:rsidP="006E08B3"/>
        <w:p w:rsidR="00F95AEB" w:rsidRDefault="00F95AEB" w:rsidP="006E08B3">
          <w:r>
            <w:t>For submission made by individuals, all personal details, other than your name, will be removed from your submission before it is published on the TGA’s Internet site.</w:t>
          </w:r>
        </w:p>
        <w:p w:rsidR="00F95AEB" w:rsidRDefault="00F95AEB" w:rsidP="006E08B3"/>
        <w:p w:rsidR="00F95AEB" w:rsidRDefault="00F95AEB"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F95AEB" w:rsidTr="0010601F">
      <w:trPr>
        <w:trHeight w:val="417"/>
      </w:trPr>
      <w:tc>
        <w:tcPr>
          <w:tcW w:w="4519" w:type="dxa"/>
          <w:tcBorders>
            <w:top w:val="single" w:sz="4" w:space="0" w:color="auto"/>
          </w:tcBorders>
          <w:tcMar>
            <w:top w:w="142" w:type="dxa"/>
            <w:bottom w:w="0" w:type="dxa"/>
          </w:tcMar>
        </w:tcPr>
        <w:p w:rsidR="00F95AEB" w:rsidRDefault="00F95AEB" w:rsidP="006E08B3">
          <w:r>
            <w:t>Document title, Part #, Section # - Section title</w:t>
          </w:r>
        </w:p>
        <w:p w:rsidR="00F95AEB" w:rsidRDefault="00F95AEB" w:rsidP="006E08B3">
          <w:r>
            <w:t>V1.0 October 2010</w:t>
          </w:r>
        </w:p>
      </w:tc>
      <w:tc>
        <w:tcPr>
          <w:tcW w:w="4356" w:type="dxa"/>
          <w:tcBorders>
            <w:top w:val="single" w:sz="4" w:space="0" w:color="auto"/>
          </w:tcBorders>
          <w:tcMar>
            <w:top w:w="142" w:type="dxa"/>
            <w:bottom w:w="0" w:type="dxa"/>
          </w:tcMar>
        </w:tcPr>
        <w:p w:rsidR="00F95AEB" w:rsidRDefault="00F95AEB"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66</w:t>
            </w:r>
          </w:fldSimple>
          <w:r>
            <w:t xml:space="preserve"> </w:t>
          </w:r>
        </w:p>
      </w:tc>
    </w:tr>
  </w:tbl>
  <w:p w:rsidR="00F95AEB" w:rsidRDefault="00F95A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AEB" w:rsidRDefault="00F95AEB" w:rsidP="00C40A36">
      <w:pPr>
        <w:spacing w:after="0"/>
      </w:pPr>
      <w:r>
        <w:separator/>
      </w:r>
    </w:p>
  </w:footnote>
  <w:footnote w:type="continuationSeparator" w:id="0">
    <w:p w:rsidR="00F95AEB" w:rsidRDefault="00F95AEB" w:rsidP="00C40A36">
      <w:pPr>
        <w:spacing w:after="0"/>
      </w:pPr>
      <w:r>
        <w:continuationSeparator/>
      </w:r>
    </w:p>
  </w:footnote>
  <w:footnote w:id="1">
    <w:p w:rsidR="00F95AEB" w:rsidRPr="00D72688" w:rsidRDefault="00F95AEB" w:rsidP="00C60B78">
      <w:pPr>
        <w:pStyle w:val="FootnoteText"/>
      </w:pPr>
      <w:r w:rsidRPr="00D72688">
        <w:rPr>
          <w:rStyle w:val="FootnoteReference"/>
          <w:szCs w:val="18"/>
        </w:rPr>
        <w:footnoteRef/>
      </w:r>
      <w:r w:rsidRPr="00D72688">
        <w:t xml:space="preserve"> </w:t>
      </w:r>
      <w:proofErr w:type="gramStart"/>
      <w:r w:rsidRPr="00D72688">
        <w:t>European Medicines Agency.</w:t>
      </w:r>
      <w:proofErr w:type="gramEnd"/>
      <w:r w:rsidRPr="00D72688">
        <w:t xml:space="preserve"> </w:t>
      </w:r>
      <w:r w:rsidRPr="00D72688">
        <w:rPr>
          <w:rStyle w:val="Hyperlink"/>
          <w:color w:val="auto"/>
          <w:szCs w:val="18"/>
          <w:u w:val="none"/>
        </w:rPr>
        <w:t>Pharmacokinetic studies in man. 1987.</w:t>
      </w:r>
      <w:r w:rsidRPr="00D72688">
        <w:t xml:space="preserve"> Available from: </w:t>
      </w:r>
      <w:hyperlink r:id="rId1" w:anchor="clinical" w:history="1">
        <w:r w:rsidRPr="00D72688">
          <w:rPr>
            <w:rStyle w:val="Hyperlink"/>
            <w:color w:val="auto"/>
            <w:szCs w:val="18"/>
            <w:u w:val="none"/>
          </w:rPr>
          <w:t>http://www.tga.gov.au/industry/pm-euguidelines-adopted-clinical.htm#clinical</w:t>
        </w:r>
      </w:hyperlink>
    </w:p>
  </w:footnote>
  <w:footnote w:id="2">
    <w:p w:rsidR="00F95AEB" w:rsidRPr="00D72688" w:rsidRDefault="00F95AEB" w:rsidP="00C60B78">
      <w:pPr>
        <w:pStyle w:val="FootnoteText"/>
      </w:pPr>
      <w:r w:rsidRPr="00D72688">
        <w:rPr>
          <w:rStyle w:val="FootnoteReference"/>
          <w:szCs w:val="18"/>
        </w:rPr>
        <w:footnoteRef/>
      </w:r>
      <w:r w:rsidRPr="00D72688">
        <w:t xml:space="preserve"> </w:t>
      </w:r>
      <w:proofErr w:type="gramStart"/>
      <w:r w:rsidRPr="00D72688">
        <w:t>European Medicines Agency.</w:t>
      </w:r>
      <w:proofErr w:type="gramEnd"/>
      <w:r w:rsidRPr="00D72688">
        <w:t xml:space="preserve"> Note for Guidance on the Evaluation of the Pharmacokinetics of Medicinal Products in Patients with Impaired Renal Function (CHMP/EWP/225/02); 2004. Available from: </w:t>
      </w:r>
      <w:hyperlink r:id="rId2" w:anchor="clinical" w:history="1">
        <w:r w:rsidRPr="00D72688">
          <w:rPr>
            <w:rStyle w:val="Hyperlink"/>
            <w:color w:val="auto"/>
            <w:szCs w:val="18"/>
            <w:u w:val="none"/>
          </w:rPr>
          <w:t>http://www.tga.gov.au/industry/pm-euguidelines-adopted-clinical.htm#clinical</w:t>
        </w:r>
      </w:hyperlink>
    </w:p>
  </w:footnote>
  <w:footnote w:id="3">
    <w:p w:rsidR="00F95AEB" w:rsidRPr="00D72688" w:rsidRDefault="00F95AEB" w:rsidP="00C60B78">
      <w:pPr>
        <w:pStyle w:val="FootnoteText"/>
      </w:pPr>
      <w:r w:rsidRPr="00D72688">
        <w:rPr>
          <w:rStyle w:val="FootnoteReference"/>
          <w:szCs w:val="18"/>
        </w:rPr>
        <w:footnoteRef/>
      </w:r>
      <w:r w:rsidRPr="00D72688">
        <w:t xml:space="preserve"> </w:t>
      </w:r>
      <w:proofErr w:type="gramStart"/>
      <w:r w:rsidRPr="00D72688">
        <w:t>European Medicines Agency.</w:t>
      </w:r>
      <w:proofErr w:type="gramEnd"/>
      <w:r w:rsidRPr="00D72688">
        <w:t xml:space="preserve"> </w:t>
      </w:r>
      <w:r w:rsidRPr="00D72688">
        <w:rPr>
          <w:rStyle w:val="Hyperlink"/>
          <w:color w:val="auto"/>
          <w:szCs w:val="18"/>
          <w:u w:val="none"/>
        </w:rPr>
        <w:t>Concept paper on the need for revision of the Note for guidance on the evaluation of the pharmacokinetics of medicinal products in patients with impaired renal function (EMA/CHMP/203926/2012); 2012</w:t>
      </w:r>
      <w:r w:rsidRPr="00D72688">
        <w:t xml:space="preserve"> Available from: </w:t>
      </w:r>
      <w:hyperlink r:id="rId3" w:anchor="clinical" w:history="1">
        <w:r w:rsidRPr="00D72688">
          <w:rPr>
            <w:rStyle w:val="Hyperlink"/>
            <w:color w:val="auto"/>
            <w:szCs w:val="18"/>
            <w:u w:val="none"/>
          </w:rPr>
          <w:t>http://www.tga.gov.au/industry/pm-euguidelines-adopted-clinical.htm#clinical</w:t>
        </w:r>
      </w:hyperlink>
    </w:p>
  </w:footnote>
  <w:footnote w:id="4">
    <w:p w:rsidR="00F95AEB" w:rsidRPr="00D72688" w:rsidRDefault="00F95AEB" w:rsidP="00C60B78">
      <w:pPr>
        <w:pStyle w:val="FootnoteText"/>
      </w:pPr>
      <w:r w:rsidRPr="00D72688">
        <w:rPr>
          <w:rStyle w:val="FootnoteReference"/>
          <w:szCs w:val="18"/>
        </w:rPr>
        <w:footnoteRef/>
      </w:r>
      <w:r w:rsidRPr="00D72688">
        <w:t xml:space="preserve"> </w:t>
      </w:r>
      <w:proofErr w:type="gramStart"/>
      <w:r w:rsidRPr="00D72688">
        <w:t>European Medicines Agency.</w:t>
      </w:r>
      <w:proofErr w:type="gramEnd"/>
      <w:r w:rsidRPr="00D72688">
        <w:t xml:space="preserve"> </w:t>
      </w:r>
      <w:proofErr w:type="gramStart"/>
      <w:r w:rsidRPr="00D72688">
        <w:rPr>
          <w:rStyle w:val="Hyperlink"/>
          <w:color w:val="auto"/>
          <w:szCs w:val="18"/>
          <w:u w:val="none"/>
        </w:rPr>
        <w:t>Guideline on the evaluation of the pharmacokinetics of medicinal products in patients with impaired hepatic function</w:t>
      </w:r>
      <w:r w:rsidRPr="00D72688">
        <w:rPr>
          <w:rFonts w:eastAsia="PMingLiU"/>
          <w:lang w:val="en-US"/>
        </w:rPr>
        <w:t xml:space="preserve"> (</w:t>
      </w:r>
      <w:r w:rsidRPr="00D72688">
        <w:rPr>
          <w:lang w:val="en-US"/>
        </w:rPr>
        <w:t>CPMP/EWP/2339/02)</w:t>
      </w:r>
      <w:r w:rsidRPr="00D72688">
        <w:rPr>
          <w:rStyle w:val="Hyperlink"/>
          <w:color w:val="auto"/>
          <w:szCs w:val="18"/>
          <w:u w:val="none"/>
        </w:rPr>
        <w:t>.</w:t>
      </w:r>
      <w:proofErr w:type="gramEnd"/>
      <w:r w:rsidRPr="00D72688">
        <w:rPr>
          <w:rStyle w:val="Hyperlink"/>
          <w:color w:val="auto"/>
          <w:szCs w:val="18"/>
          <w:u w:val="none"/>
        </w:rPr>
        <w:t xml:space="preserve"> 2005.</w:t>
      </w:r>
      <w:r w:rsidRPr="00D72688">
        <w:t xml:space="preserve"> Available from: </w:t>
      </w:r>
      <w:hyperlink r:id="rId4" w:anchor="clinical" w:history="1">
        <w:r w:rsidRPr="00D72688">
          <w:rPr>
            <w:rStyle w:val="Hyperlink"/>
            <w:color w:val="auto"/>
            <w:szCs w:val="18"/>
            <w:u w:val="none"/>
          </w:rPr>
          <w:t>http://www.tga.gov.au/industry/pm-euguidelines-adopted-clinical.htm#clinical</w:t>
        </w:r>
      </w:hyperlink>
    </w:p>
  </w:footnote>
  <w:footnote w:id="5">
    <w:p w:rsidR="00F95AEB" w:rsidRPr="00D72688" w:rsidRDefault="00F95AEB" w:rsidP="00D72688">
      <w:pPr>
        <w:tabs>
          <w:tab w:val="left" w:pos="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18"/>
          <w:szCs w:val="18"/>
        </w:rPr>
      </w:pPr>
      <w:r w:rsidRPr="00D72688">
        <w:rPr>
          <w:rStyle w:val="FootnoteReference"/>
          <w:sz w:val="18"/>
          <w:szCs w:val="18"/>
        </w:rPr>
        <w:footnoteRef/>
      </w:r>
      <w:r w:rsidRPr="00D72688">
        <w:rPr>
          <w:sz w:val="18"/>
          <w:szCs w:val="18"/>
        </w:rPr>
        <w:t xml:space="preserve"> </w:t>
      </w:r>
      <w:proofErr w:type="gramStart"/>
      <w:r w:rsidRPr="00D72688">
        <w:rPr>
          <w:sz w:val="18"/>
          <w:szCs w:val="18"/>
        </w:rPr>
        <w:t>European Medicines Agency.</w:t>
      </w:r>
      <w:proofErr w:type="gramEnd"/>
      <w:r w:rsidRPr="00D72688">
        <w:rPr>
          <w:rStyle w:val="Hyperlink"/>
          <w:color w:val="auto"/>
          <w:sz w:val="18"/>
          <w:szCs w:val="18"/>
          <w:u w:val="none"/>
        </w:rPr>
        <w:t xml:space="preserve"> </w:t>
      </w:r>
      <w:proofErr w:type="gramStart"/>
      <w:r w:rsidRPr="00D72688">
        <w:rPr>
          <w:rStyle w:val="Hyperlink"/>
          <w:color w:val="auto"/>
          <w:sz w:val="18"/>
          <w:szCs w:val="18"/>
          <w:u w:val="none"/>
        </w:rPr>
        <w:t>Guideline on the Investigation of Drug Interactions (CPMP/EWP/560/95/Rev. 1 Corr.)</w:t>
      </w:r>
      <w:proofErr w:type="gramEnd"/>
      <w:r w:rsidRPr="00D72688">
        <w:rPr>
          <w:rStyle w:val="Hyperlink"/>
          <w:color w:val="auto"/>
          <w:sz w:val="18"/>
          <w:szCs w:val="18"/>
          <w:u w:val="none"/>
        </w:rPr>
        <w:t xml:space="preserve"> 2012.</w:t>
      </w:r>
      <w:r w:rsidRPr="00D72688">
        <w:rPr>
          <w:sz w:val="18"/>
          <w:szCs w:val="18"/>
        </w:rPr>
        <w:t xml:space="preserve"> Available from: </w:t>
      </w:r>
      <w:hyperlink r:id="rId5" w:anchor="clinical" w:history="1">
        <w:r w:rsidRPr="00D72688">
          <w:rPr>
            <w:rStyle w:val="Hyperlink"/>
            <w:color w:val="auto"/>
            <w:sz w:val="18"/>
            <w:szCs w:val="18"/>
            <w:u w:val="none"/>
          </w:rPr>
          <w:t>http://www.tga.gov.au/industry/pm-euguidelines-adopted-clinical.htm#clinical</w:t>
        </w:r>
      </w:hyperlink>
    </w:p>
  </w:footnote>
  <w:footnote w:id="6">
    <w:p w:rsidR="00F95AEB" w:rsidRPr="00D72688" w:rsidRDefault="00F95AEB" w:rsidP="00C60B78">
      <w:pPr>
        <w:pStyle w:val="FootnoteText"/>
      </w:pPr>
      <w:r w:rsidRPr="00D72688">
        <w:rPr>
          <w:rStyle w:val="FootnoteReference"/>
          <w:szCs w:val="18"/>
        </w:rPr>
        <w:footnoteRef/>
      </w:r>
      <w:r w:rsidRPr="00D72688">
        <w:t xml:space="preserve"> </w:t>
      </w:r>
      <w:proofErr w:type="gramStart"/>
      <w:r w:rsidRPr="00D72688">
        <w:t>European Medicines Agency.</w:t>
      </w:r>
      <w:proofErr w:type="gramEnd"/>
      <w:r w:rsidRPr="00D72688">
        <w:t xml:space="preserve"> </w:t>
      </w:r>
      <w:r w:rsidRPr="00D72688">
        <w:rPr>
          <w:lang w:val="en-US"/>
        </w:rPr>
        <w:t>Note for Guidance on Clinical Evaluation of QT/</w:t>
      </w:r>
      <w:proofErr w:type="spellStart"/>
      <w:r w:rsidRPr="00D72688">
        <w:rPr>
          <w:lang w:val="en-US"/>
        </w:rPr>
        <w:t>QTc</w:t>
      </w:r>
      <w:proofErr w:type="spellEnd"/>
      <w:r w:rsidRPr="00D72688">
        <w:rPr>
          <w:lang w:val="en-US"/>
        </w:rPr>
        <w:t xml:space="preserve"> Interval Prolongation and </w:t>
      </w:r>
      <w:proofErr w:type="spellStart"/>
      <w:r w:rsidRPr="00D72688">
        <w:rPr>
          <w:lang w:val="en-US"/>
        </w:rPr>
        <w:t>Proarrhythmic</w:t>
      </w:r>
      <w:proofErr w:type="spellEnd"/>
      <w:r w:rsidRPr="00D72688">
        <w:rPr>
          <w:lang w:val="en-US"/>
        </w:rPr>
        <w:t xml:space="preserve"> Potential for Non-Antiarrhythmic Drugs (</w:t>
      </w:r>
      <w:r w:rsidRPr="00D72688">
        <w:t>CHMP/ICH/2/04</w:t>
      </w:r>
      <w:r w:rsidRPr="00D72688">
        <w:rPr>
          <w:lang w:val="en-US"/>
        </w:rPr>
        <w:t>)</w:t>
      </w:r>
      <w:r w:rsidRPr="00D72688">
        <w:t xml:space="preserve">; 2005. Available from: </w:t>
      </w:r>
      <w:hyperlink r:id="rId6" w:anchor="clinical" w:history="1">
        <w:r w:rsidRPr="00D72688">
          <w:rPr>
            <w:rStyle w:val="Hyperlink"/>
            <w:color w:val="auto"/>
            <w:szCs w:val="18"/>
            <w:u w:val="none"/>
          </w:rPr>
          <w:t>http://www.tga.gov.au/industry/pm-euguidelines-adopted-clinical.htm#clinical</w:t>
        </w:r>
      </w:hyperlink>
    </w:p>
  </w:footnote>
  <w:footnote w:id="7">
    <w:p w:rsidR="00F95AEB" w:rsidRPr="00D72688" w:rsidRDefault="00F95AEB" w:rsidP="00C60B78">
      <w:pPr>
        <w:pStyle w:val="FootnoteText"/>
      </w:pPr>
      <w:r w:rsidRPr="00D72688">
        <w:rPr>
          <w:rStyle w:val="FootnoteReference"/>
          <w:szCs w:val="18"/>
        </w:rPr>
        <w:footnoteRef/>
      </w:r>
      <w:r w:rsidRPr="00D72688">
        <w:t xml:space="preserve"> </w:t>
      </w:r>
      <w:proofErr w:type="gramStart"/>
      <w:r w:rsidRPr="00D72688">
        <w:t>European Medicines Agency.</w:t>
      </w:r>
      <w:proofErr w:type="gramEnd"/>
      <w:r w:rsidRPr="00D72688">
        <w:rPr>
          <w:rStyle w:val="Hyperlink"/>
          <w:color w:val="auto"/>
          <w:szCs w:val="18"/>
          <w:u w:val="none"/>
        </w:rPr>
        <w:t xml:space="preserve"> Guideline on the clinical evaluation of direct acting antiviral agents intended for treatment of chronic hepatitis C (EMEA/CHMP/EWP/30039/2008). </w:t>
      </w:r>
      <w:r w:rsidRPr="00D72688">
        <w:t xml:space="preserve">Available from: </w:t>
      </w:r>
      <w:hyperlink r:id="rId7" w:anchor="clinical" w:history="1">
        <w:r w:rsidRPr="00D72688">
          <w:rPr>
            <w:rStyle w:val="Hyperlink"/>
            <w:color w:val="auto"/>
            <w:szCs w:val="18"/>
            <w:u w:val="none"/>
          </w:rPr>
          <w:t>http://www.tga.gov.au/industry/pm-euguidelines-adopted-clinical.htm#clinical</w:t>
        </w:r>
      </w:hyperlink>
    </w:p>
  </w:footnote>
  <w:footnote w:id="8">
    <w:p w:rsidR="00F95AEB" w:rsidRPr="00D72688" w:rsidRDefault="00F95AEB" w:rsidP="00D72688">
      <w:pPr>
        <w:pStyle w:val="Default"/>
        <w:rPr>
          <w:rFonts w:ascii="Cambria" w:hAnsi="Cambria"/>
          <w:color w:val="auto"/>
          <w:sz w:val="18"/>
          <w:szCs w:val="18"/>
        </w:rPr>
      </w:pPr>
      <w:r w:rsidRPr="00D72688">
        <w:rPr>
          <w:rStyle w:val="FootnoteReference"/>
          <w:rFonts w:ascii="Cambria" w:hAnsi="Cambria"/>
          <w:color w:val="auto"/>
          <w:sz w:val="18"/>
          <w:szCs w:val="18"/>
        </w:rPr>
        <w:footnoteRef/>
      </w:r>
      <w:r w:rsidRPr="00D72688">
        <w:rPr>
          <w:rFonts w:ascii="Cambria" w:hAnsi="Cambria"/>
          <w:color w:val="auto"/>
          <w:sz w:val="18"/>
          <w:szCs w:val="18"/>
        </w:rPr>
        <w:t xml:space="preserve"> </w:t>
      </w:r>
      <w:proofErr w:type="gramStart"/>
      <w:r w:rsidRPr="00D72688">
        <w:rPr>
          <w:rFonts w:ascii="Cambria" w:hAnsi="Cambria"/>
          <w:color w:val="auto"/>
          <w:sz w:val="18"/>
          <w:szCs w:val="18"/>
        </w:rPr>
        <w:t>United States Food and Drug Administration.</w:t>
      </w:r>
      <w:proofErr w:type="gramEnd"/>
      <w:r w:rsidRPr="00D72688">
        <w:rPr>
          <w:rFonts w:ascii="Cambria" w:hAnsi="Cambria"/>
          <w:color w:val="auto"/>
          <w:sz w:val="18"/>
          <w:szCs w:val="18"/>
        </w:rPr>
        <w:t xml:space="preserve"> </w:t>
      </w:r>
      <w:r w:rsidRPr="00D72688">
        <w:rPr>
          <w:rFonts w:ascii="Cambria" w:hAnsi="Cambria"/>
          <w:bCs/>
          <w:color w:val="auto"/>
          <w:sz w:val="18"/>
          <w:szCs w:val="18"/>
        </w:rPr>
        <w:t xml:space="preserve">Guidance for Industry Chronic Hepatitis C Virus Infection: Developing Direct-Acting Antiviral Drugs for Treatment. </w:t>
      </w:r>
      <w:proofErr w:type="gramStart"/>
      <w:r w:rsidRPr="00D72688">
        <w:rPr>
          <w:rFonts w:ascii="Cambria" w:hAnsi="Cambria"/>
          <w:bCs/>
          <w:color w:val="auto"/>
          <w:sz w:val="18"/>
          <w:szCs w:val="18"/>
        </w:rPr>
        <w:t>Draft October 2013.</w:t>
      </w:r>
      <w:proofErr w:type="gramEnd"/>
      <w:r w:rsidRPr="00D72688">
        <w:rPr>
          <w:rFonts w:ascii="Cambria" w:hAnsi="Cambria"/>
          <w:bCs/>
          <w:color w:val="auto"/>
          <w:sz w:val="18"/>
          <w:szCs w:val="18"/>
        </w:rPr>
        <w:t xml:space="preserve"> Available from: http://www.fda.gov/downloads/drugs/guidancecomplianceregulatoryinformation/guidances/ucm225333.pdf</w:t>
      </w:r>
    </w:p>
  </w:footnote>
  <w:footnote w:id="9">
    <w:p w:rsidR="00F95AEB" w:rsidRPr="00B70E14" w:rsidRDefault="00F95AEB" w:rsidP="00C60B78">
      <w:pPr>
        <w:pStyle w:val="FootnoteText"/>
        <w:rPr>
          <w:lang w:val="en"/>
        </w:rPr>
      </w:pPr>
      <w:r>
        <w:rPr>
          <w:rStyle w:val="FootnoteReference"/>
        </w:rPr>
        <w:footnoteRef/>
      </w:r>
      <w:r>
        <w:t xml:space="preserve"> </w:t>
      </w:r>
      <w:r w:rsidRPr="00B70E14">
        <w:rPr>
          <w:lang w:val="en"/>
        </w:rPr>
        <w:t>Biopharmaceutics Classification System (BCS): According to the BCS, drug substances are classified as follows:</w:t>
      </w:r>
      <w:r>
        <w:rPr>
          <w:lang w:val="en"/>
        </w:rPr>
        <w:t xml:space="preserve"> </w:t>
      </w:r>
      <w:r w:rsidRPr="00B70E14">
        <w:rPr>
          <w:lang w:val="en"/>
        </w:rPr>
        <w:t xml:space="preserve">Class </w:t>
      </w:r>
      <w:proofErr w:type="gramStart"/>
      <w:r w:rsidRPr="00B70E14">
        <w:rPr>
          <w:lang w:val="en"/>
        </w:rPr>
        <w:t>I</w:t>
      </w:r>
      <w:proofErr w:type="gramEnd"/>
      <w:r w:rsidRPr="00B70E14">
        <w:rPr>
          <w:lang w:val="en"/>
        </w:rPr>
        <w:t xml:space="preserve"> - High Permeability, High Solubility</w:t>
      </w:r>
      <w:r>
        <w:rPr>
          <w:lang w:val="en"/>
        </w:rPr>
        <w:t xml:space="preserve">; </w:t>
      </w:r>
      <w:r w:rsidRPr="00B70E14">
        <w:rPr>
          <w:lang w:val="en"/>
        </w:rPr>
        <w:t>Class II - High Permeability, Low Solubility</w:t>
      </w:r>
      <w:r>
        <w:rPr>
          <w:lang w:val="en"/>
        </w:rPr>
        <w:t xml:space="preserve">; </w:t>
      </w:r>
      <w:r w:rsidRPr="00B70E14">
        <w:rPr>
          <w:lang w:val="en"/>
        </w:rPr>
        <w:t>Class III - Low Permeability, High Solubility</w:t>
      </w:r>
      <w:r>
        <w:rPr>
          <w:lang w:val="en"/>
        </w:rPr>
        <w:t xml:space="preserve">; </w:t>
      </w:r>
      <w:r w:rsidRPr="00B70E14">
        <w:rPr>
          <w:lang w:val="en"/>
        </w:rPr>
        <w:t>Class IV - Low Permeability, Low Solubility</w:t>
      </w:r>
      <w:r>
        <w:rPr>
          <w:lang w:val="en"/>
        </w:rPr>
        <w:t>.</w:t>
      </w:r>
    </w:p>
  </w:footnote>
  <w:footnote w:id="10">
    <w:p w:rsidR="00F95AEB" w:rsidRDefault="00F95AEB" w:rsidP="00D75578">
      <w:pPr>
        <w:pStyle w:val="FootnoteText"/>
        <w:rPr>
          <w:rFonts w:eastAsia="Times New Roman"/>
          <w:sz w:val="19"/>
        </w:rPr>
      </w:pPr>
      <w:r>
        <w:rPr>
          <w:rStyle w:val="FootnoteReference"/>
        </w:rPr>
        <w:footnoteRef/>
      </w:r>
      <w:r>
        <w:t xml:space="preserve"> Approximately 210 000 people are estimated to be living with HCV infection in Australia (Dore et al., 2003).</w:t>
      </w:r>
    </w:p>
  </w:footnote>
  <w:footnote w:id="11">
    <w:p w:rsidR="00F95AEB" w:rsidRDefault="00F95AEB" w:rsidP="00D75578">
      <w:pPr>
        <w:pStyle w:val="FootnoteText"/>
      </w:pPr>
      <w:r>
        <w:rPr>
          <w:rStyle w:val="FootnoteReference"/>
        </w:rPr>
        <w:footnoteRef/>
      </w:r>
      <w:r>
        <w:t xml:space="preserve"> Dore GJ, Law M., </w:t>
      </w:r>
      <w:proofErr w:type="spellStart"/>
      <w:r>
        <w:t>MacDondald</w:t>
      </w:r>
      <w:proofErr w:type="spellEnd"/>
      <w:r>
        <w:t xml:space="preserve"> M., </w:t>
      </w:r>
      <w:proofErr w:type="spellStart"/>
      <w:r>
        <w:t>Kaldor</w:t>
      </w:r>
      <w:proofErr w:type="spellEnd"/>
      <w:r>
        <w:t xml:space="preserve"> JM. </w:t>
      </w:r>
      <w:proofErr w:type="gramStart"/>
      <w:r>
        <w:t>Epidemiology of hepatitis C virus infection in Australia.</w:t>
      </w:r>
      <w:proofErr w:type="gramEnd"/>
      <w:r>
        <w:t xml:space="preserve"> </w:t>
      </w:r>
      <w:proofErr w:type="gramStart"/>
      <w:r>
        <w:t>Journal of Clinical Virology 26 (2003) 171-/184.</w:t>
      </w:r>
      <w:proofErr w:type="gramEnd"/>
    </w:p>
  </w:footnote>
  <w:footnote w:id="12">
    <w:p w:rsidR="00F95AEB" w:rsidRDefault="00F95AEB" w:rsidP="00D75578">
      <w:pPr>
        <w:pStyle w:val="FootnoteText"/>
      </w:pPr>
      <w:r>
        <w:rPr>
          <w:rStyle w:val="FootnoteReference"/>
        </w:rPr>
        <w:footnoteRef/>
      </w:r>
      <w:r>
        <w:t xml:space="preserve"> FDA Draft Guidance for Industry: Chronic Hepatitis C Virus Infection: Developing Direct-Acting Antiviral Drugs for Treatment. October 2013.</w:t>
      </w:r>
    </w:p>
  </w:footnote>
  <w:footnote w:id="13">
    <w:p w:rsidR="00F95AEB" w:rsidRDefault="00F95AEB">
      <w:pPr>
        <w:pStyle w:val="FootnoteText"/>
      </w:pPr>
      <w:r>
        <w:rPr>
          <w:rStyle w:val="FootnoteReference"/>
        </w:rPr>
        <w:footnoteRef/>
      </w:r>
      <w:r>
        <w:t xml:space="preserve"> </w:t>
      </w:r>
      <w:proofErr w:type="spellStart"/>
      <w:proofErr w:type="gramStart"/>
      <w:r>
        <w:t>Susser</w:t>
      </w:r>
      <w:proofErr w:type="spellEnd"/>
      <w:r>
        <w:t xml:space="preserve">, S, B. </w:t>
      </w:r>
      <w:r>
        <w:rPr>
          <w:i/>
        </w:rPr>
        <w:t>et al.</w:t>
      </w:r>
      <w:r>
        <w:t xml:space="preserve"> (2009) Characterization of resistance to the protease inhibitor </w:t>
      </w:r>
      <w:proofErr w:type="spellStart"/>
      <w:r>
        <w:t>boceprevir</w:t>
      </w:r>
      <w:proofErr w:type="spellEnd"/>
      <w:r>
        <w:t xml:space="preserve"> in hepatitis C virus–infected patients.</w:t>
      </w:r>
      <w:proofErr w:type="gramEnd"/>
      <w:r>
        <w:t xml:space="preserve"> </w:t>
      </w:r>
      <w:proofErr w:type="spellStart"/>
      <w:proofErr w:type="gramStart"/>
      <w:r>
        <w:rPr>
          <w:i/>
        </w:rPr>
        <w:t>Hepatology</w:t>
      </w:r>
      <w:proofErr w:type="spellEnd"/>
      <w:r>
        <w:rPr>
          <w:i/>
        </w:rPr>
        <w:t>.</w:t>
      </w:r>
      <w:proofErr w:type="gramEnd"/>
      <w:r>
        <w:t xml:space="preserve"> </w:t>
      </w:r>
      <w:r>
        <w:rPr>
          <w:b/>
        </w:rPr>
        <w:t>50:</w:t>
      </w:r>
      <w:r>
        <w:t xml:space="preserve"> 1709-1718.</w:t>
      </w:r>
    </w:p>
  </w:footnote>
  <w:footnote w:id="14">
    <w:p w:rsidR="00F95AEB" w:rsidRDefault="00F95AEB" w:rsidP="00737073">
      <w:pPr>
        <w:pStyle w:val="FootnoteText"/>
      </w:pPr>
      <w:r>
        <w:rPr>
          <w:rStyle w:val="FootnoteReference"/>
        </w:rPr>
        <w:footnoteRef/>
      </w:r>
      <w:r>
        <w:t xml:space="preserve"> </w:t>
      </w:r>
      <w:r w:rsidRPr="001C6E21">
        <w:t>ICH M3(R2): Note for guidance on non-clinical safety studies for the conduct of human clinical trials and marketing authorisation for pharmaceuticals</w:t>
      </w:r>
    </w:p>
  </w:footnote>
  <w:footnote w:id="15">
    <w:p w:rsidR="00F95AEB" w:rsidRDefault="00F95AEB">
      <w:pPr>
        <w:pStyle w:val="FootnoteText"/>
      </w:pPr>
      <w:r>
        <w:rPr>
          <w:rStyle w:val="FootnoteReference"/>
        </w:rPr>
        <w:footnoteRef/>
      </w:r>
      <w:r>
        <w:t xml:space="preserve"> </w:t>
      </w:r>
      <w:r w:rsidRPr="00736B20">
        <w:t>ICH</w:t>
      </w:r>
      <w:r>
        <w:t xml:space="preserve"> </w:t>
      </w:r>
      <w:proofErr w:type="gramStart"/>
      <w:r w:rsidRPr="00736B20">
        <w:t>S</w:t>
      </w:r>
      <w:r>
        <w:t>2</w:t>
      </w:r>
      <w:r w:rsidRPr="00736B20">
        <w:t>(</w:t>
      </w:r>
      <w:proofErr w:type="gramEnd"/>
      <w:r w:rsidRPr="00736B20">
        <w:t xml:space="preserve">R1): Guidance on </w:t>
      </w:r>
      <w:proofErr w:type="spellStart"/>
      <w:r w:rsidRPr="00736B20">
        <w:t>genotoxicity</w:t>
      </w:r>
      <w:proofErr w:type="spellEnd"/>
      <w:r w:rsidRPr="00736B20">
        <w:t xml:space="preserve"> testing and data interpretation for pharmaceuticals intended for human use</w:t>
      </w:r>
      <w:r>
        <w:t>.</w:t>
      </w:r>
    </w:p>
  </w:footnote>
  <w:footnote w:id="16">
    <w:p w:rsidR="00F95AEB" w:rsidRDefault="00F95AEB">
      <w:pPr>
        <w:pStyle w:val="FootnoteText"/>
      </w:pPr>
      <w:r>
        <w:rPr>
          <w:rStyle w:val="FootnoteReference"/>
        </w:rPr>
        <w:footnoteRef/>
      </w:r>
      <w:r>
        <w:t xml:space="preserve"> </w:t>
      </w:r>
      <w:r w:rsidRPr="00267D80">
        <w:t>ICH S1A: Guideline on the need for carcinogenicity studies of pharmaceuticals</w:t>
      </w:r>
      <w:r>
        <w:t>.</w:t>
      </w:r>
    </w:p>
  </w:footnote>
  <w:footnote w:id="17">
    <w:p w:rsidR="00F95AEB" w:rsidRPr="000F1CA4" w:rsidRDefault="00F95AEB" w:rsidP="00F95AEB">
      <w:pPr>
        <w:pStyle w:val="FootnoteText"/>
      </w:pPr>
      <w:r w:rsidRPr="000F1CA4">
        <w:rPr>
          <w:rStyle w:val="FootnoteReference"/>
        </w:rPr>
        <w:footnoteRef/>
      </w:r>
      <w:r w:rsidRPr="000F1CA4">
        <w:t>The F1 generation is the first generation of offspring produced by a set of parents. The 'F' in 'F1' stands for 'filial.</w:t>
      </w:r>
    </w:p>
  </w:footnote>
  <w:footnote w:id="18">
    <w:p w:rsidR="00F95AEB" w:rsidRPr="00511E8B" w:rsidRDefault="00F95AEB" w:rsidP="00F95AEB">
      <w:pPr>
        <w:pStyle w:val="FootnoteText"/>
        <w:rPr>
          <w:lang w:val="en"/>
        </w:rPr>
      </w:pPr>
      <w:r w:rsidRPr="00B70E14">
        <w:rPr>
          <w:rStyle w:val="FootnoteReference"/>
          <w:b/>
        </w:rPr>
        <w:footnoteRef/>
      </w:r>
      <w:r w:rsidRPr="00B70E14">
        <w:t xml:space="preserve"> </w:t>
      </w:r>
      <w:r w:rsidRPr="00B70E14">
        <w:rPr>
          <w:lang w:val="en"/>
        </w:rPr>
        <w:t>Category B1</w:t>
      </w:r>
      <w:r>
        <w:rPr>
          <w:lang w:val="en"/>
        </w:rPr>
        <w:t xml:space="preserve">: </w:t>
      </w:r>
      <w:r w:rsidRPr="00511E8B">
        <w:rPr>
          <w:lang w:val="en"/>
        </w:rPr>
        <w:t>Drugs which have been taken by only a limited number of pregnant women and women of childbearing age, without an increase in the frequency of malformation or other direct or indirect harmful effects on the human fetus having been observed.</w:t>
      </w:r>
    </w:p>
    <w:p w:rsidR="00F95AEB" w:rsidRPr="00B70E14" w:rsidRDefault="00F95AEB" w:rsidP="00B70E14">
      <w:pPr>
        <w:spacing w:before="0" w:after="0"/>
        <w:rPr>
          <w:sz w:val="18"/>
          <w:szCs w:val="18"/>
          <w:lang w:val="en"/>
        </w:rPr>
      </w:pPr>
      <w:r w:rsidRPr="00B70E14">
        <w:rPr>
          <w:sz w:val="18"/>
          <w:szCs w:val="18"/>
          <w:lang w:val="en"/>
        </w:rPr>
        <w:t>Studies in animals have not shown evidence of an increased occurrence of fetal damage.</w:t>
      </w:r>
    </w:p>
  </w:footnote>
  <w:footnote w:id="19">
    <w:p w:rsidR="00F95AEB" w:rsidRPr="00511E8B" w:rsidRDefault="00F95AEB" w:rsidP="00F95AEB">
      <w:pPr>
        <w:pStyle w:val="FootnoteText"/>
        <w:rPr>
          <w:lang w:val="en"/>
        </w:rPr>
      </w:pPr>
      <w:r w:rsidRPr="00B70E14">
        <w:rPr>
          <w:rStyle w:val="FootnoteReference"/>
          <w:b/>
        </w:rPr>
        <w:footnoteRef/>
      </w:r>
      <w:r w:rsidRPr="00B70E14">
        <w:t xml:space="preserve"> </w:t>
      </w:r>
      <w:r w:rsidRPr="00B70E14">
        <w:rPr>
          <w:lang w:val="en"/>
        </w:rPr>
        <w:t>Category B3</w:t>
      </w:r>
      <w:r>
        <w:rPr>
          <w:lang w:val="en"/>
        </w:rPr>
        <w:t xml:space="preserve">: </w:t>
      </w:r>
      <w:r w:rsidRPr="00511E8B">
        <w:rPr>
          <w:lang w:val="en"/>
        </w:rPr>
        <w:t>Drugs which have been taken by only a limited number of pregnant women and women of childbearing age, without an increase in the frequency of malformation or other direct or indirect harmful effects on the human fetus having been observed.</w:t>
      </w:r>
    </w:p>
    <w:p w:rsidR="00F95AEB" w:rsidRPr="00B70E14" w:rsidRDefault="00F95AEB" w:rsidP="00F95AEB">
      <w:pPr>
        <w:pStyle w:val="FootnoteText"/>
        <w:rPr>
          <w:lang w:val="en"/>
        </w:rPr>
      </w:pPr>
      <w:r w:rsidRPr="00B70E14">
        <w:rPr>
          <w:lang w:val="en"/>
        </w:rPr>
        <w:t>Studies in animals have shown evidence of an increased occurrence of fetal damage, the significance of which is considered uncertain in humans.</w:t>
      </w:r>
    </w:p>
  </w:footnote>
  <w:footnote w:id="20">
    <w:p w:rsidR="00F95AEB" w:rsidRPr="00511E8B" w:rsidRDefault="00F95AEB" w:rsidP="00F95AEB">
      <w:pPr>
        <w:pStyle w:val="FootnoteText"/>
        <w:rPr>
          <w:lang w:val="en"/>
        </w:rPr>
      </w:pPr>
      <w:r w:rsidRPr="00B70E14">
        <w:rPr>
          <w:rStyle w:val="FootnoteReference"/>
          <w:b/>
          <w:szCs w:val="18"/>
        </w:rPr>
        <w:footnoteRef/>
      </w:r>
      <w:r w:rsidRPr="00B70E14">
        <w:t xml:space="preserve"> </w:t>
      </w:r>
      <w:r w:rsidRPr="00B70E14">
        <w:rPr>
          <w:lang w:val="en"/>
        </w:rPr>
        <w:t>Category X</w:t>
      </w:r>
      <w:r>
        <w:rPr>
          <w:lang w:val="en"/>
        </w:rPr>
        <w:t xml:space="preserve">: </w:t>
      </w:r>
      <w:r w:rsidRPr="00511E8B">
        <w:rPr>
          <w:lang w:val="en"/>
        </w:rPr>
        <w:t>Drugs which have such a high risk of causing permanent damage to the fetus that they should not be used in pregnancy or when there is a possibility of pregnancy.</w:t>
      </w:r>
    </w:p>
  </w:footnote>
  <w:footnote w:id="21">
    <w:p w:rsidR="00F95AEB" w:rsidRPr="00D72688" w:rsidRDefault="00F95AEB" w:rsidP="00F95AEB">
      <w:pPr>
        <w:pStyle w:val="FootnoteText"/>
      </w:pPr>
      <w:r w:rsidRPr="00D72688">
        <w:rPr>
          <w:rStyle w:val="FootnoteReference"/>
          <w:szCs w:val="18"/>
        </w:rPr>
        <w:footnoteRef/>
      </w:r>
      <w:r w:rsidRPr="00D72688">
        <w:t xml:space="preserve"> Dore G.J., Law M., MacDonald M. et al.  </w:t>
      </w:r>
      <w:proofErr w:type="gramStart"/>
      <w:r w:rsidRPr="00D72688">
        <w:t>Epidemiology of Hepatitis C virus infection in Australia.</w:t>
      </w:r>
      <w:proofErr w:type="gramEnd"/>
      <w:r w:rsidRPr="00D72688">
        <w:t xml:space="preserve"> </w:t>
      </w:r>
      <w:r w:rsidRPr="00D72688">
        <w:rPr>
          <w:rStyle w:val="Emphasis"/>
          <w:b w:val="0"/>
          <w:i/>
          <w:szCs w:val="18"/>
        </w:rPr>
        <w:t>Journal of Clinical Virology</w:t>
      </w:r>
      <w:r w:rsidRPr="00D72688">
        <w:rPr>
          <w:b/>
        </w:rPr>
        <w:t xml:space="preserve"> </w:t>
      </w:r>
      <w:r w:rsidRPr="00D72688">
        <w:t>2003; 26(2):171-84.</w:t>
      </w:r>
    </w:p>
  </w:footnote>
  <w:footnote w:id="22">
    <w:p w:rsidR="00F95AEB" w:rsidRPr="00D72688" w:rsidRDefault="00F95AEB" w:rsidP="00F95AEB">
      <w:pPr>
        <w:pStyle w:val="FootnoteText"/>
      </w:pPr>
      <w:r w:rsidRPr="00D72688">
        <w:rPr>
          <w:rStyle w:val="FootnoteReference"/>
          <w:szCs w:val="18"/>
        </w:rPr>
        <w:footnoteRef/>
      </w:r>
      <w:r w:rsidRPr="00D72688">
        <w:t xml:space="preserve"> </w:t>
      </w:r>
      <w:proofErr w:type="spellStart"/>
      <w:r w:rsidRPr="00D72688">
        <w:t>Kaba</w:t>
      </w:r>
      <w:proofErr w:type="spellEnd"/>
      <w:r w:rsidRPr="00D72688">
        <w:t xml:space="preserve"> S., Dutta U, </w:t>
      </w:r>
      <w:proofErr w:type="spellStart"/>
      <w:r w:rsidRPr="00D72688">
        <w:t>Byth</w:t>
      </w:r>
      <w:proofErr w:type="spellEnd"/>
      <w:r w:rsidRPr="00D72688">
        <w:t xml:space="preserve"> K., Crewe E. B., Khan M, H., Coverdale S. A., Lin R., </w:t>
      </w:r>
      <w:proofErr w:type="spellStart"/>
      <w:r w:rsidRPr="00D72688">
        <w:t>Liddle</w:t>
      </w:r>
      <w:proofErr w:type="spellEnd"/>
      <w:r w:rsidRPr="00D72688">
        <w:t xml:space="preserve"> C., and Farrell C. Molecular Epidemiology of Hepatitis C in Australia. Journal of </w:t>
      </w:r>
      <w:proofErr w:type="spellStart"/>
      <w:r w:rsidRPr="00D72688">
        <w:t>Gastroepidemiology</w:t>
      </w:r>
      <w:proofErr w:type="spellEnd"/>
      <w:r w:rsidRPr="00D72688">
        <w:t xml:space="preserve"> and </w:t>
      </w:r>
      <w:proofErr w:type="spellStart"/>
      <w:r w:rsidRPr="00D72688">
        <w:t>Hepatology</w:t>
      </w:r>
      <w:proofErr w:type="spellEnd"/>
      <w:r w:rsidRPr="00D72688">
        <w:t xml:space="preserve"> 1998; 13: 914-920</w:t>
      </w:r>
    </w:p>
  </w:footnote>
  <w:footnote w:id="23">
    <w:p w:rsidR="00F95AEB" w:rsidRPr="00D72688" w:rsidRDefault="00F95AEB" w:rsidP="00F95AEB">
      <w:pPr>
        <w:pStyle w:val="FootnoteText"/>
      </w:pPr>
      <w:r w:rsidRPr="00D72688">
        <w:rPr>
          <w:rStyle w:val="FootnoteReference"/>
          <w:szCs w:val="18"/>
        </w:rPr>
        <w:footnoteRef/>
      </w:r>
      <w:r w:rsidRPr="00D72688">
        <w:t xml:space="preserve"> </w:t>
      </w:r>
      <w:r w:rsidRPr="00D72688">
        <w:rPr>
          <w:rStyle w:val="Hyperlink"/>
          <w:color w:val="auto"/>
          <w:szCs w:val="18"/>
          <w:u w:val="none"/>
        </w:rPr>
        <w:t xml:space="preserve">Chan J. Hepatitis C. </w:t>
      </w:r>
      <w:r w:rsidRPr="00D72688">
        <w:rPr>
          <w:rStyle w:val="Hyperlink"/>
          <w:i/>
          <w:color w:val="auto"/>
          <w:szCs w:val="18"/>
          <w:u w:val="none"/>
        </w:rPr>
        <w:t>Disease-a-Month</w:t>
      </w:r>
      <w:r w:rsidRPr="00D72688">
        <w:rPr>
          <w:rStyle w:val="Hyperlink"/>
          <w:color w:val="auto"/>
          <w:szCs w:val="18"/>
          <w:u w:val="none"/>
        </w:rPr>
        <w:t>; 2014; 60: 201-212.</w:t>
      </w:r>
    </w:p>
  </w:footnote>
  <w:footnote w:id="24">
    <w:p w:rsidR="00F95AEB" w:rsidRPr="00D72688" w:rsidRDefault="00F95AEB" w:rsidP="00F95AEB">
      <w:pPr>
        <w:pStyle w:val="FootnoteText"/>
      </w:pPr>
      <w:r w:rsidRPr="00D72688">
        <w:rPr>
          <w:rStyle w:val="FootnoteReference"/>
          <w:szCs w:val="18"/>
        </w:rPr>
        <w:footnoteRef/>
      </w:r>
      <w:r w:rsidRPr="00D72688">
        <w:t xml:space="preserve"> </w:t>
      </w:r>
      <w:proofErr w:type="spellStart"/>
      <w:r w:rsidRPr="00D72688">
        <w:t>Kohli</w:t>
      </w:r>
      <w:proofErr w:type="spellEnd"/>
      <w:r w:rsidRPr="00D72688">
        <w:t xml:space="preserve"> A, Shaffer A, Sherman </w:t>
      </w:r>
      <w:proofErr w:type="gramStart"/>
      <w:r w:rsidRPr="00D72688">
        <w:t>A</w:t>
      </w:r>
      <w:proofErr w:type="gramEnd"/>
      <w:r w:rsidRPr="00D72688">
        <w:t xml:space="preserve"> et al. Treatment of Hepatitis C - A Systematic Review. </w:t>
      </w:r>
      <w:proofErr w:type="gramStart"/>
      <w:r w:rsidRPr="00D72688">
        <w:rPr>
          <w:i/>
        </w:rPr>
        <w:t>JAMA</w:t>
      </w:r>
      <w:r w:rsidRPr="00D72688">
        <w:t>.</w:t>
      </w:r>
      <w:proofErr w:type="gramEnd"/>
      <w:r w:rsidRPr="00D72688">
        <w:t xml:space="preserve"> 2014. 312: (6): 631-640.</w:t>
      </w:r>
    </w:p>
  </w:footnote>
  <w:footnote w:id="25">
    <w:p w:rsidR="00F95AEB" w:rsidRDefault="00F95AEB">
      <w:pPr>
        <w:pStyle w:val="FootnoteText"/>
      </w:pPr>
      <w:r>
        <w:rPr>
          <w:rStyle w:val="FootnoteReference"/>
        </w:rPr>
        <w:footnoteRef/>
      </w:r>
      <w:r>
        <w:t xml:space="preserve"> Attachment 2 </w:t>
      </w:r>
      <w:proofErr w:type="spellStart"/>
      <w:r>
        <w:t>AusPAR</w:t>
      </w:r>
      <w:proofErr w:type="spellEnd"/>
      <w:r>
        <w:t xml:space="preserve"> for </w:t>
      </w:r>
      <w:proofErr w:type="spellStart"/>
      <w:r>
        <w:t>Daklinza</w:t>
      </w:r>
      <w:proofErr w:type="spellEnd"/>
    </w:p>
  </w:footnote>
  <w:footnote w:id="26">
    <w:p w:rsidR="00F95AEB" w:rsidRDefault="00F95AEB">
      <w:pPr>
        <w:pStyle w:val="FootnoteText"/>
      </w:pPr>
      <w:r>
        <w:rPr>
          <w:rStyle w:val="FootnoteReference"/>
        </w:rPr>
        <w:footnoteRef/>
      </w:r>
      <w:r>
        <w:t xml:space="preserve"> Attachment 2 </w:t>
      </w:r>
      <w:proofErr w:type="spellStart"/>
      <w:r>
        <w:t>AusPAR</w:t>
      </w:r>
      <w:proofErr w:type="spellEnd"/>
      <w:r>
        <w:t xml:space="preserve"> for </w:t>
      </w:r>
      <w:proofErr w:type="spellStart"/>
      <w:r>
        <w:t>Daklinza</w:t>
      </w:r>
      <w:proofErr w:type="spellEnd"/>
    </w:p>
  </w:footnote>
  <w:footnote w:id="27">
    <w:p w:rsidR="00F95AEB" w:rsidRPr="00D72688" w:rsidRDefault="00F95AEB" w:rsidP="00D72688">
      <w:pPr>
        <w:tabs>
          <w:tab w:val="left" w:pos="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sz w:val="18"/>
          <w:szCs w:val="18"/>
        </w:rPr>
      </w:pPr>
      <w:r w:rsidRPr="00D72688">
        <w:rPr>
          <w:rStyle w:val="FootnoteReference"/>
          <w:sz w:val="18"/>
          <w:szCs w:val="18"/>
        </w:rPr>
        <w:footnoteRef/>
      </w:r>
      <w:r w:rsidRPr="00D72688">
        <w:rPr>
          <w:sz w:val="18"/>
          <w:szCs w:val="18"/>
        </w:rPr>
        <w:t xml:space="preserve"> </w:t>
      </w:r>
      <w:proofErr w:type="gramStart"/>
      <w:r w:rsidRPr="00D72688">
        <w:rPr>
          <w:sz w:val="18"/>
          <w:szCs w:val="18"/>
        </w:rPr>
        <w:t>European Medicines Agency.</w:t>
      </w:r>
      <w:proofErr w:type="gramEnd"/>
      <w:r w:rsidRPr="00D72688">
        <w:rPr>
          <w:rStyle w:val="Hyperlink"/>
          <w:color w:val="auto"/>
          <w:sz w:val="18"/>
          <w:szCs w:val="18"/>
          <w:u w:val="none"/>
        </w:rPr>
        <w:t xml:space="preserve"> </w:t>
      </w:r>
      <w:proofErr w:type="gramStart"/>
      <w:r w:rsidRPr="00D72688">
        <w:rPr>
          <w:rStyle w:val="Hyperlink"/>
          <w:color w:val="auto"/>
          <w:sz w:val="18"/>
          <w:szCs w:val="18"/>
          <w:u w:val="none"/>
        </w:rPr>
        <w:t>Guideline on the Investigation of Drug Interactions (CPMP/EWP/560/95/Rev. 1 Corr.)</w:t>
      </w:r>
      <w:proofErr w:type="gramEnd"/>
      <w:r w:rsidRPr="00D72688">
        <w:rPr>
          <w:rStyle w:val="Hyperlink"/>
          <w:color w:val="auto"/>
          <w:sz w:val="18"/>
          <w:szCs w:val="18"/>
          <w:u w:val="none"/>
        </w:rPr>
        <w:t xml:space="preserve"> 2012.</w:t>
      </w:r>
      <w:r w:rsidRPr="00D72688">
        <w:rPr>
          <w:sz w:val="18"/>
          <w:szCs w:val="18"/>
        </w:rPr>
        <w:t xml:space="preserve"> Available from: </w:t>
      </w:r>
      <w:hyperlink r:id="rId8" w:anchor="clinical" w:history="1">
        <w:r w:rsidRPr="00D72688">
          <w:rPr>
            <w:rStyle w:val="Hyperlink"/>
            <w:color w:val="auto"/>
            <w:sz w:val="18"/>
            <w:szCs w:val="18"/>
            <w:u w:val="none"/>
          </w:rPr>
          <w:t>http://www.tga.gov.au/industry/pm-euguidelines-adopted-clinical.htm#clinical</w:t>
        </w:r>
      </w:hyperlink>
    </w:p>
  </w:footnote>
  <w:footnote w:id="28">
    <w:p w:rsidR="00F95AEB" w:rsidRDefault="00F95AEB">
      <w:pPr>
        <w:pStyle w:val="FootnoteText"/>
      </w:pPr>
      <w:r>
        <w:rPr>
          <w:rStyle w:val="FootnoteReference"/>
        </w:rPr>
        <w:footnoteRef/>
      </w:r>
      <w:r>
        <w:t xml:space="preserve"> </w:t>
      </w:r>
      <w:r w:rsidRPr="00E630B8">
        <w:rPr>
          <w:i/>
        </w:rPr>
        <w:t>Pharmacokinetics</w:t>
      </w:r>
      <w:r>
        <w:t xml:space="preserve"> in Attachment 2 </w:t>
      </w:r>
      <w:proofErr w:type="spellStart"/>
      <w:r>
        <w:t>AusPAR</w:t>
      </w:r>
      <w:proofErr w:type="spellEnd"/>
      <w:r>
        <w:t xml:space="preserve"> for </w:t>
      </w:r>
      <w:proofErr w:type="spellStart"/>
      <w:r>
        <w:t>Daklinza</w:t>
      </w:r>
      <w:proofErr w:type="spellEnd"/>
    </w:p>
  </w:footnote>
  <w:footnote w:id="29">
    <w:p w:rsidR="00F95AEB" w:rsidRDefault="00F95AEB">
      <w:pPr>
        <w:pStyle w:val="FootnoteText"/>
      </w:pPr>
      <w:r>
        <w:rPr>
          <w:rStyle w:val="FootnoteReference"/>
        </w:rPr>
        <w:footnoteRef/>
      </w:r>
      <w:r>
        <w:t xml:space="preserve"> Attachment 2 </w:t>
      </w:r>
      <w:proofErr w:type="spellStart"/>
      <w:r>
        <w:t>AusPAR</w:t>
      </w:r>
      <w:proofErr w:type="spellEnd"/>
      <w:r>
        <w:t xml:space="preserve"> for </w:t>
      </w:r>
      <w:proofErr w:type="spellStart"/>
      <w:r>
        <w:t>Daklinza</w:t>
      </w:r>
      <w:proofErr w:type="spellEnd"/>
    </w:p>
  </w:footnote>
  <w:footnote w:id="30">
    <w:p w:rsidR="00F95AEB" w:rsidRPr="00D72688" w:rsidRDefault="00F95AEB">
      <w:pPr>
        <w:pStyle w:val="FootnoteText"/>
      </w:pPr>
      <w:r w:rsidRPr="00D72688">
        <w:rPr>
          <w:rStyle w:val="FootnoteReference"/>
        </w:rPr>
        <w:footnoteRef/>
      </w:r>
      <w:r w:rsidRPr="00D72688">
        <w:t xml:space="preserve"> </w:t>
      </w:r>
      <w:r w:rsidRPr="00D72688">
        <w:rPr>
          <w:color w:val="000000"/>
        </w:rPr>
        <w:t>Sustained viral response (SVR): undetectable viral load 12 weeks (SVR-12) after treatment ended.</w:t>
      </w:r>
    </w:p>
  </w:footnote>
  <w:footnote w:id="31">
    <w:p w:rsidR="00F95AEB" w:rsidRDefault="00F95AEB">
      <w:pPr>
        <w:pStyle w:val="FootnoteText"/>
      </w:pPr>
      <w:r>
        <w:rPr>
          <w:rStyle w:val="FootnoteReference"/>
        </w:rPr>
        <w:footnoteRef/>
      </w:r>
      <w:r>
        <w:t xml:space="preserve"> Pharmacokinetics in Attachment 2 </w:t>
      </w:r>
      <w:proofErr w:type="spellStart"/>
      <w:r>
        <w:t>AusPAR</w:t>
      </w:r>
      <w:proofErr w:type="spellEnd"/>
      <w:r>
        <w:t xml:space="preserve"> for </w:t>
      </w:r>
      <w:proofErr w:type="spellStart"/>
      <w:r>
        <w:t>Daklinza</w:t>
      </w:r>
      <w:proofErr w:type="spellEnd"/>
    </w:p>
  </w:footnote>
  <w:footnote w:id="32">
    <w:p w:rsidR="00F95AEB" w:rsidRDefault="00F95AEB">
      <w:pPr>
        <w:pStyle w:val="FootnoteText"/>
      </w:pPr>
      <w:r>
        <w:rPr>
          <w:rStyle w:val="FootnoteReference"/>
        </w:rPr>
        <w:footnoteRef/>
      </w:r>
      <w:r>
        <w:t xml:space="preserve"> Attachment 2 </w:t>
      </w:r>
      <w:proofErr w:type="spellStart"/>
      <w:r>
        <w:t>AusPAR</w:t>
      </w:r>
      <w:proofErr w:type="spellEnd"/>
      <w:r>
        <w:t xml:space="preserve"> for </w:t>
      </w:r>
      <w:proofErr w:type="spellStart"/>
      <w:r>
        <w:t>Daklinza</w:t>
      </w:r>
      <w:proofErr w:type="spellEnd"/>
    </w:p>
  </w:footnote>
  <w:footnote w:id="33">
    <w:p w:rsidR="00F95AEB" w:rsidRDefault="00F95AEB" w:rsidP="0055797B">
      <w:pPr>
        <w:pStyle w:val="FootnoteText"/>
      </w:pPr>
      <w:r>
        <w:rPr>
          <w:rStyle w:val="FootnoteReference"/>
        </w:rPr>
        <w:footnoteRef/>
      </w:r>
      <w:r>
        <w:t xml:space="preserve"> </w:t>
      </w:r>
      <w:r w:rsidRPr="0009193B">
        <w:t xml:space="preserve">The Child-Pugh score is used to assess the prognosis of chronic liver disease, mainly </w:t>
      </w:r>
      <w:hyperlink r:id="rId9" w:tooltip="Cirrhosis" w:history="1">
        <w:r w:rsidRPr="0009193B">
          <w:t>cirrhosis</w:t>
        </w:r>
      </w:hyperlink>
      <w:r w:rsidRPr="0009193B">
        <w:t xml:space="preserve">. It is used to determine the prognosis as well as the required strength of treatment and the necessity of </w:t>
      </w:r>
      <w:hyperlink r:id="rId10" w:tooltip="Liver transplantation" w:history="1">
        <w:r w:rsidRPr="0009193B">
          <w:t>liver transplantation</w:t>
        </w:r>
      </w:hyperlink>
      <w:r w:rsidRPr="0009193B">
        <w:t>.</w:t>
      </w:r>
      <w:r>
        <w:t xml:space="preserve"> Chronic liver disease is classified into Child-Pugh class A to C as follows:</w:t>
      </w:r>
    </w:p>
    <w:tbl>
      <w:tblPr>
        <w:tblW w:w="0" w:type="auto"/>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67"/>
        <w:gridCol w:w="1276"/>
        <w:gridCol w:w="1984"/>
        <w:gridCol w:w="1843"/>
      </w:tblGrid>
      <w:tr w:rsidR="00F95AEB" w:rsidTr="00BA1372">
        <w:trPr>
          <w:tblHeader/>
        </w:trPr>
        <w:tc>
          <w:tcPr>
            <w:tcW w:w="1167" w:type="dxa"/>
            <w:tcBorders>
              <w:top w:val="single" w:sz="8" w:space="0" w:color="000000"/>
              <w:left w:val="single" w:sz="8" w:space="0" w:color="000000"/>
              <w:bottom w:val="single" w:sz="8" w:space="0" w:color="000000"/>
              <w:right w:val="nil"/>
              <w:tl2br w:val="nil"/>
              <w:tr2bl w:val="nil"/>
            </w:tcBorders>
            <w:shd w:val="clear" w:color="auto" w:fill="006DA7"/>
          </w:tcPr>
          <w:p w:rsidR="00F95AEB" w:rsidRPr="00BA1372" w:rsidRDefault="00F95AEB" w:rsidP="00BA1372">
            <w:pPr>
              <w:pStyle w:val="FootnoteText"/>
              <w:keepNext/>
              <w:ind w:left="170" w:right="170"/>
              <w:rPr>
                <w:b/>
                <w:color w:val="FFFFFF"/>
                <w:sz w:val="16"/>
                <w:szCs w:val="16"/>
                <w:lang w:eastAsia="en-AU"/>
              </w:rPr>
            </w:pPr>
            <w:r w:rsidRPr="00BA1372">
              <w:rPr>
                <w:b/>
                <w:color w:val="FFFFFF"/>
                <w:sz w:val="16"/>
                <w:szCs w:val="16"/>
                <w:lang w:eastAsia="en-AU"/>
              </w:rPr>
              <w:t>Points</w:t>
            </w:r>
          </w:p>
        </w:tc>
        <w:tc>
          <w:tcPr>
            <w:tcW w:w="1276" w:type="dxa"/>
            <w:tcBorders>
              <w:top w:val="single" w:sz="8" w:space="0" w:color="000000"/>
              <w:left w:val="nil"/>
              <w:bottom w:val="single" w:sz="8" w:space="0" w:color="000000"/>
              <w:right w:val="nil"/>
              <w:tl2br w:val="nil"/>
              <w:tr2bl w:val="nil"/>
            </w:tcBorders>
            <w:shd w:val="clear" w:color="auto" w:fill="006DA7"/>
          </w:tcPr>
          <w:p w:rsidR="00F95AEB" w:rsidRPr="00BA1372" w:rsidRDefault="00F95AEB" w:rsidP="00BA1372">
            <w:pPr>
              <w:pStyle w:val="FootnoteText"/>
              <w:keepNext/>
              <w:ind w:left="170" w:right="170"/>
              <w:rPr>
                <w:b/>
                <w:color w:val="FFFFFF"/>
                <w:sz w:val="16"/>
                <w:szCs w:val="16"/>
                <w:lang w:eastAsia="en-AU"/>
              </w:rPr>
            </w:pPr>
            <w:r w:rsidRPr="00BA1372">
              <w:rPr>
                <w:b/>
                <w:color w:val="FFFFFF"/>
                <w:sz w:val="16"/>
                <w:szCs w:val="16"/>
                <w:lang w:eastAsia="en-AU"/>
              </w:rPr>
              <w:t>Class</w:t>
            </w:r>
          </w:p>
        </w:tc>
        <w:tc>
          <w:tcPr>
            <w:tcW w:w="1984" w:type="dxa"/>
            <w:tcBorders>
              <w:top w:val="single" w:sz="8" w:space="0" w:color="000000"/>
              <w:left w:val="nil"/>
              <w:bottom w:val="single" w:sz="8" w:space="0" w:color="000000"/>
              <w:right w:val="nil"/>
              <w:tl2br w:val="nil"/>
              <w:tr2bl w:val="nil"/>
            </w:tcBorders>
            <w:shd w:val="clear" w:color="auto" w:fill="006DA7"/>
          </w:tcPr>
          <w:p w:rsidR="00F95AEB" w:rsidRPr="00BA1372" w:rsidRDefault="00F95AEB" w:rsidP="00BA1372">
            <w:pPr>
              <w:pStyle w:val="FootnoteText"/>
              <w:keepNext/>
              <w:ind w:left="170" w:right="170"/>
              <w:rPr>
                <w:b/>
                <w:color w:val="FFFFFF"/>
                <w:sz w:val="16"/>
                <w:szCs w:val="16"/>
                <w:lang w:eastAsia="en-AU"/>
              </w:rPr>
            </w:pPr>
            <w:r w:rsidRPr="00BA1372">
              <w:rPr>
                <w:b/>
                <w:color w:val="FFFFFF"/>
                <w:sz w:val="16"/>
                <w:szCs w:val="16"/>
                <w:lang w:eastAsia="en-AU"/>
              </w:rPr>
              <w:t>One year survival</w:t>
            </w:r>
          </w:p>
        </w:tc>
        <w:tc>
          <w:tcPr>
            <w:tcW w:w="1843" w:type="dxa"/>
            <w:tcBorders>
              <w:top w:val="single" w:sz="8" w:space="0" w:color="000000"/>
              <w:left w:val="nil"/>
              <w:bottom w:val="single" w:sz="8" w:space="0" w:color="000000"/>
              <w:right w:val="single" w:sz="8" w:space="0" w:color="000000"/>
              <w:tl2br w:val="nil"/>
              <w:tr2bl w:val="nil"/>
            </w:tcBorders>
            <w:shd w:val="clear" w:color="auto" w:fill="006DA7"/>
          </w:tcPr>
          <w:p w:rsidR="00F95AEB" w:rsidRPr="00BA1372" w:rsidRDefault="00F95AEB" w:rsidP="00BA1372">
            <w:pPr>
              <w:pStyle w:val="FootnoteText"/>
              <w:keepNext/>
              <w:ind w:left="170" w:right="170"/>
              <w:rPr>
                <w:b/>
                <w:color w:val="FFFFFF"/>
                <w:sz w:val="16"/>
                <w:szCs w:val="16"/>
                <w:lang w:eastAsia="en-AU"/>
              </w:rPr>
            </w:pPr>
            <w:r w:rsidRPr="00BA1372">
              <w:rPr>
                <w:b/>
                <w:color w:val="FFFFFF"/>
                <w:sz w:val="16"/>
                <w:szCs w:val="16"/>
                <w:lang w:eastAsia="en-AU"/>
              </w:rPr>
              <w:t>Two year survival</w:t>
            </w:r>
          </w:p>
        </w:tc>
      </w:tr>
      <w:tr w:rsidR="00F95AEB" w:rsidTr="00BA1372">
        <w:tc>
          <w:tcPr>
            <w:tcW w:w="1167"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5-6</w:t>
            </w:r>
          </w:p>
        </w:tc>
        <w:tc>
          <w:tcPr>
            <w:tcW w:w="1276"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A</w:t>
            </w:r>
          </w:p>
        </w:tc>
        <w:tc>
          <w:tcPr>
            <w:tcW w:w="1984"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100%</w:t>
            </w:r>
          </w:p>
        </w:tc>
        <w:tc>
          <w:tcPr>
            <w:tcW w:w="1843"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85%</w:t>
            </w:r>
          </w:p>
        </w:tc>
      </w:tr>
      <w:tr w:rsidR="00F95AEB" w:rsidTr="00BA1372">
        <w:tc>
          <w:tcPr>
            <w:tcW w:w="1167"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7-9</w:t>
            </w:r>
          </w:p>
        </w:tc>
        <w:tc>
          <w:tcPr>
            <w:tcW w:w="1276"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B</w:t>
            </w:r>
          </w:p>
        </w:tc>
        <w:tc>
          <w:tcPr>
            <w:tcW w:w="1984"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81%</w:t>
            </w:r>
          </w:p>
        </w:tc>
        <w:tc>
          <w:tcPr>
            <w:tcW w:w="1843"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57%</w:t>
            </w:r>
          </w:p>
        </w:tc>
      </w:tr>
      <w:tr w:rsidR="00F95AEB" w:rsidTr="00BA1372">
        <w:tc>
          <w:tcPr>
            <w:tcW w:w="1167"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10-15</w:t>
            </w:r>
          </w:p>
        </w:tc>
        <w:tc>
          <w:tcPr>
            <w:tcW w:w="1276"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C</w:t>
            </w:r>
          </w:p>
        </w:tc>
        <w:tc>
          <w:tcPr>
            <w:tcW w:w="1984"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45%</w:t>
            </w:r>
          </w:p>
        </w:tc>
        <w:tc>
          <w:tcPr>
            <w:tcW w:w="1843" w:type="dxa"/>
            <w:shd w:val="clear" w:color="auto" w:fill="auto"/>
          </w:tcPr>
          <w:p w:rsidR="00F95AEB" w:rsidRPr="00BA1372" w:rsidRDefault="00F95AEB" w:rsidP="00BA1372">
            <w:pPr>
              <w:pStyle w:val="FootnoteText"/>
              <w:ind w:left="170" w:right="170"/>
              <w:rPr>
                <w:color w:val="000000"/>
                <w:sz w:val="16"/>
                <w:szCs w:val="16"/>
                <w:lang w:eastAsia="en-AU"/>
              </w:rPr>
            </w:pPr>
            <w:r w:rsidRPr="00BA1372">
              <w:rPr>
                <w:color w:val="000000"/>
                <w:sz w:val="16"/>
                <w:szCs w:val="16"/>
                <w:lang w:eastAsia="en-AU"/>
              </w:rPr>
              <w:t>35%</w:t>
            </w:r>
          </w:p>
        </w:tc>
      </w:tr>
    </w:tbl>
    <w:p w:rsidR="00F95AEB" w:rsidRPr="0009193B" w:rsidRDefault="00F95AEB">
      <w:pPr>
        <w:pStyle w:val="FootnoteText"/>
      </w:pPr>
    </w:p>
  </w:footnote>
  <w:footnote w:id="34">
    <w:p w:rsidR="00F95AEB" w:rsidRDefault="00F95AEB">
      <w:pPr>
        <w:pStyle w:val="FootnoteText"/>
      </w:pPr>
      <w:r w:rsidRPr="0055797B">
        <w:rPr>
          <w:rStyle w:val="FootnoteReference"/>
        </w:rPr>
        <w:footnoteRef/>
      </w:r>
      <w:r w:rsidRPr="0055797B">
        <w:t xml:space="preserve"> </w:t>
      </w:r>
      <w:proofErr w:type="gramStart"/>
      <w:r>
        <w:t xml:space="preserve">Attachment 2 </w:t>
      </w:r>
      <w:proofErr w:type="spellStart"/>
      <w:r>
        <w:t>AusPAR</w:t>
      </w:r>
      <w:proofErr w:type="spellEnd"/>
      <w:r>
        <w:t xml:space="preserve"> for </w:t>
      </w:r>
      <w:proofErr w:type="spellStart"/>
      <w:r>
        <w:t>Daklinza</w:t>
      </w:r>
      <w:proofErr w:type="spellEnd"/>
      <w:r>
        <w:t>.</w:t>
      </w:r>
      <w:proofErr w:type="gramEnd"/>
      <w:r>
        <w:t xml:space="preserve"> </w:t>
      </w:r>
    </w:p>
  </w:footnote>
  <w:footnote w:id="35">
    <w:p w:rsidR="00F95AEB" w:rsidRPr="007A2E96" w:rsidRDefault="00F95AEB">
      <w:pPr>
        <w:pStyle w:val="FootnoteText"/>
      </w:pPr>
      <w:r w:rsidRPr="007A2E96">
        <w:rPr>
          <w:rStyle w:val="FootnoteReference"/>
        </w:rPr>
        <w:footnoteRef/>
      </w:r>
      <w:r w:rsidRPr="007A2E96">
        <w:t xml:space="preserve"> </w:t>
      </w:r>
      <w:r w:rsidRPr="007A2E96">
        <w:rPr>
          <w:color w:val="000000"/>
        </w:rPr>
        <w:t xml:space="preserve">Rapid viral response (RVR): an undetectable viral load after </w:t>
      </w:r>
      <w:r>
        <w:rPr>
          <w:color w:val="000000"/>
        </w:rPr>
        <w:t>X</w:t>
      </w:r>
      <w:r w:rsidRPr="007A2E96">
        <w:rPr>
          <w:color w:val="000000"/>
        </w:rPr>
        <w:t xml:space="preserve">4 </w:t>
      </w:r>
      <w:proofErr w:type="gramStart"/>
      <w:r w:rsidRPr="007A2E96">
        <w:rPr>
          <w:color w:val="000000"/>
        </w:rPr>
        <w:t>weeks</w:t>
      </w:r>
      <w:proofErr w:type="gramEnd"/>
      <w:r w:rsidRPr="007A2E96">
        <w:rPr>
          <w:color w:val="000000"/>
        </w:rPr>
        <w:t xml:space="preserve"> treatment (RVR-</w:t>
      </w:r>
      <w:r>
        <w:rPr>
          <w:color w:val="000000"/>
        </w:rPr>
        <w:t>X</w:t>
      </w:r>
      <w:r w:rsidRPr="007A2E96">
        <w:rPr>
          <w:color w:val="000000"/>
        </w:rPr>
        <w:t>)</w:t>
      </w:r>
      <w:r>
        <w:rPr>
          <w:color w:val="000000"/>
        </w:rPr>
        <w:t>.</w:t>
      </w:r>
    </w:p>
  </w:footnote>
  <w:footnote w:id="36">
    <w:p w:rsidR="00F95AEB" w:rsidRPr="007A2E96" w:rsidRDefault="00F95AEB">
      <w:pPr>
        <w:pStyle w:val="FootnoteText"/>
      </w:pPr>
      <w:r w:rsidRPr="007A2E96">
        <w:rPr>
          <w:rStyle w:val="FootnoteReference"/>
        </w:rPr>
        <w:footnoteRef/>
      </w:r>
      <w:r w:rsidRPr="007A2E96">
        <w:t xml:space="preserve"> </w:t>
      </w:r>
      <w:r>
        <w:t>Complete e</w:t>
      </w:r>
      <w:r w:rsidRPr="007A2E96">
        <w:rPr>
          <w:color w:val="000000"/>
        </w:rPr>
        <w:t>arly viral response: (EVR) undetectable viral load</w:t>
      </w:r>
      <w:r>
        <w:rPr>
          <w:color w:val="000000"/>
        </w:rPr>
        <w:t>.</w:t>
      </w:r>
      <w:r w:rsidRPr="007A2E96">
        <w:rPr>
          <w:color w:val="000000"/>
        </w:rPr>
        <w:t xml:space="preserve"> </w:t>
      </w:r>
    </w:p>
  </w:footnote>
  <w:footnote w:id="37">
    <w:p w:rsidR="00F95AEB" w:rsidRPr="007A2E96" w:rsidRDefault="00F95AEB">
      <w:pPr>
        <w:pStyle w:val="FootnoteText"/>
      </w:pPr>
      <w:r w:rsidRPr="007A2E96">
        <w:rPr>
          <w:rStyle w:val="FootnoteReference"/>
        </w:rPr>
        <w:footnoteRef/>
      </w:r>
      <w:r w:rsidRPr="007A2E96">
        <w:t xml:space="preserve"> </w:t>
      </w:r>
      <w:r w:rsidRPr="007A2E96">
        <w:rPr>
          <w:color w:val="000000"/>
        </w:rPr>
        <w:t>End of treatment response (EOTR): undetectable viral load at the end of treatment.</w:t>
      </w:r>
    </w:p>
  </w:footnote>
  <w:footnote w:id="38">
    <w:p w:rsidR="00F95AEB" w:rsidRDefault="00F95AEB">
      <w:pPr>
        <w:pStyle w:val="FootnoteText"/>
      </w:pPr>
      <w:r>
        <w:rPr>
          <w:rStyle w:val="FootnoteReference"/>
        </w:rPr>
        <w:footnoteRef/>
      </w:r>
      <w:r>
        <w:t xml:space="preserve"> </w:t>
      </w:r>
      <w:r w:rsidRPr="00C95499">
        <w:t xml:space="preserve">Presented in second round CER for DCV (Attachment 2 </w:t>
      </w:r>
      <w:proofErr w:type="spellStart"/>
      <w:r w:rsidRPr="00C95499">
        <w:t>AusPAR</w:t>
      </w:r>
      <w:proofErr w:type="spellEnd"/>
      <w:r w:rsidRPr="00C95499">
        <w:t xml:space="preserve"> for </w:t>
      </w:r>
      <w:proofErr w:type="spellStart"/>
      <w:r w:rsidRPr="00C95499">
        <w:t>Daklinza</w:t>
      </w:r>
      <w:proofErr w:type="spellEnd"/>
      <w:r w:rsidRPr="00C95499">
        <w:t>)</w:t>
      </w:r>
    </w:p>
  </w:footnote>
  <w:footnote w:id="39">
    <w:p w:rsidR="00F95AEB" w:rsidRPr="00297990" w:rsidRDefault="00F95AEB" w:rsidP="00C531D4">
      <w:pPr>
        <w:pStyle w:val="FootnoteText"/>
      </w:pPr>
      <w:r w:rsidRPr="00297990">
        <w:rPr>
          <w:rStyle w:val="FootnoteReference"/>
          <w:szCs w:val="18"/>
        </w:rPr>
        <w:footnoteRef/>
      </w:r>
      <w:r w:rsidRPr="00297990">
        <w:t xml:space="preserve"> </w:t>
      </w:r>
      <w:proofErr w:type="gramStart"/>
      <w:r w:rsidRPr="00297990">
        <w:t xml:space="preserve">Based on </w:t>
      </w:r>
      <w:proofErr w:type="spellStart"/>
      <w:r w:rsidRPr="00297990">
        <w:t>Hy</w:t>
      </w:r>
      <w:proofErr w:type="spellEnd"/>
      <w:r w:rsidRPr="00297990">
        <w:t xml:space="preserve"> Zimmerman’s inductive reasoning, term coined by Robert Temple in 1980s as a ‘biomarker’ of drug hepatotoxicity, a signal for potential serious risk.</w:t>
      </w:r>
      <w:proofErr w:type="gramEnd"/>
      <w:r w:rsidRPr="00297990">
        <w:t xml:space="preserve"> </w:t>
      </w:r>
      <w:proofErr w:type="gramStart"/>
      <w:r w:rsidRPr="00297990">
        <w:t xml:space="preserve">Applied only to hepatocellular toxicity, not to </w:t>
      </w:r>
      <w:proofErr w:type="spellStart"/>
      <w:r w:rsidRPr="00297990">
        <w:t>cholestatic</w:t>
      </w:r>
      <w:proofErr w:type="spellEnd"/>
      <w:r w:rsidRPr="00297990">
        <w:t xml:space="preserve"> reactions or other liver diseases.</w:t>
      </w:r>
      <w:proofErr w:type="gramEnd"/>
      <w:r w:rsidRPr="0029799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EB" w:rsidRDefault="00F95AEB"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EB" w:rsidRDefault="00F95AEB">
    <w:pPr>
      <w:rPr>
        <w:noProof/>
        <w:lang w:eastAsia="en-AU"/>
      </w:rPr>
    </w:pPr>
    <w:r>
      <w:rPr>
        <w:noProof/>
        <w:lang w:eastAsia="en-AU"/>
      </w:rPr>
      <w:drawing>
        <wp:anchor distT="0" distB="0" distL="114300" distR="114300" simplePos="0" relativeHeight="251657728" behindDoc="1" locked="0" layoutInCell="1" allowOverlap="1" wp14:anchorId="34DCAC9A" wp14:editId="10D64CDD">
          <wp:simplePos x="0" y="0"/>
          <wp:positionH relativeFrom="column">
            <wp:posOffset>-1089660</wp:posOffset>
          </wp:positionH>
          <wp:positionV relativeFrom="paragraph">
            <wp:posOffset>-585470</wp:posOffset>
          </wp:positionV>
          <wp:extent cx="7572375" cy="10706100"/>
          <wp:effectExtent l="0" t="0" r="9525"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rapeutic Goods Administr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pic:spPr>
              </pic:pic>
            </a:graphicData>
          </a:graphic>
          <wp14:sizeRelH relativeFrom="page">
            <wp14:pctWidth>0</wp14:pctWidth>
          </wp14:sizeRelH>
          <wp14:sizeRelV relativeFrom="page">
            <wp14:pctHeight>0</wp14:pctHeight>
          </wp14:sizeRelV>
        </wp:anchor>
      </w:drawing>
    </w:r>
  </w:p>
  <w:p w:rsidR="00F95AEB" w:rsidRDefault="00F95AEB" w:rsidP="00593AD1">
    <w:pPr>
      <w:pStyle w:val="HeaderNoLine"/>
    </w:pPr>
    <w:r>
      <w:rPr>
        <w:noProof/>
        <w:lang w:eastAsia="en-AU"/>
      </w:rPr>
      <w:drawing>
        <wp:inline distT="0" distB="0" distL="0" distR="0" wp14:anchorId="084F879D" wp14:editId="6E1256E4">
          <wp:extent cx="5397500" cy="7637145"/>
          <wp:effectExtent l="0" t="0" r="0" b="1905"/>
          <wp:docPr id="1"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0" cy="76371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EB" w:rsidRDefault="00F95A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EB" w:rsidRDefault="00F95AEB">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EB" w:rsidRDefault="00F95AEB">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EB" w:rsidRDefault="00F95AE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EB" w:rsidRDefault="00F95AEB"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EB" w:rsidRDefault="00F95AEB" w:rsidP="006E08B3">
    <w:r>
      <w:t>Therapeutic Goods Administration</w:t>
    </w:r>
  </w:p>
  <w:p w:rsidR="00F95AEB" w:rsidRDefault="00F95AEB"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DCDC8A"/>
    <w:lvl w:ilvl="0">
      <w:start w:val="1"/>
      <w:numFmt w:val="bullet"/>
      <w:lvlText w:val=""/>
      <w:lvlJc w:val="left"/>
      <w:pPr>
        <w:tabs>
          <w:tab w:val="num" w:pos="360"/>
        </w:tabs>
        <w:ind w:left="360" w:hanging="360"/>
      </w:pPr>
      <w:rPr>
        <w:rFonts w:ascii="Symbol" w:hAnsi="Symbol" w:hint="default"/>
      </w:rPr>
    </w:lvl>
  </w:abstractNum>
  <w:abstractNum w:abstractNumId="1">
    <w:nsid w:val="04781248"/>
    <w:multiLevelType w:val="hybridMultilevel"/>
    <w:tmpl w:val="EADEDD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60C116F"/>
    <w:multiLevelType w:val="hybridMultilevel"/>
    <w:tmpl w:val="1FA8D3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83E4548"/>
    <w:multiLevelType w:val="hybridMultilevel"/>
    <w:tmpl w:val="5394C8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nsid w:val="1BD74048"/>
    <w:multiLevelType w:val="hybridMultilevel"/>
    <w:tmpl w:val="718C6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21434F2B"/>
    <w:multiLevelType w:val="hybridMultilevel"/>
    <w:tmpl w:val="D98A2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2B6CBF"/>
    <w:multiLevelType w:val="hybridMultilevel"/>
    <w:tmpl w:val="A156F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286D187D"/>
    <w:multiLevelType w:val="hybridMultilevel"/>
    <w:tmpl w:val="3B825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A06432"/>
    <w:multiLevelType w:val="hybridMultilevel"/>
    <w:tmpl w:val="65D4F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BCF57AC"/>
    <w:multiLevelType w:val="hybridMultilevel"/>
    <w:tmpl w:val="13202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2C1A2117"/>
    <w:multiLevelType w:val="hybridMultilevel"/>
    <w:tmpl w:val="ABC670D0"/>
    <w:lvl w:ilvl="0" w:tplc="955EB164">
      <w:start w:val="1"/>
      <w:numFmt w:val="bullet"/>
      <w:lvlText w:val="-"/>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955EB164">
      <w:start w:val="1"/>
      <w:numFmt w:val="bullet"/>
      <w:lvlText w:val="-"/>
      <w:lvlJc w:val="left"/>
      <w:pPr>
        <w:ind w:left="2880" w:hanging="360"/>
      </w:pPr>
      <w:rPr>
        <w:rFonts w:ascii="Courier New" w:hAnsi="Courier New" w:cs="Times New Roman"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4">
    <w:nsid w:val="307D705F"/>
    <w:multiLevelType w:val="hybridMultilevel"/>
    <w:tmpl w:val="5E1CE522"/>
    <w:lvl w:ilvl="0" w:tplc="0C09000F">
      <w:start w:val="1"/>
      <w:numFmt w:val="decimal"/>
      <w:lvlText w:val="%1."/>
      <w:lvlJc w:val="left"/>
      <w:pPr>
        <w:ind w:left="750" w:hanging="360"/>
      </w:pPr>
    </w:lvl>
    <w:lvl w:ilvl="1" w:tplc="0C090019">
      <w:start w:val="1"/>
      <w:numFmt w:val="lowerLetter"/>
      <w:lvlText w:val="%2."/>
      <w:lvlJc w:val="left"/>
      <w:pPr>
        <w:ind w:left="1470" w:hanging="360"/>
      </w:pPr>
    </w:lvl>
    <w:lvl w:ilvl="2" w:tplc="0C09001B">
      <w:start w:val="1"/>
      <w:numFmt w:val="lowerRoman"/>
      <w:lvlText w:val="%3."/>
      <w:lvlJc w:val="right"/>
      <w:pPr>
        <w:ind w:left="2190" w:hanging="180"/>
      </w:pPr>
    </w:lvl>
    <w:lvl w:ilvl="3" w:tplc="0C09000F">
      <w:start w:val="1"/>
      <w:numFmt w:val="decimal"/>
      <w:lvlText w:val="%4."/>
      <w:lvlJc w:val="left"/>
      <w:pPr>
        <w:ind w:left="2910" w:hanging="360"/>
      </w:pPr>
    </w:lvl>
    <w:lvl w:ilvl="4" w:tplc="0C090019">
      <w:start w:val="1"/>
      <w:numFmt w:val="lowerLetter"/>
      <w:lvlText w:val="%5."/>
      <w:lvlJc w:val="left"/>
      <w:pPr>
        <w:ind w:left="3630" w:hanging="360"/>
      </w:pPr>
    </w:lvl>
    <w:lvl w:ilvl="5" w:tplc="0C09001B">
      <w:start w:val="1"/>
      <w:numFmt w:val="lowerRoman"/>
      <w:lvlText w:val="%6."/>
      <w:lvlJc w:val="right"/>
      <w:pPr>
        <w:ind w:left="4350" w:hanging="180"/>
      </w:pPr>
    </w:lvl>
    <w:lvl w:ilvl="6" w:tplc="0C09000F">
      <w:start w:val="1"/>
      <w:numFmt w:val="decimal"/>
      <w:lvlText w:val="%7."/>
      <w:lvlJc w:val="left"/>
      <w:pPr>
        <w:ind w:left="5070" w:hanging="360"/>
      </w:pPr>
    </w:lvl>
    <w:lvl w:ilvl="7" w:tplc="0C090019">
      <w:start w:val="1"/>
      <w:numFmt w:val="lowerLetter"/>
      <w:lvlText w:val="%8."/>
      <w:lvlJc w:val="left"/>
      <w:pPr>
        <w:ind w:left="5790" w:hanging="360"/>
      </w:pPr>
    </w:lvl>
    <w:lvl w:ilvl="8" w:tplc="0C09001B">
      <w:start w:val="1"/>
      <w:numFmt w:val="lowerRoman"/>
      <w:lvlText w:val="%9."/>
      <w:lvlJc w:val="right"/>
      <w:pPr>
        <w:ind w:left="6510" w:hanging="180"/>
      </w:pPr>
    </w:lvl>
  </w:abstractNum>
  <w:abstractNum w:abstractNumId="15">
    <w:nsid w:val="328C6288"/>
    <w:multiLevelType w:val="hybridMultilevel"/>
    <w:tmpl w:val="126AEF2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EA1F8C"/>
    <w:multiLevelType w:val="hybridMultilevel"/>
    <w:tmpl w:val="A1887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8">
    <w:nsid w:val="449A7CED"/>
    <w:multiLevelType w:val="hybridMultilevel"/>
    <w:tmpl w:val="7B0C04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3B80F50">
      <w:numFmt w:val="bullet"/>
      <w:lvlText w:val="•"/>
      <w:lvlJc w:val="left"/>
      <w:pPr>
        <w:ind w:left="2160" w:hanging="360"/>
      </w:pPr>
      <w:rPr>
        <w:rFonts w:ascii="Cambria" w:eastAsia="Times New Roman" w:hAnsi="Cambria" w:cs="Times New Roman" w:hint="default"/>
      </w:rPr>
    </w:lvl>
    <w:lvl w:ilvl="3" w:tplc="B04034F2">
      <w:numFmt w:val="bullet"/>
      <w:lvlText w:val="−"/>
      <w:lvlJc w:val="left"/>
      <w:pPr>
        <w:ind w:left="2880" w:hanging="360"/>
      </w:pPr>
      <w:rPr>
        <w:rFonts w:ascii="Cambria" w:eastAsia="Times New Roman" w:hAnsi="Cambria" w:cs="Times New Roman"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Symbol"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Symbol"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nsid w:val="49D116C3"/>
    <w:multiLevelType w:val="hybridMultilevel"/>
    <w:tmpl w:val="172C3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7E64FEF"/>
    <w:multiLevelType w:val="hybridMultilevel"/>
    <w:tmpl w:val="291ED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8B30BB4"/>
    <w:multiLevelType w:val="hybridMultilevel"/>
    <w:tmpl w:val="58C84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5DF1323C"/>
    <w:multiLevelType w:val="hybridMultilevel"/>
    <w:tmpl w:val="AAC6DE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4">
    <w:nsid w:val="5E2E5CAF"/>
    <w:multiLevelType w:val="hybridMultilevel"/>
    <w:tmpl w:val="C4E062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nsid w:val="603C30DF"/>
    <w:multiLevelType w:val="hybridMultilevel"/>
    <w:tmpl w:val="F13054B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nsid w:val="719A6805"/>
    <w:multiLevelType w:val="hybridMultilevel"/>
    <w:tmpl w:val="1EC4A1A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7">
    <w:nsid w:val="75290933"/>
    <w:multiLevelType w:val="hybridMultilevel"/>
    <w:tmpl w:val="CB74C296"/>
    <w:lvl w:ilvl="0" w:tplc="0C090001">
      <w:start w:val="1"/>
      <w:numFmt w:val="bullet"/>
      <w:lvlText w:val=""/>
      <w:lvlJc w:val="left"/>
      <w:pPr>
        <w:ind w:left="437" w:hanging="360"/>
      </w:pPr>
      <w:rPr>
        <w:rFonts w:ascii="Symbol" w:hAnsi="Symbol" w:hint="default"/>
      </w:rPr>
    </w:lvl>
    <w:lvl w:ilvl="1" w:tplc="0C090003">
      <w:start w:val="1"/>
      <w:numFmt w:val="bullet"/>
      <w:lvlText w:val="o"/>
      <w:lvlJc w:val="left"/>
      <w:pPr>
        <w:ind w:left="1157" w:hanging="360"/>
      </w:pPr>
      <w:rPr>
        <w:rFonts w:ascii="Courier New" w:hAnsi="Courier New" w:cs="Courier New" w:hint="default"/>
      </w:rPr>
    </w:lvl>
    <w:lvl w:ilvl="2" w:tplc="0C090005">
      <w:start w:val="1"/>
      <w:numFmt w:val="bullet"/>
      <w:lvlText w:val=""/>
      <w:lvlJc w:val="left"/>
      <w:pPr>
        <w:ind w:left="1877" w:hanging="360"/>
      </w:pPr>
      <w:rPr>
        <w:rFonts w:ascii="Wingdings" w:hAnsi="Wingdings" w:hint="default"/>
      </w:rPr>
    </w:lvl>
    <w:lvl w:ilvl="3" w:tplc="0C090001">
      <w:start w:val="1"/>
      <w:numFmt w:val="bullet"/>
      <w:lvlText w:val=""/>
      <w:lvlJc w:val="left"/>
      <w:pPr>
        <w:ind w:left="2597" w:hanging="360"/>
      </w:pPr>
      <w:rPr>
        <w:rFonts w:ascii="Symbol" w:hAnsi="Symbol" w:hint="default"/>
      </w:rPr>
    </w:lvl>
    <w:lvl w:ilvl="4" w:tplc="0C090003">
      <w:start w:val="1"/>
      <w:numFmt w:val="bullet"/>
      <w:lvlText w:val="o"/>
      <w:lvlJc w:val="left"/>
      <w:pPr>
        <w:ind w:left="3317" w:hanging="360"/>
      </w:pPr>
      <w:rPr>
        <w:rFonts w:ascii="Courier New" w:hAnsi="Courier New" w:cs="Courier New" w:hint="default"/>
      </w:rPr>
    </w:lvl>
    <w:lvl w:ilvl="5" w:tplc="0C090005">
      <w:start w:val="1"/>
      <w:numFmt w:val="bullet"/>
      <w:lvlText w:val=""/>
      <w:lvlJc w:val="left"/>
      <w:pPr>
        <w:ind w:left="4037" w:hanging="360"/>
      </w:pPr>
      <w:rPr>
        <w:rFonts w:ascii="Wingdings" w:hAnsi="Wingdings" w:hint="default"/>
      </w:rPr>
    </w:lvl>
    <w:lvl w:ilvl="6" w:tplc="0C090001">
      <w:start w:val="1"/>
      <w:numFmt w:val="bullet"/>
      <w:lvlText w:val=""/>
      <w:lvlJc w:val="left"/>
      <w:pPr>
        <w:ind w:left="4757" w:hanging="360"/>
      </w:pPr>
      <w:rPr>
        <w:rFonts w:ascii="Symbol" w:hAnsi="Symbol" w:hint="default"/>
      </w:rPr>
    </w:lvl>
    <w:lvl w:ilvl="7" w:tplc="0C090003">
      <w:start w:val="1"/>
      <w:numFmt w:val="bullet"/>
      <w:lvlText w:val="o"/>
      <w:lvlJc w:val="left"/>
      <w:pPr>
        <w:ind w:left="5477" w:hanging="360"/>
      </w:pPr>
      <w:rPr>
        <w:rFonts w:ascii="Courier New" w:hAnsi="Courier New" w:cs="Courier New" w:hint="default"/>
      </w:rPr>
    </w:lvl>
    <w:lvl w:ilvl="8" w:tplc="0C090005">
      <w:start w:val="1"/>
      <w:numFmt w:val="bullet"/>
      <w:lvlText w:val=""/>
      <w:lvlJc w:val="left"/>
      <w:pPr>
        <w:ind w:left="6197" w:hanging="360"/>
      </w:pPr>
      <w:rPr>
        <w:rFonts w:ascii="Wingdings" w:hAnsi="Wingdings" w:hint="default"/>
      </w:rPr>
    </w:lvl>
  </w:abstractNum>
  <w:abstractNum w:abstractNumId="28">
    <w:nsid w:val="7636582D"/>
    <w:multiLevelType w:val="hybridMultilevel"/>
    <w:tmpl w:val="D812C7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7AA00C07"/>
    <w:multiLevelType w:val="hybridMultilevel"/>
    <w:tmpl w:val="38185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nsid w:val="7B703D1F"/>
    <w:multiLevelType w:val="hybridMultilevel"/>
    <w:tmpl w:val="D1E255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nsid w:val="7BD20B75"/>
    <w:multiLevelType w:val="hybridMultilevel"/>
    <w:tmpl w:val="EAFC5926"/>
    <w:lvl w:ilvl="0" w:tplc="E59E938E">
      <w:numFmt w:val="bullet"/>
      <w:lvlText w:val="•"/>
      <w:lvlJc w:val="left"/>
      <w:pPr>
        <w:ind w:left="930" w:hanging="570"/>
      </w:pPr>
      <w:rPr>
        <w:rFonts w:ascii="Cambria" w:eastAsia="MS Mincho" w:hAnsi="Cambria"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244ABB"/>
    <w:multiLevelType w:val="hybridMultilevel"/>
    <w:tmpl w:val="7BE907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
  </w:num>
  <w:num w:numId="3">
    <w:abstractNumId w:val="4"/>
  </w:num>
  <w:num w:numId="4">
    <w:abstractNumId w:val="2"/>
  </w:num>
  <w:num w:numId="5">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6">
    <w:abstractNumId w:val="19"/>
  </w:num>
  <w:num w:numId="7">
    <w:abstractNumId w:val="17"/>
  </w:num>
  <w:num w:numId="8">
    <w:abstractNumId w:val="6"/>
  </w:num>
  <w:num w:numId="9">
    <w:abstractNumId w:val="16"/>
  </w:num>
  <w:num w:numId="10">
    <w:abstractNumId w:val="22"/>
  </w:num>
  <w:num w:numId="11">
    <w:abstractNumId w:val="3"/>
  </w:num>
  <w:num w:numId="12">
    <w:abstractNumId w:val="27"/>
  </w:num>
  <w:num w:numId="13">
    <w:abstractNumId w:val="18"/>
  </w:num>
  <w:num w:numId="14">
    <w:abstractNumId w:val="26"/>
  </w:num>
  <w:num w:numId="15">
    <w:abstractNumId w:val="13"/>
  </w:num>
  <w:num w:numId="16">
    <w:abstractNumId w:val="29"/>
  </w:num>
  <w:num w:numId="17">
    <w:abstractNumId w:val="24"/>
  </w:num>
  <w:num w:numId="18">
    <w:abstractNumId w:val="5"/>
  </w:num>
  <w:num w:numId="19">
    <w:abstractNumId w:val="8"/>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8"/>
  </w:num>
  <w:num w:numId="24">
    <w:abstractNumId w:val="11"/>
  </w:num>
  <w:num w:numId="25">
    <w:abstractNumId w:val="30"/>
  </w:num>
  <w:num w:numId="26">
    <w:abstractNumId w:val="21"/>
  </w:num>
  <w:num w:numId="27">
    <w:abstractNumId w:val="15"/>
  </w:num>
  <w:num w:numId="28">
    <w:abstractNumId w:val="20"/>
  </w:num>
  <w:num w:numId="29">
    <w:abstractNumId w:val="10"/>
  </w:num>
  <w:num w:numId="30">
    <w:abstractNumId w:val="9"/>
  </w:num>
  <w:num w:numId="31">
    <w:abstractNumId w:val="7"/>
  </w:num>
  <w:num w:numId="32">
    <w:abstractNumId w:val="31"/>
  </w:num>
  <w:num w:numId="33">
    <w:abstractNumId w:val="23"/>
  </w:num>
  <w:num w:numId="34">
    <w:abstractNumId w:val="3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899"/>
    <w:rsid w:val="00002031"/>
    <w:rsid w:val="00004734"/>
    <w:rsid w:val="00006B22"/>
    <w:rsid w:val="0001276A"/>
    <w:rsid w:val="00016899"/>
    <w:rsid w:val="00023843"/>
    <w:rsid w:val="000246AE"/>
    <w:rsid w:val="00025C67"/>
    <w:rsid w:val="00044772"/>
    <w:rsid w:val="0005104E"/>
    <w:rsid w:val="0005559E"/>
    <w:rsid w:val="000604D6"/>
    <w:rsid w:val="000668A0"/>
    <w:rsid w:val="000734D8"/>
    <w:rsid w:val="00077775"/>
    <w:rsid w:val="00090471"/>
    <w:rsid w:val="00090750"/>
    <w:rsid w:val="0009193B"/>
    <w:rsid w:val="00096AA7"/>
    <w:rsid w:val="000A20FE"/>
    <w:rsid w:val="000A3AED"/>
    <w:rsid w:val="000B3532"/>
    <w:rsid w:val="000B3A75"/>
    <w:rsid w:val="000C00C2"/>
    <w:rsid w:val="000C690F"/>
    <w:rsid w:val="000D1295"/>
    <w:rsid w:val="000D391B"/>
    <w:rsid w:val="000D3D6D"/>
    <w:rsid w:val="000D4D9B"/>
    <w:rsid w:val="000D4FC7"/>
    <w:rsid w:val="000E6196"/>
    <w:rsid w:val="000F1CA4"/>
    <w:rsid w:val="000F4869"/>
    <w:rsid w:val="000F52DF"/>
    <w:rsid w:val="000F5B42"/>
    <w:rsid w:val="000F6E6F"/>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5389"/>
    <w:rsid w:val="0017693F"/>
    <w:rsid w:val="001804FE"/>
    <w:rsid w:val="0018110E"/>
    <w:rsid w:val="00181684"/>
    <w:rsid w:val="001843C6"/>
    <w:rsid w:val="001850E0"/>
    <w:rsid w:val="00190D26"/>
    <w:rsid w:val="001A2158"/>
    <w:rsid w:val="001A525F"/>
    <w:rsid w:val="001B09F9"/>
    <w:rsid w:val="001B5C90"/>
    <w:rsid w:val="001B6448"/>
    <w:rsid w:val="001C32CD"/>
    <w:rsid w:val="001D2984"/>
    <w:rsid w:val="001E07CF"/>
    <w:rsid w:val="001E59F1"/>
    <w:rsid w:val="001F3724"/>
    <w:rsid w:val="001F49EB"/>
    <w:rsid w:val="001F6CBA"/>
    <w:rsid w:val="00201D4E"/>
    <w:rsid w:val="002076C9"/>
    <w:rsid w:val="00217BA4"/>
    <w:rsid w:val="00220B8A"/>
    <w:rsid w:val="002257F3"/>
    <w:rsid w:val="00233456"/>
    <w:rsid w:val="002339A5"/>
    <w:rsid w:val="00255438"/>
    <w:rsid w:val="00257848"/>
    <w:rsid w:val="0027084A"/>
    <w:rsid w:val="00286434"/>
    <w:rsid w:val="00286C59"/>
    <w:rsid w:val="00291957"/>
    <w:rsid w:val="002942D1"/>
    <w:rsid w:val="0029501A"/>
    <w:rsid w:val="00295947"/>
    <w:rsid w:val="00297990"/>
    <w:rsid w:val="002A3721"/>
    <w:rsid w:val="002B1638"/>
    <w:rsid w:val="002B3624"/>
    <w:rsid w:val="002E40B3"/>
    <w:rsid w:val="002E4C9A"/>
    <w:rsid w:val="002F11F8"/>
    <w:rsid w:val="002F3F56"/>
    <w:rsid w:val="002F44B5"/>
    <w:rsid w:val="00311AC0"/>
    <w:rsid w:val="0032583B"/>
    <w:rsid w:val="00327883"/>
    <w:rsid w:val="00330F91"/>
    <w:rsid w:val="00335504"/>
    <w:rsid w:val="00347824"/>
    <w:rsid w:val="00350567"/>
    <w:rsid w:val="003521E8"/>
    <w:rsid w:val="00356A4E"/>
    <w:rsid w:val="003728F3"/>
    <w:rsid w:val="0037496E"/>
    <w:rsid w:val="00383221"/>
    <w:rsid w:val="00386150"/>
    <w:rsid w:val="003874CE"/>
    <w:rsid w:val="00390900"/>
    <w:rsid w:val="00392F46"/>
    <w:rsid w:val="003A7F6C"/>
    <w:rsid w:val="003B327F"/>
    <w:rsid w:val="003B4380"/>
    <w:rsid w:val="003B4D60"/>
    <w:rsid w:val="003B73BB"/>
    <w:rsid w:val="003B7E39"/>
    <w:rsid w:val="003C58DC"/>
    <w:rsid w:val="003C6481"/>
    <w:rsid w:val="003D1E62"/>
    <w:rsid w:val="003E0B99"/>
    <w:rsid w:val="003E2486"/>
    <w:rsid w:val="003E3208"/>
    <w:rsid w:val="003E4216"/>
    <w:rsid w:val="003F0B04"/>
    <w:rsid w:val="0040134E"/>
    <w:rsid w:val="004334C7"/>
    <w:rsid w:val="00440A2D"/>
    <w:rsid w:val="00451F8E"/>
    <w:rsid w:val="004564A7"/>
    <w:rsid w:val="004617BF"/>
    <w:rsid w:val="00463658"/>
    <w:rsid w:val="004637A0"/>
    <w:rsid w:val="004722CC"/>
    <w:rsid w:val="00486662"/>
    <w:rsid w:val="004936B4"/>
    <w:rsid w:val="004936E4"/>
    <w:rsid w:val="00494E60"/>
    <w:rsid w:val="00497487"/>
    <w:rsid w:val="004A7390"/>
    <w:rsid w:val="004A7EE6"/>
    <w:rsid w:val="004B7B76"/>
    <w:rsid w:val="004C239D"/>
    <w:rsid w:val="004C2DCA"/>
    <w:rsid w:val="004C5D5E"/>
    <w:rsid w:val="004C61D2"/>
    <w:rsid w:val="004F0C4A"/>
    <w:rsid w:val="004F0F38"/>
    <w:rsid w:val="004F47D6"/>
    <w:rsid w:val="00501921"/>
    <w:rsid w:val="005104EA"/>
    <w:rsid w:val="00511E8B"/>
    <w:rsid w:val="00530354"/>
    <w:rsid w:val="0053625B"/>
    <w:rsid w:val="005434C6"/>
    <w:rsid w:val="00543B39"/>
    <w:rsid w:val="00546154"/>
    <w:rsid w:val="00550096"/>
    <w:rsid w:val="00555280"/>
    <w:rsid w:val="00555779"/>
    <w:rsid w:val="0055797B"/>
    <w:rsid w:val="00557FF9"/>
    <w:rsid w:val="005622BF"/>
    <w:rsid w:val="005711D5"/>
    <w:rsid w:val="00576378"/>
    <w:rsid w:val="00576FA6"/>
    <w:rsid w:val="00577130"/>
    <w:rsid w:val="00577945"/>
    <w:rsid w:val="00577E38"/>
    <w:rsid w:val="00585322"/>
    <w:rsid w:val="005857C6"/>
    <w:rsid w:val="00592F6E"/>
    <w:rsid w:val="00593588"/>
    <w:rsid w:val="00593AD1"/>
    <w:rsid w:val="005A68B6"/>
    <w:rsid w:val="005C5570"/>
    <w:rsid w:val="005C79A4"/>
    <w:rsid w:val="005D5442"/>
    <w:rsid w:val="005F0593"/>
    <w:rsid w:val="00603F32"/>
    <w:rsid w:val="00605AD4"/>
    <w:rsid w:val="00625A6E"/>
    <w:rsid w:val="00632398"/>
    <w:rsid w:val="00640FC3"/>
    <w:rsid w:val="00642020"/>
    <w:rsid w:val="0065337B"/>
    <w:rsid w:val="0065419D"/>
    <w:rsid w:val="006604D8"/>
    <w:rsid w:val="00664A5B"/>
    <w:rsid w:val="0066735C"/>
    <w:rsid w:val="006763D2"/>
    <w:rsid w:val="00680C08"/>
    <w:rsid w:val="006931B1"/>
    <w:rsid w:val="006A15C0"/>
    <w:rsid w:val="006A2527"/>
    <w:rsid w:val="006A7F24"/>
    <w:rsid w:val="006C3E2A"/>
    <w:rsid w:val="006C642F"/>
    <w:rsid w:val="006D03E5"/>
    <w:rsid w:val="006D5D3E"/>
    <w:rsid w:val="006E08B3"/>
    <w:rsid w:val="006E3E56"/>
    <w:rsid w:val="006F17AC"/>
    <w:rsid w:val="006F25B8"/>
    <w:rsid w:val="006F46CE"/>
    <w:rsid w:val="006F572E"/>
    <w:rsid w:val="007046D6"/>
    <w:rsid w:val="00705DB0"/>
    <w:rsid w:val="007067AC"/>
    <w:rsid w:val="00722B57"/>
    <w:rsid w:val="00727B18"/>
    <w:rsid w:val="00730F8A"/>
    <w:rsid w:val="007342F4"/>
    <w:rsid w:val="00735A8C"/>
    <w:rsid w:val="00737073"/>
    <w:rsid w:val="0074253D"/>
    <w:rsid w:val="0074429B"/>
    <w:rsid w:val="007615BC"/>
    <w:rsid w:val="00762F05"/>
    <w:rsid w:val="007652FF"/>
    <w:rsid w:val="0077023F"/>
    <w:rsid w:val="00770EF1"/>
    <w:rsid w:val="00773EF7"/>
    <w:rsid w:val="00774E1D"/>
    <w:rsid w:val="007765D8"/>
    <w:rsid w:val="0077675A"/>
    <w:rsid w:val="00780355"/>
    <w:rsid w:val="007819FD"/>
    <w:rsid w:val="00785721"/>
    <w:rsid w:val="00785A23"/>
    <w:rsid w:val="00793A59"/>
    <w:rsid w:val="007A2E96"/>
    <w:rsid w:val="007B6132"/>
    <w:rsid w:val="007B6E9F"/>
    <w:rsid w:val="007C1216"/>
    <w:rsid w:val="007C1AF7"/>
    <w:rsid w:val="007C4024"/>
    <w:rsid w:val="007F620D"/>
    <w:rsid w:val="00805D27"/>
    <w:rsid w:val="00821776"/>
    <w:rsid w:val="008255A1"/>
    <w:rsid w:val="0082690C"/>
    <w:rsid w:val="008321F5"/>
    <w:rsid w:val="00832369"/>
    <w:rsid w:val="00834660"/>
    <w:rsid w:val="00836BC2"/>
    <w:rsid w:val="0085156D"/>
    <w:rsid w:val="0085641B"/>
    <w:rsid w:val="00857136"/>
    <w:rsid w:val="008652B5"/>
    <w:rsid w:val="008740AA"/>
    <w:rsid w:val="00885B11"/>
    <w:rsid w:val="0088637B"/>
    <w:rsid w:val="00886D15"/>
    <w:rsid w:val="00887DD8"/>
    <w:rsid w:val="00891BA9"/>
    <w:rsid w:val="00896018"/>
    <w:rsid w:val="008960DD"/>
    <w:rsid w:val="0089635C"/>
    <w:rsid w:val="008A2B9D"/>
    <w:rsid w:val="008A3D9F"/>
    <w:rsid w:val="008A5E0B"/>
    <w:rsid w:val="008A6D59"/>
    <w:rsid w:val="008B4B03"/>
    <w:rsid w:val="008B514D"/>
    <w:rsid w:val="008B596F"/>
    <w:rsid w:val="008C159F"/>
    <w:rsid w:val="008C1623"/>
    <w:rsid w:val="008C1850"/>
    <w:rsid w:val="008C51A9"/>
    <w:rsid w:val="008E7846"/>
    <w:rsid w:val="008F02E5"/>
    <w:rsid w:val="008F1CCC"/>
    <w:rsid w:val="008F2967"/>
    <w:rsid w:val="008F6943"/>
    <w:rsid w:val="00902A21"/>
    <w:rsid w:val="00920330"/>
    <w:rsid w:val="009219D7"/>
    <w:rsid w:val="00922D53"/>
    <w:rsid w:val="00923B70"/>
    <w:rsid w:val="00924482"/>
    <w:rsid w:val="009246EE"/>
    <w:rsid w:val="00930237"/>
    <w:rsid w:val="00940A89"/>
    <w:rsid w:val="00946EA5"/>
    <w:rsid w:val="00950915"/>
    <w:rsid w:val="00963C08"/>
    <w:rsid w:val="00973692"/>
    <w:rsid w:val="0098585A"/>
    <w:rsid w:val="009A4CED"/>
    <w:rsid w:val="009A6908"/>
    <w:rsid w:val="009A690D"/>
    <w:rsid w:val="009B1D12"/>
    <w:rsid w:val="009B416B"/>
    <w:rsid w:val="009C4BD5"/>
    <w:rsid w:val="009C6C4C"/>
    <w:rsid w:val="009D7B77"/>
    <w:rsid w:val="009E0BB0"/>
    <w:rsid w:val="009E3FBB"/>
    <w:rsid w:val="00A04F85"/>
    <w:rsid w:val="00A05FA4"/>
    <w:rsid w:val="00A102E4"/>
    <w:rsid w:val="00A12C42"/>
    <w:rsid w:val="00A14DF7"/>
    <w:rsid w:val="00A3246D"/>
    <w:rsid w:val="00A36FA7"/>
    <w:rsid w:val="00A44DDB"/>
    <w:rsid w:val="00A4517B"/>
    <w:rsid w:val="00A475B7"/>
    <w:rsid w:val="00A47AF7"/>
    <w:rsid w:val="00A47C3E"/>
    <w:rsid w:val="00A50226"/>
    <w:rsid w:val="00A60BAD"/>
    <w:rsid w:val="00A80B5B"/>
    <w:rsid w:val="00A84E36"/>
    <w:rsid w:val="00A964D1"/>
    <w:rsid w:val="00AA0ED0"/>
    <w:rsid w:val="00AC2B40"/>
    <w:rsid w:val="00AC2BB2"/>
    <w:rsid w:val="00AC2C3C"/>
    <w:rsid w:val="00AC512D"/>
    <w:rsid w:val="00AD0083"/>
    <w:rsid w:val="00AD3935"/>
    <w:rsid w:val="00AE65EB"/>
    <w:rsid w:val="00AE67A7"/>
    <w:rsid w:val="00AF1D94"/>
    <w:rsid w:val="00AF60C5"/>
    <w:rsid w:val="00B009C6"/>
    <w:rsid w:val="00B01548"/>
    <w:rsid w:val="00B13EBD"/>
    <w:rsid w:val="00B148FF"/>
    <w:rsid w:val="00B21D29"/>
    <w:rsid w:val="00B25034"/>
    <w:rsid w:val="00B33588"/>
    <w:rsid w:val="00B33863"/>
    <w:rsid w:val="00B37B36"/>
    <w:rsid w:val="00B37D17"/>
    <w:rsid w:val="00B4175E"/>
    <w:rsid w:val="00B452CE"/>
    <w:rsid w:val="00B54C25"/>
    <w:rsid w:val="00B70E14"/>
    <w:rsid w:val="00B76B91"/>
    <w:rsid w:val="00B77EB1"/>
    <w:rsid w:val="00B811C6"/>
    <w:rsid w:val="00B855B0"/>
    <w:rsid w:val="00B92E08"/>
    <w:rsid w:val="00BA1372"/>
    <w:rsid w:val="00BC3F83"/>
    <w:rsid w:val="00BC622A"/>
    <w:rsid w:val="00BE0A78"/>
    <w:rsid w:val="00BE79F0"/>
    <w:rsid w:val="00BF046D"/>
    <w:rsid w:val="00BF1190"/>
    <w:rsid w:val="00BF5D04"/>
    <w:rsid w:val="00C1164D"/>
    <w:rsid w:val="00C16861"/>
    <w:rsid w:val="00C21B0F"/>
    <w:rsid w:val="00C346AB"/>
    <w:rsid w:val="00C404A6"/>
    <w:rsid w:val="00C40A36"/>
    <w:rsid w:val="00C44419"/>
    <w:rsid w:val="00C45E7B"/>
    <w:rsid w:val="00C471B1"/>
    <w:rsid w:val="00C531D4"/>
    <w:rsid w:val="00C60B78"/>
    <w:rsid w:val="00C6316B"/>
    <w:rsid w:val="00C634A9"/>
    <w:rsid w:val="00C64586"/>
    <w:rsid w:val="00C70D53"/>
    <w:rsid w:val="00C73D0B"/>
    <w:rsid w:val="00C772FF"/>
    <w:rsid w:val="00C80137"/>
    <w:rsid w:val="00C801AF"/>
    <w:rsid w:val="00C80256"/>
    <w:rsid w:val="00C95499"/>
    <w:rsid w:val="00C9747E"/>
    <w:rsid w:val="00CA774C"/>
    <w:rsid w:val="00CB6BC0"/>
    <w:rsid w:val="00CC1B7C"/>
    <w:rsid w:val="00CC3888"/>
    <w:rsid w:val="00CC727F"/>
    <w:rsid w:val="00CF15C3"/>
    <w:rsid w:val="00CF2B6F"/>
    <w:rsid w:val="00CF2F3E"/>
    <w:rsid w:val="00CF58B6"/>
    <w:rsid w:val="00CF59C1"/>
    <w:rsid w:val="00D0062D"/>
    <w:rsid w:val="00D017ED"/>
    <w:rsid w:val="00D040D3"/>
    <w:rsid w:val="00D04C65"/>
    <w:rsid w:val="00D16F76"/>
    <w:rsid w:val="00D201D2"/>
    <w:rsid w:val="00D224FE"/>
    <w:rsid w:val="00D23139"/>
    <w:rsid w:val="00D248DD"/>
    <w:rsid w:val="00D425BB"/>
    <w:rsid w:val="00D43931"/>
    <w:rsid w:val="00D54A9F"/>
    <w:rsid w:val="00D6493E"/>
    <w:rsid w:val="00D7195D"/>
    <w:rsid w:val="00D72688"/>
    <w:rsid w:val="00D7301E"/>
    <w:rsid w:val="00D75578"/>
    <w:rsid w:val="00D83AE1"/>
    <w:rsid w:val="00D855D4"/>
    <w:rsid w:val="00D93466"/>
    <w:rsid w:val="00DA1124"/>
    <w:rsid w:val="00DB6124"/>
    <w:rsid w:val="00DB750B"/>
    <w:rsid w:val="00DB75B7"/>
    <w:rsid w:val="00DC6E02"/>
    <w:rsid w:val="00DE02AE"/>
    <w:rsid w:val="00DF1D7F"/>
    <w:rsid w:val="00DF3309"/>
    <w:rsid w:val="00DF4BE4"/>
    <w:rsid w:val="00E02FB4"/>
    <w:rsid w:val="00E13FC7"/>
    <w:rsid w:val="00E16769"/>
    <w:rsid w:val="00E20571"/>
    <w:rsid w:val="00E235F7"/>
    <w:rsid w:val="00E23659"/>
    <w:rsid w:val="00E239D4"/>
    <w:rsid w:val="00E26130"/>
    <w:rsid w:val="00E40B22"/>
    <w:rsid w:val="00E44ED1"/>
    <w:rsid w:val="00E45619"/>
    <w:rsid w:val="00E4588F"/>
    <w:rsid w:val="00E46DA3"/>
    <w:rsid w:val="00E51BB1"/>
    <w:rsid w:val="00E624A5"/>
    <w:rsid w:val="00E62510"/>
    <w:rsid w:val="00E630B8"/>
    <w:rsid w:val="00E64BA4"/>
    <w:rsid w:val="00E7344E"/>
    <w:rsid w:val="00E8193F"/>
    <w:rsid w:val="00EA1B9C"/>
    <w:rsid w:val="00EB0798"/>
    <w:rsid w:val="00EB40AD"/>
    <w:rsid w:val="00EB586E"/>
    <w:rsid w:val="00EB5FC8"/>
    <w:rsid w:val="00EC7A85"/>
    <w:rsid w:val="00ED3CAD"/>
    <w:rsid w:val="00ED5A41"/>
    <w:rsid w:val="00EE1DE8"/>
    <w:rsid w:val="00EE45CA"/>
    <w:rsid w:val="00EF24D1"/>
    <w:rsid w:val="00F033EC"/>
    <w:rsid w:val="00F04F68"/>
    <w:rsid w:val="00F07E28"/>
    <w:rsid w:val="00F12670"/>
    <w:rsid w:val="00F14B27"/>
    <w:rsid w:val="00F3148D"/>
    <w:rsid w:val="00F325C5"/>
    <w:rsid w:val="00F32FE0"/>
    <w:rsid w:val="00F35298"/>
    <w:rsid w:val="00F47333"/>
    <w:rsid w:val="00F47E37"/>
    <w:rsid w:val="00F53C07"/>
    <w:rsid w:val="00F54B65"/>
    <w:rsid w:val="00F559D9"/>
    <w:rsid w:val="00F640B6"/>
    <w:rsid w:val="00F70431"/>
    <w:rsid w:val="00F80E40"/>
    <w:rsid w:val="00F848D9"/>
    <w:rsid w:val="00F9323D"/>
    <w:rsid w:val="00F95AEB"/>
    <w:rsid w:val="00FA1639"/>
    <w:rsid w:val="00FA5B82"/>
    <w:rsid w:val="00FA639E"/>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60B78"/>
    <w:pPr>
      <w:spacing w:before="120" w:after="120" w:line="240" w:lineRule="atLeast"/>
    </w:pPr>
    <w:rPr>
      <w:sz w:val="22"/>
      <w:szCs w:val="22"/>
      <w:lang w:eastAsia="en-US"/>
    </w:rPr>
  </w:style>
  <w:style w:type="paragraph" w:styleId="Heading1">
    <w:name w:val="heading 1"/>
    <w:basedOn w:val="Heading2"/>
    <w:next w:val="Normal"/>
    <w:link w:val="Heading1Char"/>
    <w:rsid w:val="000C690F"/>
    <w:pPr>
      <w:spacing w:before="120" w:after="360"/>
      <w:outlineLvl w:val="0"/>
    </w:pPr>
    <w:rPr>
      <w:rFonts w:cs="Arial"/>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rPr>
  </w:style>
  <w:style w:type="character" w:customStyle="1" w:styleId="Heading2Char">
    <w:name w:val="Heading 2 Char"/>
    <w:link w:val="Heading2"/>
    <w:rsid w:val="00AD3935"/>
    <w:rPr>
      <w:rFonts w:ascii="Arial" w:eastAsia="Times New Roman" w:hAnsi="Arial" w:cs="Times New Roman"/>
      <w:b/>
      <w:bCs/>
      <w:sz w:val="32"/>
      <w:szCs w:val="26"/>
    </w:rPr>
  </w:style>
  <w:style w:type="character" w:customStyle="1" w:styleId="Heading3Char">
    <w:name w:val="Heading 3 Char"/>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link w:val="Heading4"/>
    <w:rsid w:val="00AD3935"/>
    <w:rPr>
      <w:rFonts w:ascii="Cambria" w:eastAsia="Cambria" w:hAnsi="Cambria" w:cs="Times New Roman"/>
      <w:b/>
      <w:bCs/>
      <w:szCs w:val="21"/>
    </w:rPr>
  </w:style>
  <w:style w:type="character" w:styleId="FollowedHyperlink">
    <w:name w:val="FollowedHyperlink"/>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rsid w:val="00AD3935"/>
    <w:rPr>
      <w:rFonts w:ascii="Cambria" w:eastAsia="Times New Roman" w:hAnsi="Cambria" w:cs="Times New Roman"/>
      <w:b/>
      <w:bCs/>
      <w:i/>
      <w:color w:val="001523"/>
      <w:szCs w:val="21"/>
    </w:rPr>
  </w:style>
  <w:style w:type="character" w:customStyle="1" w:styleId="Heading6Char">
    <w:name w:val="Heading 6 Char"/>
    <w:link w:val="Heading6"/>
    <w:uiPriority w:val="9"/>
    <w:rsid w:val="00577130"/>
    <w:rPr>
      <w:rFonts w:ascii="Cambria" w:eastAsia="Times New Roman" w:hAnsi="Cambria" w:cs="Times New Roman"/>
      <w:bCs/>
      <w:i/>
      <w:szCs w:val="21"/>
    </w:rPr>
  </w:style>
  <w:style w:type="character" w:customStyle="1" w:styleId="Heading7Char">
    <w:name w:val="Heading 7 Char"/>
    <w:link w:val="Heading7"/>
    <w:uiPriority w:val="9"/>
    <w:rsid w:val="00AD0083"/>
    <w:rPr>
      <w:rFonts w:ascii="Cambria" w:eastAsia="Times New Roman" w:hAnsi="Cambria" w:cs="Times New Roman"/>
      <w:bCs/>
      <w:sz w:val="18"/>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C60B78"/>
    <w:pPr>
      <w:framePr w:hSpace="180" w:wrap="around" w:vAnchor="page" w:hAnchor="text" w:y="3316"/>
      <w:numPr>
        <w:ilvl w:val="1"/>
      </w:numPr>
      <w:spacing w:after="360"/>
      <w:ind w:left="170"/>
    </w:pPr>
    <w:rPr>
      <w:rFonts w:ascii="Arial" w:eastAsia="Times New Roman" w:hAnsi="Arial"/>
      <w:bCs/>
      <w:iCs/>
      <w:color w:val="FFFFFF"/>
      <w:sz w:val="40"/>
      <w:szCs w:val="24"/>
    </w:rPr>
  </w:style>
  <w:style w:type="character" w:customStyle="1" w:styleId="SubtitleChar">
    <w:name w:val="Subtitle Char"/>
    <w:link w:val="Subtitle"/>
    <w:uiPriority w:val="11"/>
    <w:rsid w:val="00C60B78"/>
    <w:rPr>
      <w:rFonts w:ascii="Arial" w:eastAsia="Times New Roman" w:hAnsi="Arial"/>
      <w:bCs/>
      <w:iCs/>
      <w:color w:val="FFFFFF"/>
      <w:sz w:val="40"/>
      <w:szCs w:val="24"/>
      <w:lang w:eastAsia="en-US"/>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ind w:left="170" w:right="170"/>
    </w:pPr>
    <w:rPr>
      <w:color w:val="000000"/>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60B78"/>
    <w:pPr>
      <w:framePr w:hSpace="180" w:wrap="around" w:vAnchor="page" w:hAnchor="text" w:y="3316"/>
      <w:spacing w:after="480"/>
      <w:contextualSpacing/>
    </w:pPr>
    <w:rPr>
      <w:rFonts w:ascii="Arial" w:eastAsia="Times New Roman" w:hAnsi="Arial"/>
      <w:color w:val="FFFFFF"/>
      <w:spacing w:val="5"/>
      <w:kern w:val="28"/>
      <w:sz w:val="52"/>
      <w:szCs w:val="52"/>
      <w:lang w:eastAsia="en-US"/>
    </w:rPr>
  </w:style>
  <w:style w:type="character" w:customStyle="1" w:styleId="TitleChar">
    <w:name w:val="Title Char"/>
    <w:link w:val="Title"/>
    <w:uiPriority w:val="10"/>
    <w:rsid w:val="00C60B78"/>
    <w:rPr>
      <w:rFonts w:ascii="Arial" w:eastAsia="Times New Roman" w:hAnsi="Arial"/>
      <w:color w:val="FFFFFF"/>
      <w:spacing w:val="5"/>
      <w:kern w:val="28"/>
      <w:sz w:val="52"/>
      <w:szCs w:val="52"/>
      <w:lang w:eastAsia="en-US"/>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link w:val="FootnoteText"/>
    <w:rsid w:val="001B5C90"/>
    <w:rPr>
      <w:rFonts w:ascii="Cambria" w:eastAsia="Cambria" w:hAnsi="Cambria" w:cs="Times New Roman"/>
      <w:sz w:val="18"/>
      <w:szCs w:val="20"/>
    </w:rPr>
  </w:style>
  <w:style w:type="character" w:styleId="FootnoteReference">
    <w:name w:val="footnote reference"/>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PMingLiU"/>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link w:val="EndnoteText"/>
    <w:uiPriority w:val="99"/>
    <w:semiHidden/>
    <w:rsid w:val="000E6196"/>
    <w:rPr>
      <w:rFonts w:ascii="Cambria" w:eastAsia="Cambria" w:hAnsi="Cambria" w:cs="Times New Roman"/>
      <w:sz w:val="20"/>
      <w:szCs w:val="20"/>
    </w:rPr>
  </w:style>
  <w:style w:type="character" w:styleId="EndnoteReference">
    <w:name w:val="endnote reference"/>
    <w:uiPriority w:val="99"/>
    <w:semiHidden/>
    <w:unhideWhenUsed/>
    <w:rsid w:val="000E6196"/>
    <w:rPr>
      <w:vertAlign w:val="superscript"/>
    </w:rPr>
  </w:style>
  <w:style w:type="paragraph" w:customStyle="1" w:styleId="Bulletpoint">
    <w:name w:val="Bullet point"/>
    <w:basedOn w:val="Normal"/>
    <w:rsid w:val="00016899"/>
    <w:pPr>
      <w:numPr>
        <w:numId w:val="6"/>
      </w:numPr>
      <w:tabs>
        <w:tab w:val="clear" w:pos="369"/>
        <w:tab w:val="left" w:pos="397"/>
        <w:tab w:val="num" w:pos="511"/>
        <w:tab w:val="num" w:pos="926"/>
      </w:tabs>
      <w:snapToGrid w:val="0"/>
      <w:spacing w:before="0" w:after="180" w:line="252" w:lineRule="auto"/>
      <w:ind w:left="926" w:hanging="360"/>
    </w:pPr>
    <w:rPr>
      <w:rFonts w:eastAsia="Times New Roman"/>
      <w:kern w:val="16"/>
      <w:szCs w:val="24"/>
    </w:rPr>
  </w:style>
  <w:style w:type="paragraph" w:styleId="ListParagraph">
    <w:name w:val="List Paragraph"/>
    <w:basedOn w:val="Normal"/>
    <w:uiPriority w:val="34"/>
    <w:qFormat/>
    <w:rsid w:val="00016899"/>
    <w:pPr>
      <w:adjustRightInd w:val="0"/>
      <w:snapToGrid w:val="0"/>
      <w:spacing w:before="180" w:after="180"/>
      <w:ind w:left="720"/>
      <w:contextualSpacing/>
    </w:pPr>
    <w:rPr>
      <w:rFonts w:eastAsia="MS Mincho"/>
      <w:szCs w:val="20"/>
      <w:lang w:eastAsia="ja-JP"/>
    </w:rPr>
  </w:style>
  <w:style w:type="paragraph" w:customStyle="1" w:styleId="Comment1">
    <w:name w:val="Comment 1"/>
    <w:basedOn w:val="Normal"/>
    <w:next w:val="Normal"/>
    <w:qFormat/>
    <w:rsid w:val="00016899"/>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Bullet2">
    <w:name w:val="Bullet 2"/>
    <w:basedOn w:val="Normal"/>
    <w:rsid w:val="00016899"/>
    <w:pPr>
      <w:numPr>
        <w:numId w:val="7"/>
      </w:numPr>
      <w:spacing w:after="0" w:line="240" w:lineRule="auto"/>
    </w:pPr>
    <w:rPr>
      <w:rFonts w:eastAsia="Times New Roman"/>
      <w:kern w:val="24"/>
      <w:szCs w:val="24"/>
      <w:lang w:eastAsia="en-AU"/>
    </w:rPr>
  </w:style>
  <w:style w:type="paragraph" w:customStyle="1" w:styleId="Comment2">
    <w:name w:val="Comment 2"/>
    <w:basedOn w:val="Normal"/>
    <w:qFormat/>
    <w:rsid w:val="00016899"/>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character" w:customStyle="1" w:styleId="StandardChar">
    <w:name w:val="Standard Char"/>
    <w:link w:val="Standard"/>
    <w:locked/>
    <w:rsid w:val="00D75578"/>
    <w:rPr>
      <w:rFonts w:ascii="Cambria" w:eastAsia="Times New Roman" w:hAnsi="Cambria" w:cs="Times New Roman"/>
      <w:kern w:val="16"/>
      <w:szCs w:val="24"/>
    </w:rPr>
  </w:style>
  <w:style w:type="paragraph" w:customStyle="1" w:styleId="Standard">
    <w:name w:val="Standard"/>
    <w:basedOn w:val="Normal"/>
    <w:link w:val="StandardChar"/>
    <w:qFormat/>
    <w:rsid w:val="00D75578"/>
    <w:pPr>
      <w:snapToGrid w:val="0"/>
      <w:spacing w:before="0" w:after="220" w:line="252" w:lineRule="auto"/>
    </w:pPr>
    <w:rPr>
      <w:rFonts w:eastAsia="Times New Roman"/>
      <w:kern w:val="16"/>
      <w:szCs w:val="24"/>
    </w:rPr>
  </w:style>
  <w:style w:type="paragraph" w:customStyle="1" w:styleId="AssessmentSection">
    <w:name w:val="Assessment Section"/>
    <w:basedOn w:val="Normal"/>
    <w:next w:val="Standard"/>
    <w:rsid w:val="00D75578"/>
    <w:pPr>
      <w:keepNext/>
      <w:snapToGrid w:val="0"/>
      <w:spacing w:before="0" w:after="110" w:line="252" w:lineRule="auto"/>
      <w:outlineLvl w:val="1"/>
    </w:pPr>
    <w:rPr>
      <w:rFonts w:eastAsia="Times New Roman"/>
      <w:b/>
      <w:kern w:val="16"/>
      <w:szCs w:val="24"/>
    </w:rPr>
  </w:style>
  <w:style w:type="character" w:customStyle="1" w:styleId="TabletextChar">
    <w:name w:val="Table text Char"/>
    <w:link w:val="Tabletext"/>
    <w:locked/>
    <w:rsid w:val="00D75578"/>
    <w:rPr>
      <w:rFonts w:ascii="Cambria" w:eastAsia="Cambria" w:hAnsi="Cambria" w:cs="Times New Roman"/>
      <w:sz w:val="19"/>
    </w:rPr>
  </w:style>
  <w:style w:type="character" w:customStyle="1" w:styleId="WhiteSpaceChar">
    <w:name w:val="White Space Char"/>
    <w:link w:val="WhiteSpace"/>
    <w:locked/>
    <w:rsid w:val="00D75578"/>
    <w:rPr>
      <w:rFonts w:ascii="Cambria" w:eastAsia="Cambria" w:hAnsi="Cambria" w:cs="Times New Roman"/>
      <w:sz w:val="16"/>
      <w:szCs w:val="16"/>
    </w:rPr>
  </w:style>
  <w:style w:type="paragraph" w:customStyle="1" w:styleId="WhiteSpace">
    <w:name w:val="White Space"/>
    <w:basedOn w:val="Standard"/>
    <w:next w:val="Standard"/>
    <w:link w:val="WhiteSpaceChar"/>
    <w:rsid w:val="00D75578"/>
    <w:pPr>
      <w:spacing w:after="0"/>
    </w:pPr>
    <w:rPr>
      <w:rFonts w:eastAsia="Cambria"/>
      <w:kern w:val="0"/>
      <w:sz w:val="16"/>
      <w:szCs w:val="16"/>
    </w:rPr>
  </w:style>
  <w:style w:type="paragraph" w:customStyle="1" w:styleId="AssessmentSubsection">
    <w:name w:val="Assessment Subsection"/>
    <w:basedOn w:val="Standard"/>
    <w:next w:val="Standard"/>
    <w:rsid w:val="00D75578"/>
    <w:pPr>
      <w:keepNext/>
      <w:spacing w:after="110"/>
      <w:outlineLvl w:val="2"/>
    </w:pPr>
    <w:rPr>
      <w:b/>
      <w:i/>
    </w:rPr>
  </w:style>
  <w:style w:type="paragraph" w:customStyle="1" w:styleId="AssessmentSubsection2">
    <w:name w:val="Assessment Subsection 2"/>
    <w:basedOn w:val="AssessmentSubsection"/>
    <w:next w:val="Standard"/>
    <w:rsid w:val="00D75578"/>
    <w:pPr>
      <w:outlineLvl w:val="3"/>
    </w:pPr>
    <w:rPr>
      <w:b w:val="0"/>
    </w:rPr>
  </w:style>
  <w:style w:type="character" w:customStyle="1" w:styleId="TableTitleChar">
    <w:name w:val="Table Title Char"/>
    <w:link w:val="TableTitle"/>
    <w:locked/>
    <w:rsid w:val="00D75578"/>
    <w:rPr>
      <w:rFonts w:ascii="Cambria" w:eastAsia="Cambria" w:hAnsi="Cambria" w:cs="Times New Roman"/>
      <w:b/>
      <w:kern w:val="16"/>
      <w:szCs w:val="24"/>
    </w:rPr>
  </w:style>
  <w:style w:type="character" w:customStyle="1" w:styleId="SectionHeadingCharChar">
    <w:name w:val="Section Heading Char Char"/>
    <w:link w:val="SectionHeading"/>
    <w:locked/>
    <w:rsid w:val="0088637B"/>
    <w:rPr>
      <w:rFonts w:ascii="Cambria" w:eastAsia="Times New Roman" w:hAnsi="Cambria" w:cs="Times New Roman"/>
      <w:b/>
      <w:caps/>
      <w:kern w:val="16"/>
      <w:sz w:val="24"/>
      <w:szCs w:val="24"/>
    </w:rPr>
  </w:style>
  <w:style w:type="paragraph" w:customStyle="1" w:styleId="SectionHeading">
    <w:name w:val="Section Heading"/>
    <w:basedOn w:val="Normal"/>
    <w:next w:val="Normal"/>
    <w:link w:val="SectionHeadingCharChar"/>
    <w:rsid w:val="0088637B"/>
    <w:pPr>
      <w:keepNext/>
      <w:snapToGrid w:val="0"/>
      <w:spacing w:before="0" w:after="220" w:line="252" w:lineRule="auto"/>
      <w:outlineLvl w:val="0"/>
    </w:pPr>
    <w:rPr>
      <w:rFonts w:eastAsia="Times New Roman"/>
      <w:b/>
      <w:caps/>
      <w:kern w:val="16"/>
      <w:sz w:val="24"/>
      <w:szCs w:val="24"/>
    </w:rPr>
  </w:style>
  <w:style w:type="paragraph" w:customStyle="1" w:styleId="Bullet1">
    <w:name w:val="Bullet 1"/>
    <w:basedOn w:val="Normal"/>
    <w:rsid w:val="00C21B0F"/>
    <w:pPr>
      <w:numPr>
        <w:numId w:val="15"/>
      </w:numPr>
      <w:spacing w:after="0" w:line="240" w:lineRule="auto"/>
    </w:pPr>
    <w:rPr>
      <w:rFonts w:eastAsia="Times New Roman"/>
      <w:kern w:val="24"/>
      <w:szCs w:val="24"/>
      <w:lang w:eastAsia="en-AU"/>
    </w:rPr>
  </w:style>
  <w:style w:type="character" w:customStyle="1" w:styleId="st1">
    <w:name w:val="st1"/>
    <w:basedOn w:val="DefaultParagraphFont"/>
    <w:rsid w:val="00190D26"/>
  </w:style>
  <w:style w:type="table" w:customStyle="1" w:styleId="TableTGAblue1">
    <w:name w:val="Table TGA blue1"/>
    <w:basedOn w:val="TableNormal"/>
    <w:uiPriority w:val="99"/>
    <w:qFormat/>
    <w:rsid w:val="00190D26"/>
    <w:rPr>
      <w:color w:val="000000"/>
      <w:szCs w:val="21"/>
    </w:rPr>
    <w:tblPr>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wordWrap/>
      </w:pPr>
      <w:rPr>
        <w:rFonts w:ascii="Cambria" w:hAnsi="Cambria" w:hint="default"/>
        <w:b/>
        <w:color w:val="FFFFFF"/>
        <w:sz w:val="22"/>
        <w:szCs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paragraph" w:customStyle="1" w:styleId="Default">
    <w:name w:val="Default"/>
    <w:rsid w:val="00190D26"/>
    <w:pPr>
      <w:autoSpaceDE w:val="0"/>
      <w:autoSpaceDN w:val="0"/>
      <w:adjustRightInd w:val="0"/>
    </w:pPr>
    <w:rPr>
      <w:rFonts w:ascii="Times New Roman" w:hAnsi="Times New Roman"/>
      <w:color w:val="000000"/>
      <w:sz w:val="24"/>
      <w:szCs w:val="24"/>
      <w:lang w:eastAsia="en-US"/>
    </w:rPr>
  </w:style>
  <w:style w:type="character" w:styleId="Emphasis">
    <w:name w:val="Emphasis"/>
    <w:uiPriority w:val="20"/>
    <w:qFormat/>
    <w:rsid w:val="000A20FE"/>
    <w:rPr>
      <w:b/>
      <w:bCs/>
      <w:i w:val="0"/>
      <w:iCs w:val="0"/>
    </w:rPr>
  </w:style>
  <w:style w:type="table" w:customStyle="1" w:styleId="LightList-Accent11">
    <w:name w:val="Light List - Accent 11"/>
    <w:basedOn w:val="TableNormal"/>
    <w:uiPriority w:val="61"/>
    <w:rsid w:val="00D54A9F"/>
    <w:rPr>
      <w:rFonts w:ascii="Times New Roman" w:eastAsia="Times New Roman" w:hAnsi="Times New Roman"/>
    </w:rPr>
    <w:tblPr>
      <w:tblStyleRowBandSize w:val="1"/>
      <w:tblStyleColBandSize w:val="1"/>
      <w:tblBorders>
        <w:top w:val="single" w:sz="8" w:space="0" w:color="002C47"/>
        <w:left w:val="single" w:sz="8" w:space="0" w:color="002C47"/>
        <w:bottom w:val="single" w:sz="8" w:space="0" w:color="002C47"/>
        <w:right w:val="single" w:sz="8" w:space="0" w:color="002C47"/>
      </w:tblBorders>
    </w:tblPr>
    <w:tblStylePr w:type="firstRow">
      <w:pPr>
        <w:spacing w:before="0" w:after="0" w:line="240" w:lineRule="auto"/>
      </w:pPr>
      <w:rPr>
        <w:b/>
        <w:bCs/>
        <w:color w:val="FFFFFF"/>
      </w:rPr>
      <w:tblPr/>
      <w:tcPr>
        <w:shd w:val="clear" w:color="auto" w:fill="002C47"/>
      </w:tcPr>
    </w:tblStylePr>
    <w:tblStylePr w:type="lastRow">
      <w:pPr>
        <w:spacing w:before="0" w:after="0" w:line="240" w:lineRule="auto"/>
      </w:pPr>
      <w:rPr>
        <w:b/>
        <w:bCs/>
      </w:rPr>
      <w:tblPr/>
      <w:tcPr>
        <w:tcBorders>
          <w:top w:val="double" w:sz="6" w:space="0" w:color="002C47"/>
          <w:left w:val="single" w:sz="8" w:space="0" w:color="002C47"/>
          <w:bottom w:val="single" w:sz="8" w:space="0" w:color="002C47"/>
          <w:right w:val="single" w:sz="8" w:space="0" w:color="002C47"/>
        </w:tcBorders>
      </w:tcPr>
    </w:tblStylePr>
    <w:tblStylePr w:type="firstCol">
      <w:rPr>
        <w:b/>
        <w:bCs/>
      </w:rPr>
    </w:tblStylePr>
    <w:tblStylePr w:type="lastCol">
      <w:rPr>
        <w:b/>
        <w:bCs/>
      </w:rPr>
    </w:tblStylePr>
    <w:tblStylePr w:type="band1Vert">
      <w:tblPr/>
      <w:tcPr>
        <w:tcBorders>
          <w:top w:val="single" w:sz="8" w:space="0" w:color="002C47"/>
          <w:left w:val="single" w:sz="8" w:space="0" w:color="002C47"/>
          <w:bottom w:val="single" w:sz="8" w:space="0" w:color="002C47"/>
          <w:right w:val="single" w:sz="8" w:space="0" w:color="002C47"/>
        </w:tcBorders>
      </w:tcPr>
    </w:tblStylePr>
    <w:tblStylePr w:type="band1Horz">
      <w:tblPr/>
      <w:tcPr>
        <w:tcBorders>
          <w:top w:val="single" w:sz="8" w:space="0" w:color="002C47"/>
          <w:left w:val="single" w:sz="8" w:space="0" w:color="002C47"/>
          <w:bottom w:val="single" w:sz="8" w:space="0" w:color="002C47"/>
          <w:right w:val="single" w:sz="8" w:space="0" w:color="002C47"/>
        </w:tcBorders>
      </w:tcPr>
    </w:tblStylePr>
  </w:style>
  <w:style w:type="table" w:styleId="LightList-Accent3">
    <w:name w:val="Light List Accent 3"/>
    <w:basedOn w:val="TableNormal"/>
    <w:uiPriority w:val="61"/>
    <w:rsid w:val="005622BF"/>
    <w:tblPr>
      <w:tblStyleRowBandSize w:val="1"/>
      <w:tblStyleColBandSize w:val="1"/>
      <w:tblBorders>
        <w:top w:val="single" w:sz="8" w:space="0" w:color="006DA7"/>
        <w:left w:val="single" w:sz="8" w:space="0" w:color="006DA7"/>
        <w:bottom w:val="single" w:sz="8" w:space="0" w:color="006DA7"/>
        <w:right w:val="single" w:sz="8" w:space="0" w:color="006DA7"/>
      </w:tblBorders>
    </w:tblPr>
    <w:tblStylePr w:type="firstRow">
      <w:pPr>
        <w:spacing w:before="0" w:after="0" w:line="240" w:lineRule="auto"/>
      </w:pPr>
      <w:rPr>
        <w:b/>
        <w:bCs/>
        <w:color w:val="FFFFFF"/>
      </w:rPr>
      <w:tblPr/>
      <w:tcPr>
        <w:shd w:val="clear" w:color="auto" w:fill="006DA7"/>
      </w:tcPr>
    </w:tblStylePr>
    <w:tblStylePr w:type="lastRow">
      <w:pPr>
        <w:spacing w:before="0" w:after="0" w:line="240" w:lineRule="auto"/>
      </w:pPr>
      <w:rPr>
        <w:b/>
        <w:bCs/>
      </w:rPr>
      <w:tblPr/>
      <w:tcPr>
        <w:tcBorders>
          <w:top w:val="double" w:sz="6" w:space="0" w:color="006DA7"/>
          <w:left w:val="single" w:sz="8" w:space="0" w:color="006DA7"/>
          <w:bottom w:val="single" w:sz="8" w:space="0" w:color="006DA7"/>
          <w:right w:val="single" w:sz="8" w:space="0" w:color="006DA7"/>
        </w:tcBorders>
      </w:tcPr>
    </w:tblStylePr>
    <w:tblStylePr w:type="firstCol">
      <w:rPr>
        <w:b/>
        <w:bCs/>
      </w:rPr>
    </w:tblStylePr>
    <w:tblStylePr w:type="lastCol">
      <w:rPr>
        <w:b/>
        <w:bCs/>
      </w:rPr>
    </w:tblStylePr>
    <w:tblStylePr w:type="band1Vert">
      <w:tblPr/>
      <w:tcPr>
        <w:tcBorders>
          <w:top w:val="single" w:sz="8" w:space="0" w:color="006DA7"/>
          <w:left w:val="single" w:sz="8" w:space="0" w:color="006DA7"/>
          <w:bottom w:val="single" w:sz="8" w:space="0" w:color="006DA7"/>
          <w:right w:val="single" w:sz="8" w:space="0" w:color="006DA7"/>
        </w:tcBorders>
      </w:tcPr>
    </w:tblStylePr>
    <w:tblStylePr w:type="band1Horz">
      <w:tblPr/>
      <w:tcPr>
        <w:tcBorders>
          <w:top w:val="single" w:sz="8" w:space="0" w:color="006DA7"/>
          <w:left w:val="single" w:sz="8" w:space="0" w:color="006DA7"/>
          <w:bottom w:val="single" w:sz="8" w:space="0" w:color="006DA7"/>
          <w:right w:val="single" w:sz="8" w:space="0" w:color="006DA7"/>
        </w:tcBorders>
      </w:tcPr>
    </w:tblStylePr>
  </w:style>
  <w:style w:type="paragraph" w:customStyle="1" w:styleId="TableHeader">
    <w:name w:val="Table Header"/>
    <w:basedOn w:val="Normal"/>
    <w:rsid w:val="005622BF"/>
    <w:pPr>
      <w:keepNext/>
      <w:keepLines/>
      <w:widowControl w:val="0"/>
      <w:spacing w:before="60" w:after="60" w:line="200" w:lineRule="exact"/>
      <w:jc w:val="center"/>
    </w:pPr>
    <w:rPr>
      <w:rFonts w:eastAsia="MS Mincho"/>
      <w:b/>
      <w:kern w:val="2"/>
      <w:sz w:val="19"/>
      <w:szCs w:val="19"/>
    </w:rPr>
  </w:style>
  <w:style w:type="paragraph" w:customStyle="1" w:styleId="TableCaption">
    <w:name w:val="Table Caption"/>
    <w:basedOn w:val="Normal"/>
    <w:next w:val="Normal"/>
    <w:link w:val="TableCaptionChar"/>
    <w:rsid w:val="006F46CE"/>
    <w:pPr>
      <w:spacing w:before="60" w:after="440" w:line="215" w:lineRule="exact"/>
      <w:ind w:left="170"/>
    </w:pPr>
    <w:rPr>
      <w:rFonts w:eastAsia="Times New Roman"/>
      <w:snapToGrid w:val="0"/>
      <w:kern w:val="16"/>
      <w:sz w:val="18"/>
      <w:szCs w:val="19"/>
    </w:rPr>
  </w:style>
  <w:style w:type="character" w:customStyle="1" w:styleId="TableCaptionChar">
    <w:name w:val="Table Caption Char"/>
    <w:link w:val="TableCaption"/>
    <w:rsid w:val="006F46CE"/>
    <w:rPr>
      <w:rFonts w:ascii="Cambria" w:eastAsia="Times New Roman" w:hAnsi="Cambria" w:cs="Times New Roman"/>
      <w:snapToGrid w:val="0"/>
      <w:kern w:val="16"/>
      <w:sz w:val="18"/>
      <w:szCs w:val="19"/>
    </w:rPr>
  </w:style>
  <w:style w:type="character" w:styleId="CommentReference">
    <w:name w:val="annotation reference"/>
    <w:uiPriority w:val="99"/>
    <w:semiHidden/>
    <w:unhideWhenUsed/>
    <w:rsid w:val="00BA1372"/>
    <w:rPr>
      <w:sz w:val="16"/>
      <w:szCs w:val="16"/>
    </w:rPr>
  </w:style>
  <w:style w:type="paragraph" w:styleId="CommentText">
    <w:name w:val="annotation text"/>
    <w:basedOn w:val="Normal"/>
    <w:link w:val="CommentTextChar"/>
    <w:uiPriority w:val="99"/>
    <w:semiHidden/>
    <w:unhideWhenUsed/>
    <w:rsid w:val="00BA1372"/>
    <w:pPr>
      <w:spacing w:line="240" w:lineRule="auto"/>
    </w:pPr>
    <w:rPr>
      <w:sz w:val="20"/>
      <w:szCs w:val="20"/>
    </w:rPr>
  </w:style>
  <w:style w:type="character" w:customStyle="1" w:styleId="CommentTextChar">
    <w:name w:val="Comment Text Char"/>
    <w:link w:val="CommentText"/>
    <w:uiPriority w:val="99"/>
    <w:semiHidden/>
    <w:rsid w:val="00BA1372"/>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A1372"/>
    <w:rPr>
      <w:b/>
      <w:bCs/>
    </w:rPr>
  </w:style>
  <w:style w:type="character" w:customStyle="1" w:styleId="CommentSubjectChar">
    <w:name w:val="Comment Subject Char"/>
    <w:link w:val="CommentSubject"/>
    <w:uiPriority w:val="99"/>
    <w:semiHidden/>
    <w:rsid w:val="00BA1372"/>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60B78"/>
    <w:pPr>
      <w:spacing w:before="120" w:after="120" w:line="240" w:lineRule="atLeast"/>
    </w:pPr>
    <w:rPr>
      <w:sz w:val="22"/>
      <w:szCs w:val="22"/>
      <w:lang w:eastAsia="en-US"/>
    </w:rPr>
  </w:style>
  <w:style w:type="paragraph" w:styleId="Heading1">
    <w:name w:val="heading 1"/>
    <w:basedOn w:val="Heading2"/>
    <w:next w:val="Normal"/>
    <w:link w:val="Heading1Char"/>
    <w:rsid w:val="000C690F"/>
    <w:pPr>
      <w:spacing w:before="120" w:after="360"/>
      <w:outlineLvl w:val="0"/>
    </w:pPr>
    <w:rPr>
      <w:rFonts w:cs="Arial"/>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rPr>
  </w:style>
  <w:style w:type="character" w:customStyle="1" w:styleId="Heading2Char">
    <w:name w:val="Heading 2 Char"/>
    <w:link w:val="Heading2"/>
    <w:rsid w:val="00AD3935"/>
    <w:rPr>
      <w:rFonts w:ascii="Arial" w:eastAsia="Times New Roman" w:hAnsi="Arial" w:cs="Times New Roman"/>
      <w:b/>
      <w:bCs/>
      <w:sz w:val="32"/>
      <w:szCs w:val="26"/>
    </w:rPr>
  </w:style>
  <w:style w:type="character" w:customStyle="1" w:styleId="Heading3Char">
    <w:name w:val="Heading 3 Char"/>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link w:val="Heading4"/>
    <w:rsid w:val="00AD3935"/>
    <w:rPr>
      <w:rFonts w:ascii="Cambria" w:eastAsia="Cambria" w:hAnsi="Cambria" w:cs="Times New Roman"/>
      <w:b/>
      <w:bCs/>
      <w:szCs w:val="21"/>
    </w:rPr>
  </w:style>
  <w:style w:type="character" w:styleId="FollowedHyperlink">
    <w:name w:val="FollowedHyperlink"/>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rsid w:val="00AD3935"/>
    <w:rPr>
      <w:rFonts w:ascii="Cambria" w:eastAsia="Times New Roman" w:hAnsi="Cambria" w:cs="Times New Roman"/>
      <w:b/>
      <w:bCs/>
      <w:i/>
      <w:color w:val="001523"/>
      <w:szCs w:val="21"/>
    </w:rPr>
  </w:style>
  <w:style w:type="character" w:customStyle="1" w:styleId="Heading6Char">
    <w:name w:val="Heading 6 Char"/>
    <w:link w:val="Heading6"/>
    <w:uiPriority w:val="9"/>
    <w:rsid w:val="00577130"/>
    <w:rPr>
      <w:rFonts w:ascii="Cambria" w:eastAsia="Times New Roman" w:hAnsi="Cambria" w:cs="Times New Roman"/>
      <w:bCs/>
      <w:i/>
      <w:szCs w:val="21"/>
    </w:rPr>
  </w:style>
  <w:style w:type="character" w:customStyle="1" w:styleId="Heading7Char">
    <w:name w:val="Heading 7 Char"/>
    <w:link w:val="Heading7"/>
    <w:uiPriority w:val="9"/>
    <w:rsid w:val="00AD0083"/>
    <w:rPr>
      <w:rFonts w:ascii="Cambria" w:eastAsia="Times New Roman" w:hAnsi="Cambria" w:cs="Times New Roman"/>
      <w:bCs/>
      <w:sz w:val="18"/>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C60B78"/>
    <w:pPr>
      <w:framePr w:hSpace="180" w:wrap="around" w:vAnchor="page" w:hAnchor="text" w:y="3316"/>
      <w:numPr>
        <w:ilvl w:val="1"/>
      </w:numPr>
      <w:spacing w:after="360"/>
      <w:ind w:left="170"/>
    </w:pPr>
    <w:rPr>
      <w:rFonts w:ascii="Arial" w:eastAsia="Times New Roman" w:hAnsi="Arial"/>
      <w:bCs/>
      <w:iCs/>
      <w:color w:val="FFFFFF"/>
      <w:sz w:val="40"/>
      <w:szCs w:val="24"/>
    </w:rPr>
  </w:style>
  <w:style w:type="character" w:customStyle="1" w:styleId="SubtitleChar">
    <w:name w:val="Subtitle Char"/>
    <w:link w:val="Subtitle"/>
    <w:uiPriority w:val="11"/>
    <w:rsid w:val="00C60B78"/>
    <w:rPr>
      <w:rFonts w:ascii="Arial" w:eastAsia="Times New Roman" w:hAnsi="Arial"/>
      <w:bCs/>
      <w:iCs/>
      <w:color w:val="FFFFFF"/>
      <w:sz w:val="40"/>
      <w:szCs w:val="24"/>
      <w:lang w:eastAsia="en-US"/>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ind w:left="170" w:right="170"/>
    </w:pPr>
    <w:rPr>
      <w:color w:val="000000"/>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60B78"/>
    <w:pPr>
      <w:framePr w:hSpace="180" w:wrap="around" w:vAnchor="page" w:hAnchor="text" w:y="3316"/>
      <w:spacing w:after="480"/>
      <w:contextualSpacing/>
    </w:pPr>
    <w:rPr>
      <w:rFonts w:ascii="Arial" w:eastAsia="Times New Roman" w:hAnsi="Arial"/>
      <w:color w:val="FFFFFF"/>
      <w:spacing w:val="5"/>
      <w:kern w:val="28"/>
      <w:sz w:val="52"/>
      <w:szCs w:val="52"/>
      <w:lang w:eastAsia="en-US"/>
    </w:rPr>
  </w:style>
  <w:style w:type="character" w:customStyle="1" w:styleId="TitleChar">
    <w:name w:val="Title Char"/>
    <w:link w:val="Title"/>
    <w:uiPriority w:val="10"/>
    <w:rsid w:val="00C60B78"/>
    <w:rPr>
      <w:rFonts w:ascii="Arial" w:eastAsia="Times New Roman" w:hAnsi="Arial"/>
      <w:color w:val="FFFFFF"/>
      <w:spacing w:val="5"/>
      <w:kern w:val="28"/>
      <w:sz w:val="52"/>
      <w:szCs w:val="52"/>
      <w:lang w:eastAsia="en-US"/>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link w:val="FootnoteText"/>
    <w:rsid w:val="001B5C90"/>
    <w:rPr>
      <w:rFonts w:ascii="Cambria" w:eastAsia="Cambria" w:hAnsi="Cambria" w:cs="Times New Roman"/>
      <w:sz w:val="18"/>
      <w:szCs w:val="20"/>
    </w:rPr>
  </w:style>
  <w:style w:type="character" w:styleId="FootnoteReference">
    <w:name w:val="footnote reference"/>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PMingLiU"/>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link w:val="EndnoteText"/>
    <w:uiPriority w:val="99"/>
    <w:semiHidden/>
    <w:rsid w:val="000E6196"/>
    <w:rPr>
      <w:rFonts w:ascii="Cambria" w:eastAsia="Cambria" w:hAnsi="Cambria" w:cs="Times New Roman"/>
      <w:sz w:val="20"/>
      <w:szCs w:val="20"/>
    </w:rPr>
  </w:style>
  <w:style w:type="character" w:styleId="EndnoteReference">
    <w:name w:val="endnote reference"/>
    <w:uiPriority w:val="99"/>
    <w:semiHidden/>
    <w:unhideWhenUsed/>
    <w:rsid w:val="000E6196"/>
    <w:rPr>
      <w:vertAlign w:val="superscript"/>
    </w:rPr>
  </w:style>
  <w:style w:type="paragraph" w:customStyle="1" w:styleId="Bulletpoint">
    <w:name w:val="Bullet point"/>
    <w:basedOn w:val="Normal"/>
    <w:rsid w:val="00016899"/>
    <w:pPr>
      <w:numPr>
        <w:numId w:val="6"/>
      </w:numPr>
      <w:tabs>
        <w:tab w:val="clear" w:pos="369"/>
        <w:tab w:val="left" w:pos="397"/>
        <w:tab w:val="num" w:pos="511"/>
        <w:tab w:val="num" w:pos="926"/>
      </w:tabs>
      <w:snapToGrid w:val="0"/>
      <w:spacing w:before="0" w:after="180" w:line="252" w:lineRule="auto"/>
      <w:ind w:left="926" w:hanging="360"/>
    </w:pPr>
    <w:rPr>
      <w:rFonts w:eastAsia="Times New Roman"/>
      <w:kern w:val="16"/>
      <w:szCs w:val="24"/>
    </w:rPr>
  </w:style>
  <w:style w:type="paragraph" w:styleId="ListParagraph">
    <w:name w:val="List Paragraph"/>
    <w:basedOn w:val="Normal"/>
    <w:uiPriority w:val="34"/>
    <w:qFormat/>
    <w:rsid w:val="00016899"/>
    <w:pPr>
      <w:adjustRightInd w:val="0"/>
      <w:snapToGrid w:val="0"/>
      <w:spacing w:before="180" w:after="180"/>
      <w:ind w:left="720"/>
      <w:contextualSpacing/>
    </w:pPr>
    <w:rPr>
      <w:rFonts w:eastAsia="MS Mincho"/>
      <w:szCs w:val="20"/>
      <w:lang w:eastAsia="ja-JP"/>
    </w:rPr>
  </w:style>
  <w:style w:type="paragraph" w:customStyle="1" w:styleId="Comment1">
    <w:name w:val="Comment 1"/>
    <w:basedOn w:val="Normal"/>
    <w:next w:val="Normal"/>
    <w:qFormat/>
    <w:rsid w:val="00016899"/>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Bullet2">
    <w:name w:val="Bullet 2"/>
    <w:basedOn w:val="Normal"/>
    <w:rsid w:val="00016899"/>
    <w:pPr>
      <w:numPr>
        <w:numId w:val="7"/>
      </w:numPr>
      <w:spacing w:after="0" w:line="240" w:lineRule="auto"/>
    </w:pPr>
    <w:rPr>
      <w:rFonts w:eastAsia="Times New Roman"/>
      <w:kern w:val="24"/>
      <w:szCs w:val="24"/>
      <w:lang w:eastAsia="en-AU"/>
    </w:rPr>
  </w:style>
  <w:style w:type="paragraph" w:customStyle="1" w:styleId="Comment2">
    <w:name w:val="Comment 2"/>
    <w:basedOn w:val="Normal"/>
    <w:qFormat/>
    <w:rsid w:val="00016899"/>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character" w:customStyle="1" w:styleId="StandardChar">
    <w:name w:val="Standard Char"/>
    <w:link w:val="Standard"/>
    <w:locked/>
    <w:rsid w:val="00D75578"/>
    <w:rPr>
      <w:rFonts w:ascii="Cambria" w:eastAsia="Times New Roman" w:hAnsi="Cambria" w:cs="Times New Roman"/>
      <w:kern w:val="16"/>
      <w:szCs w:val="24"/>
    </w:rPr>
  </w:style>
  <w:style w:type="paragraph" w:customStyle="1" w:styleId="Standard">
    <w:name w:val="Standard"/>
    <w:basedOn w:val="Normal"/>
    <w:link w:val="StandardChar"/>
    <w:qFormat/>
    <w:rsid w:val="00D75578"/>
    <w:pPr>
      <w:snapToGrid w:val="0"/>
      <w:spacing w:before="0" w:after="220" w:line="252" w:lineRule="auto"/>
    </w:pPr>
    <w:rPr>
      <w:rFonts w:eastAsia="Times New Roman"/>
      <w:kern w:val="16"/>
      <w:szCs w:val="24"/>
    </w:rPr>
  </w:style>
  <w:style w:type="paragraph" w:customStyle="1" w:styleId="AssessmentSection">
    <w:name w:val="Assessment Section"/>
    <w:basedOn w:val="Normal"/>
    <w:next w:val="Standard"/>
    <w:rsid w:val="00D75578"/>
    <w:pPr>
      <w:keepNext/>
      <w:snapToGrid w:val="0"/>
      <w:spacing w:before="0" w:after="110" w:line="252" w:lineRule="auto"/>
      <w:outlineLvl w:val="1"/>
    </w:pPr>
    <w:rPr>
      <w:rFonts w:eastAsia="Times New Roman"/>
      <w:b/>
      <w:kern w:val="16"/>
      <w:szCs w:val="24"/>
    </w:rPr>
  </w:style>
  <w:style w:type="character" w:customStyle="1" w:styleId="TabletextChar">
    <w:name w:val="Table text Char"/>
    <w:link w:val="Tabletext"/>
    <w:locked/>
    <w:rsid w:val="00D75578"/>
    <w:rPr>
      <w:rFonts w:ascii="Cambria" w:eastAsia="Cambria" w:hAnsi="Cambria" w:cs="Times New Roman"/>
      <w:sz w:val="19"/>
    </w:rPr>
  </w:style>
  <w:style w:type="character" w:customStyle="1" w:styleId="WhiteSpaceChar">
    <w:name w:val="White Space Char"/>
    <w:link w:val="WhiteSpace"/>
    <w:locked/>
    <w:rsid w:val="00D75578"/>
    <w:rPr>
      <w:rFonts w:ascii="Cambria" w:eastAsia="Cambria" w:hAnsi="Cambria" w:cs="Times New Roman"/>
      <w:sz w:val="16"/>
      <w:szCs w:val="16"/>
    </w:rPr>
  </w:style>
  <w:style w:type="paragraph" w:customStyle="1" w:styleId="WhiteSpace">
    <w:name w:val="White Space"/>
    <w:basedOn w:val="Standard"/>
    <w:next w:val="Standard"/>
    <w:link w:val="WhiteSpaceChar"/>
    <w:rsid w:val="00D75578"/>
    <w:pPr>
      <w:spacing w:after="0"/>
    </w:pPr>
    <w:rPr>
      <w:rFonts w:eastAsia="Cambria"/>
      <w:kern w:val="0"/>
      <w:sz w:val="16"/>
      <w:szCs w:val="16"/>
    </w:rPr>
  </w:style>
  <w:style w:type="paragraph" w:customStyle="1" w:styleId="AssessmentSubsection">
    <w:name w:val="Assessment Subsection"/>
    <w:basedOn w:val="Standard"/>
    <w:next w:val="Standard"/>
    <w:rsid w:val="00D75578"/>
    <w:pPr>
      <w:keepNext/>
      <w:spacing w:after="110"/>
      <w:outlineLvl w:val="2"/>
    </w:pPr>
    <w:rPr>
      <w:b/>
      <w:i/>
    </w:rPr>
  </w:style>
  <w:style w:type="paragraph" w:customStyle="1" w:styleId="AssessmentSubsection2">
    <w:name w:val="Assessment Subsection 2"/>
    <w:basedOn w:val="AssessmentSubsection"/>
    <w:next w:val="Standard"/>
    <w:rsid w:val="00D75578"/>
    <w:pPr>
      <w:outlineLvl w:val="3"/>
    </w:pPr>
    <w:rPr>
      <w:b w:val="0"/>
    </w:rPr>
  </w:style>
  <w:style w:type="character" w:customStyle="1" w:styleId="TableTitleChar">
    <w:name w:val="Table Title Char"/>
    <w:link w:val="TableTitle"/>
    <w:locked/>
    <w:rsid w:val="00D75578"/>
    <w:rPr>
      <w:rFonts w:ascii="Cambria" w:eastAsia="Cambria" w:hAnsi="Cambria" w:cs="Times New Roman"/>
      <w:b/>
      <w:kern w:val="16"/>
      <w:szCs w:val="24"/>
    </w:rPr>
  </w:style>
  <w:style w:type="character" w:customStyle="1" w:styleId="SectionHeadingCharChar">
    <w:name w:val="Section Heading Char Char"/>
    <w:link w:val="SectionHeading"/>
    <w:locked/>
    <w:rsid w:val="0088637B"/>
    <w:rPr>
      <w:rFonts w:ascii="Cambria" w:eastAsia="Times New Roman" w:hAnsi="Cambria" w:cs="Times New Roman"/>
      <w:b/>
      <w:caps/>
      <w:kern w:val="16"/>
      <w:sz w:val="24"/>
      <w:szCs w:val="24"/>
    </w:rPr>
  </w:style>
  <w:style w:type="paragraph" w:customStyle="1" w:styleId="SectionHeading">
    <w:name w:val="Section Heading"/>
    <w:basedOn w:val="Normal"/>
    <w:next w:val="Normal"/>
    <w:link w:val="SectionHeadingCharChar"/>
    <w:rsid w:val="0088637B"/>
    <w:pPr>
      <w:keepNext/>
      <w:snapToGrid w:val="0"/>
      <w:spacing w:before="0" w:after="220" w:line="252" w:lineRule="auto"/>
      <w:outlineLvl w:val="0"/>
    </w:pPr>
    <w:rPr>
      <w:rFonts w:eastAsia="Times New Roman"/>
      <w:b/>
      <w:caps/>
      <w:kern w:val="16"/>
      <w:sz w:val="24"/>
      <w:szCs w:val="24"/>
    </w:rPr>
  </w:style>
  <w:style w:type="paragraph" w:customStyle="1" w:styleId="Bullet1">
    <w:name w:val="Bullet 1"/>
    <w:basedOn w:val="Normal"/>
    <w:rsid w:val="00C21B0F"/>
    <w:pPr>
      <w:numPr>
        <w:numId w:val="15"/>
      </w:numPr>
      <w:spacing w:after="0" w:line="240" w:lineRule="auto"/>
    </w:pPr>
    <w:rPr>
      <w:rFonts w:eastAsia="Times New Roman"/>
      <w:kern w:val="24"/>
      <w:szCs w:val="24"/>
      <w:lang w:eastAsia="en-AU"/>
    </w:rPr>
  </w:style>
  <w:style w:type="character" w:customStyle="1" w:styleId="st1">
    <w:name w:val="st1"/>
    <w:basedOn w:val="DefaultParagraphFont"/>
    <w:rsid w:val="00190D26"/>
  </w:style>
  <w:style w:type="table" w:customStyle="1" w:styleId="TableTGAblue1">
    <w:name w:val="Table TGA blue1"/>
    <w:basedOn w:val="TableNormal"/>
    <w:uiPriority w:val="99"/>
    <w:qFormat/>
    <w:rsid w:val="00190D26"/>
    <w:rPr>
      <w:color w:val="000000"/>
      <w:szCs w:val="21"/>
    </w:rPr>
    <w:tblPr>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wordWrap/>
      </w:pPr>
      <w:rPr>
        <w:rFonts w:ascii="Cambria" w:hAnsi="Cambria" w:hint="default"/>
        <w:b/>
        <w:color w:val="FFFFFF"/>
        <w:sz w:val="22"/>
        <w:szCs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paragraph" w:customStyle="1" w:styleId="Default">
    <w:name w:val="Default"/>
    <w:rsid w:val="00190D26"/>
    <w:pPr>
      <w:autoSpaceDE w:val="0"/>
      <w:autoSpaceDN w:val="0"/>
      <w:adjustRightInd w:val="0"/>
    </w:pPr>
    <w:rPr>
      <w:rFonts w:ascii="Times New Roman" w:hAnsi="Times New Roman"/>
      <w:color w:val="000000"/>
      <w:sz w:val="24"/>
      <w:szCs w:val="24"/>
      <w:lang w:eastAsia="en-US"/>
    </w:rPr>
  </w:style>
  <w:style w:type="character" w:styleId="Emphasis">
    <w:name w:val="Emphasis"/>
    <w:uiPriority w:val="20"/>
    <w:qFormat/>
    <w:rsid w:val="000A20FE"/>
    <w:rPr>
      <w:b/>
      <w:bCs/>
      <w:i w:val="0"/>
      <w:iCs w:val="0"/>
    </w:rPr>
  </w:style>
  <w:style w:type="table" w:customStyle="1" w:styleId="LightList-Accent11">
    <w:name w:val="Light List - Accent 11"/>
    <w:basedOn w:val="TableNormal"/>
    <w:uiPriority w:val="61"/>
    <w:rsid w:val="00D54A9F"/>
    <w:rPr>
      <w:rFonts w:ascii="Times New Roman" w:eastAsia="Times New Roman" w:hAnsi="Times New Roman"/>
    </w:rPr>
    <w:tblPr>
      <w:tblStyleRowBandSize w:val="1"/>
      <w:tblStyleColBandSize w:val="1"/>
      <w:tblBorders>
        <w:top w:val="single" w:sz="8" w:space="0" w:color="002C47"/>
        <w:left w:val="single" w:sz="8" w:space="0" w:color="002C47"/>
        <w:bottom w:val="single" w:sz="8" w:space="0" w:color="002C47"/>
        <w:right w:val="single" w:sz="8" w:space="0" w:color="002C47"/>
      </w:tblBorders>
    </w:tblPr>
    <w:tblStylePr w:type="firstRow">
      <w:pPr>
        <w:spacing w:before="0" w:after="0" w:line="240" w:lineRule="auto"/>
      </w:pPr>
      <w:rPr>
        <w:b/>
        <w:bCs/>
        <w:color w:val="FFFFFF"/>
      </w:rPr>
      <w:tblPr/>
      <w:tcPr>
        <w:shd w:val="clear" w:color="auto" w:fill="002C47"/>
      </w:tcPr>
    </w:tblStylePr>
    <w:tblStylePr w:type="lastRow">
      <w:pPr>
        <w:spacing w:before="0" w:after="0" w:line="240" w:lineRule="auto"/>
      </w:pPr>
      <w:rPr>
        <w:b/>
        <w:bCs/>
      </w:rPr>
      <w:tblPr/>
      <w:tcPr>
        <w:tcBorders>
          <w:top w:val="double" w:sz="6" w:space="0" w:color="002C47"/>
          <w:left w:val="single" w:sz="8" w:space="0" w:color="002C47"/>
          <w:bottom w:val="single" w:sz="8" w:space="0" w:color="002C47"/>
          <w:right w:val="single" w:sz="8" w:space="0" w:color="002C47"/>
        </w:tcBorders>
      </w:tcPr>
    </w:tblStylePr>
    <w:tblStylePr w:type="firstCol">
      <w:rPr>
        <w:b/>
        <w:bCs/>
      </w:rPr>
    </w:tblStylePr>
    <w:tblStylePr w:type="lastCol">
      <w:rPr>
        <w:b/>
        <w:bCs/>
      </w:rPr>
    </w:tblStylePr>
    <w:tblStylePr w:type="band1Vert">
      <w:tblPr/>
      <w:tcPr>
        <w:tcBorders>
          <w:top w:val="single" w:sz="8" w:space="0" w:color="002C47"/>
          <w:left w:val="single" w:sz="8" w:space="0" w:color="002C47"/>
          <w:bottom w:val="single" w:sz="8" w:space="0" w:color="002C47"/>
          <w:right w:val="single" w:sz="8" w:space="0" w:color="002C47"/>
        </w:tcBorders>
      </w:tcPr>
    </w:tblStylePr>
    <w:tblStylePr w:type="band1Horz">
      <w:tblPr/>
      <w:tcPr>
        <w:tcBorders>
          <w:top w:val="single" w:sz="8" w:space="0" w:color="002C47"/>
          <w:left w:val="single" w:sz="8" w:space="0" w:color="002C47"/>
          <w:bottom w:val="single" w:sz="8" w:space="0" w:color="002C47"/>
          <w:right w:val="single" w:sz="8" w:space="0" w:color="002C47"/>
        </w:tcBorders>
      </w:tcPr>
    </w:tblStylePr>
  </w:style>
  <w:style w:type="table" w:styleId="LightList-Accent3">
    <w:name w:val="Light List Accent 3"/>
    <w:basedOn w:val="TableNormal"/>
    <w:uiPriority w:val="61"/>
    <w:rsid w:val="005622BF"/>
    <w:tblPr>
      <w:tblStyleRowBandSize w:val="1"/>
      <w:tblStyleColBandSize w:val="1"/>
      <w:tblBorders>
        <w:top w:val="single" w:sz="8" w:space="0" w:color="006DA7"/>
        <w:left w:val="single" w:sz="8" w:space="0" w:color="006DA7"/>
        <w:bottom w:val="single" w:sz="8" w:space="0" w:color="006DA7"/>
        <w:right w:val="single" w:sz="8" w:space="0" w:color="006DA7"/>
      </w:tblBorders>
    </w:tblPr>
    <w:tblStylePr w:type="firstRow">
      <w:pPr>
        <w:spacing w:before="0" w:after="0" w:line="240" w:lineRule="auto"/>
      </w:pPr>
      <w:rPr>
        <w:b/>
        <w:bCs/>
        <w:color w:val="FFFFFF"/>
      </w:rPr>
      <w:tblPr/>
      <w:tcPr>
        <w:shd w:val="clear" w:color="auto" w:fill="006DA7"/>
      </w:tcPr>
    </w:tblStylePr>
    <w:tblStylePr w:type="lastRow">
      <w:pPr>
        <w:spacing w:before="0" w:after="0" w:line="240" w:lineRule="auto"/>
      </w:pPr>
      <w:rPr>
        <w:b/>
        <w:bCs/>
      </w:rPr>
      <w:tblPr/>
      <w:tcPr>
        <w:tcBorders>
          <w:top w:val="double" w:sz="6" w:space="0" w:color="006DA7"/>
          <w:left w:val="single" w:sz="8" w:space="0" w:color="006DA7"/>
          <w:bottom w:val="single" w:sz="8" w:space="0" w:color="006DA7"/>
          <w:right w:val="single" w:sz="8" w:space="0" w:color="006DA7"/>
        </w:tcBorders>
      </w:tcPr>
    </w:tblStylePr>
    <w:tblStylePr w:type="firstCol">
      <w:rPr>
        <w:b/>
        <w:bCs/>
      </w:rPr>
    </w:tblStylePr>
    <w:tblStylePr w:type="lastCol">
      <w:rPr>
        <w:b/>
        <w:bCs/>
      </w:rPr>
    </w:tblStylePr>
    <w:tblStylePr w:type="band1Vert">
      <w:tblPr/>
      <w:tcPr>
        <w:tcBorders>
          <w:top w:val="single" w:sz="8" w:space="0" w:color="006DA7"/>
          <w:left w:val="single" w:sz="8" w:space="0" w:color="006DA7"/>
          <w:bottom w:val="single" w:sz="8" w:space="0" w:color="006DA7"/>
          <w:right w:val="single" w:sz="8" w:space="0" w:color="006DA7"/>
        </w:tcBorders>
      </w:tcPr>
    </w:tblStylePr>
    <w:tblStylePr w:type="band1Horz">
      <w:tblPr/>
      <w:tcPr>
        <w:tcBorders>
          <w:top w:val="single" w:sz="8" w:space="0" w:color="006DA7"/>
          <w:left w:val="single" w:sz="8" w:space="0" w:color="006DA7"/>
          <w:bottom w:val="single" w:sz="8" w:space="0" w:color="006DA7"/>
          <w:right w:val="single" w:sz="8" w:space="0" w:color="006DA7"/>
        </w:tcBorders>
      </w:tcPr>
    </w:tblStylePr>
  </w:style>
  <w:style w:type="paragraph" w:customStyle="1" w:styleId="TableHeader">
    <w:name w:val="Table Header"/>
    <w:basedOn w:val="Normal"/>
    <w:rsid w:val="005622BF"/>
    <w:pPr>
      <w:keepNext/>
      <w:keepLines/>
      <w:widowControl w:val="0"/>
      <w:spacing w:before="60" w:after="60" w:line="200" w:lineRule="exact"/>
      <w:jc w:val="center"/>
    </w:pPr>
    <w:rPr>
      <w:rFonts w:eastAsia="MS Mincho"/>
      <w:b/>
      <w:kern w:val="2"/>
      <w:sz w:val="19"/>
      <w:szCs w:val="19"/>
    </w:rPr>
  </w:style>
  <w:style w:type="paragraph" w:customStyle="1" w:styleId="TableCaption">
    <w:name w:val="Table Caption"/>
    <w:basedOn w:val="Normal"/>
    <w:next w:val="Normal"/>
    <w:link w:val="TableCaptionChar"/>
    <w:rsid w:val="006F46CE"/>
    <w:pPr>
      <w:spacing w:before="60" w:after="440" w:line="215" w:lineRule="exact"/>
      <w:ind w:left="170"/>
    </w:pPr>
    <w:rPr>
      <w:rFonts w:eastAsia="Times New Roman"/>
      <w:snapToGrid w:val="0"/>
      <w:kern w:val="16"/>
      <w:sz w:val="18"/>
      <w:szCs w:val="19"/>
    </w:rPr>
  </w:style>
  <w:style w:type="character" w:customStyle="1" w:styleId="TableCaptionChar">
    <w:name w:val="Table Caption Char"/>
    <w:link w:val="TableCaption"/>
    <w:rsid w:val="006F46CE"/>
    <w:rPr>
      <w:rFonts w:ascii="Cambria" w:eastAsia="Times New Roman" w:hAnsi="Cambria" w:cs="Times New Roman"/>
      <w:snapToGrid w:val="0"/>
      <w:kern w:val="16"/>
      <w:sz w:val="18"/>
      <w:szCs w:val="19"/>
    </w:rPr>
  </w:style>
  <w:style w:type="character" w:styleId="CommentReference">
    <w:name w:val="annotation reference"/>
    <w:uiPriority w:val="99"/>
    <w:semiHidden/>
    <w:unhideWhenUsed/>
    <w:rsid w:val="00BA1372"/>
    <w:rPr>
      <w:sz w:val="16"/>
      <w:szCs w:val="16"/>
    </w:rPr>
  </w:style>
  <w:style w:type="paragraph" w:styleId="CommentText">
    <w:name w:val="annotation text"/>
    <w:basedOn w:val="Normal"/>
    <w:link w:val="CommentTextChar"/>
    <w:uiPriority w:val="99"/>
    <w:semiHidden/>
    <w:unhideWhenUsed/>
    <w:rsid w:val="00BA1372"/>
    <w:pPr>
      <w:spacing w:line="240" w:lineRule="auto"/>
    </w:pPr>
    <w:rPr>
      <w:sz w:val="20"/>
      <w:szCs w:val="20"/>
    </w:rPr>
  </w:style>
  <w:style w:type="character" w:customStyle="1" w:styleId="CommentTextChar">
    <w:name w:val="Comment Text Char"/>
    <w:link w:val="CommentText"/>
    <w:uiPriority w:val="99"/>
    <w:semiHidden/>
    <w:rsid w:val="00BA1372"/>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A1372"/>
    <w:rPr>
      <w:b/>
      <w:bCs/>
    </w:rPr>
  </w:style>
  <w:style w:type="character" w:customStyle="1" w:styleId="CommentSubjectChar">
    <w:name w:val="Comment Subject Char"/>
    <w:link w:val="CommentSubject"/>
    <w:uiPriority w:val="99"/>
    <w:semiHidden/>
    <w:rsid w:val="00BA1372"/>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883">
      <w:bodyDiv w:val="1"/>
      <w:marLeft w:val="0"/>
      <w:marRight w:val="0"/>
      <w:marTop w:val="0"/>
      <w:marBottom w:val="0"/>
      <w:divBdr>
        <w:top w:val="none" w:sz="0" w:space="0" w:color="auto"/>
        <w:left w:val="none" w:sz="0" w:space="0" w:color="auto"/>
        <w:bottom w:val="none" w:sz="0" w:space="0" w:color="auto"/>
        <w:right w:val="none" w:sz="0" w:space="0" w:color="auto"/>
      </w:divBdr>
    </w:div>
    <w:div w:id="27067845">
      <w:bodyDiv w:val="1"/>
      <w:marLeft w:val="0"/>
      <w:marRight w:val="0"/>
      <w:marTop w:val="0"/>
      <w:marBottom w:val="0"/>
      <w:divBdr>
        <w:top w:val="none" w:sz="0" w:space="0" w:color="auto"/>
        <w:left w:val="none" w:sz="0" w:space="0" w:color="auto"/>
        <w:bottom w:val="none" w:sz="0" w:space="0" w:color="auto"/>
        <w:right w:val="none" w:sz="0" w:space="0" w:color="auto"/>
      </w:divBdr>
    </w:div>
    <w:div w:id="35203632">
      <w:bodyDiv w:val="1"/>
      <w:marLeft w:val="0"/>
      <w:marRight w:val="0"/>
      <w:marTop w:val="0"/>
      <w:marBottom w:val="0"/>
      <w:divBdr>
        <w:top w:val="none" w:sz="0" w:space="0" w:color="auto"/>
        <w:left w:val="none" w:sz="0" w:space="0" w:color="auto"/>
        <w:bottom w:val="none" w:sz="0" w:space="0" w:color="auto"/>
        <w:right w:val="none" w:sz="0" w:space="0" w:color="auto"/>
      </w:divBdr>
    </w:div>
    <w:div w:id="35660627">
      <w:bodyDiv w:val="1"/>
      <w:marLeft w:val="0"/>
      <w:marRight w:val="0"/>
      <w:marTop w:val="0"/>
      <w:marBottom w:val="0"/>
      <w:divBdr>
        <w:top w:val="none" w:sz="0" w:space="0" w:color="auto"/>
        <w:left w:val="none" w:sz="0" w:space="0" w:color="auto"/>
        <w:bottom w:val="none" w:sz="0" w:space="0" w:color="auto"/>
        <w:right w:val="none" w:sz="0" w:space="0" w:color="auto"/>
      </w:divBdr>
    </w:div>
    <w:div w:id="81267368">
      <w:bodyDiv w:val="1"/>
      <w:marLeft w:val="0"/>
      <w:marRight w:val="0"/>
      <w:marTop w:val="0"/>
      <w:marBottom w:val="0"/>
      <w:divBdr>
        <w:top w:val="none" w:sz="0" w:space="0" w:color="auto"/>
        <w:left w:val="none" w:sz="0" w:space="0" w:color="auto"/>
        <w:bottom w:val="none" w:sz="0" w:space="0" w:color="auto"/>
        <w:right w:val="none" w:sz="0" w:space="0" w:color="auto"/>
      </w:divBdr>
    </w:div>
    <w:div w:id="87040213">
      <w:bodyDiv w:val="1"/>
      <w:marLeft w:val="0"/>
      <w:marRight w:val="0"/>
      <w:marTop w:val="0"/>
      <w:marBottom w:val="0"/>
      <w:divBdr>
        <w:top w:val="none" w:sz="0" w:space="0" w:color="auto"/>
        <w:left w:val="none" w:sz="0" w:space="0" w:color="auto"/>
        <w:bottom w:val="none" w:sz="0" w:space="0" w:color="auto"/>
        <w:right w:val="none" w:sz="0" w:space="0" w:color="auto"/>
      </w:divBdr>
    </w:div>
    <w:div w:id="119304034">
      <w:bodyDiv w:val="1"/>
      <w:marLeft w:val="0"/>
      <w:marRight w:val="0"/>
      <w:marTop w:val="0"/>
      <w:marBottom w:val="0"/>
      <w:divBdr>
        <w:top w:val="none" w:sz="0" w:space="0" w:color="auto"/>
        <w:left w:val="none" w:sz="0" w:space="0" w:color="auto"/>
        <w:bottom w:val="none" w:sz="0" w:space="0" w:color="auto"/>
        <w:right w:val="none" w:sz="0" w:space="0" w:color="auto"/>
      </w:divBdr>
    </w:div>
    <w:div w:id="124736594">
      <w:bodyDiv w:val="1"/>
      <w:marLeft w:val="0"/>
      <w:marRight w:val="0"/>
      <w:marTop w:val="0"/>
      <w:marBottom w:val="0"/>
      <w:divBdr>
        <w:top w:val="none" w:sz="0" w:space="0" w:color="auto"/>
        <w:left w:val="none" w:sz="0" w:space="0" w:color="auto"/>
        <w:bottom w:val="none" w:sz="0" w:space="0" w:color="auto"/>
        <w:right w:val="none" w:sz="0" w:space="0" w:color="auto"/>
      </w:divBdr>
    </w:div>
    <w:div w:id="139157521">
      <w:bodyDiv w:val="1"/>
      <w:marLeft w:val="0"/>
      <w:marRight w:val="0"/>
      <w:marTop w:val="0"/>
      <w:marBottom w:val="0"/>
      <w:divBdr>
        <w:top w:val="none" w:sz="0" w:space="0" w:color="auto"/>
        <w:left w:val="none" w:sz="0" w:space="0" w:color="auto"/>
        <w:bottom w:val="none" w:sz="0" w:space="0" w:color="auto"/>
        <w:right w:val="none" w:sz="0" w:space="0" w:color="auto"/>
      </w:divBdr>
    </w:div>
    <w:div w:id="168714542">
      <w:bodyDiv w:val="1"/>
      <w:marLeft w:val="0"/>
      <w:marRight w:val="0"/>
      <w:marTop w:val="0"/>
      <w:marBottom w:val="0"/>
      <w:divBdr>
        <w:top w:val="none" w:sz="0" w:space="0" w:color="auto"/>
        <w:left w:val="none" w:sz="0" w:space="0" w:color="auto"/>
        <w:bottom w:val="none" w:sz="0" w:space="0" w:color="auto"/>
        <w:right w:val="none" w:sz="0" w:space="0" w:color="auto"/>
      </w:divBdr>
    </w:div>
    <w:div w:id="182014055">
      <w:bodyDiv w:val="1"/>
      <w:marLeft w:val="0"/>
      <w:marRight w:val="0"/>
      <w:marTop w:val="0"/>
      <w:marBottom w:val="0"/>
      <w:divBdr>
        <w:top w:val="none" w:sz="0" w:space="0" w:color="auto"/>
        <w:left w:val="none" w:sz="0" w:space="0" w:color="auto"/>
        <w:bottom w:val="none" w:sz="0" w:space="0" w:color="auto"/>
        <w:right w:val="none" w:sz="0" w:space="0" w:color="auto"/>
      </w:divBdr>
    </w:div>
    <w:div w:id="273175669">
      <w:bodyDiv w:val="1"/>
      <w:marLeft w:val="0"/>
      <w:marRight w:val="0"/>
      <w:marTop w:val="0"/>
      <w:marBottom w:val="0"/>
      <w:divBdr>
        <w:top w:val="none" w:sz="0" w:space="0" w:color="auto"/>
        <w:left w:val="none" w:sz="0" w:space="0" w:color="auto"/>
        <w:bottom w:val="none" w:sz="0" w:space="0" w:color="auto"/>
        <w:right w:val="none" w:sz="0" w:space="0" w:color="auto"/>
      </w:divBdr>
    </w:div>
    <w:div w:id="286746066">
      <w:bodyDiv w:val="1"/>
      <w:marLeft w:val="0"/>
      <w:marRight w:val="0"/>
      <w:marTop w:val="0"/>
      <w:marBottom w:val="0"/>
      <w:divBdr>
        <w:top w:val="none" w:sz="0" w:space="0" w:color="auto"/>
        <w:left w:val="none" w:sz="0" w:space="0" w:color="auto"/>
        <w:bottom w:val="none" w:sz="0" w:space="0" w:color="auto"/>
        <w:right w:val="none" w:sz="0" w:space="0" w:color="auto"/>
      </w:divBdr>
    </w:div>
    <w:div w:id="381634613">
      <w:bodyDiv w:val="1"/>
      <w:marLeft w:val="0"/>
      <w:marRight w:val="0"/>
      <w:marTop w:val="0"/>
      <w:marBottom w:val="0"/>
      <w:divBdr>
        <w:top w:val="none" w:sz="0" w:space="0" w:color="auto"/>
        <w:left w:val="none" w:sz="0" w:space="0" w:color="auto"/>
        <w:bottom w:val="none" w:sz="0" w:space="0" w:color="auto"/>
        <w:right w:val="none" w:sz="0" w:space="0" w:color="auto"/>
      </w:divBdr>
    </w:div>
    <w:div w:id="491217743">
      <w:bodyDiv w:val="1"/>
      <w:marLeft w:val="0"/>
      <w:marRight w:val="0"/>
      <w:marTop w:val="0"/>
      <w:marBottom w:val="0"/>
      <w:divBdr>
        <w:top w:val="none" w:sz="0" w:space="0" w:color="auto"/>
        <w:left w:val="none" w:sz="0" w:space="0" w:color="auto"/>
        <w:bottom w:val="none" w:sz="0" w:space="0" w:color="auto"/>
        <w:right w:val="none" w:sz="0" w:space="0" w:color="auto"/>
      </w:divBdr>
    </w:div>
    <w:div w:id="528685049">
      <w:bodyDiv w:val="1"/>
      <w:marLeft w:val="0"/>
      <w:marRight w:val="0"/>
      <w:marTop w:val="0"/>
      <w:marBottom w:val="0"/>
      <w:divBdr>
        <w:top w:val="none" w:sz="0" w:space="0" w:color="auto"/>
        <w:left w:val="none" w:sz="0" w:space="0" w:color="auto"/>
        <w:bottom w:val="none" w:sz="0" w:space="0" w:color="auto"/>
        <w:right w:val="none" w:sz="0" w:space="0" w:color="auto"/>
      </w:divBdr>
    </w:div>
    <w:div w:id="550070766">
      <w:bodyDiv w:val="1"/>
      <w:marLeft w:val="0"/>
      <w:marRight w:val="0"/>
      <w:marTop w:val="0"/>
      <w:marBottom w:val="0"/>
      <w:divBdr>
        <w:top w:val="none" w:sz="0" w:space="0" w:color="auto"/>
        <w:left w:val="none" w:sz="0" w:space="0" w:color="auto"/>
        <w:bottom w:val="none" w:sz="0" w:space="0" w:color="auto"/>
        <w:right w:val="none" w:sz="0" w:space="0" w:color="auto"/>
      </w:divBdr>
    </w:div>
    <w:div w:id="551620203">
      <w:bodyDiv w:val="1"/>
      <w:marLeft w:val="0"/>
      <w:marRight w:val="0"/>
      <w:marTop w:val="0"/>
      <w:marBottom w:val="0"/>
      <w:divBdr>
        <w:top w:val="none" w:sz="0" w:space="0" w:color="auto"/>
        <w:left w:val="none" w:sz="0" w:space="0" w:color="auto"/>
        <w:bottom w:val="none" w:sz="0" w:space="0" w:color="auto"/>
        <w:right w:val="none" w:sz="0" w:space="0" w:color="auto"/>
      </w:divBdr>
    </w:div>
    <w:div w:id="580799873">
      <w:bodyDiv w:val="1"/>
      <w:marLeft w:val="0"/>
      <w:marRight w:val="0"/>
      <w:marTop w:val="0"/>
      <w:marBottom w:val="0"/>
      <w:divBdr>
        <w:top w:val="none" w:sz="0" w:space="0" w:color="auto"/>
        <w:left w:val="none" w:sz="0" w:space="0" w:color="auto"/>
        <w:bottom w:val="none" w:sz="0" w:space="0" w:color="auto"/>
        <w:right w:val="none" w:sz="0" w:space="0" w:color="auto"/>
      </w:divBdr>
      <w:divsChild>
        <w:div w:id="316692380">
          <w:marLeft w:val="0"/>
          <w:marRight w:val="0"/>
          <w:marTop w:val="0"/>
          <w:marBottom w:val="0"/>
          <w:divBdr>
            <w:top w:val="none" w:sz="0" w:space="0" w:color="auto"/>
            <w:left w:val="none" w:sz="0" w:space="0" w:color="auto"/>
            <w:bottom w:val="none" w:sz="0" w:space="0" w:color="auto"/>
            <w:right w:val="none" w:sz="0" w:space="0" w:color="auto"/>
          </w:divBdr>
          <w:divsChild>
            <w:div w:id="1932659643">
              <w:marLeft w:val="0"/>
              <w:marRight w:val="0"/>
              <w:marTop w:val="0"/>
              <w:marBottom w:val="0"/>
              <w:divBdr>
                <w:top w:val="none" w:sz="0" w:space="0" w:color="auto"/>
                <w:left w:val="none" w:sz="0" w:space="0" w:color="auto"/>
                <w:bottom w:val="none" w:sz="0" w:space="0" w:color="auto"/>
                <w:right w:val="none" w:sz="0" w:space="0" w:color="auto"/>
              </w:divBdr>
              <w:divsChild>
                <w:div w:id="861552260">
                  <w:marLeft w:val="0"/>
                  <w:marRight w:val="0"/>
                  <w:marTop w:val="0"/>
                  <w:marBottom w:val="0"/>
                  <w:divBdr>
                    <w:top w:val="none" w:sz="0" w:space="0" w:color="auto"/>
                    <w:left w:val="none" w:sz="0" w:space="0" w:color="auto"/>
                    <w:bottom w:val="none" w:sz="0" w:space="0" w:color="auto"/>
                    <w:right w:val="none" w:sz="0" w:space="0" w:color="auto"/>
                  </w:divBdr>
                  <w:divsChild>
                    <w:div w:id="899247560">
                      <w:marLeft w:val="0"/>
                      <w:marRight w:val="0"/>
                      <w:marTop w:val="0"/>
                      <w:marBottom w:val="0"/>
                      <w:divBdr>
                        <w:top w:val="none" w:sz="0" w:space="0" w:color="auto"/>
                        <w:left w:val="none" w:sz="0" w:space="0" w:color="auto"/>
                        <w:bottom w:val="none" w:sz="0" w:space="0" w:color="auto"/>
                        <w:right w:val="none" w:sz="0" w:space="0" w:color="auto"/>
                      </w:divBdr>
                      <w:divsChild>
                        <w:div w:id="711153104">
                          <w:marLeft w:val="0"/>
                          <w:marRight w:val="0"/>
                          <w:marTop w:val="0"/>
                          <w:marBottom w:val="0"/>
                          <w:divBdr>
                            <w:top w:val="none" w:sz="0" w:space="0" w:color="auto"/>
                            <w:left w:val="none" w:sz="0" w:space="0" w:color="auto"/>
                            <w:bottom w:val="none" w:sz="0" w:space="0" w:color="auto"/>
                            <w:right w:val="none" w:sz="0" w:space="0" w:color="auto"/>
                          </w:divBdr>
                          <w:divsChild>
                            <w:div w:id="12042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264520">
      <w:bodyDiv w:val="1"/>
      <w:marLeft w:val="0"/>
      <w:marRight w:val="0"/>
      <w:marTop w:val="0"/>
      <w:marBottom w:val="0"/>
      <w:divBdr>
        <w:top w:val="none" w:sz="0" w:space="0" w:color="auto"/>
        <w:left w:val="none" w:sz="0" w:space="0" w:color="auto"/>
        <w:bottom w:val="none" w:sz="0" w:space="0" w:color="auto"/>
        <w:right w:val="none" w:sz="0" w:space="0" w:color="auto"/>
      </w:divBdr>
      <w:divsChild>
        <w:div w:id="1181504358">
          <w:marLeft w:val="0"/>
          <w:marRight w:val="0"/>
          <w:marTop w:val="0"/>
          <w:marBottom w:val="0"/>
          <w:divBdr>
            <w:top w:val="none" w:sz="0" w:space="0" w:color="auto"/>
            <w:left w:val="none" w:sz="0" w:space="0" w:color="auto"/>
            <w:bottom w:val="none" w:sz="0" w:space="0" w:color="auto"/>
            <w:right w:val="none" w:sz="0" w:space="0" w:color="auto"/>
          </w:divBdr>
          <w:divsChild>
            <w:div w:id="908923347">
              <w:marLeft w:val="0"/>
              <w:marRight w:val="0"/>
              <w:marTop w:val="0"/>
              <w:marBottom w:val="0"/>
              <w:divBdr>
                <w:top w:val="none" w:sz="0" w:space="0" w:color="auto"/>
                <w:left w:val="none" w:sz="0" w:space="0" w:color="auto"/>
                <w:bottom w:val="none" w:sz="0" w:space="0" w:color="auto"/>
                <w:right w:val="none" w:sz="0" w:space="0" w:color="auto"/>
              </w:divBdr>
              <w:divsChild>
                <w:div w:id="1602953580">
                  <w:marLeft w:val="0"/>
                  <w:marRight w:val="0"/>
                  <w:marTop w:val="0"/>
                  <w:marBottom w:val="0"/>
                  <w:divBdr>
                    <w:top w:val="none" w:sz="0" w:space="0" w:color="auto"/>
                    <w:left w:val="none" w:sz="0" w:space="0" w:color="auto"/>
                    <w:bottom w:val="none" w:sz="0" w:space="0" w:color="auto"/>
                    <w:right w:val="none" w:sz="0" w:space="0" w:color="auto"/>
                  </w:divBdr>
                  <w:divsChild>
                    <w:div w:id="1338389447">
                      <w:marLeft w:val="0"/>
                      <w:marRight w:val="0"/>
                      <w:marTop w:val="0"/>
                      <w:marBottom w:val="0"/>
                      <w:divBdr>
                        <w:top w:val="none" w:sz="0" w:space="0" w:color="auto"/>
                        <w:left w:val="none" w:sz="0" w:space="0" w:color="auto"/>
                        <w:bottom w:val="none" w:sz="0" w:space="0" w:color="auto"/>
                        <w:right w:val="none" w:sz="0" w:space="0" w:color="auto"/>
                      </w:divBdr>
                      <w:divsChild>
                        <w:div w:id="142626276">
                          <w:marLeft w:val="0"/>
                          <w:marRight w:val="0"/>
                          <w:marTop w:val="0"/>
                          <w:marBottom w:val="0"/>
                          <w:divBdr>
                            <w:top w:val="none" w:sz="0" w:space="0" w:color="auto"/>
                            <w:left w:val="none" w:sz="0" w:space="0" w:color="auto"/>
                            <w:bottom w:val="none" w:sz="0" w:space="0" w:color="auto"/>
                            <w:right w:val="none" w:sz="0" w:space="0" w:color="auto"/>
                          </w:divBdr>
                          <w:divsChild>
                            <w:div w:id="10191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538308">
      <w:bodyDiv w:val="1"/>
      <w:marLeft w:val="0"/>
      <w:marRight w:val="0"/>
      <w:marTop w:val="0"/>
      <w:marBottom w:val="0"/>
      <w:divBdr>
        <w:top w:val="none" w:sz="0" w:space="0" w:color="auto"/>
        <w:left w:val="none" w:sz="0" w:space="0" w:color="auto"/>
        <w:bottom w:val="none" w:sz="0" w:space="0" w:color="auto"/>
        <w:right w:val="none" w:sz="0" w:space="0" w:color="auto"/>
      </w:divBdr>
    </w:div>
    <w:div w:id="683019359">
      <w:bodyDiv w:val="1"/>
      <w:marLeft w:val="0"/>
      <w:marRight w:val="0"/>
      <w:marTop w:val="0"/>
      <w:marBottom w:val="0"/>
      <w:divBdr>
        <w:top w:val="none" w:sz="0" w:space="0" w:color="auto"/>
        <w:left w:val="none" w:sz="0" w:space="0" w:color="auto"/>
        <w:bottom w:val="none" w:sz="0" w:space="0" w:color="auto"/>
        <w:right w:val="none" w:sz="0" w:space="0" w:color="auto"/>
      </w:divBdr>
    </w:div>
    <w:div w:id="727454375">
      <w:bodyDiv w:val="1"/>
      <w:marLeft w:val="0"/>
      <w:marRight w:val="0"/>
      <w:marTop w:val="0"/>
      <w:marBottom w:val="0"/>
      <w:divBdr>
        <w:top w:val="none" w:sz="0" w:space="0" w:color="auto"/>
        <w:left w:val="none" w:sz="0" w:space="0" w:color="auto"/>
        <w:bottom w:val="none" w:sz="0" w:space="0" w:color="auto"/>
        <w:right w:val="none" w:sz="0" w:space="0" w:color="auto"/>
      </w:divBdr>
    </w:div>
    <w:div w:id="777914305">
      <w:bodyDiv w:val="1"/>
      <w:marLeft w:val="0"/>
      <w:marRight w:val="0"/>
      <w:marTop w:val="0"/>
      <w:marBottom w:val="0"/>
      <w:divBdr>
        <w:top w:val="none" w:sz="0" w:space="0" w:color="auto"/>
        <w:left w:val="none" w:sz="0" w:space="0" w:color="auto"/>
        <w:bottom w:val="none" w:sz="0" w:space="0" w:color="auto"/>
        <w:right w:val="none" w:sz="0" w:space="0" w:color="auto"/>
      </w:divBdr>
    </w:div>
    <w:div w:id="785855931">
      <w:bodyDiv w:val="1"/>
      <w:marLeft w:val="0"/>
      <w:marRight w:val="0"/>
      <w:marTop w:val="0"/>
      <w:marBottom w:val="0"/>
      <w:divBdr>
        <w:top w:val="none" w:sz="0" w:space="0" w:color="auto"/>
        <w:left w:val="none" w:sz="0" w:space="0" w:color="auto"/>
        <w:bottom w:val="none" w:sz="0" w:space="0" w:color="auto"/>
        <w:right w:val="none" w:sz="0" w:space="0" w:color="auto"/>
      </w:divBdr>
    </w:div>
    <w:div w:id="825363256">
      <w:bodyDiv w:val="1"/>
      <w:marLeft w:val="0"/>
      <w:marRight w:val="0"/>
      <w:marTop w:val="0"/>
      <w:marBottom w:val="0"/>
      <w:divBdr>
        <w:top w:val="none" w:sz="0" w:space="0" w:color="auto"/>
        <w:left w:val="none" w:sz="0" w:space="0" w:color="auto"/>
        <w:bottom w:val="none" w:sz="0" w:space="0" w:color="auto"/>
        <w:right w:val="none" w:sz="0" w:space="0" w:color="auto"/>
      </w:divBdr>
    </w:div>
    <w:div w:id="830024746">
      <w:bodyDiv w:val="1"/>
      <w:marLeft w:val="0"/>
      <w:marRight w:val="0"/>
      <w:marTop w:val="0"/>
      <w:marBottom w:val="0"/>
      <w:divBdr>
        <w:top w:val="none" w:sz="0" w:space="0" w:color="auto"/>
        <w:left w:val="none" w:sz="0" w:space="0" w:color="auto"/>
        <w:bottom w:val="none" w:sz="0" w:space="0" w:color="auto"/>
        <w:right w:val="none" w:sz="0" w:space="0" w:color="auto"/>
      </w:divBdr>
    </w:div>
    <w:div w:id="857546300">
      <w:bodyDiv w:val="1"/>
      <w:marLeft w:val="0"/>
      <w:marRight w:val="0"/>
      <w:marTop w:val="0"/>
      <w:marBottom w:val="0"/>
      <w:divBdr>
        <w:top w:val="none" w:sz="0" w:space="0" w:color="auto"/>
        <w:left w:val="none" w:sz="0" w:space="0" w:color="auto"/>
        <w:bottom w:val="none" w:sz="0" w:space="0" w:color="auto"/>
        <w:right w:val="none" w:sz="0" w:space="0" w:color="auto"/>
      </w:divBdr>
    </w:div>
    <w:div w:id="870456817">
      <w:bodyDiv w:val="1"/>
      <w:marLeft w:val="0"/>
      <w:marRight w:val="0"/>
      <w:marTop w:val="0"/>
      <w:marBottom w:val="0"/>
      <w:divBdr>
        <w:top w:val="none" w:sz="0" w:space="0" w:color="auto"/>
        <w:left w:val="none" w:sz="0" w:space="0" w:color="auto"/>
        <w:bottom w:val="none" w:sz="0" w:space="0" w:color="auto"/>
        <w:right w:val="none" w:sz="0" w:space="0" w:color="auto"/>
      </w:divBdr>
    </w:div>
    <w:div w:id="900865116">
      <w:bodyDiv w:val="1"/>
      <w:marLeft w:val="0"/>
      <w:marRight w:val="0"/>
      <w:marTop w:val="0"/>
      <w:marBottom w:val="0"/>
      <w:divBdr>
        <w:top w:val="none" w:sz="0" w:space="0" w:color="auto"/>
        <w:left w:val="none" w:sz="0" w:space="0" w:color="auto"/>
        <w:bottom w:val="none" w:sz="0" w:space="0" w:color="auto"/>
        <w:right w:val="none" w:sz="0" w:space="0" w:color="auto"/>
      </w:divBdr>
    </w:div>
    <w:div w:id="901333181">
      <w:bodyDiv w:val="1"/>
      <w:marLeft w:val="0"/>
      <w:marRight w:val="0"/>
      <w:marTop w:val="0"/>
      <w:marBottom w:val="0"/>
      <w:divBdr>
        <w:top w:val="none" w:sz="0" w:space="0" w:color="auto"/>
        <w:left w:val="none" w:sz="0" w:space="0" w:color="auto"/>
        <w:bottom w:val="none" w:sz="0" w:space="0" w:color="auto"/>
        <w:right w:val="none" w:sz="0" w:space="0" w:color="auto"/>
      </w:divBdr>
    </w:div>
    <w:div w:id="952398183">
      <w:bodyDiv w:val="1"/>
      <w:marLeft w:val="0"/>
      <w:marRight w:val="0"/>
      <w:marTop w:val="0"/>
      <w:marBottom w:val="0"/>
      <w:divBdr>
        <w:top w:val="none" w:sz="0" w:space="0" w:color="auto"/>
        <w:left w:val="none" w:sz="0" w:space="0" w:color="auto"/>
        <w:bottom w:val="none" w:sz="0" w:space="0" w:color="auto"/>
        <w:right w:val="none" w:sz="0" w:space="0" w:color="auto"/>
      </w:divBdr>
    </w:div>
    <w:div w:id="955524853">
      <w:bodyDiv w:val="1"/>
      <w:marLeft w:val="0"/>
      <w:marRight w:val="0"/>
      <w:marTop w:val="0"/>
      <w:marBottom w:val="0"/>
      <w:divBdr>
        <w:top w:val="none" w:sz="0" w:space="0" w:color="auto"/>
        <w:left w:val="none" w:sz="0" w:space="0" w:color="auto"/>
        <w:bottom w:val="none" w:sz="0" w:space="0" w:color="auto"/>
        <w:right w:val="none" w:sz="0" w:space="0" w:color="auto"/>
      </w:divBdr>
    </w:div>
    <w:div w:id="1016229029">
      <w:bodyDiv w:val="1"/>
      <w:marLeft w:val="0"/>
      <w:marRight w:val="0"/>
      <w:marTop w:val="0"/>
      <w:marBottom w:val="0"/>
      <w:divBdr>
        <w:top w:val="none" w:sz="0" w:space="0" w:color="auto"/>
        <w:left w:val="none" w:sz="0" w:space="0" w:color="auto"/>
        <w:bottom w:val="none" w:sz="0" w:space="0" w:color="auto"/>
        <w:right w:val="none" w:sz="0" w:space="0" w:color="auto"/>
      </w:divBdr>
    </w:div>
    <w:div w:id="1026365858">
      <w:bodyDiv w:val="1"/>
      <w:marLeft w:val="0"/>
      <w:marRight w:val="0"/>
      <w:marTop w:val="0"/>
      <w:marBottom w:val="0"/>
      <w:divBdr>
        <w:top w:val="none" w:sz="0" w:space="0" w:color="auto"/>
        <w:left w:val="none" w:sz="0" w:space="0" w:color="auto"/>
        <w:bottom w:val="none" w:sz="0" w:space="0" w:color="auto"/>
        <w:right w:val="none" w:sz="0" w:space="0" w:color="auto"/>
      </w:divBdr>
    </w:div>
    <w:div w:id="1050105152">
      <w:bodyDiv w:val="1"/>
      <w:marLeft w:val="0"/>
      <w:marRight w:val="0"/>
      <w:marTop w:val="0"/>
      <w:marBottom w:val="0"/>
      <w:divBdr>
        <w:top w:val="none" w:sz="0" w:space="0" w:color="auto"/>
        <w:left w:val="none" w:sz="0" w:space="0" w:color="auto"/>
        <w:bottom w:val="none" w:sz="0" w:space="0" w:color="auto"/>
        <w:right w:val="none" w:sz="0" w:space="0" w:color="auto"/>
      </w:divBdr>
    </w:div>
    <w:div w:id="1055470395">
      <w:bodyDiv w:val="1"/>
      <w:marLeft w:val="0"/>
      <w:marRight w:val="0"/>
      <w:marTop w:val="0"/>
      <w:marBottom w:val="0"/>
      <w:divBdr>
        <w:top w:val="none" w:sz="0" w:space="0" w:color="auto"/>
        <w:left w:val="none" w:sz="0" w:space="0" w:color="auto"/>
        <w:bottom w:val="none" w:sz="0" w:space="0" w:color="auto"/>
        <w:right w:val="none" w:sz="0" w:space="0" w:color="auto"/>
      </w:divBdr>
    </w:div>
    <w:div w:id="1091123829">
      <w:bodyDiv w:val="1"/>
      <w:marLeft w:val="0"/>
      <w:marRight w:val="0"/>
      <w:marTop w:val="0"/>
      <w:marBottom w:val="0"/>
      <w:divBdr>
        <w:top w:val="none" w:sz="0" w:space="0" w:color="auto"/>
        <w:left w:val="none" w:sz="0" w:space="0" w:color="auto"/>
        <w:bottom w:val="none" w:sz="0" w:space="0" w:color="auto"/>
        <w:right w:val="none" w:sz="0" w:space="0" w:color="auto"/>
      </w:divBdr>
    </w:div>
    <w:div w:id="1162046719">
      <w:bodyDiv w:val="1"/>
      <w:marLeft w:val="0"/>
      <w:marRight w:val="0"/>
      <w:marTop w:val="0"/>
      <w:marBottom w:val="0"/>
      <w:divBdr>
        <w:top w:val="none" w:sz="0" w:space="0" w:color="auto"/>
        <w:left w:val="none" w:sz="0" w:space="0" w:color="auto"/>
        <w:bottom w:val="none" w:sz="0" w:space="0" w:color="auto"/>
        <w:right w:val="none" w:sz="0" w:space="0" w:color="auto"/>
      </w:divBdr>
    </w:div>
    <w:div w:id="1210652382">
      <w:bodyDiv w:val="1"/>
      <w:marLeft w:val="0"/>
      <w:marRight w:val="0"/>
      <w:marTop w:val="0"/>
      <w:marBottom w:val="0"/>
      <w:divBdr>
        <w:top w:val="none" w:sz="0" w:space="0" w:color="auto"/>
        <w:left w:val="none" w:sz="0" w:space="0" w:color="auto"/>
        <w:bottom w:val="none" w:sz="0" w:space="0" w:color="auto"/>
        <w:right w:val="none" w:sz="0" w:space="0" w:color="auto"/>
      </w:divBdr>
    </w:div>
    <w:div w:id="1243446227">
      <w:bodyDiv w:val="1"/>
      <w:marLeft w:val="0"/>
      <w:marRight w:val="0"/>
      <w:marTop w:val="0"/>
      <w:marBottom w:val="0"/>
      <w:divBdr>
        <w:top w:val="none" w:sz="0" w:space="0" w:color="auto"/>
        <w:left w:val="none" w:sz="0" w:space="0" w:color="auto"/>
        <w:bottom w:val="none" w:sz="0" w:space="0" w:color="auto"/>
        <w:right w:val="none" w:sz="0" w:space="0" w:color="auto"/>
      </w:divBdr>
    </w:div>
    <w:div w:id="1266309763">
      <w:bodyDiv w:val="1"/>
      <w:marLeft w:val="0"/>
      <w:marRight w:val="0"/>
      <w:marTop w:val="0"/>
      <w:marBottom w:val="0"/>
      <w:divBdr>
        <w:top w:val="none" w:sz="0" w:space="0" w:color="auto"/>
        <w:left w:val="none" w:sz="0" w:space="0" w:color="auto"/>
        <w:bottom w:val="none" w:sz="0" w:space="0" w:color="auto"/>
        <w:right w:val="none" w:sz="0" w:space="0" w:color="auto"/>
      </w:divBdr>
    </w:div>
    <w:div w:id="1293484832">
      <w:bodyDiv w:val="1"/>
      <w:marLeft w:val="0"/>
      <w:marRight w:val="0"/>
      <w:marTop w:val="0"/>
      <w:marBottom w:val="0"/>
      <w:divBdr>
        <w:top w:val="none" w:sz="0" w:space="0" w:color="auto"/>
        <w:left w:val="none" w:sz="0" w:space="0" w:color="auto"/>
        <w:bottom w:val="none" w:sz="0" w:space="0" w:color="auto"/>
        <w:right w:val="none" w:sz="0" w:space="0" w:color="auto"/>
      </w:divBdr>
    </w:div>
    <w:div w:id="1299074397">
      <w:bodyDiv w:val="1"/>
      <w:marLeft w:val="0"/>
      <w:marRight w:val="0"/>
      <w:marTop w:val="0"/>
      <w:marBottom w:val="0"/>
      <w:divBdr>
        <w:top w:val="none" w:sz="0" w:space="0" w:color="auto"/>
        <w:left w:val="none" w:sz="0" w:space="0" w:color="auto"/>
        <w:bottom w:val="none" w:sz="0" w:space="0" w:color="auto"/>
        <w:right w:val="none" w:sz="0" w:space="0" w:color="auto"/>
      </w:divBdr>
    </w:div>
    <w:div w:id="1342468596">
      <w:bodyDiv w:val="1"/>
      <w:marLeft w:val="0"/>
      <w:marRight w:val="0"/>
      <w:marTop w:val="0"/>
      <w:marBottom w:val="0"/>
      <w:divBdr>
        <w:top w:val="none" w:sz="0" w:space="0" w:color="auto"/>
        <w:left w:val="none" w:sz="0" w:space="0" w:color="auto"/>
        <w:bottom w:val="none" w:sz="0" w:space="0" w:color="auto"/>
        <w:right w:val="none" w:sz="0" w:space="0" w:color="auto"/>
      </w:divBdr>
    </w:div>
    <w:div w:id="1361391605">
      <w:bodyDiv w:val="1"/>
      <w:marLeft w:val="0"/>
      <w:marRight w:val="0"/>
      <w:marTop w:val="0"/>
      <w:marBottom w:val="0"/>
      <w:divBdr>
        <w:top w:val="none" w:sz="0" w:space="0" w:color="auto"/>
        <w:left w:val="none" w:sz="0" w:space="0" w:color="auto"/>
        <w:bottom w:val="none" w:sz="0" w:space="0" w:color="auto"/>
        <w:right w:val="none" w:sz="0" w:space="0" w:color="auto"/>
      </w:divBdr>
    </w:div>
    <w:div w:id="1393655664">
      <w:bodyDiv w:val="1"/>
      <w:marLeft w:val="0"/>
      <w:marRight w:val="0"/>
      <w:marTop w:val="0"/>
      <w:marBottom w:val="0"/>
      <w:divBdr>
        <w:top w:val="none" w:sz="0" w:space="0" w:color="auto"/>
        <w:left w:val="none" w:sz="0" w:space="0" w:color="auto"/>
        <w:bottom w:val="none" w:sz="0" w:space="0" w:color="auto"/>
        <w:right w:val="none" w:sz="0" w:space="0" w:color="auto"/>
      </w:divBdr>
    </w:div>
    <w:div w:id="1396930463">
      <w:bodyDiv w:val="1"/>
      <w:marLeft w:val="0"/>
      <w:marRight w:val="0"/>
      <w:marTop w:val="0"/>
      <w:marBottom w:val="0"/>
      <w:divBdr>
        <w:top w:val="none" w:sz="0" w:space="0" w:color="auto"/>
        <w:left w:val="none" w:sz="0" w:space="0" w:color="auto"/>
        <w:bottom w:val="none" w:sz="0" w:space="0" w:color="auto"/>
        <w:right w:val="none" w:sz="0" w:space="0" w:color="auto"/>
      </w:divBdr>
    </w:div>
    <w:div w:id="1419330516">
      <w:bodyDiv w:val="1"/>
      <w:marLeft w:val="0"/>
      <w:marRight w:val="0"/>
      <w:marTop w:val="0"/>
      <w:marBottom w:val="0"/>
      <w:divBdr>
        <w:top w:val="none" w:sz="0" w:space="0" w:color="auto"/>
        <w:left w:val="none" w:sz="0" w:space="0" w:color="auto"/>
        <w:bottom w:val="none" w:sz="0" w:space="0" w:color="auto"/>
        <w:right w:val="none" w:sz="0" w:space="0" w:color="auto"/>
      </w:divBdr>
    </w:div>
    <w:div w:id="1438721515">
      <w:bodyDiv w:val="1"/>
      <w:marLeft w:val="0"/>
      <w:marRight w:val="0"/>
      <w:marTop w:val="0"/>
      <w:marBottom w:val="0"/>
      <w:divBdr>
        <w:top w:val="none" w:sz="0" w:space="0" w:color="auto"/>
        <w:left w:val="none" w:sz="0" w:space="0" w:color="auto"/>
        <w:bottom w:val="none" w:sz="0" w:space="0" w:color="auto"/>
        <w:right w:val="none" w:sz="0" w:space="0" w:color="auto"/>
      </w:divBdr>
    </w:div>
    <w:div w:id="1448084037">
      <w:bodyDiv w:val="1"/>
      <w:marLeft w:val="0"/>
      <w:marRight w:val="0"/>
      <w:marTop w:val="0"/>
      <w:marBottom w:val="0"/>
      <w:divBdr>
        <w:top w:val="none" w:sz="0" w:space="0" w:color="auto"/>
        <w:left w:val="none" w:sz="0" w:space="0" w:color="auto"/>
        <w:bottom w:val="none" w:sz="0" w:space="0" w:color="auto"/>
        <w:right w:val="none" w:sz="0" w:space="0" w:color="auto"/>
      </w:divBdr>
    </w:div>
    <w:div w:id="1460143081">
      <w:bodyDiv w:val="1"/>
      <w:marLeft w:val="0"/>
      <w:marRight w:val="0"/>
      <w:marTop w:val="0"/>
      <w:marBottom w:val="0"/>
      <w:divBdr>
        <w:top w:val="none" w:sz="0" w:space="0" w:color="auto"/>
        <w:left w:val="none" w:sz="0" w:space="0" w:color="auto"/>
        <w:bottom w:val="none" w:sz="0" w:space="0" w:color="auto"/>
        <w:right w:val="none" w:sz="0" w:space="0" w:color="auto"/>
      </w:divBdr>
      <w:divsChild>
        <w:div w:id="1558053333">
          <w:marLeft w:val="0"/>
          <w:marRight w:val="0"/>
          <w:marTop w:val="0"/>
          <w:marBottom w:val="0"/>
          <w:divBdr>
            <w:top w:val="none" w:sz="0" w:space="0" w:color="auto"/>
            <w:left w:val="none" w:sz="0" w:space="0" w:color="auto"/>
            <w:bottom w:val="none" w:sz="0" w:space="0" w:color="auto"/>
            <w:right w:val="none" w:sz="0" w:space="0" w:color="auto"/>
          </w:divBdr>
          <w:divsChild>
            <w:div w:id="2045250927">
              <w:marLeft w:val="0"/>
              <w:marRight w:val="0"/>
              <w:marTop w:val="0"/>
              <w:marBottom w:val="0"/>
              <w:divBdr>
                <w:top w:val="none" w:sz="0" w:space="0" w:color="auto"/>
                <w:left w:val="none" w:sz="0" w:space="0" w:color="auto"/>
                <w:bottom w:val="none" w:sz="0" w:space="0" w:color="auto"/>
                <w:right w:val="none" w:sz="0" w:space="0" w:color="auto"/>
              </w:divBdr>
              <w:divsChild>
                <w:div w:id="100075564">
                  <w:marLeft w:val="0"/>
                  <w:marRight w:val="0"/>
                  <w:marTop w:val="0"/>
                  <w:marBottom w:val="0"/>
                  <w:divBdr>
                    <w:top w:val="none" w:sz="0" w:space="0" w:color="auto"/>
                    <w:left w:val="none" w:sz="0" w:space="0" w:color="auto"/>
                    <w:bottom w:val="none" w:sz="0" w:space="0" w:color="auto"/>
                    <w:right w:val="none" w:sz="0" w:space="0" w:color="auto"/>
                  </w:divBdr>
                  <w:divsChild>
                    <w:div w:id="3394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436536">
      <w:bodyDiv w:val="1"/>
      <w:marLeft w:val="0"/>
      <w:marRight w:val="0"/>
      <w:marTop w:val="0"/>
      <w:marBottom w:val="0"/>
      <w:divBdr>
        <w:top w:val="none" w:sz="0" w:space="0" w:color="auto"/>
        <w:left w:val="none" w:sz="0" w:space="0" w:color="auto"/>
        <w:bottom w:val="none" w:sz="0" w:space="0" w:color="auto"/>
        <w:right w:val="none" w:sz="0" w:space="0" w:color="auto"/>
      </w:divBdr>
    </w:div>
    <w:div w:id="1603340388">
      <w:bodyDiv w:val="1"/>
      <w:marLeft w:val="0"/>
      <w:marRight w:val="0"/>
      <w:marTop w:val="0"/>
      <w:marBottom w:val="0"/>
      <w:divBdr>
        <w:top w:val="none" w:sz="0" w:space="0" w:color="auto"/>
        <w:left w:val="none" w:sz="0" w:space="0" w:color="auto"/>
        <w:bottom w:val="none" w:sz="0" w:space="0" w:color="auto"/>
        <w:right w:val="none" w:sz="0" w:space="0" w:color="auto"/>
      </w:divBdr>
    </w:div>
    <w:div w:id="1606228076">
      <w:bodyDiv w:val="1"/>
      <w:marLeft w:val="0"/>
      <w:marRight w:val="0"/>
      <w:marTop w:val="0"/>
      <w:marBottom w:val="0"/>
      <w:divBdr>
        <w:top w:val="none" w:sz="0" w:space="0" w:color="auto"/>
        <w:left w:val="none" w:sz="0" w:space="0" w:color="auto"/>
        <w:bottom w:val="none" w:sz="0" w:space="0" w:color="auto"/>
        <w:right w:val="none" w:sz="0" w:space="0" w:color="auto"/>
      </w:divBdr>
    </w:div>
    <w:div w:id="1607300746">
      <w:bodyDiv w:val="1"/>
      <w:marLeft w:val="0"/>
      <w:marRight w:val="0"/>
      <w:marTop w:val="0"/>
      <w:marBottom w:val="0"/>
      <w:divBdr>
        <w:top w:val="none" w:sz="0" w:space="0" w:color="auto"/>
        <w:left w:val="none" w:sz="0" w:space="0" w:color="auto"/>
        <w:bottom w:val="none" w:sz="0" w:space="0" w:color="auto"/>
        <w:right w:val="none" w:sz="0" w:space="0" w:color="auto"/>
      </w:divBdr>
    </w:div>
    <w:div w:id="1632057494">
      <w:bodyDiv w:val="1"/>
      <w:marLeft w:val="0"/>
      <w:marRight w:val="0"/>
      <w:marTop w:val="0"/>
      <w:marBottom w:val="0"/>
      <w:divBdr>
        <w:top w:val="none" w:sz="0" w:space="0" w:color="auto"/>
        <w:left w:val="none" w:sz="0" w:space="0" w:color="auto"/>
        <w:bottom w:val="none" w:sz="0" w:space="0" w:color="auto"/>
        <w:right w:val="none" w:sz="0" w:space="0" w:color="auto"/>
      </w:divBdr>
    </w:div>
    <w:div w:id="1680424932">
      <w:bodyDiv w:val="1"/>
      <w:marLeft w:val="0"/>
      <w:marRight w:val="0"/>
      <w:marTop w:val="0"/>
      <w:marBottom w:val="0"/>
      <w:divBdr>
        <w:top w:val="none" w:sz="0" w:space="0" w:color="auto"/>
        <w:left w:val="none" w:sz="0" w:space="0" w:color="auto"/>
        <w:bottom w:val="none" w:sz="0" w:space="0" w:color="auto"/>
        <w:right w:val="none" w:sz="0" w:space="0" w:color="auto"/>
      </w:divBdr>
    </w:div>
    <w:div w:id="1755086593">
      <w:bodyDiv w:val="1"/>
      <w:marLeft w:val="0"/>
      <w:marRight w:val="0"/>
      <w:marTop w:val="0"/>
      <w:marBottom w:val="0"/>
      <w:divBdr>
        <w:top w:val="none" w:sz="0" w:space="0" w:color="auto"/>
        <w:left w:val="none" w:sz="0" w:space="0" w:color="auto"/>
        <w:bottom w:val="none" w:sz="0" w:space="0" w:color="auto"/>
        <w:right w:val="none" w:sz="0" w:space="0" w:color="auto"/>
      </w:divBdr>
    </w:div>
    <w:div w:id="1760831398">
      <w:bodyDiv w:val="1"/>
      <w:marLeft w:val="0"/>
      <w:marRight w:val="0"/>
      <w:marTop w:val="0"/>
      <w:marBottom w:val="0"/>
      <w:divBdr>
        <w:top w:val="none" w:sz="0" w:space="0" w:color="auto"/>
        <w:left w:val="none" w:sz="0" w:space="0" w:color="auto"/>
        <w:bottom w:val="none" w:sz="0" w:space="0" w:color="auto"/>
        <w:right w:val="none" w:sz="0" w:space="0" w:color="auto"/>
      </w:divBdr>
    </w:div>
    <w:div w:id="1820606430">
      <w:bodyDiv w:val="1"/>
      <w:marLeft w:val="0"/>
      <w:marRight w:val="0"/>
      <w:marTop w:val="0"/>
      <w:marBottom w:val="0"/>
      <w:divBdr>
        <w:top w:val="none" w:sz="0" w:space="0" w:color="auto"/>
        <w:left w:val="none" w:sz="0" w:space="0" w:color="auto"/>
        <w:bottom w:val="none" w:sz="0" w:space="0" w:color="auto"/>
        <w:right w:val="none" w:sz="0" w:space="0" w:color="auto"/>
      </w:divBdr>
    </w:div>
    <w:div w:id="1906798809">
      <w:bodyDiv w:val="1"/>
      <w:marLeft w:val="0"/>
      <w:marRight w:val="0"/>
      <w:marTop w:val="0"/>
      <w:marBottom w:val="0"/>
      <w:divBdr>
        <w:top w:val="none" w:sz="0" w:space="0" w:color="auto"/>
        <w:left w:val="none" w:sz="0" w:space="0" w:color="auto"/>
        <w:bottom w:val="none" w:sz="0" w:space="0" w:color="auto"/>
        <w:right w:val="none" w:sz="0" w:space="0" w:color="auto"/>
      </w:divBdr>
    </w:div>
    <w:div w:id="1911191441">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69125614">
      <w:bodyDiv w:val="1"/>
      <w:marLeft w:val="0"/>
      <w:marRight w:val="0"/>
      <w:marTop w:val="0"/>
      <w:marBottom w:val="0"/>
      <w:divBdr>
        <w:top w:val="none" w:sz="0" w:space="0" w:color="auto"/>
        <w:left w:val="none" w:sz="0" w:space="0" w:color="auto"/>
        <w:bottom w:val="none" w:sz="0" w:space="0" w:color="auto"/>
        <w:right w:val="none" w:sz="0" w:space="0" w:color="auto"/>
      </w:divBdr>
      <w:divsChild>
        <w:div w:id="393435722">
          <w:marLeft w:val="0"/>
          <w:marRight w:val="0"/>
          <w:marTop w:val="0"/>
          <w:marBottom w:val="0"/>
          <w:divBdr>
            <w:top w:val="none" w:sz="0" w:space="0" w:color="auto"/>
            <w:left w:val="none" w:sz="0" w:space="0" w:color="auto"/>
            <w:bottom w:val="none" w:sz="0" w:space="0" w:color="auto"/>
            <w:right w:val="none" w:sz="0" w:space="0" w:color="auto"/>
          </w:divBdr>
          <w:divsChild>
            <w:div w:id="1491091331">
              <w:marLeft w:val="0"/>
              <w:marRight w:val="0"/>
              <w:marTop w:val="0"/>
              <w:marBottom w:val="0"/>
              <w:divBdr>
                <w:top w:val="none" w:sz="0" w:space="0" w:color="auto"/>
                <w:left w:val="none" w:sz="0" w:space="0" w:color="auto"/>
                <w:bottom w:val="none" w:sz="0" w:space="0" w:color="auto"/>
                <w:right w:val="none" w:sz="0" w:space="0" w:color="auto"/>
              </w:divBdr>
              <w:divsChild>
                <w:div w:id="274677780">
                  <w:marLeft w:val="0"/>
                  <w:marRight w:val="0"/>
                  <w:marTop w:val="0"/>
                  <w:marBottom w:val="0"/>
                  <w:divBdr>
                    <w:top w:val="none" w:sz="0" w:space="0" w:color="auto"/>
                    <w:left w:val="none" w:sz="0" w:space="0" w:color="auto"/>
                    <w:bottom w:val="none" w:sz="0" w:space="0" w:color="auto"/>
                    <w:right w:val="none" w:sz="0" w:space="0" w:color="auto"/>
                  </w:divBdr>
                  <w:divsChild>
                    <w:div w:id="354697277">
                      <w:marLeft w:val="0"/>
                      <w:marRight w:val="0"/>
                      <w:marTop w:val="0"/>
                      <w:marBottom w:val="0"/>
                      <w:divBdr>
                        <w:top w:val="none" w:sz="0" w:space="0" w:color="auto"/>
                        <w:left w:val="none" w:sz="0" w:space="0" w:color="auto"/>
                        <w:bottom w:val="none" w:sz="0" w:space="0" w:color="auto"/>
                        <w:right w:val="none" w:sz="0" w:space="0" w:color="auto"/>
                      </w:divBdr>
                      <w:divsChild>
                        <w:div w:id="2078283284">
                          <w:marLeft w:val="0"/>
                          <w:marRight w:val="0"/>
                          <w:marTop w:val="0"/>
                          <w:marBottom w:val="0"/>
                          <w:divBdr>
                            <w:top w:val="none" w:sz="0" w:space="0" w:color="auto"/>
                            <w:left w:val="none" w:sz="0" w:space="0" w:color="auto"/>
                            <w:bottom w:val="none" w:sz="0" w:space="0" w:color="auto"/>
                            <w:right w:val="none" w:sz="0" w:space="0" w:color="auto"/>
                          </w:divBdr>
                          <w:divsChild>
                            <w:div w:id="18078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31206">
      <w:bodyDiv w:val="1"/>
      <w:marLeft w:val="0"/>
      <w:marRight w:val="0"/>
      <w:marTop w:val="0"/>
      <w:marBottom w:val="0"/>
      <w:divBdr>
        <w:top w:val="none" w:sz="0" w:space="0" w:color="auto"/>
        <w:left w:val="none" w:sz="0" w:space="0" w:color="auto"/>
        <w:bottom w:val="none" w:sz="0" w:space="0" w:color="auto"/>
        <w:right w:val="none" w:sz="0" w:space="0" w:color="auto"/>
      </w:divBdr>
    </w:div>
    <w:div w:id="2021396958">
      <w:bodyDiv w:val="1"/>
      <w:marLeft w:val="0"/>
      <w:marRight w:val="0"/>
      <w:marTop w:val="0"/>
      <w:marBottom w:val="0"/>
      <w:divBdr>
        <w:top w:val="none" w:sz="0" w:space="0" w:color="auto"/>
        <w:left w:val="none" w:sz="0" w:space="0" w:color="auto"/>
        <w:bottom w:val="none" w:sz="0" w:space="0" w:color="auto"/>
        <w:right w:val="none" w:sz="0" w:space="0" w:color="auto"/>
      </w:divBdr>
    </w:div>
    <w:div w:id="20926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tga.gov.au/product-information-pi"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tga.gov.au" TargetMode="Externa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tga.gov.au/industry/pm-euguidelines-adopted-clinical.htm" TargetMode="External"/><Relationship Id="rId3" Type="http://schemas.openxmlformats.org/officeDocument/2006/relationships/hyperlink" Target="http://www.tga.gov.au/industry/pm-euguidelines-adopted-clinical.htm" TargetMode="External"/><Relationship Id="rId7" Type="http://schemas.openxmlformats.org/officeDocument/2006/relationships/hyperlink" Target="http://www.tga.gov.au/industry/pm-euguidelines-adopted-clinical.htm" TargetMode="External"/><Relationship Id="rId2" Type="http://schemas.openxmlformats.org/officeDocument/2006/relationships/hyperlink" Target="http://www.tga.gov.au/industry/pm-euguidelines-adopted-clinical.htm" TargetMode="External"/><Relationship Id="rId1" Type="http://schemas.openxmlformats.org/officeDocument/2006/relationships/hyperlink" Target="http://www.tga.gov.au/industry/pm-euguidelines-adopted-clinical.htm" TargetMode="External"/><Relationship Id="rId6" Type="http://schemas.openxmlformats.org/officeDocument/2006/relationships/hyperlink" Target="http://www.tga.gov.au/industry/pm-euguidelines-adopted-clinical.htm" TargetMode="External"/><Relationship Id="rId5" Type="http://schemas.openxmlformats.org/officeDocument/2006/relationships/hyperlink" Target="http://www.tga.gov.au/industry/pm-euguidelines-adopted-clinical.htm" TargetMode="External"/><Relationship Id="rId10" Type="http://schemas.openxmlformats.org/officeDocument/2006/relationships/hyperlink" Target="https://en.wikipedia.org/wiki/Liver_transplantation" TargetMode="External"/><Relationship Id="rId4" Type="http://schemas.openxmlformats.org/officeDocument/2006/relationships/hyperlink" Target="http://www.tga.gov.au/industry/pm-euguidelines-adopted-clinical.htm" TargetMode="External"/><Relationship Id="rId9" Type="http://schemas.openxmlformats.org/officeDocument/2006/relationships/hyperlink" Target="https://en.wikipedia.org/wiki/Cirrhosi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3408\R12%20926607%20%20AusPAR%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8911E-8084-45DB-8ADF-C78C8B54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170</TotalTime>
  <Pages>71</Pages>
  <Words>24413</Words>
  <Characters>135007</Characters>
  <Application>Microsoft Office Word</Application>
  <DocSecurity>0</DocSecurity>
  <Lines>4500</Lines>
  <Paragraphs>2379</Paragraphs>
  <ScaleCrop>false</ScaleCrop>
  <HeadingPairs>
    <vt:vector size="2" baseType="variant">
      <vt:variant>
        <vt:lpstr>Title</vt:lpstr>
      </vt:variant>
      <vt:variant>
        <vt:i4>1</vt:i4>
      </vt:variant>
    </vt:vector>
  </HeadingPairs>
  <TitlesOfParts>
    <vt:vector size="1" baseType="lpstr">
      <vt:lpstr>Australian Public Assessment Report for Asunaprevir</vt:lpstr>
    </vt:vector>
  </TitlesOfParts>
  <Company/>
  <LinksUpToDate>false</LinksUpToDate>
  <CharactersWithSpaces>157041</CharactersWithSpaces>
  <SharedDoc>false</SharedDoc>
  <HLinks>
    <vt:vector size="354" baseType="variant">
      <vt:variant>
        <vt:i4>3473445</vt:i4>
      </vt:variant>
      <vt:variant>
        <vt:i4>285</vt:i4>
      </vt:variant>
      <vt:variant>
        <vt:i4>0</vt:i4>
      </vt:variant>
      <vt:variant>
        <vt:i4>5</vt:i4>
      </vt:variant>
      <vt:variant>
        <vt:lpwstr>https://www.tga.gov.au/</vt:lpwstr>
      </vt:variant>
      <vt:variant>
        <vt:lpwstr/>
      </vt:variant>
      <vt:variant>
        <vt:i4>5242926</vt:i4>
      </vt:variant>
      <vt:variant>
        <vt:i4>282</vt:i4>
      </vt:variant>
      <vt:variant>
        <vt:i4>0</vt:i4>
      </vt:variant>
      <vt:variant>
        <vt:i4>5</vt:i4>
      </vt:variant>
      <vt:variant>
        <vt:lpwstr>mailto:info@tga.gov.au</vt:lpwstr>
      </vt:variant>
      <vt:variant>
        <vt:lpwstr/>
      </vt:variant>
      <vt:variant>
        <vt:i4>4194312</vt:i4>
      </vt:variant>
      <vt:variant>
        <vt:i4>279</vt:i4>
      </vt:variant>
      <vt:variant>
        <vt:i4>0</vt:i4>
      </vt:variant>
      <vt:variant>
        <vt:i4>5</vt:i4>
      </vt:variant>
      <vt:variant>
        <vt:lpwstr>https://www.tga.gov.au/product-information-pi</vt:lpwstr>
      </vt:variant>
      <vt:variant>
        <vt:lpwstr/>
      </vt:variant>
      <vt:variant>
        <vt:i4>4194312</vt:i4>
      </vt:variant>
      <vt:variant>
        <vt:i4>267</vt:i4>
      </vt:variant>
      <vt:variant>
        <vt:i4>0</vt:i4>
      </vt:variant>
      <vt:variant>
        <vt:i4>5</vt:i4>
      </vt:variant>
      <vt:variant>
        <vt:lpwstr>https://www.tga.gov.au/product-information-pi</vt:lpwstr>
      </vt:variant>
      <vt:variant>
        <vt:lpwstr/>
      </vt:variant>
      <vt:variant>
        <vt:i4>1572922</vt:i4>
      </vt:variant>
      <vt:variant>
        <vt:i4>260</vt:i4>
      </vt:variant>
      <vt:variant>
        <vt:i4>0</vt:i4>
      </vt:variant>
      <vt:variant>
        <vt:i4>5</vt:i4>
      </vt:variant>
      <vt:variant>
        <vt:lpwstr/>
      </vt:variant>
      <vt:variant>
        <vt:lpwstr>_Toc430865815</vt:lpwstr>
      </vt:variant>
      <vt:variant>
        <vt:i4>1572922</vt:i4>
      </vt:variant>
      <vt:variant>
        <vt:i4>254</vt:i4>
      </vt:variant>
      <vt:variant>
        <vt:i4>0</vt:i4>
      </vt:variant>
      <vt:variant>
        <vt:i4>5</vt:i4>
      </vt:variant>
      <vt:variant>
        <vt:lpwstr/>
      </vt:variant>
      <vt:variant>
        <vt:lpwstr>_Toc430865814</vt:lpwstr>
      </vt:variant>
      <vt:variant>
        <vt:i4>1572922</vt:i4>
      </vt:variant>
      <vt:variant>
        <vt:i4>248</vt:i4>
      </vt:variant>
      <vt:variant>
        <vt:i4>0</vt:i4>
      </vt:variant>
      <vt:variant>
        <vt:i4>5</vt:i4>
      </vt:variant>
      <vt:variant>
        <vt:lpwstr/>
      </vt:variant>
      <vt:variant>
        <vt:lpwstr>_Toc430865813</vt:lpwstr>
      </vt:variant>
      <vt:variant>
        <vt:i4>1572922</vt:i4>
      </vt:variant>
      <vt:variant>
        <vt:i4>242</vt:i4>
      </vt:variant>
      <vt:variant>
        <vt:i4>0</vt:i4>
      </vt:variant>
      <vt:variant>
        <vt:i4>5</vt:i4>
      </vt:variant>
      <vt:variant>
        <vt:lpwstr/>
      </vt:variant>
      <vt:variant>
        <vt:lpwstr>_Toc430865812</vt:lpwstr>
      </vt:variant>
      <vt:variant>
        <vt:i4>1572922</vt:i4>
      </vt:variant>
      <vt:variant>
        <vt:i4>236</vt:i4>
      </vt:variant>
      <vt:variant>
        <vt:i4>0</vt:i4>
      </vt:variant>
      <vt:variant>
        <vt:i4>5</vt:i4>
      </vt:variant>
      <vt:variant>
        <vt:lpwstr/>
      </vt:variant>
      <vt:variant>
        <vt:lpwstr>_Toc430865811</vt:lpwstr>
      </vt:variant>
      <vt:variant>
        <vt:i4>1572922</vt:i4>
      </vt:variant>
      <vt:variant>
        <vt:i4>230</vt:i4>
      </vt:variant>
      <vt:variant>
        <vt:i4>0</vt:i4>
      </vt:variant>
      <vt:variant>
        <vt:i4>5</vt:i4>
      </vt:variant>
      <vt:variant>
        <vt:lpwstr/>
      </vt:variant>
      <vt:variant>
        <vt:lpwstr>_Toc430865810</vt:lpwstr>
      </vt:variant>
      <vt:variant>
        <vt:i4>1638458</vt:i4>
      </vt:variant>
      <vt:variant>
        <vt:i4>224</vt:i4>
      </vt:variant>
      <vt:variant>
        <vt:i4>0</vt:i4>
      </vt:variant>
      <vt:variant>
        <vt:i4>5</vt:i4>
      </vt:variant>
      <vt:variant>
        <vt:lpwstr/>
      </vt:variant>
      <vt:variant>
        <vt:lpwstr>_Toc430865809</vt:lpwstr>
      </vt:variant>
      <vt:variant>
        <vt:i4>1638458</vt:i4>
      </vt:variant>
      <vt:variant>
        <vt:i4>218</vt:i4>
      </vt:variant>
      <vt:variant>
        <vt:i4>0</vt:i4>
      </vt:variant>
      <vt:variant>
        <vt:i4>5</vt:i4>
      </vt:variant>
      <vt:variant>
        <vt:lpwstr/>
      </vt:variant>
      <vt:variant>
        <vt:lpwstr>_Toc430865808</vt:lpwstr>
      </vt:variant>
      <vt:variant>
        <vt:i4>1638458</vt:i4>
      </vt:variant>
      <vt:variant>
        <vt:i4>212</vt:i4>
      </vt:variant>
      <vt:variant>
        <vt:i4>0</vt:i4>
      </vt:variant>
      <vt:variant>
        <vt:i4>5</vt:i4>
      </vt:variant>
      <vt:variant>
        <vt:lpwstr/>
      </vt:variant>
      <vt:variant>
        <vt:lpwstr>_Toc430865807</vt:lpwstr>
      </vt:variant>
      <vt:variant>
        <vt:i4>1638458</vt:i4>
      </vt:variant>
      <vt:variant>
        <vt:i4>206</vt:i4>
      </vt:variant>
      <vt:variant>
        <vt:i4>0</vt:i4>
      </vt:variant>
      <vt:variant>
        <vt:i4>5</vt:i4>
      </vt:variant>
      <vt:variant>
        <vt:lpwstr/>
      </vt:variant>
      <vt:variant>
        <vt:lpwstr>_Toc430865806</vt:lpwstr>
      </vt:variant>
      <vt:variant>
        <vt:i4>1638458</vt:i4>
      </vt:variant>
      <vt:variant>
        <vt:i4>200</vt:i4>
      </vt:variant>
      <vt:variant>
        <vt:i4>0</vt:i4>
      </vt:variant>
      <vt:variant>
        <vt:i4>5</vt:i4>
      </vt:variant>
      <vt:variant>
        <vt:lpwstr/>
      </vt:variant>
      <vt:variant>
        <vt:lpwstr>_Toc430865805</vt:lpwstr>
      </vt:variant>
      <vt:variant>
        <vt:i4>1638458</vt:i4>
      </vt:variant>
      <vt:variant>
        <vt:i4>194</vt:i4>
      </vt:variant>
      <vt:variant>
        <vt:i4>0</vt:i4>
      </vt:variant>
      <vt:variant>
        <vt:i4>5</vt:i4>
      </vt:variant>
      <vt:variant>
        <vt:lpwstr/>
      </vt:variant>
      <vt:variant>
        <vt:lpwstr>_Toc430865804</vt:lpwstr>
      </vt:variant>
      <vt:variant>
        <vt:i4>1638458</vt:i4>
      </vt:variant>
      <vt:variant>
        <vt:i4>188</vt:i4>
      </vt:variant>
      <vt:variant>
        <vt:i4>0</vt:i4>
      </vt:variant>
      <vt:variant>
        <vt:i4>5</vt:i4>
      </vt:variant>
      <vt:variant>
        <vt:lpwstr/>
      </vt:variant>
      <vt:variant>
        <vt:lpwstr>_Toc430865803</vt:lpwstr>
      </vt:variant>
      <vt:variant>
        <vt:i4>1638458</vt:i4>
      </vt:variant>
      <vt:variant>
        <vt:i4>182</vt:i4>
      </vt:variant>
      <vt:variant>
        <vt:i4>0</vt:i4>
      </vt:variant>
      <vt:variant>
        <vt:i4>5</vt:i4>
      </vt:variant>
      <vt:variant>
        <vt:lpwstr/>
      </vt:variant>
      <vt:variant>
        <vt:lpwstr>_Toc430865802</vt:lpwstr>
      </vt:variant>
      <vt:variant>
        <vt:i4>1638458</vt:i4>
      </vt:variant>
      <vt:variant>
        <vt:i4>176</vt:i4>
      </vt:variant>
      <vt:variant>
        <vt:i4>0</vt:i4>
      </vt:variant>
      <vt:variant>
        <vt:i4>5</vt:i4>
      </vt:variant>
      <vt:variant>
        <vt:lpwstr/>
      </vt:variant>
      <vt:variant>
        <vt:lpwstr>_Toc430865801</vt:lpwstr>
      </vt:variant>
      <vt:variant>
        <vt:i4>1638458</vt:i4>
      </vt:variant>
      <vt:variant>
        <vt:i4>170</vt:i4>
      </vt:variant>
      <vt:variant>
        <vt:i4>0</vt:i4>
      </vt:variant>
      <vt:variant>
        <vt:i4>5</vt:i4>
      </vt:variant>
      <vt:variant>
        <vt:lpwstr/>
      </vt:variant>
      <vt:variant>
        <vt:lpwstr>_Toc430865800</vt:lpwstr>
      </vt:variant>
      <vt:variant>
        <vt:i4>1048629</vt:i4>
      </vt:variant>
      <vt:variant>
        <vt:i4>164</vt:i4>
      </vt:variant>
      <vt:variant>
        <vt:i4>0</vt:i4>
      </vt:variant>
      <vt:variant>
        <vt:i4>5</vt:i4>
      </vt:variant>
      <vt:variant>
        <vt:lpwstr/>
      </vt:variant>
      <vt:variant>
        <vt:lpwstr>_Toc430865799</vt:lpwstr>
      </vt:variant>
      <vt:variant>
        <vt:i4>1048629</vt:i4>
      </vt:variant>
      <vt:variant>
        <vt:i4>158</vt:i4>
      </vt:variant>
      <vt:variant>
        <vt:i4>0</vt:i4>
      </vt:variant>
      <vt:variant>
        <vt:i4>5</vt:i4>
      </vt:variant>
      <vt:variant>
        <vt:lpwstr/>
      </vt:variant>
      <vt:variant>
        <vt:lpwstr>_Toc430865798</vt:lpwstr>
      </vt:variant>
      <vt:variant>
        <vt:i4>1048629</vt:i4>
      </vt:variant>
      <vt:variant>
        <vt:i4>152</vt:i4>
      </vt:variant>
      <vt:variant>
        <vt:i4>0</vt:i4>
      </vt:variant>
      <vt:variant>
        <vt:i4>5</vt:i4>
      </vt:variant>
      <vt:variant>
        <vt:lpwstr/>
      </vt:variant>
      <vt:variant>
        <vt:lpwstr>_Toc430865797</vt:lpwstr>
      </vt:variant>
      <vt:variant>
        <vt:i4>1048629</vt:i4>
      </vt:variant>
      <vt:variant>
        <vt:i4>146</vt:i4>
      </vt:variant>
      <vt:variant>
        <vt:i4>0</vt:i4>
      </vt:variant>
      <vt:variant>
        <vt:i4>5</vt:i4>
      </vt:variant>
      <vt:variant>
        <vt:lpwstr/>
      </vt:variant>
      <vt:variant>
        <vt:lpwstr>_Toc430865796</vt:lpwstr>
      </vt:variant>
      <vt:variant>
        <vt:i4>1048629</vt:i4>
      </vt:variant>
      <vt:variant>
        <vt:i4>140</vt:i4>
      </vt:variant>
      <vt:variant>
        <vt:i4>0</vt:i4>
      </vt:variant>
      <vt:variant>
        <vt:i4>5</vt:i4>
      </vt:variant>
      <vt:variant>
        <vt:lpwstr/>
      </vt:variant>
      <vt:variant>
        <vt:lpwstr>_Toc430865795</vt:lpwstr>
      </vt:variant>
      <vt:variant>
        <vt:i4>1048629</vt:i4>
      </vt:variant>
      <vt:variant>
        <vt:i4>134</vt:i4>
      </vt:variant>
      <vt:variant>
        <vt:i4>0</vt:i4>
      </vt:variant>
      <vt:variant>
        <vt:i4>5</vt:i4>
      </vt:variant>
      <vt:variant>
        <vt:lpwstr/>
      </vt:variant>
      <vt:variant>
        <vt:lpwstr>_Toc430865794</vt:lpwstr>
      </vt:variant>
      <vt:variant>
        <vt:i4>1048629</vt:i4>
      </vt:variant>
      <vt:variant>
        <vt:i4>128</vt:i4>
      </vt:variant>
      <vt:variant>
        <vt:i4>0</vt:i4>
      </vt:variant>
      <vt:variant>
        <vt:i4>5</vt:i4>
      </vt:variant>
      <vt:variant>
        <vt:lpwstr/>
      </vt:variant>
      <vt:variant>
        <vt:lpwstr>_Toc430865793</vt:lpwstr>
      </vt:variant>
      <vt:variant>
        <vt:i4>1048629</vt:i4>
      </vt:variant>
      <vt:variant>
        <vt:i4>122</vt:i4>
      </vt:variant>
      <vt:variant>
        <vt:i4>0</vt:i4>
      </vt:variant>
      <vt:variant>
        <vt:i4>5</vt:i4>
      </vt:variant>
      <vt:variant>
        <vt:lpwstr/>
      </vt:variant>
      <vt:variant>
        <vt:lpwstr>_Toc430865792</vt:lpwstr>
      </vt:variant>
      <vt:variant>
        <vt:i4>1048629</vt:i4>
      </vt:variant>
      <vt:variant>
        <vt:i4>116</vt:i4>
      </vt:variant>
      <vt:variant>
        <vt:i4>0</vt:i4>
      </vt:variant>
      <vt:variant>
        <vt:i4>5</vt:i4>
      </vt:variant>
      <vt:variant>
        <vt:lpwstr/>
      </vt:variant>
      <vt:variant>
        <vt:lpwstr>_Toc430865791</vt:lpwstr>
      </vt:variant>
      <vt:variant>
        <vt:i4>1048629</vt:i4>
      </vt:variant>
      <vt:variant>
        <vt:i4>110</vt:i4>
      </vt:variant>
      <vt:variant>
        <vt:i4>0</vt:i4>
      </vt:variant>
      <vt:variant>
        <vt:i4>5</vt:i4>
      </vt:variant>
      <vt:variant>
        <vt:lpwstr/>
      </vt:variant>
      <vt:variant>
        <vt:lpwstr>_Toc430865790</vt:lpwstr>
      </vt:variant>
      <vt:variant>
        <vt:i4>1114165</vt:i4>
      </vt:variant>
      <vt:variant>
        <vt:i4>104</vt:i4>
      </vt:variant>
      <vt:variant>
        <vt:i4>0</vt:i4>
      </vt:variant>
      <vt:variant>
        <vt:i4>5</vt:i4>
      </vt:variant>
      <vt:variant>
        <vt:lpwstr/>
      </vt:variant>
      <vt:variant>
        <vt:lpwstr>_Toc430865789</vt:lpwstr>
      </vt:variant>
      <vt:variant>
        <vt:i4>1114165</vt:i4>
      </vt:variant>
      <vt:variant>
        <vt:i4>98</vt:i4>
      </vt:variant>
      <vt:variant>
        <vt:i4>0</vt:i4>
      </vt:variant>
      <vt:variant>
        <vt:i4>5</vt:i4>
      </vt:variant>
      <vt:variant>
        <vt:lpwstr/>
      </vt:variant>
      <vt:variant>
        <vt:lpwstr>_Toc430865788</vt:lpwstr>
      </vt:variant>
      <vt:variant>
        <vt:i4>1114165</vt:i4>
      </vt:variant>
      <vt:variant>
        <vt:i4>92</vt:i4>
      </vt:variant>
      <vt:variant>
        <vt:i4>0</vt:i4>
      </vt:variant>
      <vt:variant>
        <vt:i4>5</vt:i4>
      </vt:variant>
      <vt:variant>
        <vt:lpwstr/>
      </vt:variant>
      <vt:variant>
        <vt:lpwstr>_Toc430865787</vt:lpwstr>
      </vt:variant>
      <vt:variant>
        <vt:i4>1114165</vt:i4>
      </vt:variant>
      <vt:variant>
        <vt:i4>86</vt:i4>
      </vt:variant>
      <vt:variant>
        <vt:i4>0</vt:i4>
      </vt:variant>
      <vt:variant>
        <vt:i4>5</vt:i4>
      </vt:variant>
      <vt:variant>
        <vt:lpwstr/>
      </vt:variant>
      <vt:variant>
        <vt:lpwstr>_Toc430865786</vt:lpwstr>
      </vt:variant>
      <vt:variant>
        <vt:i4>1114165</vt:i4>
      </vt:variant>
      <vt:variant>
        <vt:i4>80</vt:i4>
      </vt:variant>
      <vt:variant>
        <vt:i4>0</vt:i4>
      </vt:variant>
      <vt:variant>
        <vt:i4>5</vt:i4>
      </vt:variant>
      <vt:variant>
        <vt:lpwstr/>
      </vt:variant>
      <vt:variant>
        <vt:lpwstr>_Toc430865785</vt:lpwstr>
      </vt:variant>
      <vt:variant>
        <vt:i4>1114165</vt:i4>
      </vt:variant>
      <vt:variant>
        <vt:i4>74</vt:i4>
      </vt:variant>
      <vt:variant>
        <vt:i4>0</vt:i4>
      </vt:variant>
      <vt:variant>
        <vt:i4>5</vt:i4>
      </vt:variant>
      <vt:variant>
        <vt:lpwstr/>
      </vt:variant>
      <vt:variant>
        <vt:lpwstr>_Toc430865784</vt:lpwstr>
      </vt:variant>
      <vt:variant>
        <vt:i4>1114165</vt:i4>
      </vt:variant>
      <vt:variant>
        <vt:i4>68</vt:i4>
      </vt:variant>
      <vt:variant>
        <vt:i4>0</vt:i4>
      </vt:variant>
      <vt:variant>
        <vt:i4>5</vt:i4>
      </vt:variant>
      <vt:variant>
        <vt:lpwstr/>
      </vt:variant>
      <vt:variant>
        <vt:lpwstr>_Toc430865783</vt:lpwstr>
      </vt:variant>
      <vt:variant>
        <vt:i4>1114165</vt:i4>
      </vt:variant>
      <vt:variant>
        <vt:i4>62</vt:i4>
      </vt:variant>
      <vt:variant>
        <vt:i4>0</vt:i4>
      </vt:variant>
      <vt:variant>
        <vt:i4>5</vt:i4>
      </vt:variant>
      <vt:variant>
        <vt:lpwstr/>
      </vt:variant>
      <vt:variant>
        <vt:lpwstr>_Toc430865782</vt:lpwstr>
      </vt:variant>
      <vt:variant>
        <vt:i4>1114165</vt:i4>
      </vt:variant>
      <vt:variant>
        <vt:i4>56</vt:i4>
      </vt:variant>
      <vt:variant>
        <vt:i4>0</vt:i4>
      </vt:variant>
      <vt:variant>
        <vt:i4>5</vt:i4>
      </vt:variant>
      <vt:variant>
        <vt:lpwstr/>
      </vt:variant>
      <vt:variant>
        <vt:lpwstr>_Toc430865781</vt:lpwstr>
      </vt:variant>
      <vt:variant>
        <vt:i4>1114165</vt:i4>
      </vt:variant>
      <vt:variant>
        <vt:i4>50</vt:i4>
      </vt:variant>
      <vt:variant>
        <vt:i4>0</vt:i4>
      </vt:variant>
      <vt:variant>
        <vt:i4>5</vt:i4>
      </vt:variant>
      <vt:variant>
        <vt:lpwstr/>
      </vt:variant>
      <vt:variant>
        <vt:lpwstr>_Toc430865780</vt:lpwstr>
      </vt:variant>
      <vt:variant>
        <vt:i4>1966133</vt:i4>
      </vt:variant>
      <vt:variant>
        <vt:i4>44</vt:i4>
      </vt:variant>
      <vt:variant>
        <vt:i4>0</vt:i4>
      </vt:variant>
      <vt:variant>
        <vt:i4>5</vt:i4>
      </vt:variant>
      <vt:variant>
        <vt:lpwstr/>
      </vt:variant>
      <vt:variant>
        <vt:lpwstr>_Toc430865779</vt:lpwstr>
      </vt:variant>
      <vt:variant>
        <vt:i4>1966133</vt:i4>
      </vt:variant>
      <vt:variant>
        <vt:i4>38</vt:i4>
      </vt:variant>
      <vt:variant>
        <vt:i4>0</vt:i4>
      </vt:variant>
      <vt:variant>
        <vt:i4>5</vt:i4>
      </vt:variant>
      <vt:variant>
        <vt:lpwstr/>
      </vt:variant>
      <vt:variant>
        <vt:lpwstr>_Toc430865778</vt:lpwstr>
      </vt:variant>
      <vt:variant>
        <vt:i4>1966133</vt:i4>
      </vt:variant>
      <vt:variant>
        <vt:i4>32</vt:i4>
      </vt:variant>
      <vt:variant>
        <vt:i4>0</vt:i4>
      </vt:variant>
      <vt:variant>
        <vt:i4>5</vt:i4>
      </vt:variant>
      <vt:variant>
        <vt:lpwstr/>
      </vt:variant>
      <vt:variant>
        <vt:lpwstr>_Toc430865777</vt:lpwstr>
      </vt:variant>
      <vt:variant>
        <vt:i4>1966133</vt:i4>
      </vt:variant>
      <vt:variant>
        <vt:i4>26</vt:i4>
      </vt:variant>
      <vt:variant>
        <vt:i4>0</vt:i4>
      </vt:variant>
      <vt:variant>
        <vt:i4>5</vt:i4>
      </vt:variant>
      <vt:variant>
        <vt:lpwstr/>
      </vt:variant>
      <vt:variant>
        <vt:lpwstr>_Toc430865776</vt:lpwstr>
      </vt:variant>
      <vt:variant>
        <vt:i4>1966133</vt:i4>
      </vt:variant>
      <vt:variant>
        <vt:i4>20</vt:i4>
      </vt:variant>
      <vt:variant>
        <vt:i4>0</vt:i4>
      </vt:variant>
      <vt:variant>
        <vt:i4>5</vt:i4>
      </vt:variant>
      <vt:variant>
        <vt:lpwstr/>
      </vt:variant>
      <vt:variant>
        <vt:lpwstr>_Toc430865775</vt:lpwstr>
      </vt:variant>
      <vt:variant>
        <vt:i4>1966133</vt:i4>
      </vt:variant>
      <vt:variant>
        <vt:i4>14</vt:i4>
      </vt:variant>
      <vt:variant>
        <vt:i4>0</vt:i4>
      </vt:variant>
      <vt:variant>
        <vt:i4>5</vt:i4>
      </vt:variant>
      <vt:variant>
        <vt:lpwstr/>
      </vt:variant>
      <vt:variant>
        <vt:lpwstr>_Toc430865774</vt:lpwstr>
      </vt:variant>
      <vt:variant>
        <vt:i4>1966133</vt:i4>
      </vt:variant>
      <vt:variant>
        <vt:i4>8</vt:i4>
      </vt:variant>
      <vt:variant>
        <vt:i4>0</vt:i4>
      </vt:variant>
      <vt:variant>
        <vt:i4>5</vt:i4>
      </vt:variant>
      <vt:variant>
        <vt:lpwstr/>
      </vt:variant>
      <vt:variant>
        <vt:lpwstr>_Toc430865773</vt:lpwstr>
      </vt:variant>
      <vt:variant>
        <vt:i4>6291548</vt:i4>
      </vt:variant>
      <vt:variant>
        <vt:i4>3</vt:i4>
      </vt:variant>
      <vt:variant>
        <vt:i4>0</vt:i4>
      </vt:variant>
      <vt:variant>
        <vt:i4>5</vt:i4>
      </vt:variant>
      <vt:variant>
        <vt:lpwstr>mailto:tga.copyright@tga.gov.au</vt:lpwstr>
      </vt:variant>
      <vt:variant>
        <vt:lpwstr/>
      </vt:variant>
      <vt:variant>
        <vt:i4>3473445</vt:i4>
      </vt:variant>
      <vt:variant>
        <vt:i4>0</vt:i4>
      </vt:variant>
      <vt:variant>
        <vt:i4>0</vt:i4>
      </vt:variant>
      <vt:variant>
        <vt:i4>5</vt:i4>
      </vt:variant>
      <vt:variant>
        <vt:lpwstr>https://www.tga.gov.au/</vt:lpwstr>
      </vt:variant>
      <vt:variant>
        <vt:lpwstr/>
      </vt:variant>
      <vt:variant>
        <vt:i4>1835120</vt:i4>
      </vt:variant>
      <vt:variant>
        <vt:i4>27</vt:i4>
      </vt:variant>
      <vt:variant>
        <vt:i4>0</vt:i4>
      </vt:variant>
      <vt:variant>
        <vt:i4>5</vt:i4>
      </vt:variant>
      <vt:variant>
        <vt:lpwstr>https://en.wikipedia.org/wiki/Liver_transplantation</vt:lpwstr>
      </vt:variant>
      <vt:variant>
        <vt:lpwstr/>
      </vt:variant>
      <vt:variant>
        <vt:i4>3145854</vt:i4>
      </vt:variant>
      <vt:variant>
        <vt:i4>24</vt:i4>
      </vt:variant>
      <vt:variant>
        <vt:i4>0</vt:i4>
      </vt:variant>
      <vt:variant>
        <vt:i4>5</vt:i4>
      </vt:variant>
      <vt:variant>
        <vt:lpwstr>https://en.wikipedia.org/wiki/Cirrhosis</vt:lpwstr>
      </vt:variant>
      <vt:variant>
        <vt:lpwstr/>
      </vt:variant>
      <vt:variant>
        <vt:i4>7602295</vt:i4>
      </vt:variant>
      <vt:variant>
        <vt:i4>21</vt:i4>
      </vt:variant>
      <vt:variant>
        <vt:i4>0</vt:i4>
      </vt:variant>
      <vt:variant>
        <vt:i4>5</vt:i4>
      </vt:variant>
      <vt:variant>
        <vt:lpwstr>http://www.tga.gov.au/industry/pm-euguidelines-adopted-clinical.htm</vt:lpwstr>
      </vt:variant>
      <vt:variant>
        <vt:lpwstr>clinical</vt:lpwstr>
      </vt:variant>
      <vt:variant>
        <vt:i4>7602295</vt:i4>
      </vt:variant>
      <vt:variant>
        <vt:i4>18</vt:i4>
      </vt:variant>
      <vt:variant>
        <vt:i4>0</vt:i4>
      </vt:variant>
      <vt:variant>
        <vt:i4>5</vt:i4>
      </vt:variant>
      <vt:variant>
        <vt:lpwstr>http://www.tga.gov.au/industry/pm-euguidelines-adopted-clinical.htm</vt:lpwstr>
      </vt:variant>
      <vt:variant>
        <vt:lpwstr>clinical</vt:lpwstr>
      </vt:variant>
      <vt:variant>
        <vt:i4>7602295</vt:i4>
      </vt:variant>
      <vt:variant>
        <vt:i4>15</vt:i4>
      </vt:variant>
      <vt:variant>
        <vt:i4>0</vt:i4>
      </vt:variant>
      <vt:variant>
        <vt:i4>5</vt:i4>
      </vt:variant>
      <vt:variant>
        <vt:lpwstr>http://www.tga.gov.au/industry/pm-euguidelines-adopted-clinical.htm</vt:lpwstr>
      </vt:variant>
      <vt:variant>
        <vt:lpwstr>clinical</vt:lpwstr>
      </vt:variant>
      <vt:variant>
        <vt:i4>7602295</vt:i4>
      </vt:variant>
      <vt:variant>
        <vt:i4>12</vt:i4>
      </vt:variant>
      <vt:variant>
        <vt:i4>0</vt:i4>
      </vt:variant>
      <vt:variant>
        <vt:i4>5</vt:i4>
      </vt:variant>
      <vt:variant>
        <vt:lpwstr>http://www.tga.gov.au/industry/pm-euguidelines-adopted-clinical.htm</vt:lpwstr>
      </vt:variant>
      <vt:variant>
        <vt:lpwstr>clinical</vt:lpwstr>
      </vt:variant>
      <vt:variant>
        <vt:i4>7602295</vt:i4>
      </vt:variant>
      <vt:variant>
        <vt:i4>9</vt:i4>
      </vt:variant>
      <vt:variant>
        <vt:i4>0</vt:i4>
      </vt:variant>
      <vt:variant>
        <vt:i4>5</vt:i4>
      </vt:variant>
      <vt:variant>
        <vt:lpwstr>http://www.tga.gov.au/industry/pm-euguidelines-adopted-clinical.htm</vt:lpwstr>
      </vt:variant>
      <vt:variant>
        <vt:lpwstr>clinical</vt:lpwstr>
      </vt:variant>
      <vt:variant>
        <vt:i4>7602295</vt:i4>
      </vt:variant>
      <vt:variant>
        <vt:i4>6</vt:i4>
      </vt:variant>
      <vt:variant>
        <vt:i4>0</vt:i4>
      </vt:variant>
      <vt:variant>
        <vt:i4>5</vt:i4>
      </vt:variant>
      <vt:variant>
        <vt:lpwstr>http://www.tga.gov.au/industry/pm-euguidelines-adopted-clinical.htm</vt:lpwstr>
      </vt:variant>
      <vt:variant>
        <vt:lpwstr>clinical</vt:lpwstr>
      </vt:variant>
      <vt:variant>
        <vt:i4>7602295</vt:i4>
      </vt:variant>
      <vt:variant>
        <vt:i4>3</vt:i4>
      </vt:variant>
      <vt:variant>
        <vt:i4>0</vt:i4>
      </vt:variant>
      <vt:variant>
        <vt:i4>5</vt:i4>
      </vt:variant>
      <vt:variant>
        <vt:lpwstr>http://www.tga.gov.au/industry/pm-euguidelines-adopted-clinical.htm</vt:lpwstr>
      </vt:variant>
      <vt:variant>
        <vt:lpwstr>clinical</vt:lpwstr>
      </vt:variant>
      <vt:variant>
        <vt:i4>7602295</vt:i4>
      </vt:variant>
      <vt:variant>
        <vt:i4>0</vt:i4>
      </vt:variant>
      <vt:variant>
        <vt:i4>0</vt:i4>
      </vt:variant>
      <vt:variant>
        <vt:i4>5</vt:i4>
      </vt:variant>
      <vt:variant>
        <vt:lpwstr>http://www.tga.gov.au/industry/pm-euguidelines-adopted-clinical.htm</vt:lpwstr>
      </vt:variant>
      <vt:variant>
        <vt:lpwstr>clinical</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Asunaprevir</dc:title>
  <dc:subject>prescription medicine regulation</dc:subject>
  <dc:creator>Therapeutic Goods Administration</dc:creator>
  <cp:keywords>AusPARs</cp:keywords>
  <cp:lastModifiedBy>Lack, Janet</cp:lastModifiedBy>
  <cp:revision>9</cp:revision>
  <cp:lastPrinted>2010-12-20T22:59:00Z</cp:lastPrinted>
  <dcterms:created xsi:type="dcterms:W3CDTF">2015-12-14T00:30:00Z</dcterms:created>
  <dcterms:modified xsi:type="dcterms:W3CDTF">2015-12-17T03:26:00Z</dcterms:modified>
  <cp:category/>
</cp:coreProperties>
</file>