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716" w:rsidRPr="008D28D2" w:rsidRDefault="005D4D85">
      <w:pPr>
        <w:pStyle w:val="A-StudyTitle"/>
        <w:rPr>
          <w:rFonts w:ascii="Times New Roman" w:hAnsi="Times New Roman"/>
        </w:rPr>
      </w:pPr>
      <w:bookmarkStart w:id="0" w:name="_GoBack"/>
      <w:bookmarkEnd w:id="0"/>
      <w:r>
        <w:rPr>
          <w:rFonts w:ascii="Times New Roman" w:hAnsi="Times New Roman"/>
        </w:rPr>
        <w:t>SUNVEPRA</w:t>
      </w:r>
      <w:r w:rsidR="00954716" w:rsidRPr="008D28D2">
        <w:rPr>
          <w:rFonts w:ascii="Times New Roman" w:hAnsi="Times New Roman"/>
          <w:vertAlign w:val="superscript"/>
        </w:rPr>
        <w:t>®</w:t>
      </w:r>
    </w:p>
    <w:p w:rsidR="00954716" w:rsidRPr="008D28D2" w:rsidRDefault="005D4D85">
      <w:pPr>
        <w:pStyle w:val="A-StudyTitle"/>
        <w:rPr>
          <w:rFonts w:ascii="Times New Roman" w:hAnsi="Times New Roman"/>
          <w:b w:val="0"/>
          <w:bCs/>
          <w:sz w:val="24"/>
        </w:rPr>
      </w:pPr>
      <w:r>
        <w:rPr>
          <w:rFonts w:ascii="Times New Roman" w:hAnsi="Times New Roman"/>
          <w:b w:val="0"/>
          <w:bCs/>
          <w:sz w:val="24"/>
        </w:rPr>
        <w:t>asunaprevir</w:t>
      </w:r>
    </w:p>
    <w:p w:rsidR="00665DAE" w:rsidRPr="00665DAE" w:rsidRDefault="00CE75D1" w:rsidP="00665DAE">
      <w:pPr>
        <w:pStyle w:val="A-StudyTitle"/>
        <w:rPr>
          <w:rFonts w:ascii="Times New Roman" w:hAnsi="Times New Roman"/>
          <w:sz w:val="24"/>
        </w:rPr>
      </w:pPr>
      <w:r>
        <w:rPr>
          <w:rFonts w:ascii="Times New Roman" w:hAnsi="Times New Roman"/>
          <w:noProof/>
          <w:lang w:val="en-AU" w:eastAsia="en-AU"/>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234950</wp:posOffset>
                </wp:positionV>
                <wp:extent cx="5744845" cy="2545080"/>
                <wp:effectExtent l="13335" t="6350" r="13970"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2545080"/>
                        </a:xfrm>
                        <a:prstGeom prst="rect">
                          <a:avLst/>
                        </a:prstGeom>
                        <a:solidFill>
                          <a:srgbClr val="FFFFFF"/>
                        </a:solidFill>
                        <a:ln w="9525">
                          <a:solidFill>
                            <a:srgbClr val="000000"/>
                          </a:solidFill>
                          <a:miter lim="800000"/>
                          <a:headEnd/>
                          <a:tailEnd/>
                        </a:ln>
                      </wps:spPr>
                      <wps:txbx>
                        <w:txbxContent>
                          <w:p w:rsidR="00491EA1" w:rsidRPr="002F67DB"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WARNING: POTENTIAL FOR HEPATOTOXICITY</w:t>
                            </w:r>
                          </w:p>
                          <w:p w:rsidR="00491EA1" w:rsidRPr="002F67DB" w:rsidRDefault="00491EA1" w:rsidP="00A84FDC">
                            <w:pPr>
                              <w:spacing w:after="0" w:line="240" w:lineRule="auto"/>
                              <w:rPr>
                                <w:rFonts w:ascii="Times New Roman" w:eastAsia="Calibri" w:hAnsi="Times New Roman"/>
                                <w:b/>
                                <w:szCs w:val="24"/>
                                <w:lang w:val="en-US"/>
                              </w:rPr>
                            </w:pPr>
                          </w:p>
                          <w:p w:rsidR="00491EA1" w:rsidRPr="002F67DB"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 xml:space="preserve">For patients receiving SUNVEPRA-containing regimens, frequent monitoring of liver enzymes (alanine aminotransferase (ALT), aspartate aminotransferase (AST)) and bilirubin is required until completion of therapy (see PRECAUTIONS). </w:t>
                            </w:r>
                          </w:p>
                          <w:p w:rsidR="00491EA1" w:rsidRPr="002F67DB" w:rsidRDefault="00491EA1" w:rsidP="00A84FDC">
                            <w:pPr>
                              <w:spacing w:after="0" w:line="240" w:lineRule="auto"/>
                              <w:rPr>
                                <w:rFonts w:ascii="Times New Roman" w:eastAsia="Calibri" w:hAnsi="Times New Roman"/>
                                <w:b/>
                                <w:szCs w:val="24"/>
                                <w:lang w:val="en-US"/>
                              </w:rPr>
                            </w:pPr>
                          </w:p>
                          <w:p w:rsidR="00491EA1" w:rsidRPr="002F67DB"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Discontinue SUNVEPRA immediately and do not resume in patients who experience:</w:t>
                            </w:r>
                          </w:p>
                          <w:p w:rsidR="00491EA1" w:rsidRPr="002F67DB" w:rsidRDefault="00491EA1" w:rsidP="00A84FDC">
                            <w:pPr>
                              <w:numPr>
                                <w:ilvl w:val="0"/>
                                <w:numId w:val="28"/>
                              </w:numPr>
                              <w:spacing w:after="0" w:line="240" w:lineRule="auto"/>
                              <w:contextualSpacing/>
                              <w:rPr>
                                <w:rFonts w:ascii="Times New Roman" w:eastAsia="Calibri" w:hAnsi="Times New Roman"/>
                                <w:b/>
                                <w:szCs w:val="24"/>
                                <w:lang w:val="en-US"/>
                              </w:rPr>
                            </w:pPr>
                            <w:r w:rsidRPr="002F67DB">
                              <w:rPr>
                                <w:rFonts w:ascii="Times New Roman" w:eastAsia="Calibri" w:hAnsi="Times New Roman"/>
                                <w:b/>
                                <w:szCs w:val="24"/>
                                <w:lang w:val="en-US"/>
                              </w:rPr>
                              <w:t>on-treatment elevations in ALT levels 10 x ULN or greater,</w:t>
                            </w:r>
                            <w:r>
                              <w:rPr>
                                <w:rFonts w:ascii="Times New Roman" w:eastAsia="Calibri" w:hAnsi="Times New Roman"/>
                                <w:b/>
                                <w:szCs w:val="24"/>
                                <w:lang w:val="en-US"/>
                              </w:rPr>
                              <w:t xml:space="preserve"> </w:t>
                            </w:r>
                            <w:r w:rsidRPr="00571A3A">
                              <w:rPr>
                                <w:rFonts w:ascii="Times New Roman" w:eastAsia="Calibri" w:hAnsi="Times New Roman"/>
                                <w:b/>
                                <w:szCs w:val="24"/>
                                <w:lang w:val="en-US"/>
                              </w:rPr>
                              <w:t>or</w:t>
                            </w:r>
                          </w:p>
                          <w:p w:rsidR="00491EA1" w:rsidRPr="002F67DB" w:rsidRDefault="00491EA1" w:rsidP="00A84FDC">
                            <w:pPr>
                              <w:numPr>
                                <w:ilvl w:val="0"/>
                                <w:numId w:val="28"/>
                              </w:numPr>
                              <w:spacing w:after="0" w:line="240" w:lineRule="auto"/>
                              <w:contextualSpacing/>
                              <w:rPr>
                                <w:rFonts w:ascii="Times New Roman" w:eastAsia="Calibri" w:hAnsi="Times New Roman"/>
                                <w:b/>
                                <w:szCs w:val="24"/>
                                <w:lang w:val="en-US"/>
                              </w:rPr>
                            </w:pPr>
                            <w:r w:rsidRPr="002F67DB">
                              <w:rPr>
                                <w:rFonts w:ascii="Times New Roman" w:eastAsia="Calibri" w:hAnsi="Times New Roman"/>
                                <w:b/>
                                <w:szCs w:val="24"/>
                                <w:lang w:val="en-US"/>
                              </w:rPr>
                              <w:t>on-treatment elevations in both ALT levels &gt; 5 x ULN and total bilirubin &gt; 2 x ULN.</w:t>
                            </w:r>
                          </w:p>
                          <w:p w:rsidR="00491EA1" w:rsidRPr="002F67DB" w:rsidRDefault="00491EA1" w:rsidP="00A84FDC">
                            <w:pPr>
                              <w:spacing w:after="0" w:line="240" w:lineRule="auto"/>
                              <w:rPr>
                                <w:rFonts w:ascii="Times New Roman" w:eastAsia="Calibri" w:hAnsi="Times New Roman"/>
                                <w:b/>
                                <w:szCs w:val="24"/>
                                <w:lang w:val="en-US"/>
                              </w:rPr>
                            </w:pPr>
                          </w:p>
                          <w:p w:rsidR="00491EA1" w:rsidRPr="00A84FDC"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 xml:space="preserve">In clinical trials, observed liver enzyme </w:t>
                            </w:r>
                            <w:r w:rsidRPr="00571A3A">
                              <w:rPr>
                                <w:rFonts w:ascii="Times New Roman" w:eastAsia="Calibri" w:hAnsi="Times New Roman"/>
                                <w:b/>
                                <w:szCs w:val="24"/>
                                <w:lang w:val="en-US"/>
                              </w:rPr>
                              <w:t>and bilirubin</w:t>
                            </w:r>
                            <w:r>
                              <w:rPr>
                                <w:rFonts w:ascii="Times New Roman" w:eastAsia="Calibri" w:hAnsi="Times New Roman"/>
                                <w:b/>
                                <w:szCs w:val="24"/>
                                <w:lang w:val="en-US"/>
                              </w:rPr>
                              <w:t xml:space="preserve"> </w:t>
                            </w:r>
                            <w:r w:rsidRPr="002F67DB">
                              <w:rPr>
                                <w:rFonts w:ascii="Times New Roman" w:eastAsia="Calibri" w:hAnsi="Times New Roman"/>
                                <w:b/>
                                <w:szCs w:val="24"/>
                                <w:lang w:val="en-US"/>
                              </w:rPr>
                              <w:t>elevations were reversible</w:t>
                            </w:r>
                            <w:r w:rsidRPr="00A84FDC">
                              <w:rPr>
                                <w:rFonts w:ascii="Times New Roman" w:eastAsia="Calibri" w:hAnsi="Times New Roman"/>
                                <w:b/>
                                <w:szCs w:val="24"/>
                                <w:lang w:val="en-US"/>
                              </w:rPr>
                              <w:t xml:space="preserve"> upon treatment discontinuation.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5pt;margin-top:18.5pt;width:452.35pt;height:20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">
                <v:textbox>
                  <w:txbxContent>
                    <w:p w:rsidR="00491EA1" w:rsidRPr="002F67DB"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WARNING: POTENTIAL FOR HEPATOTOXICITY</w:t>
                      </w:r>
                    </w:p>
                    <w:p w:rsidR="00491EA1" w:rsidRPr="002F67DB" w:rsidRDefault="00491EA1" w:rsidP="00A84FDC">
                      <w:pPr>
                        <w:spacing w:after="0" w:line="240" w:lineRule="auto"/>
                        <w:rPr>
                          <w:rFonts w:ascii="Times New Roman" w:eastAsia="Calibri" w:hAnsi="Times New Roman"/>
                          <w:b/>
                          <w:szCs w:val="24"/>
                          <w:lang w:val="en-US"/>
                        </w:rPr>
                      </w:pPr>
                    </w:p>
                    <w:p w:rsidR="00491EA1" w:rsidRPr="002F67DB"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 xml:space="preserve">For patients receiving SUNVEPRA-containing regimens, frequent monitoring of liver enzymes (alanine aminotransferase (ALT), aspartate aminotransferase (AST)) and bilirubin is required until completion of therapy (see PRECAUTIONS). </w:t>
                      </w:r>
                    </w:p>
                    <w:p w:rsidR="00491EA1" w:rsidRPr="002F67DB" w:rsidRDefault="00491EA1" w:rsidP="00A84FDC">
                      <w:pPr>
                        <w:spacing w:after="0" w:line="240" w:lineRule="auto"/>
                        <w:rPr>
                          <w:rFonts w:ascii="Times New Roman" w:eastAsia="Calibri" w:hAnsi="Times New Roman"/>
                          <w:b/>
                          <w:szCs w:val="24"/>
                          <w:lang w:val="en-US"/>
                        </w:rPr>
                      </w:pPr>
                    </w:p>
                    <w:p w:rsidR="00491EA1" w:rsidRPr="002F67DB"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Discontinue SUNVEPRA immediately and do not resume in patients who experience:</w:t>
                      </w:r>
                    </w:p>
                    <w:p w:rsidR="00491EA1" w:rsidRPr="002F67DB" w:rsidRDefault="00491EA1" w:rsidP="00A84FDC">
                      <w:pPr>
                        <w:numPr>
                          <w:ilvl w:val="0"/>
                          <w:numId w:val="28"/>
                        </w:numPr>
                        <w:spacing w:after="0" w:line="240" w:lineRule="auto"/>
                        <w:contextualSpacing/>
                        <w:rPr>
                          <w:rFonts w:ascii="Times New Roman" w:eastAsia="Calibri" w:hAnsi="Times New Roman"/>
                          <w:b/>
                          <w:szCs w:val="24"/>
                          <w:lang w:val="en-US"/>
                        </w:rPr>
                      </w:pPr>
                      <w:r w:rsidRPr="002F67DB">
                        <w:rPr>
                          <w:rFonts w:ascii="Times New Roman" w:eastAsia="Calibri" w:hAnsi="Times New Roman"/>
                          <w:b/>
                          <w:szCs w:val="24"/>
                          <w:lang w:val="en-US"/>
                        </w:rPr>
                        <w:t>on-treatment elevations in ALT levels 10 x ULN or greater,</w:t>
                      </w:r>
                      <w:r>
                        <w:rPr>
                          <w:rFonts w:ascii="Times New Roman" w:eastAsia="Calibri" w:hAnsi="Times New Roman"/>
                          <w:b/>
                          <w:szCs w:val="24"/>
                          <w:lang w:val="en-US"/>
                        </w:rPr>
                        <w:t xml:space="preserve"> </w:t>
                      </w:r>
                      <w:r w:rsidRPr="00571A3A">
                        <w:rPr>
                          <w:rFonts w:ascii="Times New Roman" w:eastAsia="Calibri" w:hAnsi="Times New Roman"/>
                          <w:b/>
                          <w:szCs w:val="24"/>
                          <w:lang w:val="en-US"/>
                        </w:rPr>
                        <w:t>or</w:t>
                      </w:r>
                    </w:p>
                    <w:p w:rsidR="00491EA1" w:rsidRPr="002F67DB" w:rsidRDefault="00491EA1" w:rsidP="00A84FDC">
                      <w:pPr>
                        <w:numPr>
                          <w:ilvl w:val="0"/>
                          <w:numId w:val="28"/>
                        </w:numPr>
                        <w:spacing w:after="0" w:line="240" w:lineRule="auto"/>
                        <w:contextualSpacing/>
                        <w:rPr>
                          <w:rFonts w:ascii="Times New Roman" w:eastAsia="Calibri" w:hAnsi="Times New Roman"/>
                          <w:b/>
                          <w:szCs w:val="24"/>
                          <w:lang w:val="en-US"/>
                        </w:rPr>
                      </w:pPr>
                      <w:r w:rsidRPr="002F67DB">
                        <w:rPr>
                          <w:rFonts w:ascii="Times New Roman" w:eastAsia="Calibri" w:hAnsi="Times New Roman"/>
                          <w:b/>
                          <w:szCs w:val="24"/>
                          <w:lang w:val="en-US"/>
                        </w:rPr>
                        <w:t>on-treatment elevations in both ALT levels &gt; 5 x ULN and total bilirubin &gt; 2 x ULN.</w:t>
                      </w:r>
                    </w:p>
                    <w:p w:rsidR="00491EA1" w:rsidRPr="002F67DB" w:rsidRDefault="00491EA1" w:rsidP="00A84FDC">
                      <w:pPr>
                        <w:spacing w:after="0" w:line="240" w:lineRule="auto"/>
                        <w:rPr>
                          <w:rFonts w:ascii="Times New Roman" w:eastAsia="Calibri" w:hAnsi="Times New Roman"/>
                          <w:b/>
                          <w:szCs w:val="24"/>
                          <w:lang w:val="en-US"/>
                        </w:rPr>
                      </w:pPr>
                    </w:p>
                    <w:p w:rsidR="00491EA1" w:rsidRPr="00A84FDC" w:rsidRDefault="00491EA1" w:rsidP="00A84FDC">
                      <w:pPr>
                        <w:spacing w:after="0" w:line="240" w:lineRule="auto"/>
                        <w:rPr>
                          <w:rFonts w:ascii="Times New Roman" w:eastAsia="Calibri" w:hAnsi="Times New Roman"/>
                          <w:b/>
                          <w:szCs w:val="24"/>
                          <w:lang w:val="en-US"/>
                        </w:rPr>
                      </w:pPr>
                      <w:r w:rsidRPr="002F67DB">
                        <w:rPr>
                          <w:rFonts w:ascii="Times New Roman" w:eastAsia="Calibri" w:hAnsi="Times New Roman"/>
                          <w:b/>
                          <w:szCs w:val="24"/>
                          <w:lang w:val="en-US"/>
                        </w:rPr>
                        <w:t xml:space="preserve">In clinical trials, observed liver enzyme </w:t>
                      </w:r>
                      <w:r w:rsidRPr="00571A3A">
                        <w:rPr>
                          <w:rFonts w:ascii="Times New Roman" w:eastAsia="Calibri" w:hAnsi="Times New Roman"/>
                          <w:b/>
                          <w:szCs w:val="24"/>
                          <w:lang w:val="en-US"/>
                        </w:rPr>
                        <w:t>and bilirubin</w:t>
                      </w:r>
                      <w:r>
                        <w:rPr>
                          <w:rFonts w:ascii="Times New Roman" w:eastAsia="Calibri" w:hAnsi="Times New Roman"/>
                          <w:b/>
                          <w:szCs w:val="24"/>
                          <w:lang w:val="en-US"/>
                        </w:rPr>
                        <w:t xml:space="preserve"> </w:t>
                      </w:r>
                      <w:r w:rsidRPr="002F67DB">
                        <w:rPr>
                          <w:rFonts w:ascii="Times New Roman" w:eastAsia="Calibri" w:hAnsi="Times New Roman"/>
                          <w:b/>
                          <w:szCs w:val="24"/>
                          <w:lang w:val="en-US"/>
                        </w:rPr>
                        <w:t>elevations were reversible</w:t>
                      </w:r>
                      <w:r w:rsidRPr="00A84FDC">
                        <w:rPr>
                          <w:rFonts w:ascii="Times New Roman" w:eastAsia="Calibri" w:hAnsi="Times New Roman"/>
                          <w:b/>
                          <w:szCs w:val="24"/>
                          <w:lang w:val="en-US"/>
                        </w:rPr>
                        <w:t xml:space="preserve"> upon treatment discontinuation.</w:t>
                      </w:r>
                    </w:p>
                  </w:txbxContent>
                </v:textbox>
              </v:shape>
            </w:pict>
          </mc:Fallback>
        </mc:AlternateContent>
      </w:r>
      <w:r w:rsidR="00954716" w:rsidRPr="008D28D2">
        <w:rPr>
          <w:rFonts w:ascii="Times New Roman" w:hAnsi="Times New Roman"/>
          <w:sz w:val="24"/>
        </w:rPr>
        <w:t>PRODUCT INFORMATION</w:t>
      </w:r>
    </w:p>
    <w:p w:rsidR="002F67DB" w:rsidRDefault="002F67DB">
      <w:pPr>
        <w:pStyle w:val="A-Heading1"/>
        <w:rPr>
          <w:rFonts w:ascii="Times New Roman" w:hAnsi="Times New Roman"/>
          <w:lang w:val="en-AU"/>
        </w:rPr>
      </w:pPr>
    </w:p>
    <w:p w:rsidR="002F67DB" w:rsidRDefault="002F67DB">
      <w:pPr>
        <w:pStyle w:val="A-Heading1"/>
        <w:rPr>
          <w:rFonts w:ascii="Times New Roman" w:hAnsi="Times New Roman"/>
          <w:lang w:val="en-AU"/>
        </w:rPr>
      </w:pPr>
    </w:p>
    <w:p w:rsidR="002F67DB" w:rsidRDefault="002F67DB">
      <w:pPr>
        <w:pStyle w:val="A-Heading1"/>
        <w:rPr>
          <w:rFonts w:ascii="Times New Roman" w:hAnsi="Times New Roman"/>
          <w:lang w:val="en-AU"/>
        </w:rPr>
      </w:pPr>
    </w:p>
    <w:p w:rsidR="002F67DB" w:rsidRDefault="002F67DB">
      <w:pPr>
        <w:pStyle w:val="A-Heading1"/>
        <w:rPr>
          <w:rFonts w:ascii="Times New Roman" w:hAnsi="Times New Roman"/>
          <w:lang w:val="en-AU"/>
        </w:rPr>
      </w:pPr>
    </w:p>
    <w:p w:rsidR="002F67DB" w:rsidRDefault="002F67DB">
      <w:pPr>
        <w:pStyle w:val="A-Heading1"/>
        <w:rPr>
          <w:rFonts w:ascii="Times New Roman" w:hAnsi="Times New Roman"/>
          <w:lang w:val="en-AU"/>
        </w:rPr>
      </w:pPr>
    </w:p>
    <w:p w:rsidR="00954716" w:rsidRPr="008D28D2" w:rsidRDefault="00954716">
      <w:pPr>
        <w:pStyle w:val="A-Heading1"/>
        <w:rPr>
          <w:rFonts w:ascii="Times New Roman" w:hAnsi="Times New Roman"/>
          <w:lang w:val="en-AU"/>
        </w:rPr>
      </w:pPr>
      <w:r w:rsidRPr="008D28D2">
        <w:rPr>
          <w:rFonts w:ascii="Times New Roman" w:hAnsi="Times New Roman"/>
          <w:lang w:val="en-AU"/>
        </w:rPr>
        <w:t>NAME OF THE MEDICINE</w:t>
      </w:r>
    </w:p>
    <w:p w:rsidR="00AF655B" w:rsidRPr="00AF655B" w:rsidRDefault="00AF655B" w:rsidP="00E61859">
      <w:pPr>
        <w:spacing w:after="120" w:line="240" w:lineRule="auto"/>
        <w:jc w:val="both"/>
        <w:rPr>
          <w:rFonts w:ascii="Times New Roman" w:hAnsi="Times New Roman"/>
          <w:color w:val="000000"/>
          <w:lang w:eastAsia="en-AU"/>
        </w:rPr>
      </w:pPr>
      <w:r>
        <w:rPr>
          <w:rFonts w:ascii="Times New Roman" w:hAnsi="Times New Roman"/>
          <w:color w:val="000000"/>
          <w:lang w:eastAsia="en-AU"/>
        </w:rPr>
        <w:t>SUNVEPRA</w:t>
      </w:r>
      <w:r w:rsidRPr="00AF655B">
        <w:rPr>
          <w:rFonts w:ascii="Times New Roman" w:hAnsi="Times New Roman"/>
          <w:color w:val="000000"/>
          <w:lang w:eastAsia="en-AU"/>
        </w:rPr>
        <w:t xml:space="preserve"> </w:t>
      </w:r>
      <w:r w:rsidR="005679DA">
        <w:rPr>
          <w:rFonts w:ascii="Times New Roman" w:hAnsi="Times New Roman"/>
          <w:color w:val="000000"/>
          <w:lang w:eastAsia="en-AU"/>
        </w:rPr>
        <w:t>(</w:t>
      </w:r>
      <w:r w:rsidRPr="00AF655B">
        <w:rPr>
          <w:rFonts w:ascii="Times New Roman" w:hAnsi="Times New Roman"/>
          <w:color w:val="000000"/>
          <w:lang w:eastAsia="en-AU"/>
        </w:rPr>
        <w:t>asunaprevir</w:t>
      </w:r>
      <w:r w:rsidR="005679DA">
        <w:rPr>
          <w:rFonts w:ascii="Times New Roman" w:hAnsi="Times New Roman"/>
          <w:color w:val="000000"/>
          <w:lang w:eastAsia="en-AU"/>
        </w:rPr>
        <w:t>)</w:t>
      </w:r>
      <w:r w:rsidRPr="00AF655B">
        <w:rPr>
          <w:rFonts w:ascii="Times New Roman" w:hAnsi="Times New Roman"/>
          <w:color w:val="000000"/>
          <w:lang w:eastAsia="en-AU"/>
        </w:rPr>
        <w:t xml:space="preserve">, </w:t>
      </w:r>
      <w:r w:rsidR="005679DA">
        <w:rPr>
          <w:rFonts w:ascii="Times New Roman" w:hAnsi="Times New Roman"/>
          <w:color w:val="000000"/>
          <w:lang w:eastAsia="en-AU"/>
        </w:rPr>
        <w:t xml:space="preserve">is </w:t>
      </w:r>
      <w:r w:rsidRPr="00AF655B">
        <w:rPr>
          <w:rFonts w:ascii="Times New Roman" w:hAnsi="Times New Roman"/>
          <w:color w:val="000000"/>
          <w:lang w:eastAsia="en-AU"/>
        </w:rPr>
        <w:t xml:space="preserve">a selective inhibitor of the HCV nonstructural protein 3/4A (NS3/4A) protease. Asunaprevir is described chemically as cyclopropanecarboxamide, </w:t>
      </w:r>
      <w:r w:rsidRPr="00AF655B">
        <w:rPr>
          <w:rFonts w:ascii="Times New Roman" w:hAnsi="Times New Roman"/>
          <w:i/>
          <w:color w:val="000000"/>
          <w:lang w:eastAsia="en-AU"/>
        </w:rPr>
        <w:t>N</w:t>
      </w:r>
      <w:r w:rsidRPr="00AF655B">
        <w:rPr>
          <w:rFonts w:ascii="Times New Roman" w:hAnsi="Times New Roman"/>
          <w:color w:val="000000"/>
          <w:lang w:eastAsia="en-AU"/>
        </w:rPr>
        <w:t>-[(1,1-dimethylethoxy)carbonyl]-3-methyl-L-valyl-(4</w:t>
      </w:r>
      <w:r w:rsidRPr="00AF655B">
        <w:rPr>
          <w:rFonts w:ascii="Times New Roman" w:hAnsi="Times New Roman"/>
          <w:i/>
          <w:color w:val="000000"/>
          <w:lang w:eastAsia="en-AU"/>
        </w:rPr>
        <w:t>R</w:t>
      </w:r>
      <w:r w:rsidRPr="00AF655B">
        <w:rPr>
          <w:rFonts w:ascii="Times New Roman" w:hAnsi="Times New Roman"/>
          <w:color w:val="000000"/>
          <w:lang w:eastAsia="en-AU"/>
        </w:rPr>
        <w:t>)-4-[(7-chloro-4-methoxy-1-isoquinolinyl)oxy]-L-prolyl-1-amino-</w:t>
      </w:r>
      <w:r w:rsidRPr="00AF655B">
        <w:rPr>
          <w:rFonts w:ascii="Times New Roman" w:hAnsi="Times New Roman"/>
          <w:i/>
          <w:color w:val="000000"/>
          <w:lang w:eastAsia="en-AU"/>
        </w:rPr>
        <w:t>N</w:t>
      </w:r>
      <w:r w:rsidRPr="00AF655B">
        <w:rPr>
          <w:rFonts w:ascii="Times New Roman" w:hAnsi="Times New Roman"/>
          <w:color w:val="000000"/>
          <w:lang w:eastAsia="en-AU"/>
        </w:rPr>
        <w:t>-(cyclopropylsulfonyl)-2-ethenyl</w:t>
      </w:r>
      <w:r w:rsidRPr="00AF655B">
        <w:rPr>
          <w:rFonts w:ascii="Times New Roman" w:hAnsi="Times New Roman"/>
          <w:color w:val="000000"/>
          <w:lang w:eastAsia="en-AU"/>
        </w:rPr>
        <w:noBreakHyphen/>
        <w:t>,</w:t>
      </w:r>
      <w:r w:rsidRPr="00AF655B">
        <w:rPr>
          <w:rFonts w:ascii="Times New Roman" w:hAnsi="Times New Roman"/>
          <w:i/>
          <w:color w:val="000000"/>
          <w:lang w:eastAsia="en-AU"/>
        </w:rPr>
        <w:t>(1R,2S)-</w:t>
      </w:r>
      <w:r w:rsidRPr="00AF655B">
        <w:rPr>
          <w:rFonts w:ascii="Times New Roman" w:hAnsi="Times New Roman"/>
          <w:color w:val="000000"/>
          <w:lang w:eastAsia="en-AU"/>
        </w:rPr>
        <w:t>.</w:t>
      </w:r>
      <w:r w:rsidRPr="00AF655B">
        <w:rPr>
          <w:rFonts w:ascii="Times New Roman" w:hAnsi="Times New Roman"/>
          <w:smallCaps/>
          <w:color w:val="000000"/>
          <w:lang w:eastAsia="en-AU"/>
        </w:rPr>
        <w:t xml:space="preserve"> </w:t>
      </w:r>
      <w:r w:rsidRPr="00AF655B">
        <w:rPr>
          <w:rFonts w:ascii="Times New Roman" w:hAnsi="Times New Roman"/>
          <w:color w:val="000000"/>
          <w:lang w:eastAsia="en-AU"/>
        </w:rPr>
        <w:t>Asunaprevir has the following structural formula:</w:t>
      </w:r>
    </w:p>
    <w:p w:rsidR="00AF655B" w:rsidRPr="00AF655B" w:rsidRDefault="00AF655B" w:rsidP="00AF655B">
      <w:pPr>
        <w:spacing w:after="120" w:line="264" w:lineRule="auto"/>
        <w:jc w:val="both"/>
        <w:rPr>
          <w:rFonts w:ascii="Times New Roman" w:hAnsi="Times New Roman"/>
          <w:i/>
          <w:color w:val="000000"/>
          <w:szCs w:val="24"/>
          <w:lang w:eastAsia="en-AU"/>
        </w:rPr>
      </w:pPr>
    </w:p>
    <w:p w:rsidR="00AF655B" w:rsidRPr="00AF655B" w:rsidRDefault="00CE75D1" w:rsidP="00832CD0">
      <w:pPr>
        <w:spacing w:after="120" w:line="264" w:lineRule="auto"/>
        <w:jc w:val="center"/>
        <w:rPr>
          <w:rFonts w:ascii="Times New Roman" w:hAnsi="Times New Roman"/>
          <w:color w:val="000000"/>
          <w:lang w:eastAsia="en-AU"/>
        </w:rPr>
      </w:pPr>
      <w:r>
        <w:rPr>
          <w:rFonts w:ascii="Times New Roman" w:hAnsi="Times New Roman"/>
          <w:noProof/>
          <w:color w:val="000000"/>
          <w:lang w:eastAsia="en-AU"/>
        </w:rPr>
        <w:drawing>
          <wp:inline distT="0" distB="0" distL="0" distR="0">
            <wp:extent cx="2795270" cy="1656080"/>
            <wp:effectExtent l="0" t="0" r="5080" b="127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5270" cy="1656080"/>
                    </a:xfrm>
                    <a:prstGeom prst="rect">
                      <a:avLst/>
                    </a:prstGeom>
                    <a:noFill/>
                    <a:ln>
                      <a:noFill/>
                    </a:ln>
                  </pic:spPr>
                </pic:pic>
              </a:graphicData>
            </a:graphic>
          </wp:inline>
        </w:drawing>
      </w:r>
    </w:p>
    <w:p w:rsidR="00547CA8" w:rsidRDefault="00547CA8" w:rsidP="00547CA8">
      <w:pPr>
        <w:rPr>
          <w:rFonts w:ascii="Times New Roman" w:hAnsi="Times New Roman"/>
        </w:rPr>
      </w:pPr>
    </w:p>
    <w:p w:rsidR="00547CA8" w:rsidRPr="008D28D2" w:rsidRDefault="00547CA8" w:rsidP="00547CA8">
      <w:pPr>
        <w:rPr>
          <w:rFonts w:ascii="Times New Roman" w:hAnsi="Times New Roman"/>
        </w:rPr>
      </w:pPr>
      <w:r w:rsidRPr="008D28D2">
        <w:rPr>
          <w:rFonts w:ascii="Times New Roman" w:hAnsi="Times New Roman"/>
        </w:rPr>
        <w:t>CAS number:</w:t>
      </w:r>
      <w:r w:rsidR="00DE3D09">
        <w:rPr>
          <w:rFonts w:ascii="Times New Roman" w:hAnsi="Times New Roman"/>
        </w:rPr>
        <w:t xml:space="preserve"> </w:t>
      </w:r>
      <w:r w:rsidR="00D317A4" w:rsidRPr="00D317A4">
        <w:rPr>
          <w:rFonts w:ascii="Times New Roman" w:hAnsi="Times New Roman"/>
        </w:rPr>
        <w:t>630420-16-5</w:t>
      </w:r>
      <w:r w:rsidRPr="008D28D2">
        <w:rPr>
          <w:rFonts w:ascii="Times New Roman" w:hAnsi="Times New Roman"/>
        </w:rPr>
        <w:t xml:space="preserve">  </w:t>
      </w:r>
    </w:p>
    <w:p w:rsidR="00547CA8" w:rsidRPr="008D28D2" w:rsidRDefault="003C54D7" w:rsidP="00547CA8">
      <w:pPr>
        <w:rPr>
          <w:rFonts w:ascii="Times New Roman" w:hAnsi="Times New Roman"/>
        </w:rPr>
      </w:pPr>
      <w:r>
        <w:rPr>
          <w:rFonts w:ascii="Times New Roman" w:hAnsi="Times New Roman"/>
        </w:rPr>
        <w:t xml:space="preserve">Molecular formula: </w:t>
      </w:r>
      <w:r w:rsidR="00AF655B" w:rsidRPr="00AF655B">
        <w:rPr>
          <w:rFonts w:ascii="Times New Roman" w:hAnsi="Times New Roman"/>
          <w:color w:val="000000"/>
          <w:lang w:eastAsia="en-AU"/>
        </w:rPr>
        <w:t>C</w:t>
      </w:r>
      <w:r w:rsidR="00AF655B" w:rsidRPr="00AF655B">
        <w:rPr>
          <w:rFonts w:ascii="Times New Roman" w:hAnsi="Times New Roman"/>
          <w:color w:val="000000"/>
          <w:sz w:val="28"/>
          <w:vertAlign w:val="subscript"/>
          <w:lang w:eastAsia="en-AU"/>
        </w:rPr>
        <w:t>35</w:t>
      </w:r>
      <w:r w:rsidR="00AF655B" w:rsidRPr="00AF655B">
        <w:rPr>
          <w:rFonts w:ascii="Times New Roman" w:hAnsi="Times New Roman"/>
          <w:color w:val="000000"/>
          <w:lang w:eastAsia="en-AU"/>
        </w:rPr>
        <w:t>H</w:t>
      </w:r>
      <w:r w:rsidR="00AF655B" w:rsidRPr="00AF655B">
        <w:rPr>
          <w:rFonts w:ascii="Times New Roman" w:hAnsi="Times New Roman"/>
          <w:color w:val="000000"/>
          <w:sz w:val="28"/>
          <w:vertAlign w:val="subscript"/>
          <w:lang w:eastAsia="en-AU"/>
        </w:rPr>
        <w:t>46</w:t>
      </w:r>
      <w:r w:rsidR="00AF655B" w:rsidRPr="00AF655B">
        <w:rPr>
          <w:rFonts w:ascii="Times New Roman" w:hAnsi="Times New Roman"/>
          <w:color w:val="000000"/>
          <w:lang w:eastAsia="en-AU"/>
        </w:rPr>
        <w:t>ClN</w:t>
      </w:r>
      <w:r w:rsidR="00AF655B" w:rsidRPr="00AF655B">
        <w:rPr>
          <w:rFonts w:ascii="Times New Roman" w:hAnsi="Times New Roman"/>
          <w:color w:val="000000"/>
          <w:sz w:val="28"/>
          <w:vertAlign w:val="subscript"/>
          <w:lang w:eastAsia="en-AU"/>
        </w:rPr>
        <w:t>5</w:t>
      </w:r>
      <w:r w:rsidR="00AF655B" w:rsidRPr="00AF655B">
        <w:rPr>
          <w:rFonts w:ascii="Times New Roman" w:hAnsi="Times New Roman"/>
          <w:color w:val="000000"/>
          <w:lang w:eastAsia="en-AU"/>
        </w:rPr>
        <w:t>O</w:t>
      </w:r>
      <w:r w:rsidR="00AF655B" w:rsidRPr="00AF655B">
        <w:rPr>
          <w:rFonts w:ascii="Times New Roman" w:hAnsi="Times New Roman"/>
          <w:color w:val="000000"/>
          <w:sz w:val="28"/>
          <w:vertAlign w:val="subscript"/>
          <w:lang w:eastAsia="en-AU"/>
        </w:rPr>
        <w:t>9</w:t>
      </w:r>
      <w:r w:rsidR="00AF655B" w:rsidRPr="00AF655B">
        <w:rPr>
          <w:rFonts w:ascii="Times New Roman" w:hAnsi="Times New Roman"/>
          <w:color w:val="000000"/>
          <w:lang w:eastAsia="en-AU"/>
        </w:rPr>
        <w:t>S</w:t>
      </w:r>
    </w:p>
    <w:p w:rsidR="00547CA8" w:rsidRDefault="00547CA8" w:rsidP="00E61859">
      <w:pPr>
        <w:spacing w:after="120" w:line="240" w:lineRule="auto"/>
        <w:rPr>
          <w:rFonts w:ascii="Times New Roman" w:hAnsi="Times New Roman"/>
        </w:rPr>
      </w:pPr>
      <w:r w:rsidRPr="008D28D2">
        <w:rPr>
          <w:rFonts w:ascii="Times New Roman" w:hAnsi="Times New Roman"/>
        </w:rPr>
        <w:t>Molecular weight:</w:t>
      </w:r>
      <w:r w:rsidR="003C54D7">
        <w:rPr>
          <w:rFonts w:ascii="Times New Roman" w:hAnsi="Times New Roman"/>
        </w:rPr>
        <w:t xml:space="preserve"> </w:t>
      </w:r>
      <w:r w:rsidR="00D317A4" w:rsidRPr="00D317A4">
        <w:rPr>
          <w:rFonts w:ascii="Times New Roman" w:hAnsi="Times New Roman"/>
        </w:rPr>
        <w:t>748.29</w:t>
      </w:r>
    </w:p>
    <w:p w:rsidR="00E61859" w:rsidRDefault="00E61859" w:rsidP="00E61859">
      <w:pPr>
        <w:spacing w:after="120" w:line="240" w:lineRule="auto"/>
        <w:rPr>
          <w:rFonts w:ascii="TimesNewRoman" w:hAnsi="TimesNewRoman" w:cs="TimesNewRoman"/>
          <w:szCs w:val="24"/>
          <w:lang w:eastAsia="en-AU"/>
        </w:rPr>
      </w:pPr>
    </w:p>
    <w:p w:rsidR="00954716" w:rsidRPr="008D28D2" w:rsidRDefault="00954716" w:rsidP="00E61859">
      <w:pPr>
        <w:pStyle w:val="A-Heading1"/>
        <w:spacing w:before="0" w:line="240" w:lineRule="auto"/>
        <w:rPr>
          <w:rFonts w:ascii="Times New Roman" w:hAnsi="Times New Roman"/>
          <w:lang w:val="en-AU"/>
        </w:rPr>
      </w:pPr>
      <w:r w:rsidRPr="008D28D2">
        <w:rPr>
          <w:rFonts w:ascii="Times New Roman" w:hAnsi="Times New Roman"/>
          <w:lang w:val="en-AU"/>
        </w:rPr>
        <w:lastRenderedPageBreak/>
        <w:t>DESCRIPTION</w:t>
      </w:r>
    </w:p>
    <w:p w:rsidR="00545475" w:rsidRPr="00545475" w:rsidRDefault="00545475" w:rsidP="00E61859">
      <w:pPr>
        <w:tabs>
          <w:tab w:val="num" w:pos="1152"/>
        </w:tabs>
        <w:spacing w:after="120" w:line="240" w:lineRule="auto"/>
        <w:jc w:val="both"/>
        <w:rPr>
          <w:rFonts w:ascii="Times New Roman" w:hAnsi="Times New Roman"/>
          <w:color w:val="000000"/>
          <w:lang w:eastAsia="en-AU"/>
        </w:rPr>
      </w:pPr>
      <w:r w:rsidRPr="00545475">
        <w:rPr>
          <w:rFonts w:ascii="Times New Roman" w:hAnsi="Times New Roman"/>
          <w:color w:val="000000"/>
          <w:lang w:eastAsia="en-AU"/>
        </w:rPr>
        <w:t xml:space="preserve">Asunaprevir drug substance is a white to off-white powder. The aqueous solubility at </w:t>
      </w:r>
      <w:r w:rsidRPr="00545475">
        <w:rPr>
          <w:rFonts w:ascii="Times New Roman" w:hAnsi="Times New Roman"/>
          <w:color w:val="000000"/>
          <w:szCs w:val="24"/>
          <w:lang w:eastAsia="en-AU"/>
        </w:rPr>
        <w:t>pH 5.72 is 0.0003 mg/mL</w:t>
      </w:r>
      <w:r w:rsidRPr="00545475">
        <w:rPr>
          <w:rFonts w:ascii="Times New Roman" w:hAnsi="Times New Roman"/>
          <w:color w:val="000000"/>
          <w:lang w:eastAsia="en-AU"/>
        </w:rPr>
        <w:t>.</w:t>
      </w:r>
    </w:p>
    <w:p w:rsidR="00545475" w:rsidRPr="00E37810" w:rsidRDefault="00545475" w:rsidP="00E61859">
      <w:pPr>
        <w:pStyle w:val="Default"/>
        <w:spacing w:after="120"/>
        <w:jc w:val="both"/>
      </w:pPr>
      <w:r>
        <w:t>SUNVEPRA</w:t>
      </w:r>
      <w:r w:rsidRPr="00545475">
        <w:t xml:space="preserve"> </w:t>
      </w:r>
      <w:r w:rsidR="00EB71DF" w:rsidRPr="00EB71DF">
        <w:t xml:space="preserve">is available for oral administration as soft-gelatin capsules containing 100 mg </w:t>
      </w:r>
      <w:r w:rsidR="00EB71DF" w:rsidRPr="003467A9">
        <w:t>of asunaprevir.</w:t>
      </w:r>
      <w:r w:rsidRPr="003467A9">
        <w:t xml:space="preserve"> Each capsule contains a solution of asunaprevir drug substance in the following inactive ingredients: medium-chain triglycerides, </w:t>
      </w:r>
      <w:r w:rsidR="0006264B" w:rsidRPr="0006264B">
        <w:t>caprylic/capric glycerides</w:t>
      </w:r>
      <w:r w:rsidRPr="003467A9">
        <w:t>, polysorbate 80, and butylated hydroxytoluene (BHT). The capsule shell contains gelatin</w:t>
      </w:r>
      <w:r w:rsidR="0006264B" w:rsidRPr="0006264B">
        <w:t>partially dehydrated liquid sorbitol</w:t>
      </w:r>
      <w:r w:rsidR="006731AA" w:rsidRPr="003467A9">
        <w:t>, glycerol</w:t>
      </w:r>
      <w:r w:rsidR="0006264B" w:rsidRPr="0006264B">
        <w:t>, titanium dioxide and OPACODE WB monogramming</w:t>
      </w:r>
      <w:r w:rsidR="00E37810" w:rsidRPr="00121F02">
        <w:t xml:space="preserve"> ink NSP-78-17827 BLACK (</w:t>
      </w:r>
      <w:r w:rsidR="00121F02" w:rsidRPr="00121F02">
        <w:rPr>
          <w:bCs/>
          <w:iCs/>
        </w:rPr>
        <w:t>proprietary ingredient number</w:t>
      </w:r>
      <w:r w:rsidR="00121F02" w:rsidRPr="00121F02">
        <w:t xml:space="preserve"> </w:t>
      </w:r>
      <w:r w:rsidR="00E37810" w:rsidRPr="00121F02">
        <w:t>12427)</w:t>
      </w:r>
      <w:r w:rsidRPr="00121F02">
        <w:t>.</w:t>
      </w: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PHARMACOLOGY</w:t>
      </w:r>
    </w:p>
    <w:p w:rsidR="00954716" w:rsidRPr="00AF64B8" w:rsidRDefault="00954716" w:rsidP="00E61859">
      <w:pPr>
        <w:pStyle w:val="A-Heading2"/>
        <w:spacing w:before="0" w:line="240" w:lineRule="auto"/>
        <w:rPr>
          <w:rFonts w:ascii="Times New Roman" w:hAnsi="Times New Roman"/>
          <w:i/>
        </w:rPr>
      </w:pPr>
      <w:r w:rsidRPr="00AF64B8">
        <w:rPr>
          <w:rFonts w:ascii="Times New Roman" w:hAnsi="Times New Roman"/>
          <w:i/>
        </w:rPr>
        <w:t xml:space="preserve">Mechanism of Action </w:t>
      </w:r>
    </w:p>
    <w:p w:rsidR="00A60581" w:rsidRDefault="000774C9" w:rsidP="00E61859">
      <w:pPr>
        <w:pStyle w:val="A-Heading3"/>
        <w:spacing w:line="240" w:lineRule="auto"/>
        <w:jc w:val="both"/>
        <w:rPr>
          <w:rFonts w:ascii="Times New Roman" w:hAnsi="Times New Roman"/>
          <w:b w:val="0"/>
          <w:i w:val="0"/>
        </w:rPr>
      </w:pPr>
      <w:r w:rsidRPr="000774C9">
        <w:rPr>
          <w:rFonts w:ascii="Times New Roman" w:hAnsi="Times New Roman"/>
          <w:b w:val="0"/>
          <w:i w:val="0"/>
          <w:lang w:val="en-US"/>
        </w:rPr>
        <w:t xml:space="preserve">Asunaprevir is a direct acting antiviral agent (DAA) against the hepatitis C virus </w:t>
      </w:r>
      <w:r w:rsidR="00A60581" w:rsidRPr="00A60581">
        <w:rPr>
          <w:rFonts w:ascii="Times New Roman" w:hAnsi="Times New Roman"/>
          <w:b w:val="0"/>
          <w:i w:val="0"/>
        </w:rPr>
        <w:t>Asunaprevir is an inhibitor of the HCV NS3/4A serine protease complex. This NS3/4A enzyme complex is responsible for processing the HCV polyprotein to yield mature viral proteins required for viral replication.</w:t>
      </w:r>
    </w:p>
    <w:p w:rsidR="00DC2B3D" w:rsidRPr="00F9148D" w:rsidRDefault="00DC2B3D" w:rsidP="00E61859">
      <w:pPr>
        <w:spacing w:after="120" w:line="240" w:lineRule="auto"/>
        <w:jc w:val="both"/>
        <w:rPr>
          <w:rFonts w:ascii="Times New Roman" w:hAnsi="Times New Roman"/>
          <w:lang w:val="en-GB"/>
        </w:rPr>
      </w:pPr>
      <w:r w:rsidRPr="00F9148D">
        <w:rPr>
          <w:rFonts w:ascii="Times New Roman" w:hAnsi="Times New Roman"/>
          <w:lang w:val="en-GB"/>
        </w:rPr>
        <w:t>In biochemical assays, asunaprevir was most active against NS3/4A protease complexes representing HCV genotypes 1a, 1b, 4a, 5a, and 6a, with IC</w:t>
      </w:r>
      <w:r w:rsidRPr="00823FC8">
        <w:rPr>
          <w:rFonts w:ascii="Times New Roman" w:hAnsi="Times New Roman"/>
          <w:lang w:val="en-GB"/>
        </w:rPr>
        <w:t>50</w:t>
      </w:r>
      <w:r w:rsidRPr="00F9148D">
        <w:rPr>
          <w:rFonts w:ascii="Times New Roman" w:hAnsi="Times New Roman"/>
          <w:lang w:val="en-GB"/>
        </w:rPr>
        <w:t xml:space="preserve"> [50% inhibitory concentration] values of 0.7 to 1.8 nM, 0.3 nM, 1.6 nM, 1.7 nM, and 0.9 nM, respectively. Reduced activity was seen against genotypes 2 (2a IC</w:t>
      </w:r>
      <w:r w:rsidRPr="00823FC8">
        <w:rPr>
          <w:rFonts w:ascii="Times New Roman" w:hAnsi="Times New Roman"/>
          <w:lang w:val="en-GB"/>
        </w:rPr>
        <w:t>50</w:t>
      </w:r>
      <w:r w:rsidRPr="00F9148D">
        <w:rPr>
          <w:lang w:val="en-GB"/>
        </w:rPr>
        <w:t xml:space="preserve"> </w:t>
      </w:r>
      <w:r w:rsidRPr="00F9148D">
        <w:rPr>
          <w:rFonts w:ascii="Times New Roman" w:hAnsi="Times New Roman"/>
          <w:lang w:val="en-GB"/>
        </w:rPr>
        <w:t>value = 15 nM; 2b IC</w:t>
      </w:r>
      <w:r w:rsidRPr="00823FC8">
        <w:rPr>
          <w:rFonts w:ascii="Times New Roman" w:hAnsi="Times New Roman"/>
          <w:lang w:val="en-GB"/>
        </w:rPr>
        <w:t>50</w:t>
      </w:r>
      <w:r w:rsidRPr="00F9148D">
        <w:rPr>
          <w:lang w:val="en-GB"/>
        </w:rPr>
        <w:t xml:space="preserve"> </w:t>
      </w:r>
      <w:r w:rsidRPr="00F9148D">
        <w:rPr>
          <w:rFonts w:ascii="Times New Roman" w:hAnsi="Times New Roman"/>
          <w:lang w:val="en-GB"/>
        </w:rPr>
        <w:t>value = 78 nM) and 3 (3a IC</w:t>
      </w:r>
      <w:r w:rsidRPr="00823FC8">
        <w:rPr>
          <w:rFonts w:ascii="Times New Roman" w:hAnsi="Times New Roman"/>
          <w:lang w:val="en-GB"/>
        </w:rPr>
        <w:t xml:space="preserve">50 </w:t>
      </w:r>
      <w:r w:rsidRPr="00F9148D">
        <w:rPr>
          <w:rFonts w:ascii="Times New Roman" w:hAnsi="Times New Roman"/>
          <w:lang w:val="en-GB"/>
        </w:rPr>
        <w:t>value = 320 nM).</w:t>
      </w:r>
    </w:p>
    <w:p w:rsidR="00AF64B8" w:rsidRPr="00AF64B8" w:rsidRDefault="00AF64B8" w:rsidP="00E61859">
      <w:pPr>
        <w:spacing w:after="120" w:line="240" w:lineRule="auto"/>
        <w:jc w:val="both"/>
        <w:rPr>
          <w:rFonts w:ascii="Times New Roman" w:hAnsi="Times New Roman"/>
          <w:b/>
          <w:i/>
          <w:lang w:val="en-GB"/>
        </w:rPr>
      </w:pPr>
      <w:r w:rsidRPr="00AF64B8">
        <w:rPr>
          <w:rFonts w:ascii="Times New Roman" w:hAnsi="Times New Roman"/>
          <w:b/>
          <w:i/>
          <w:lang w:val="en-GB"/>
        </w:rPr>
        <w:t>Antiviral Activity</w:t>
      </w:r>
    </w:p>
    <w:p w:rsidR="00E84AC7" w:rsidRPr="00E84AC7" w:rsidRDefault="00E84AC7" w:rsidP="00E61859">
      <w:pPr>
        <w:spacing w:after="120" w:line="240" w:lineRule="auto"/>
        <w:jc w:val="both"/>
        <w:rPr>
          <w:rFonts w:ascii="Times New Roman" w:hAnsi="Times New Roman"/>
          <w:lang w:val="en-GB"/>
        </w:rPr>
      </w:pPr>
      <w:r w:rsidRPr="00DC2B3D">
        <w:rPr>
          <w:rFonts w:ascii="Times New Roman" w:hAnsi="Times New Roman"/>
          <w:lang w:val="en-GB"/>
        </w:rPr>
        <w:t>In cell-based HCV replicon assays, asunaprevir inhibited HCV genotype</w:t>
      </w:r>
      <w:r w:rsidR="00DC2B3D" w:rsidRPr="00DC2B3D">
        <w:rPr>
          <w:rFonts w:ascii="Times New Roman" w:hAnsi="Times New Roman"/>
          <w:lang w:val="en-GB"/>
        </w:rPr>
        <w:t>s</w:t>
      </w:r>
      <w:r w:rsidRPr="00DC2B3D">
        <w:rPr>
          <w:rFonts w:ascii="Times New Roman" w:hAnsi="Times New Roman"/>
          <w:lang w:val="en-GB"/>
        </w:rPr>
        <w:t xml:space="preserve"> 1a</w:t>
      </w:r>
      <w:r w:rsidR="00DC2B3D" w:rsidRPr="00F9148D">
        <w:rPr>
          <w:rFonts w:ascii="Times New Roman" w:hAnsi="Times New Roman"/>
          <w:lang w:val="en-GB"/>
        </w:rPr>
        <w:t>(H77 strain) and</w:t>
      </w:r>
      <w:r w:rsidRPr="00DC2B3D">
        <w:rPr>
          <w:rFonts w:ascii="Times New Roman" w:hAnsi="Times New Roman"/>
          <w:lang w:val="en-GB"/>
        </w:rPr>
        <w:t>, 1b</w:t>
      </w:r>
      <w:r w:rsidR="00DC2B3D" w:rsidRPr="00F9148D">
        <w:rPr>
          <w:rFonts w:ascii="Times New Roman" w:hAnsi="Times New Roman"/>
          <w:lang w:val="en-GB"/>
        </w:rPr>
        <w:t>(Con1 strain)</w:t>
      </w:r>
      <w:r w:rsidRPr="00DC2B3D">
        <w:rPr>
          <w:rFonts w:ascii="Times New Roman" w:hAnsi="Times New Roman"/>
          <w:lang w:val="en-GB"/>
        </w:rPr>
        <w:t xml:space="preserve"> with effective concentration (50% reduction, EC</w:t>
      </w:r>
      <w:r w:rsidRPr="00F9148D">
        <w:rPr>
          <w:rFonts w:ascii="Times New Roman" w:hAnsi="Times New Roman"/>
          <w:lang w:val="en-GB"/>
        </w:rPr>
        <w:t>50</w:t>
      </w:r>
      <w:r w:rsidRPr="00DC2B3D">
        <w:rPr>
          <w:rFonts w:ascii="Times New Roman" w:hAnsi="Times New Roman"/>
          <w:lang w:val="en-GB"/>
        </w:rPr>
        <w:t>) values of 4</w:t>
      </w:r>
      <w:r w:rsidR="00DC2B3D" w:rsidRPr="00DC2B3D">
        <w:rPr>
          <w:rFonts w:ascii="Times New Roman" w:hAnsi="Times New Roman"/>
          <w:lang w:val="en-GB"/>
        </w:rPr>
        <w:t xml:space="preserve"> nM and</w:t>
      </w:r>
      <w:r w:rsidRPr="00DC2B3D">
        <w:rPr>
          <w:rFonts w:ascii="Times New Roman" w:hAnsi="Times New Roman"/>
          <w:lang w:val="en-GB"/>
        </w:rPr>
        <w:t xml:space="preserve"> 1.2</w:t>
      </w:r>
      <w:r w:rsidR="00DC2B3D" w:rsidRPr="00DC2B3D">
        <w:rPr>
          <w:rFonts w:ascii="Times New Roman" w:hAnsi="Times New Roman"/>
          <w:lang w:val="en-GB"/>
        </w:rPr>
        <w:t xml:space="preserve"> nM</w:t>
      </w:r>
      <w:r w:rsidRPr="00DC2B3D">
        <w:rPr>
          <w:rFonts w:ascii="Times New Roman" w:hAnsi="Times New Roman"/>
          <w:lang w:val="en-GB"/>
        </w:rPr>
        <w:t xml:space="preserve">, , respectively. </w:t>
      </w:r>
      <w:r w:rsidR="00DC2B3D" w:rsidRPr="00F9148D">
        <w:rPr>
          <w:rFonts w:ascii="Times New Roman" w:hAnsi="Times New Roman"/>
          <w:lang w:val="en-GB"/>
        </w:rPr>
        <w:t>The EC</w:t>
      </w:r>
      <w:r w:rsidR="00DC2B3D" w:rsidRPr="00F9148D">
        <w:rPr>
          <w:lang w:val="en-GB"/>
        </w:rPr>
        <w:t>50</w:t>
      </w:r>
      <w:r w:rsidR="00DC2B3D" w:rsidRPr="00F9148D">
        <w:rPr>
          <w:rFonts w:ascii="Times New Roman" w:hAnsi="Times New Roman"/>
          <w:lang w:val="en-GB"/>
        </w:rPr>
        <w:t xml:space="preserve"> values against a genotype 2a replicon and hybrid replicons encoding the NS3 protease domain representing HCV genotypes 2b and 3a were 230 nM, 480 nM, and 1162 nM, respectively. </w:t>
      </w:r>
      <w:r w:rsidRPr="00DC2B3D">
        <w:rPr>
          <w:rFonts w:ascii="Times New Roman" w:hAnsi="Times New Roman"/>
          <w:lang w:val="en-GB"/>
        </w:rPr>
        <w:t>Against hybrid replicons encoding the NS3 protease domain representing HCV genotype 4a, observed EC</w:t>
      </w:r>
      <w:r w:rsidRPr="00F9148D">
        <w:rPr>
          <w:rFonts w:ascii="Times New Roman" w:hAnsi="Times New Roman"/>
          <w:lang w:val="en-GB"/>
        </w:rPr>
        <w:t>50</w:t>
      </w:r>
      <w:r w:rsidRPr="00DC2B3D">
        <w:rPr>
          <w:rFonts w:ascii="Times New Roman" w:hAnsi="Times New Roman"/>
          <w:lang w:val="en-GB"/>
        </w:rPr>
        <w:t xml:space="preserve"> values ranged from 1.8 </w:t>
      </w:r>
      <w:r w:rsidR="00DC2B3D" w:rsidRPr="00DC2B3D">
        <w:rPr>
          <w:rFonts w:ascii="Times New Roman" w:hAnsi="Times New Roman"/>
          <w:lang w:val="en-GB"/>
        </w:rPr>
        <w:t xml:space="preserve">nM </w:t>
      </w:r>
      <w:r w:rsidRPr="00DC2B3D">
        <w:rPr>
          <w:rFonts w:ascii="Times New Roman" w:hAnsi="Times New Roman"/>
          <w:lang w:val="en-GB"/>
        </w:rPr>
        <w:t>to 7.6 nM.</w:t>
      </w:r>
    </w:p>
    <w:p w:rsidR="00E84AC7" w:rsidRDefault="00E84AC7" w:rsidP="00E61859">
      <w:pPr>
        <w:spacing w:after="120" w:line="240" w:lineRule="auto"/>
        <w:jc w:val="both"/>
        <w:rPr>
          <w:rFonts w:ascii="Times New Roman" w:hAnsi="Times New Roman"/>
          <w:lang w:val="en-GB"/>
        </w:rPr>
      </w:pPr>
      <w:r w:rsidRPr="00E84AC7">
        <w:rPr>
          <w:rFonts w:ascii="Times New Roman" w:hAnsi="Times New Roman"/>
          <w:lang w:val="en-GB"/>
        </w:rPr>
        <w:t xml:space="preserve">Asunaprevir showed additive and/or synergistic interactions </w:t>
      </w:r>
      <w:r w:rsidR="00DC2B3D">
        <w:rPr>
          <w:rFonts w:ascii="Times New Roman" w:hAnsi="Times New Roman"/>
          <w:lang w:val="en-GB"/>
        </w:rPr>
        <w:t xml:space="preserve">in combination </w:t>
      </w:r>
      <w:r w:rsidRPr="00E84AC7">
        <w:rPr>
          <w:rFonts w:ascii="Times New Roman" w:hAnsi="Times New Roman"/>
          <w:lang w:val="en-GB"/>
        </w:rPr>
        <w:t xml:space="preserve">with interferon alfa, </w:t>
      </w:r>
      <w:r w:rsidR="00AC373E">
        <w:rPr>
          <w:rFonts w:ascii="Times New Roman" w:hAnsi="Times New Roman"/>
          <w:lang w:val="en-GB"/>
        </w:rPr>
        <w:t>daclatasvir</w:t>
      </w:r>
      <w:r w:rsidRPr="00E84AC7">
        <w:rPr>
          <w:rFonts w:ascii="Times New Roman" w:hAnsi="Times New Roman"/>
          <w:lang w:val="en-GB"/>
        </w:rPr>
        <w:t>, HCV NS5B active-site or allosteric inhibitors targeting either</w:t>
      </w:r>
      <w:r w:rsidR="00DC2B3D">
        <w:rPr>
          <w:rFonts w:ascii="Times New Roman" w:hAnsi="Times New Roman"/>
          <w:lang w:val="en-GB"/>
        </w:rPr>
        <w:t xml:space="preserve"> </w:t>
      </w:r>
      <w:r w:rsidR="00DC2B3D" w:rsidRPr="00F9148D">
        <w:rPr>
          <w:rFonts w:ascii="Times New Roman" w:hAnsi="Times New Roman"/>
          <w:lang w:val="en-GB"/>
        </w:rPr>
        <w:t>the NS5B thumb-1 or palm site</w:t>
      </w:r>
      <w:r w:rsidRPr="00E84AC7">
        <w:rPr>
          <w:rFonts w:ascii="Times New Roman" w:hAnsi="Times New Roman"/>
          <w:lang w:val="en-GB"/>
        </w:rPr>
        <w:t xml:space="preserve">, and ribavirin in two- or three-drug combination studies using a cell-based HCV replicon system. </w:t>
      </w:r>
    </w:p>
    <w:p w:rsidR="00E37810" w:rsidRPr="00121F02" w:rsidRDefault="00E37810" w:rsidP="00E61859">
      <w:pPr>
        <w:keepNext/>
        <w:keepLines/>
        <w:spacing w:after="120" w:line="240" w:lineRule="auto"/>
        <w:outlineLvl w:val="2"/>
        <w:rPr>
          <w:rFonts w:ascii="Times New Roman" w:hAnsi="Times New Roman"/>
          <w:b/>
          <w:color w:val="000000"/>
          <w:lang w:val="en-US"/>
        </w:rPr>
      </w:pPr>
      <w:r w:rsidRPr="00121F02">
        <w:rPr>
          <w:rFonts w:ascii="Times New Roman" w:hAnsi="Times New Roman"/>
          <w:b/>
          <w:color w:val="000000"/>
          <w:lang w:val="en-US"/>
        </w:rPr>
        <w:t>Resistance</w:t>
      </w:r>
    </w:p>
    <w:p w:rsidR="00E37810" w:rsidRPr="00E84AC7" w:rsidRDefault="00E37810" w:rsidP="00E61859">
      <w:pPr>
        <w:spacing w:after="120" w:line="240" w:lineRule="auto"/>
        <w:rPr>
          <w:rFonts w:ascii="Times New Roman" w:hAnsi="Times New Roman"/>
          <w:b/>
          <w:i/>
          <w:color w:val="000000"/>
          <w:lang w:val="en-US" w:eastAsia="en-AU"/>
        </w:rPr>
      </w:pPr>
      <w:r w:rsidRPr="00121F02">
        <w:rPr>
          <w:rFonts w:ascii="Times New Roman" w:hAnsi="Times New Roman"/>
          <w:b/>
          <w:i/>
          <w:color w:val="000000"/>
          <w:lang w:val="en-US" w:eastAsia="en-AU"/>
        </w:rPr>
        <w:t>In cell culture</w:t>
      </w:r>
    </w:p>
    <w:p w:rsidR="00E37810" w:rsidRPr="00E84AC7" w:rsidRDefault="00E37810" w:rsidP="00E61859">
      <w:pPr>
        <w:spacing w:after="120" w:line="240" w:lineRule="auto"/>
        <w:jc w:val="both"/>
        <w:rPr>
          <w:rFonts w:ascii="Times New Roman" w:hAnsi="Times New Roman"/>
          <w:color w:val="000000"/>
          <w:lang w:eastAsia="en-AU"/>
        </w:rPr>
      </w:pPr>
      <w:r w:rsidRPr="00E84AC7">
        <w:rPr>
          <w:rFonts w:ascii="Times New Roman" w:hAnsi="Times New Roman"/>
          <w:color w:val="000000"/>
          <w:lang w:eastAsia="en-AU"/>
        </w:rPr>
        <w:t>HCV genotype 1a and genotype 1b replicons with reduced susceptibility to asunaprevir were selected in cell culture and characterized for asunaprevir genotypic and phenotypic resistance. Resistance to asunaprevir was evaluated by introducing emergent NS3 protease variants into the respective replicon backbone. In HCV genotype 1a asunaprevir-resistant replicons, predominant substitutions were detected at amino acids R155K, D168G, and I170T. Recombinant replicons containing these substitutions confirmed their role in resistance to asunaprevir (5- to 21-fold reduced susceptibility to asunaprevir).</w:t>
      </w:r>
    </w:p>
    <w:p w:rsidR="00E37810" w:rsidRPr="00E61859" w:rsidRDefault="00E37810" w:rsidP="00E61859">
      <w:pPr>
        <w:spacing w:after="120" w:line="240" w:lineRule="auto"/>
        <w:jc w:val="both"/>
        <w:rPr>
          <w:rFonts w:ascii="Times New Roman" w:hAnsi="Times New Roman"/>
          <w:color w:val="000000"/>
          <w:lang w:eastAsia="en-AU"/>
        </w:rPr>
      </w:pPr>
      <w:r w:rsidRPr="00E84AC7">
        <w:rPr>
          <w:rFonts w:ascii="Times New Roman" w:hAnsi="Times New Roman"/>
          <w:color w:val="000000"/>
          <w:lang w:eastAsia="en-AU"/>
        </w:rPr>
        <w:t xml:space="preserve">In the HCV genotype 1b asunaprevir-resistant replicons, predominant substitutions were detected at amino acid D168A/G/H/V/Y. Recombinant replicons containing these </w:t>
      </w:r>
      <w:r w:rsidRPr="00E84AC7">
        <w:rPr>
          <w:rFonts w:ascii="Times New Roman" w:hAnsi="Times New Roman"/>
          <w:color w:val="000000"/>
          <w:lang w:eastAsia="en-AU"/>
        </w:rPr>
        <w:lastRenderedPageBreak/>
        <w:t>substitutions confirmed their role in resistance to asunaprevir (16- to 280-fold reduced susceptibility to asunaprevir).</w:t>
      </w:r>
    </w:p>
    <w:p w:rsidR="00E37810" w:rsidRPr="00121F02" w:rsidRDefault="00E37810" w:rsidP="00E61859">
      <w:pPr>
        <w:keepNext/>
        <w:spacing w:after="120" w:line="240" w:lineRule="auto"/>
        <w:ind w:right="720"/>
        <w:jc w:val="both"/>
        <w:rPr>
          <w:rFonts w:ascii="Times New Roman" w:hAnsi="Times New Roman"/>
          <w:b/>
          <w:bCs/>
          <w:i/>
          <w:iCs/>
          <w:color w:val="000000"/>
          <w:szCs w:val="24"/>
          <w:lang w:eastAsia="en-AU"/>
        </w:rPr>
      </w:pPr>
      <w:r w:rsidRPr="00121F02">
        <w:rPr>
          <w:rFonts w:ascii="Times New Roman" w:hAnsi="Times New Roman"/>
          <w:b/>
          <w:bCs/>
          <w:i/>
          <w:iCs/>
          <w:color w:val="000000"/>
          <w:szCs w:val="24"/>
          <w:lang w:eastAsia="en-AU"/>
        </w:rPr>
        <w:t>In clinical studies</w:t>
      </w:r>
    </w:p>
    <w:p w:rsidR="00E37810" w:rsidRPr="00CD56D7" w:rsidRDefault="00E37810" w:rsidP="00E61859">
      <w:pPr>
        <w:pStyle w:val="BMSHeading3"/>
        <w:numPr>
          <w:ilvl w:val="0"/>
          <w:numId w:val="0"/>
        </w:numPr>
        <w:spacing w:before="0"/>
        <w:rPr>
          <w:rFonts w:ascii="Times New Roman" w:hAnsi="Times New Roman"/>
          <w:i w:val="0"/>
        </w:rPr>
      </w:pPr>
      <w:r w:rsidRPr="00121F02">
        <w:rPr>
          <w:rFonts w:ascii="Times New Roman" w:hAnsi="Times New Roman"/>
          <w:i w:val="0"/>
        </w:rPr>
        <w:t>Effect of baseline HCV polymorphisms on treatment response</w:t>
      </w:r>
    </w:p>
    <w:p w:rsidR="00E37810" w:rsidRPr="00AF64B8" w:rsidRDefault="00E37810" w:rsidP="00E61859">
      <w:pPr>
        <w:pStyle w:val="BMSBodyText"/>
        <w:spacing w:before="0" w:line="240" w:lineRule="auto"/>
      </w:pPr>
      <w:r w:rsidRPr="00AF64B8">
        <w:t>Analyses were conducted to explore the association between naturally occurring baseline NS3 amino acid substitutions (polymorphisms) and treatment outcome.</w:t>
      </w:r>
    </w:p>
    <w:p w:rsidR="00E37810" w:rsidRPr="00405312" w:rsidRDefault="00E37810" w:rsidP="00E61859">
      <w:pPr>
        <w:autoSpaceDE w:val="0"/>
        <w:autoSpaceDN w:val="0"/>
        <w:adjustRightInd w:val="0"/>
        <w:spacing w:after="120" w:line="240" w:lineRule="auto"/>
        <w:jc w:val="both"/>
        <w:rPr>
          <w:rFonts w:ascii="Times New Roman" w:hAnsi="Times New Roman"/>
          <w:szCs w:val="24"/>
          <w:lang w:eastAsia="en-AU"/>
        </w:rPr>
      </w:pPr>
      <w:r w:rsidRPr="00405312">
        <w:rPr>
          <w:rFonts w:ascii="Times New Roman" w:hAnsi="Times New Roman"/>
          <w:i/>
          <w:u w:val="single"/>
        </w:rPr>
        <w:t xml:space="preserve">SUNVEPRA and </w:t>
      </w:r>
      <w:r>
        <w:rPr>
          <w:rFonts w:ascii="Times New Roman" w:hAnsi="Times New Roman"/>
          <w:i/>
          <w:u w:val="single"/>
        </w:rPr>
        <w:t>Daclatasvir (DAKLINZA</w:t>
      </w:r>
      <w:r>
        <w:rPr>
          <w:rFonts w:cs="Arial"/>
          <w:i/>
          <w:u w:val="single"/>
        </w:rPr>
        <w:t>®</w:t>
      </w:r>
      <w:r>
        <w:rPr>
          <w:rFonts w:ascii="Times New Roman" w:hAnsi="Times New Roman"/>
          <w:i/>
          <w:u w:val="single"/>
        </w:rPr>
        <w:t>)</w:t>
      </w:r>
      <w:r w:rsidRPr="00405312">
        <w:rPr>
          <w:rFonts w:ascii="Times New Roman" w:hAnsi="Times New Roman"/>
          <w:i/>
          <w:u w:val="single"/>
        </w:rPr>
        <w:t>:</w:t>
      </w:r>
      <w:r w:rsidRPr="00405312">
        <w:rPr>
          <w:rFonts w:ascii="Times New Roman" w:hAnsi="Times New Roman"/>
        </w:rPr>
        <w:t xml:space="preserve"> In a pooled analysis of treatment-naive and experienced </w:t>
      </w:r>
      <w:r w:rsidR="00CC09DA" w:rsidRPr="00F9148D">
        <w:rPr>
          <w:rFonts w:ascii="Times New Roman" w:hAnsi="Times New Roman"/>
        </w:rPr>
        <w:t>HCV genotype 1b infected</w:t>
      </w:r>
      <w:r w:rsidR="00CC09DA" w:rsidRPr="00CC09DA">
        <w:rPr>
          <w:rFonts w:ascii="Times New Roman" w:hAnsi="Times New Roman"/>
        </w:rPr>
        <w:t xml:space="preserve"> </w:t>
      </w:r>
      <w:r w:rsidRPr="00CC09DA">
        <w:rPr>
          <w:rFonts w:ascii="Times New Roman" w:hAnsi="Times New Roman"/>
        </w:rPr>
        <w:t>subjects from phase 2/3 clinical trials</w:t>
      </w:r>
      <w:r w:rsidR="00CC09DA" w:rsidRPr="00CC09DA">
        <w:rPr>
          <w:rFonts w:ascii="Times New Roman" w:hAnsi="Times New Roman"/>
        </w:rPr>
        <w:t xml:space="preserve"> </w:t>
      </w:r>
      <w:r w:rsidR="00CC09DA" w:rsidRPr="00F9148D">
        <w:rPr>
          <w:rFonts w:ascii="Times New Roman" w:hAnsi="Times New Roman"/>
        </w:rPr>
        <w:t>(n=905)</w:t>
      </w:r>
      <w:r w:rsidR="00CC09DA" w:rsidRPr="00CC09DA">
        <w:rPr>
          <w:rFonts w:ascii="Times New Roman" w:hAnsi="Times New Roman"/>
        </w:rPr>
        <w:t xml:space="preserve">, </w:t>
      </w:r>
      <w:r w:rsidR="00CC09DA" w:rsidRPr="00F9148D">
        <w:rPr>
          <w:rFonts w:ascii="Times New Roman" w:hAnsi="Times New Roman"/>
        </w:rPr>
        <w:t>virus from 6 (0.7%) subjects had</w:t>
      </w:r>
      <w:r w:rsidR="00121F02" w:rsidRPr="00F9148D">
        <w:rPr>
          <w:rFonts w:ascii="Times New Roman" w:hAnsi="Times New Roman"/>
        </w:rPr>
        <w:t xml:space="preserve"> </w:t>
      </w:r>
      <w:r w:rsidR="00100190">
        <w:rPr>
          <w:rFonts w:ascii="Times New Roman" w:hAnsi="Times New Roman"/>
        </w:rPr>
        <w:t xml:space="preserve">NS3-D168E </w:t>
      </w:r>
      <w:r w:rsidR="00CC09DA" w:rsidRPr="00CC09DA">
        <w:rPr>
          <w:rFonts w:ascii="Times New Roman" w:hAnsi="Times New Roman"/>
        </w:rPr>
        <w:t xml:space="preserve">detected </w:t>
      </w:r>
      <w:r w:rsidRPr="00CC09DA">
        <w:rPr>
          <w:rFonts w:ascii="Times New Roman" w:hAnsi="Times New Roman"/>
        </w:rPr>
        <w:t xml:space="preserve">at baseline. </w:t>
      </w:r>
      <w:r w:rsidR="00CC09DA" w:rsidRPr="00CC09DA">
        <w:rPr>
          <w:rFonts w:ascii="Times New Roman" w:hAnsi="Times New Roman"/>
        </w:rPr>
        <w:t>T</w:t>
      </w:r>
      <w:r w:rsidRPr="00CC09DA">
        <w:rPr>
          <w:rFonts w:ascii="Times New Roman" w:hAnsi="Times New Roman"/>
        </w:rPr>
        <w:t xml:space="preserve">his polymorphism was </w:t>
      </w:r>
      <w:r w:rsidRPr="00F9148D">
        <w:rPr>
          <w:rFonts w:ascii="Times New Roman" w:hAnsi="Times New Roman"/>
        </w:rPr>
        <w:t>present at baseline in 2% (3/138) of the subjects who failed treatment and had NS3 sequence</w:t>
      </w:r>
      <w:r w:rsidRPr="00CC09DA">
        <w:rPr>
          <w:rFonts w:ascii="Times New Roman" w:hAnsi="Times New Roman"/>
        </w:rPr>
        <w:t>.</w:t>
      </w:r>
      <w:r w:rsidRPr="00405312">
        <w:rPr>
          <w:rFonts w:ascii="Times New Roman" w:hAnsi="Times New Roman"/>
        </w:rPr>
        <w:t xml:space="preserve"> </w:t>
      </w:r>
    </w:p>
    <w:p w:rsidR="00E37810" w:rsidRDefault="00E37810" w:rsidP="00E61859">
      <w:pPr>
        <w:pStyle w:val="BMSBodyText"/>
        <w:spacing w:before="0" w:line="240" w:lineRule="auto"/>
      </w:pPr>
    </w:p>
    <w:p w:rsidR="00CC6DDF" w:rsidRPr="00E61859" w:rsidRDefault="00CC6DDF" w:rsidP="00E61859">
      <w:pPr>
        <w:pStyle w:val="BMSBodyText"/>
        <w:spacing w:before="0" w:line="240" w:lineRule="auto"/>
        <w:rPr>
          <w:color w:val="FF0000"/>
          <w:u w:val="double"/>
        </w:rPr>
      </w:pPr>
      <w:r w:rsidRPr="00F9148D">
        <w:rPr>
          <w:color w:val="auto"/>
          <w:lang w:val="en-AU" w:eastAsia="en-US"/>
        </w:rPr>
        <w:t>The efficacy of SUNVEPRA in combination with DAKLINZA was reduced in HCV genotype 1b infected patients whose virus had HCV NS5A sequence polymorphisms detected at positions L31 (F, I, M or V) or Y93 (H). The pooled SVR rate in phase 2/3 trials for patients whose virus had L31F/I/M/V or Y93H was 48/119 (40%) compared with 68</w:t>
      </w:r>
      <w:r w:rsidR="001265DD" w:rsidRPr="00F9148D">
        <w:rPr>
          <w:color w:val="auto"/>
          <w:lang w:val="en-AU" w:eastAsia="en-US"/>
        </w:rPr>
        <w:t>6</w:t>
      </w:r>
      <w:r w:rsidRPr="00F9148D">
        <w:rPr>
          <w:color w:val="auto"/>
          <w:lang w:val="en-AU" w:eastAsia="en-US"/>
        </w:rPr>
        <w:t>/74</w:t>
      </w:r>
      <w:r w:rsidR="001265DD" w:rsidRPr="00F9148D">
        <w:rPr>
          <w:color w:val="auto"/>
          <w:lang w:val="en-AU" w:eastAsia="en-US"/>
        </w:rPr>
        <w:t>2</w:t>
      </w:r>
      <w:r w:rsidRPr="00F9148D">
        <w:rPr>
          <w:color w:val="auto"/>
          <w:lang w:val="en-AU" w:eastAsia="en-US"/>
        </w:rPr>
        <w:t xml:space="preserve"> (93%) for patients whose virus lacked L31F/I/M/V or Y93H polymorphisms (see also CLINICAL TRIALS).</w:t>
      </w:r>
    </w:p>
    <w:p w:rsidR="00E37810" w:rsidRPr="00E61859" w:rsidRDefault="00E37810" w:rsidP="00E61859">
      <w:pPr>
        <w:autoSpaceDE w:val="0"/>
        <w:autoSpaceDN w:val="0"/>
        <w:adjustRightInd w:val="0"/>
        <w:spacing w:after="120" w:line="240" w:lineRule="auto"/>
        <w:jc w:val="both"/>
        <w:rPr>
          <w:rFonts w:ascii="TimesNewRoman" w:hAnsi="TimesNewRoman" w:cs="TimesNewRoman"/>
          <w:szCs w:val="24"/>
          <w:lang w:eastAsia="en-AU"/>
        </w:rPr>
      </w:pPr>
      <w:r w:rsidRPr="00AF64B8">
        <w:rPr>
          <w:rFonts w:ascii="Times New Roman" w:hAnsi="Times New Roman"/>
          <w:i/>
          <w:u w:val="single"/>
        </w:rPr>
        <w:t xml:space="preserve">SUNVEPRA, </w:t>
      </w:r>
      <w:r>
        <w:rPr>
          <w:rFonts w:ascii="Times New Roman" w:hAnsi="Times New Roman"/>
          <w:i/>
          <w:u w:val="single"/>
        </w:rPr>
        <w:t>DAKLINZA</w:t>
      </w:r>
      <w:r w:rsidRPr="00AF64B8">
        <w:rPr>
          <w:rFonts w:ascii="Times New Roman" w:hAnsi="Times New Roman"/>
          <w:i/>
          <w:u w:val="single"/>
        </w:rPr>
        <w:t>, peginterferon alfa, and ribavirin</w:t>
      </w:r>
      <w:r w:rsidRPr="00AF64B8">
        <w:rPr>
          <w:rFonts w:ascii="Times New Roman" w:hAnsi="Times New Roman"/>
          <w:i/>
          <w:iCs/>
        </w:rPr>
        <w:t xml:space="preserve">:  </w:t>
      </w:r>
      <w:r w:rsidRPr="00AF64B8">
        <w:rPr>
          <w:rFonts w:ascii="Times New Roman" w:hAnsi="Times New Roman"/>
        </w:rPr>
        <w:t>Of</w:t>
      </w:r>
      <w:r>
        <w:rPr>
          <w:rFonts w:ascii="Times New Roman" w:hAnsi="Times New Roman"/>
        </w:rPr>
        <w:t xml:space="preserve"> 379</w:t>
      </w:r>
      <w:r w:rsidRPr="00AF64B8">
        <w:rPr>
          <w:rFonts w:ascii="Times New Roman" w:hAnsi="Times New Roman"/>
        </w:rPr>
        <w:t xml:space="preserve"> subjects with available baseline NS3 sequence </w:t>
      </w:r>
      <w:r w:rsidR="00CC6DDF">
        <w:rPr>
          <w:rFonts w:ascii="Times New Roman" w:hAnsi="Times New Roman"/>
        </w:rPr>
        <w:t xml:space="preserve">data </w:t>
      </w:r>
      <w:r w:rsidRPr="00AF64B8">
        <w:rPr>
          <w:rFonts w:ascii="Times New Roman" w:hAnsi="Times New Roman"/>
        </w:rPr>
        <w:t xml:space="preserve">in HALLMARK QUAD [see </w:t>
      </w:r>
      <w:r>
        <w:rPr>
          <w:rFonts w:ascii="Times New Roman" w:hAnsi="Times New Roman"/>
        </w:rPr>
        <w:t>CLINICAL TRIALS</w:t>
      </w:r>
      <w:r w:rsidRPr="00AF64B8">
        <w:rPr>
          <w:rFonts w:ascii="Times New Roman" w:hAnsi="Times New Roman"/>
        </w:rPr>
        <w:t>],</w:t>
      </w:r>
      <w:r w:rsidRPr="00405312">
        <w:rPr>
          <w:rFonts w:ascii="TimesNewRoman" w:hAnsi="TimesNewRoman" w:cs="TimesNewRoman"/>
          <w:szCs w:val="24"/>
          <w:lang w:eastAsia="en-AU"/>
        </w:rPr>
        <w:t xml:space="preserve"> </w:t>
      </w:r>
      <w:r w:rsidRPr="00405312">
        <w:rPr>
          <w:rFonts w:ascii="Times New Roman" w:hAnsi="Times New Roman"/>
          <w:szCs w:val="24"/>
          <w:lang w:eastAsia="en-AU"/>
        </w:rPr>
        <w:t>4 had pre-existing signature asunaprevir-resistant substitutions at R155 (R155K/T) and/or D168 (D168E/N). Of the 4 subjects, 3 experienced virologic failure (</w:t>
      </w:r>
      <w:r w:rsidRPr="001F5ABC">
        <w:rPr>
          <w:rFonts w:ascii="Times New Roman" w:hAnsi="Times New Roman"/>
          <w:color w:val="000000"/>
          <w:szCs w:val="24"/>
          <w:lang w:eastAsia="en-AU"/>
        </w:rPr>
        <w:t>all 3 were infected with HCV genotype 1a</w:t>
      </w:r>
      <w:r w:rsidRPr="00405312">
        <w:rPr>
          <w:rFonts w:ascii="Times New Roman" w:hAnsi="Times New Roman"/>
          <w:szCs w:val="24"/>
          <w:lang w:eastAsia="en-AU"/>
        </w:rPr>
        <w:t>)</w:t>
      </w:r>
      <w:r w:rsidRPr="00405312">
        <w:rPr>
          <w:rFonts w:ascii="Times New Roman" w:hAnsi="Times New Roman"/>
        </w:rPr>
        <w:t>.</w:t>
      </w:r>
    </w:p>
    <w:p w:rsidR="00E37810" w:rsidRPr="00CD56D7" w:rsidRDefault="008D47F4" w:rsidP="00E61859">
      <w:pPr>
        <w:pStyle w:val="BMSBodyText"/>
        <w:keepNext/>
        <w:spacing w:before="0" w:line="240" w:lineRule="auto"/>
        <w:rPr>
          <w:b/>
        </w:rPr>
      </w:pPr>
      <w:r>
        <w:rPr>
          <w:b/>
        </w:rPr>
        <w:t>Treatment-emergent r</w:t>
      </w:r>
      <w:r w:rsidR="00E37810" w:rsidRPr="00121F02">
        <w:rPr>
          <w:b/>
        </w:rPr>
        <w:t>esistance in subjects not achieving SVR</w:t>
      </w:r>
    </w:p>
    <w:p w:rsidR="00E37810" w:rsidRPr="00E61859" w:rsidRDefault="00E37810" w:rsidP="00E61859">
      <w:pPr>
        <w:pStyle w:val="BMSBodyText"/>
        <w:spacing w:before="0" w:line="240" w:lineRule="auto"/>
      </w:pPr>
      <w:r w:rsidRPr="000F5D7F">
        <w:rPr>
          <w:i/>
        </w:rPr>
        <w:t>SUNVEPRA and DAKLINZA:</w:t>
      </w:r>
      <w:r w:rsidR="008D47F4" w:rsidRPr="008D47F4">
        <w:t>In a pooled analysis of HCV genotype 1b</w:t>
      </w:r>
      <w:r w:rsidR="008D47F4">
        <w:t xml:space="preserve"> </w:t>
      </w:r>
      <w:r w:rsidR="008D47F4" w:rsidRPr="008D47F4">
        <w:t xml:space="preserve">infected patients treated with </w:t>
      </w:r>
      <w:r w:rsidR="008D47F4">
        <w:t>SUNVEPRA</w:t>
      </w:r>
      <w:r w:rsidR="008D47F4" w:rsidRPr="008D47F4">
        <w:t xml:space="preserve"> and </w:t>
      </w:r>
      <w:r w:rsidR="008D47F4">
        <w:t>DAKLINZA</w:t>
      </w:r>
      <w:r w:rsidR="008D47F4" w:rsidRPr="008D47F4">
        <w:t>, treatment</w:t>
      </w:r>
      <w:r w:rsidR="008D47F4">
        <w:t>-</w:t>
      </w:r>
      <w:r w:rsidR="008D47F4" w:rsidRPr="008D47F4">
        <w:t>emergent</w:t>
      </w:r>
      <w:r w:rsidR="008D47F4">
        <w:t xml:space="preserve"> </w:t>
      </w:r>
      <w:r w:rsidR="008D47F4" w:rsidRPr="008D47F4">
        <w:t>NS3 amino acid substitutions were detected in the viruses from 114/118 (97%) patients</w:t>
      </w:r>
      <w:r w:rsidR="008D47F4">
        <w:t xml:space="preserve"> </w:t>
      </w:r>
      <w:r w:rsidR="008D47F4" w:rsidRPr="008D47F4">
        <w:t xml:space="preserve">who experienced virologic failure and had available resistance data (see Table </w:t>
      </w:r>
      <w:r w:rsidR="008D47F4">
        <w:t>1</w:t>
      </w:r>
      <w:r w:rsidR="008D47F4" w:rsidRPr="008D47F4">
        <w:t>). Most of these</w:t>
      </w:r>
      <w:r w:rsidR="008D47F4">
        <w:t xml:space="preserve"> </w:t>
      </w:r>
      <w:r w:rsidR="008D47F4" w:rsidRPr="008D47F4">
        <w:t>patients (111/118, 94%) had virus with treatment-emergent substitutions at NS3 amino acid</w:t>
      </w:r>
      <w:r w:rsidR="008D47F4">
        <w:t xml:space="preserve"> </w:t>
      </w:r>
      <w:r w:rsidR="008D47F4" w:rsidRPr="008D47F4">
        <w:t>position D168. Of 121 patients with available resistance data at failure for both NS3 and NS5A,</w:t>
      </w:r>
      <w:r w:rsidR="008D47F4">
        <w:t xml:space="preserve"> </w:t>
      </w:r>
      <w:r w:rsidR="008D47F4" w:rsidRPr="008D47F4">
        <w:t>95 (79%) patients had virus with both D168 substitutions in NS3 and L31 plus Y93H</w:t>
      </w:r>
      <w:r w:rsidR="008D47F4">
        <w:t xml:space="preserve"> </w:t>
      </w:r>
      <w:r w:rsidR="008D47F4" w:rsidRPr="008D47F4">
        <w:t>substitutions in NS5A.</w:t>
      </w:r>
    </w:p>
    <w:p w:rsidR="00E37810" w:rsidRPr="00405312" w:rsidRDefault="00E37810" w:rsidP="00BF0067">
      <w:pPr>
        <w:pStyle w:val="BMSBodyText"/>
        <w:spacing w:before="0" w:line="240" w:lineRule="auto"/>
        <w:rPr>
          <w:szCs w:val="24"/>
          <w:lang w:eastAsia="en-AU"/>
        </w:rPr>
      </w:pPr>
      <w:r w:rsidRPr="000F5D7F">
        <w:rPr>
          <w:i/>
        </w:rPr>
        <w:t>SUNVEPRA, DAKLINZA, peginterferon alfa, and ribavirin</w:t>
      </w:r>
      <w:r w:rsidRPr="000F5D7F">
        <w:rPr>
          <w:i/>
          <w:iCs/>
        </w:rPr>
        <w:t>:</w:t>
      </w:r>
      <w:r w:rsidRPr="00185B3B">
        <w:rPr>
          <w:i/>
          <w:iCs/>
        </w:rPr>
        <w:t xml:space="preserve">  </w:t>
      </w:r>
      <w:r w:rsidR="00C11267" w:rsidRPr="00C11267">
        <w:rPr>
          <w:iCs/>
          <w:lang w:val="en-AU"/>
        </w:rPr>
        <w:t>Treatment</w:t>
      </w:r>
      <w:r w:rsidR="00C11267">
        <w:rPr>
          <w:iCs/>
          <w:lang w:val="en-AU"/>
        </w:rPr>
        <w:t>-</w:t>
      </w:r>
      <w:r w:rsidR="00C11267" w:rsidRPr="00C11267">
        <w:rPr>
          <w:iCs/>
          <w:lang w:val="en-AU"/>
        </w:rPr>
        <w:t>emergent</w:t>
      </w:r>
      <w:r w:rsidR="00C11267">
        <w:rPr>
          <w:iCs/>
          <w:lang w:val="en-AU"/>
        </w:rPr>
        <w:t xml:space="preserve"> </w:t>
      </w:r>
      <w:r w:rsidR="00C11267" w:rsidRPr="00C11267">
        <w:rPr>
          <w:iCs/>
          <w:lang w:val="en-AU"/>
        </w:rPr>
        <w:t>NS3 amino acid substitutions were detected in the viruses from 15/16 (94%) HCV</w:t>
      </w:r>
      <w:r w:rsidR="00C11267">
        <w:rPr>
          <w:iCs/>
          <w:lang w:val="en-AU"/>
        </w:rPr>
        <w:t xml:space="preserve"> </w:t>
      </w:r>
      <w:r w:rsidR="00C11267" w:rsidRPr="00C11267">
        <w:rPr>
          <w:iCs/>
          <w:lang w:val="en-AU"/>
        </w:rPr>
        <w:t xml:space="preserve">genotype 1a infected patients who experienced virologic failure with </w:t>
      </w:r>
      <w:r w:rsidR="00C11267">
        <w:rPr>
          <w:iCs/>
          <w:lang w:val="en-AU"/>
        </w:rPr>
        <w:t>SUNVEPRA, DAKLINZA</w:t>
      </w:r>
      <w:r w:rsidR="00C11267" w:rsidRPr="00C11267">
        <w:rPr>
          <w:iCs/>
          <w:lang w:val="en-AU"/>
        </w:rPr>
        <w:t xml:space="preserve">, peginterferon alfa, and ribavirin (see Table </w:t>
      </w:r>
      <w:r w:rsidR="00C11267">
        <w:rPr>
          <w:iCs/>
          <w:lang w:val="en-AU"/>
        </w:rPr>
        <w:t>1</w:t>
      </w:r>
      <w:r w:rsidR="00C11267" w:rsidRPr="00C11267">
        <w:rPr>
          <w:iCs/>
          <w:lang w:val="en-AU"/>
        </w:rPr>
        <w:t>); all virologic failure</w:t>
      </w:r>
      <w:r w:rsidR="00C11267">
        <w:rPr>
          <w:iCs/>
          <w:lang w:val="en-AU"/>
        </w:rPr>
        <w:t xml:space="preserve"> </w:t>
      </w:r>
      <w:r w:rsidR="00C11267" w:rsidRPr="00C11267">
        <w:rPr>
          <w:iCs/>
          <w:lang w:val="en-AU"/>
        </w:rPr>
        <w:t>patients with available data also had treatment-emergent daclatasvir resistance-associated</w:t>
      </w:r>
      <w:r w:rsidR="00C11267">
        <w:rPr>
          <w:iCs/>
          <w:lang w:val="en-AU"/>
        </w:rPr>
        <w:t xml:space="preserve"> </w:t>
      </w:r>
      <w:r w:rsidR="00C11267" w:rsidRPr="00C11267">
        <w:rPr>
          <w:iCs/>
        </w:rPr>
        <w:t>substitutions in NS5A. A single HCV genotype 1b infected patient who experienced virologic</w:t>
      </w:r>
      <w:r w:rsidR="00C11267">
        <w:rPr>
          <w:iCs/>
        </w:rPr>
        <w:t xml:space="preserve"> </w:t>
      </w:r>
      <w:r w:rsidR="00C11267" w:rsidRPr="00C11267">
        <w:rPr>
          <w:iCs/>
          <w:lang w:val="en-AU"/>
        </w:rPr>
        <w:t>failure had virus with treatment-emergent substitutions in NS3 and NS5A.</w:t>
      </w:r>
    </w:p>
    <w:p w:rsidR="00E37810" w:rsidRPr="009A6764" w:rsidRDefault="00E37810" w:rsidP="00E61859">
      <w:pPr>
        <w:spacing w:after="120" w:line="240" w:lineRule="auto"/>
        <w:jc w:val="both"/>
        <w:rPr>
          <w:rFonts w:ascii="Times New Roman" w:hAnsi="Times New Roman"/>
          <w:b/>
          <w:sz w:val="22"/>
          <w:szCs w:val="22"/>
        </w:rPr>
      </w:pPr>
      <w:r w:rsidRPr="009A6764">
        <w:rPr>
          <w:rFonts w:ascii="Times New Roman" w:hAnsi="Times New Roman"/>
          <w:b/>
          <w:sz w:val="22"/>
          <w:szCs w:val="22"/>
        </w:rPr>
        <w:t>Table 1:</w:t>
      </w:r>
      <w:r w:rsidRPr="009A6764">
        <w:rPr>
          <w:rFonts w:ascii="Times New Roman" w:hAnsi="Times New Roman"/>
          <w:b/>
          <w:sz w:val="22"/>
          <w:szCs w:val="22"/>
        </w:rPr>
        <w:tab/>
        <w:t xml:space="preserve">Treatment-Emergent NS3 Amino Acid Substitutions in Pooled Data from Phase 2 and 3 Clinical Trials: Subjects Who Did Not Achieve SVR with SUNVEPRA and </w:t>
      </w:r>
      <w:r>
        <w:rPr>
          <w:rFonts w:ascii="Times New Roman" w:hAnsi="Times New Roman"/>
          <w:b/>
          <w:sz w:val="22"/>
          <w:szCs w:val="22"/>
        </w:rPr>
        <w:t>DAKLINZA</w:t>
      </w:r>
      <w:r w:rsidRPr="009A6764">
        <w:rPr>
          <w:rFonts w:ascii="Times New Roman" w:hAnsi="Times New Roman"/>
          <w:b/>
          <w:sz w:val="22"/>
          <w:szCs w:val="22"/>
        </w:rPr>
        <w:t xml:space="preserve"> or with SUNVEPRA, </w:t>
      </w:r>
      <w:r>
        <w:rPr>
          <w:rFonts w:ascii="Times New Roman" w:hAnsi="Times New Roman"/>
          <w:b/>
          <w:sz w:val="22"/>
          <w:szCs w:val="22"/>
        </w:rPr>
        <w:t>DAKLINZA</w:t>
      </w:r>
      <w:r w:rsidRPr="009A6764">
        <w:rPr>
          <w:rFonts w:ascii="Times New Roman" w:hAnsi="Times New Roman"/>
          <w:b/>
          <w:sz w:val="22"/>
          <w:szCs w:val="22"/>
        </w:rPr>
        <w:t>, Peginterferon Alfa, and Ribavirin</w:t>
      </w:r>
    </w:p>
    <w:p w:rsidR="00E37810" w:rsidRDefault="00E37810" w:rsidP="00E37810">
      <w:pPr>
        <w:spacing w:after="0" w:line="240" w:lineRule="auto"/>
        <w:jc w:val="both"/>
      </w:pPr>
    </w:p>
    <w:tbl>
      <w:tblPr>
        <w:tblW w:w="5000" w:type="pct"/>
        <w:tblBorders>
          <w:bottom w:val="double" w:sz="6" w:space="0" w:color="auto"/>
        </w:tblBorders>
        <w:tblLook w:val="0000" w:firstRow="0" w:lastRow="0" w:firstColumn="0" w:lastColumn="0" w:noHBand="0" w:noVBand="0"/>
      </w:tblPr>
      <w:tblGrid>
        <w:gridCol w:w="3509"/>
        <w:gridCol w:w="1414"/>
        <w:gridCol w:w="1268"/>
        <w:gridCol w:w="1304"/>
        <w:gridCol w:w="1511"/>
      </w:tblGrid>
      <w:tr w:rsidR="00E37810" w:rsidRPr="00CD56D7" w:rsidTr="00706301">
        <w:trPr>
          <w:trHeight w:val="432"/>
          <w:tblHeader/>
        </w:trPr>
        <w:tc>
          <w:tcPr>
            <w:tcW w:w="1948" w:type="pct"/>
            <w:tcBorders>
              <w:top w:val="double" w:sz="6" w:space="0" w:color="000000"/>
              <w:bottom w:val="nil"/>
              <w:right w:val="single" w:sz="4" w:space="0" w:color="auto"/>
            </w:tcBorders>
            <w:shd w:val="clear" w:color="auto" w:fill="auto"/>
            <w:vAlign w:val="bottom"/>
          </w:tcPr>
          <w:p w:rsidR="00E37810" w:rsidRPr="009A6764" w:rsidRDefault="00E37810" w:rsidP="00706301">
            <w:pPr>
              <w:rPr>
                <w:rFonts w:ascii="Times New Roman" w:hAnsi="Times New Roman"/>
                <w:b/>
                <w:sz w:val="22"/>
                <w:szCs w:val="22"/>
              </w:rPr>
            </w:pPr>
            <w:r w:rsidRPr="009A6764">
              <w:rPr>
                <w:rFonts w:ascii="Times New Roman" w:hAnsi="Times New Roman"/>
                <w:b/>
                <w:sz w:val="22"/>
                <w:szCs w:val="22"/>
              </w:rPr>
              <w:lastRenderedPageBreak/>
              <w:t xml:space="preserve">Treated Subjects </w:t>
            </w:r>
          </w:p>
        </w:tc>
        <w:tc>
          <w:tcPr>
            <w:tcW w:w="785" w:type="pct"/>
            <w:tcBorders>
              <w:top w:val="double" w:sz="6" w:space="0" w:color="000000"/>
              <w:left w:val="single" w:sz="4" w:space="0" w:color="auto"/>
              <w:bottom w:val="single" w:sz="4" w:space="0" w:color="auto"/>
              <w:right w:val="single" w:sz="4" w:space="0" w:color="auto"/>
            </w:tcBorders>
            <w:shd w:val="clear" w:color="auto" w:fill="auto"/>
          </w:tcPr>
          <w:p w:rsidR="00E37810" w:rsidRPr="009A6764" w:rsidRDefault="00E37810" w:rsidP="00706301">
            <w:pPr>
              <w:jc w:val="center"/>
              <w:rPr>
                <w:rFonts w:ascii="Times New Roman" w:hAnsi="Times New Roman"/>
                <w:b/>
                <w:sz w:val="22"/>
                <w:szCs w:val="22"/>
              </w:rPr>
            </w:pPr>
            <w:r>
              <w:rPr>
                <w:rFonts w:ascii="Times New Roman" w:hAnsi="Times New Roman"/>
                <w:b/>
                <w:sz w:val="22"/>
                <w:szCs w:val="22"/>
              </w:rPr>
              <w:t>SUNVEPRA</w:t>
            </w:r>
            <w:r w:rsidRPr="009A6764">
              <w:rPr>
                <w:rFonts w:ascii="Times New Roman" w:hAnsi="Times New Roman"/>
                <w:b/>
                <w:sz w:val="22"/>
                <w:szCs w:val="22"/>
              </w:rPr>
              <w:t xml:space="preserve"> and </w:t>
            </w:r>
            <w:r>
              <w:rPr>
                <w:rFonts w:ascii="Times New Roman" w:hAnsi="Times New Roman"/>
                <w:b/>
                <w:sz w:val="22"/>
                <w:szCs w:val="22"/>
              </w:rPr>
              <w:t>DAKLINZA</w:t>
            </w:r>
          </w:p>
        </w:tc>
        <w:tc>
          <w:tcPr>
            <w:tcW w:w="2267" w:type="pct"/>
            <w:gridSpan w:val="3"/>
            <w:tcBorders>
              <w:top w:val="double" w:sz="6" w:space="0" w:color="000000"/>
              <w:left w:val="single" w:sz="4" w:space="0" w:color="auto"/>
              <w:bottom w:val="single" w:sz="4" w:space="0" w:color="auto"/>
            </w:tcBorders>
            <w:shd w:val="clear" w:color="auto" w:fill="auto"/>
          </w:tcPr>
          <w:p w:rsidR="00E37810" w:rsidRDefault="00E37810" w:rsidP="00706301">
            <w:pPr>
              <w:spacing w:after="0"/>
              <w:jc w:val="center"/>
              <w:rPr>
                <w:rFonts w:ascii="Times New Roman" w:hAnsi="Times New Roman"/>
                <w:b/>
                <w:sz w:val="22"/>
                <w:szCs w:val="22"/>
              </w:rPr>
            </w:pPr>
            <w:r>
              <w:rPr>
                <w:rFonts w:ascii="Times New Roman" w:hAnsi="Times New Roman"/>
                <w:b/>
                <w:sz w:val="22"/>
                <w:szCs w:val="22"/>
              </w:rPr>
              <w:t>SUNVEPRA</w:t>
            </w:r>
            <w:r w:rsidRPr="009A6764">
              <w:rPr>
                <w:rFonts w:ascii="Times New Roman" w:hAnsi="Times New Roman"/>
                <w:b/>
                <w:sz w:val="22"/>
                <w:szCs w:val="22"/>
              </w:rPr>
              <w:t xml:space="preserve">, </w:t>
            </w:r>
            <w:r>
              <w:rPr>
                <w:rFonts w:ascii="Times New Roman" w:hAnsi="Times New Roman"/>
                <w:b/>
                <w:sz w:val="22"/>
                <w:szCs w:val="22"/>
              </w:rPr>
              <w:t>DAKLINZA</w:t>
            </w:r>
            <w:r w:rsidRPr="009A6764">
              <w:rPr>
                <w:rFonts w:ascii="Times New Roman" w:hAnsi="Times New Roman"/>
                <w:b/>
                <w:sz w:val="22"/>
                <w:szCs w:val="22"/>
              </w:rPr>
              <w:t>,</w:t>
            </w:r>
          </w:p>
          <w:p w:rsidR="00E37810" w:rsidRPr="009A6764" w:rsidRDefault="00E37810" w:rsidP="00706301">
            <w:pPr>
              <w:spacing w:after="0"/>
              <w:jc w:val="center"/>
              <w:rPr>
                <w:rFonts w:ascii="Times New Roman" w:hAnsi="Times New Roman"/>
                <w:b/>
                <w:sz w:val="22"/>
                <w:szCs w:val="22"/>
              </w:rPr>
            </w:pPr>
            <w:r w:rsidRPr="009A6764">
              <w:rPr>
                <w:rFonts w:ascii="Times New Roman" w:hAnsi="Times New Roman"/>
                <w:b/>
                <w:sz w:val="22"/>
                <w:szCs w:val="22"/>
              </w:rPr>
              <w:t>Peginterferon Alfa, and Ribavirin</w:t>
            </w:r>
          </w:p>
        </w:tc>
      </w:tr>
      <w:tr w:rsidR="00E37810" w:rsidRPr="00CD56D7" w:rsidTr="00706301">
        <w:trPr>
          <w:trHeight w:val="432"/>
        </w:trPr>
        <w:tc>
          <w:tcPr>
            <w:tcW w:w="1948" w:type="pct"/>
            <w:tcBorders>
              <w:top w:val="nil"/>
              <w:bottom w:val="single" w:sz="4" w:space="0" w:color="auto"/>
              <w:right w:val="single" w:sz="4" w:space="0" w:color="auto"/>
            </w:tcBorders>
            <w:shd w:val="clear" w:color="auto" w:fill="auto"/>
            <w:vAlign w:val="bottom"/>
          </w:tcPr>
          <w:p w:rsidR="00E37810" w:rsidRPr="009A6764" w:rsidRDefault="00E37810" w:rsidP="00706301">
            <w:pPr>
              <w:rPr>
                <w:rFonts w:ascii="Times New Roman" w:hAnsi="Times New Roman"/>
                <w:b/>
                <w:sz w:val="22"/>
                <w:szCs w:val="22"/>
              </w:rPr>
            </w:pPr>
            <w:r w:rsidRPr="009A6764">
              <w:rPr>
                <w:rFonts w:ascii="Times New Roman" w:hAnsi="Times New Roman"/>
                <w:b/>
                <w:sz w:val="22"/>
                <w:szCs w:val="22"/>
              </w:rPr>
              <w:t>Category (%, n)</w:t>
            </w:r>
          </w:p>
        </w:tc>
        <w:tc>
          <w:tcPr>
            <w:tcW w:w="785" w:type="pct"/>
            <w:tcBorders>
              <w:top w:val="nil"/>
              <w:left w:val="single" w:sz="4" w:space="0" w:color="auto"/>
              <w:bottom w:val="single" w:sz="4" w:space="0" w:color="auto"/>
              <w:right w:val="single" w:sz="4" w:space="0" w:color="auto"/>
            </w:tcBorders>
            <w:shd w:val="clear" w:color="auto" w:fill="auto"/>
            <w:vAlign w:val="bottom"/>
          </w:tcPr>
          <w:p w:rsidR="00E37810" w:rsidRPr="009A6764" w:rsidRDefault="00E37810" w:rsidP="00706301">
            <w:pPr>
              <w:jc w:val="center"/>
              <w:rPr>
                <w:rFonts w:ascii="Times New Roman" w:hAnsi="Times New Roman"/>
                <w:b/>
                <w:sz w:val="22"/>
                <w:szCs w:val="22"/>
              </w:rPr>
            </w:pPr>
            <w:r w:rsidRPr="009A6764">
              <w:rPr>
                <w:rFonts w:ascii="Times New Roman" w:hAnsi="Times New Roman"/>
                <w:b/>
                <w:sz w:val="22"/>
                <w:szCs w:val="22"/>
              </w:rPr>
              <w:t>Genotype 1b</w:t>
            </w:r>
            <w:r w:rsidRPr="009A6764">
              <w:rPr>
                <w:rFonts w:ascii="Times New Roman" w:hAnsi="Times New Roman"/>
                <w:b/>
                <w:sz w:val="22"/>
                <w:szCs w:val="22"/>
              </w:rPr>
              <w:br/>
              <w:t>n = 141</w:t>
            </w:r>
          </w:p>
        </w:tc>
        <w:tc>
          <w:tcPr>
            <w:tcW w:w="704" w:type="pct"/>
            <w:tcBorders>
              <w:top w:val="nil"/>
              <w:left w:val="single" w:sz="4" w:space="0" w:color="auto"/>
              <w:bottom w:val="single" w:sz="4" w:space="0" w:color="auto"/>
            </w:tcBorders>
            <w:shd w:val="clear" w:color="auto" w:fill="auto"/>
            <w:vAlign w:val="bottom"/>
          </w:tcPr>
          <w:p w:rsidR="00E37810" w:rsidRPr="00ED5B4E" w:rsidRDefault="00E37810" w:rsidP="00706301">
            <w:pPr>
              <w:jc w:val="center"/>
              <w:rPr>
                <w:rFonts w:ascii="Times New Roman" w:hAnsi="Times New Roman"/>
                <w:b/>
                <w:color w:val="000000"/>
                <w:sz w:val="22"/>
                <w:szCs w:val="22"/>
                <w:vertAlign w:val="superscript"/>
              </w:rPr>
            </w:pPr>
            <w:r w:rsidRPr="000C5F3D">
              <w:rPr>
                <w:rFonts w:ascii="Times New Roman" w:hAnsi="Times New Roman"/>
                <w:b/>
                <w:color w:val="000000"/>
                <w:sz w:val="22"/>
                <w:szCs w:val="22"/>
              </w:rPr>
              <w:t>Genotype 1a</w:t>
            </w:r>
            <w:r w:rsidRPr="000C5F3D">
              <w:rPr>
                <w:rFonts w:ascii="Times New Roman" w:hAnsi="Times New Roman"/>
                <w:b/>
                <w:color w:val="000000"/>
                <w:sz w:val="22"/>
                <w:szCs w:val="22"/>
              </w:rPr>
              <w:br/>
              <w:t xml:space="preserve">n = </w:t>
            </w:r>
            <w:r w:rsidR="00C11267">
              <w:rPr>
                <w:rFonts w:ascii="Times New Roman" w:hAnsi="Times New Roman"/>
                <w:b/>
                <w:color w:val="000000"/>
                <w:sz w:val="22"/>
                <w:szCs w:val="22"/>
              </w:rPr>
              <w:t>22</w:t>
            </w:r>
            <w:r>
              <w:rPr>
                <w:rFonts w:ascii="Times New Roman" w:hAnsi="Times New Roman"/>
                <w:b/>
                <w:color w:val="000000"/>
                <w:sz w:val="22"/>
                <w:szCs w:val="22"/>
                <w:vertAlign w:val="superscript"/>
              </w:rPr>
              <w:t>a</w:t>
            </w:r>
          </w:p>
        </w:tc>
        <w:tc>
          <w:tcPr>
            <w:tcW w:w="724" w:type="pct"/>
            <w:tcBorders>
              <w:top w:val="nil"/>
              <w:bottom w:val="single" w:sz="4" w:space="0" w:color="auto"/>
            </w:tcBorders>
            <w:shd w:val="clear" w:color="auto" w:fill="auto"/>
            <w:vAlign w:val="bottom"/>
          </w:tcPr>
          <w:p w:rsidR="00E37810" w:rsidRPr="000C5F3D" w:rsidRDefault="00E37810" w:rsidP="00706301">
            <w:pPr>
              <w:jc w:val="center"/>
              <w:rPr>
                <w:rFonts w:ascii="Times New Roman" w:hAnsi="Times New Roman"/>
                <w:b/>
                <w:color w:val="000000"/>
                <w:sz w:val="22"/>
                <w:szCs w:val="22"/>
              </w:rPr>
            </w:pPr>
            <w:r w:rsidRPr="000C5F3D">
              <w:rPr>
                <w:rFonts w:ascii="Times New Roman" w:hAnsi="Times New Roman"/>
                <w:b/>
                <w:color w:val="000000"/>
                <w:sz w:val="22"/>
                <w:szCs w:val="22"/>
              </w:rPr>
              <w:t>Genotype 1b</w:t>
            </w:r>
            <w:r w:rsidRPr="000C5F3D">
              <w:rPr>
                <w:rFonts w:ascii="Times New Roman" w:hAnsi="Times New Roman"/>
                <w:b/>
                <w:color w:val="000000"/>
                <w:sz w:val="22"/>
                <w:szCs w:val="22"/>
              </w:rPr>
              <w:br/>
              <w:t>n = 2</w:t>
            </w:r>
            <w:r w:rsidR="00BD53E3">
              <w:rPr>
                <w:rFonts w:ascii="Times New Roman" w:hAnsi="Times New Roman"/>
                <w:b/>
                <w:color w:val="000000"/>
                <w:sz w:val="22"/>
                <w:szCs w:val="22"/>
                <w:vertAlign w:val="superscript"/>
              </w:rPr>
              <w:t xml:space="preserve"> a</w:t>
            </w:r>
          </w:p>
        </w:tc>
        <w:tc>
          <w:tcPr>
            <w:tcW w:w="839" w:type="pct"/>
            <w:tcBorders>
              <w:top w:val="nil"/>
              <w:bottom w:val="single" w:sz="4" w:space="0" w:color="auto"/>
            </w:tcBorders>
            <w:shd w:val="clear" w:color="auto" w:fill="auto"/>
            <w:vAlign w:val="bottom"/>
          </w:tcPr>
          <w:p w:rsidR="00E37810" w:rsidRPr="000C5F3D" w:rsidRDefault="00E37810" w:rsidP="00706301">
            <w:pPr>
              <w:jc w:val="center"/>
              <w:rPr>
                <w:rFonts w:ascii="Times New Roman" w:hAnsi="Times New Roman"/>
                <w:b/>
                <w:color w:val="000000"/>
                <w:sz w:val="22"/>
                <w:szCs w:val="22"/>
              </w:rPr>
            </w:pPr>
            <w:r w:rsidRPr="000C5F3D">
              <w:rPr>
                <w:rFonts w:ascii="Times New Roman" w:hAnsi="Times New Roman"/>
                <w:b/>
                <w:color w:val="000000"/>
                <w:sz w:val="22"/>
                <w:szCs w:val="22"/>
              </w:rPr>
              <w:t>Genotype 4</w:t>
            </w:r>
            <w:r w:rsidRPr="000C5F3D">
              <w:rPr>
                <w:rFonts w:ascii="Times New Roman" w:hAnsi="Times New Roman"/>
                <w:b/>
                <w:color w:val="000000"/>
                <w:sz w:val="22"/>
                <w:szCs w:val="22"/>
              </w:rPr>
              <w:br/>
              <w:t xml:space="preserve">n = </w:t>
            </w:r>
            <w:r w:rsidR="00C11267">
              <w:rPr>
                <w:rFonts w:ascii="Times New Roman" w:hAnsi="Times New Roman"/>
                <w:b/>
                <w:color w:val="000000"/>
                <w:sz w:val="22"/>
                <w:szCs w:val="22"/>
              </w:rPr>
              <w:t>0</w:t>
            </w:r>
            <w:r w:rsidRPr="000C5F3D">
              <w:rPr>
                <w:rFonts w:ascii="Times New Roman" w:hAnsi="Times New Roman"/>
                <w:b/>
                <w:color w:val="000000"/>
                <w:sz w:val="22"/>
                <w:szCs w:val="22"/>
                <w:vertAlign w:val="superscript"/>
              </w:rPr>
              <w:t>a</w:t>
            </w:r>
          </w:p>
        </w:tc>
      </w:tr>
      <w:tr w:rsidR="00E37810" w:rsidRPr="00CD56D7" w:rsidTr="00706301">
        <w:tc>
          <w:tcPr>
            <w:tcW w:w="1948" w:type="pct"/>
            <w:tcBorders>
              <w:top w:val="single" w:sz="4" w:space="0" w:color="auto"/>
              <w:bottom w:val="nil"/>
              <w:right w:val="single" w:sz="4" w:space="0" w:color="auto"/>
            </w:tcBorders>
            <w:shd w:val="clear" w:color="auto" w:fill="auto"/>
          </w:tcPr>
          <w:p w:rsidR="00E37810" w:rsidRPr="009A6764" w:rsidRDefault="00C11267" w:rsidP="00706301">
            <w:pPr>
              <w:spacing w:after="120"/>
              <w:rPr>
                <w:rFonts w:ascii="Times New Roman" w:hAnsi="Times New Roman"/>
                <w:sz w:val="22"/>
                <w:szCs w:val="22"/>
              </w:rPr>
            </w:pPr>
            <w:r>
              <w:rPr>
                <w:rFonts w:ascii="Times New Roman" w:hAnsi="Times New Roman"/>
                <w:sz w:val="22"/>
                <w:szCs w:val="22"/>
              </w:rPr>
              <w:t>Treated subjects with NS3 sequence</w:t>
            </w:r>
          </w:p>
        </w:tc>
        <w:tc>
          <w:tcPr>
            <w:tcW w:w="785" w:type="pct"/>
            <w:tcBorders>
              <w:top w:val="single" w:sz="4" w:space="0" w:color="auto"/>
              <w:left w:val="single" w:sz="4" w:space="0" w:color="auto"/>
              <w:bottom w:val="nil"/>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118</w:t>
            </w:r>
          </w:p>
        </w:tc>
        <w:tc>
          <w:tcPr>
            <w:tcW w:w="704" w:type="pct"/>
            <w:tcBorders>
              <w:top w:val="single" w:sz="4" w:space="0" w:color="auto"/>
              <w:left w:val="single" w:sz="4" w:space="0" w:color="auto"/>
              <w:bottom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16</w:t>
            </w:r>
          </w:p>
        </w:tc>
        <w:tc>
          <w:tcPr>
            <w:tcW w:w="724" w:type="pct"/>
            <w:tcBorders>
              <w:top w:val="single" w:sz="4" w:space="0" w:color="auto"/>
              <w:bottom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w:t>
            </w:r>
          </w:p>
        </w:tc>
        <w:tc>
          <w:tcPr>
            <w:tcW w:w="839" w:type="pct"/>
            <w:tcBorders>
              <w:top w:val="single" w:sz="4" w:space="0" w:color="auto"/>
              <w:bottom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94"/>
        </w:trPr>
        <w:tc>
          <w:tcPr>
            <w:tcW w:w="1948" w:type="pct"/>
            <w:tcBorders>
              <w:top w:val="nil"/>
              <w:bottom w:val="nil"/>
              <w:right w:val="single" w:sz="4" w:space="0" w:color="auto"/>
            </w:tcBorders>
            <w:shd w:val="clear" w:color="auto" w:fill="auto"/>
          </w:tcPr>
          <w:p w:rsidR="00E37810" w:rsidRPr="009A6764" w:rsidRDefault="00C11267" w:rsidP="00706301">
            <w:pPr>
              <w:rPr>
                <w:rFonts w:ascii="Times New Roman" w:hAnsi="Times New Roman"/>
                <w:sz w:val="22"/>
                <w:szCs w:val="22"/>
              </w:rPr>
            </w:pPr>
            <w:r>
              <w:rPr>
                <w:rFonts w:ascii="Times New Roman" w:hAnsi="Times New Roman"/>
                <w:sz w:val="22"/>
                <w:szCs w:val="22"/>
              </w:rPr>
              <w:t>Emergent</w:t>
            </w:r>
            <w:r w:rsidRPr="009A6764">
              <w:rPr>
                <w:rFonts w:ascii="Times New Roman" w:hAnsi="Times New Roman"/>
                <w:sz w:val="22"/>
                <w:szCs w:val="22"/>
              </w:rPr>
              <w:t xml:space="preserve"> </w:t>
            </w:r>
            <w:r w:rsidR="00E37810" w:rsidRPr="009A6764">
              <w:rPr>
                <w:rFonts w:ascii="Times New Roman" w:hAnsi="Times New Roman"/>
                <w:sz w:val="22"/>
                <w:szCs w:val="22"/>
              </w:rPr>
              <w:t xml:space="preserve">substitution at NS3 position 36, 54, 56H/L, 77, 80, 122, 155, 168, and/or 170A/M/T </w:t>
            </w:r>
          </w:p>
        </w:tc>
        <w:tc>
          <w:tcPr>
            <w:tcW w:w="785" w:type="pct"/>
            <w:tcBorders>
              <w:top w:val="nil"/>
              <w:left w:val="single" w:sz="4" w:space="0" w:color="auto"/>
              <w:bottom w:val="nil"/>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 xml:space="preserve">97 (114) </w:t>
            </w:r>
          </w:p>
        </w:tc>
        <w:tc>
          <w:tcPr>
            <w:tcW w:w="704" w:type="pct"/>
            <w:tcBorders>
              <w:top w:val="nil"/>
              <w:left w:val="single" w:sz="4" w:space="0" w:color="auto"/>
              <w:bottom w:val="nil"/>
              <w:right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94 (15)</w:t>
            </w:r>
          </w:p>
        </w:tc>
        <w:tc>
          <w:tcPr>
            <w:tcW w:w="724" w:type="pct"/>
            <w:tcBorders>
              <w:top w:val="nil"/>
              <w:left w:val="nil"/>
              <w:bottom w:val="nil"/>
              <w:right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100.0 (1)</w:t>
            </w:r>
          </w:p>
        </w:tc>
        <w:tc>
          <w:tcPr>
            <w:tcW w:w="839" w:type="pct"/>
            <w:tcBorders>
              <w:top w:val="nil"/>
              <w:left w:val="nil"/>
              <w:bottom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top w:val="nil"/>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V36X + other noted NS3 substitutions</w:t>
            </w:r>
            <w:r>
              <w:rPr>
                <w:rStyle w:val="BMSTableNote"/>
                <w:sz w:val="22"/>
                <w:szCs w:val="22"/>
              </w:rPr>
              <w:t>b</w:t>
            </w:r>
          </w:p>
        </w:tc>
        <w:tc>
          <w:tcPr>
            <w:tcW w:w="785" w:type="pct"/>
            <w:tcBorders>
              <w:top w:val="nil"/>
              <w:left w:val="single" w:sz="4" w:space="0" w:color="auto"/>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0.8 (1)</w:t>
            </w:r>
          </w:p>
        </w:tc>
        <w:tc>
          <w:tcPr>
            <w:tcW w:w="704" w:type="pct"/>
            <w:tcBorders>
              <w:top w:val="nil"/>
              <w:lef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25 (4)</w:t>
            </w:r>
          </w:p>
        </w:tc>
        <w:tc>
          <w:tcPr>
            <w:tcW w:w="724" w:type="pct"/>
            <w:tcBorders>
              <w:top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839" w:type="pct"/>
            <w:tcBorders>
              <w:top w:val="nil"/>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R155X</w:t>
            </w:r>
            <w:r>
              <w:rPr>
                <w:rStyle w:val="BMSTableNote"/>
              </w:rPr>
              <w:t>c</w:t>
            </w:r>
          </w:p>
        </w:tc>
        <w:tc>
          <w:tcPr>
            <w:tcW w:w="785" w:type="pct"/>
            <w:tcBorders>
              <w:left w:val="single" w:sz="4" w:space="0" w:color="auto"/>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3 (4)</w:t>
            </w:r>
          </w:p>
        </w:tc>
        <w:tc>
          <w:tcPr>
            <w:tcW w:w="704" w:type="pct"/>
            <w:tcBorders>
              <w:lef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50 (8)</w:t>
            </w:r>
          </w:p>
        </w:tc>
        <w:tc>
          <w:tcPr>
            <w:tcW w:w="724"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839"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R155K</w:t>
            </w:r>
          </w:p>
        </w:tc>
        <w:tc>
          <w:tcPr>
            <w:tcW w:w="785" w:type="pct"/>
            <w:tcBorders>
              <w:left w:val="single" w:sz="4" w:space="0" w:color="auto"/>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704" w:type="pct"/>
            <w:tcBorders>
              <w:lef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50 (8)</w:t>
            </w:r>
          </w:p>
        </w:tc>
        <w:tc>
          <w:tcPr>
            <w:tcW w:w="724"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839"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D168X</w:t>
            </w:r>
            <w:r>
              <w:rPr>
                <w:rStyle w:val="BMSTableNote"/>
              </w:rPr>
              <w:t>d</w:t>
            </w:r>
          </w:p>
        </w:tc>
        <w:tc>
          <w:tcPr>
            <w:tcW w:w="785" w:type="pct"/>
            <w:tcBorders>
              <w:left w:val="single" w:sz="4" w:space="0" w:color="auto"/>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94 (111)</w:t>
            </w:r>
          </w:p>
        </w:tc>
        <w:tc>
          <w:tcPr>
            <w:tcW w:w="704" w:type="pct"/>
            <w:tcBorders>
              <w:lef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44 (7)</w:t>
            </w:r>
          </w:p>
        </w:tc>
        <w:tc>
          <w:tcPr>
            <w:tcW w:w="724"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100 (1)</w:t>
            </w:r>
          </w:p>
        </w:tc>
        <w:tc>
          <w:tcPr>
            <w:tcW w:w="839"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D168V</w:t>
            </w:r>
          </w:p>
        </w:tc>
        <w:tc>
          <w:tcPr>
            <w:tcW w:w="785" w:type="pct"/>
            <w:tcBorders>
              <w:left w:val="single" w:sz="4" w:space="0" w:color="auto"/>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40 (47)</w:t>
            </w:r>
          </w:p>
        </w:tc>
        <w:tc>
          <w:tcPr>
            <w:tcW w:w="704" w:type="pct"/>
            <w:tcBorders>
              <w:lef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724"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100 (1)</w:t>
            </w:r>
          </w:p>
        </w:tc>
        <w:tc>
          <w:tcPr>
            <w:tcW w:w="839"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D168E</w:t>
            </w:r>
          </w:p>
        </w:tc>
        <w:tc>
          <w:tcPr>
            <w:tcW w:w="785" w:type="pct"/>
            <w:tcBorders>
              <w:left w:val="single" w:sz="4" w:space="0" w:color="auto"/>
              <w:right w:val="single" w:sz="4" w:space="0" w:color="auto"/>
            </w:tcBorders>
            <w:shd w:val="clear" w:color="auto" w:fill="auto"/>
          </w:tcPr>
          <w:p w:rsidR="00E37810" w:rsidRPr="000C5F3D" w:rsidRDefault="00C11267" w:rsidP="00706301">
            <w:pPr>
              <w:jc w:val="center"/>
              <w:rPr>
                <w:rFonts w:ascii="Times New Roman" w:hAnsi="Times New Roman"/>
                <w:color w:val="000000"/>
                <w:sz w:val="22"/>
                <w:szCs w:val="22"/>
              </w:rPr>
            </w:pPr>
            <w:r>
              <w:rPr>
                <w:rFonts w:ascii="Times New Roman" w:hAnsi="Times New Roman"/>
                <w:color w:val="000000"/>
                <w:sz w:val="22"/>
                <w:szCs w:val="22"/>
              </w:rPr>
              <w:t>19 (22)</w:t>
            </w:r>
          </w:p>
        </w:tc>
        <w:tc>
          <w:tcPr>
            <w:tcW w:w="704" w:type="pct"/>
            <w:tcBorders>
              <w:lef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38 (6)</w:t>
            </w:r>
          </w:p>
        </w:tc>
        <w:tc>
          <w:tcPr>
            <w:tcW w:w="724"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839"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Only D168X</w:t>
            </w:r>
          </w:p>
        </w:tc>
        <w:tc>
          <w:tcPr>
            <w:tcW w:w="785" w:type="pct"/>
            <w:tcBorders>
              <w:left w:val="single" w:sz="4" w:space="0" w:color="auto"/>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77 (91)</w:t>
            </w:r>
          </w:p>
        </w:tc>
        <w:tc>
          <w:tcPr>
            <w:tcW w:w="704" w:type="pct"/>
            <w:tcBorders>
              <w:lef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38 (6)</w:t>
            </w:r>
          </w:p>
        </w:tc>
        <w:tc>
          <w:tcPr>
            <w:tcW w:w="724"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100 (1)</w:t>
            </w:r>
          </w:p>
        </w:tc>
        <w:tc>
          <w:tcPr>
            <w:tcW w:w="839" w:type="pct"/>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bottom w:val="single" w:sz="4" w:space="0" w:color="auto"/>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D168X + other noted NS3 substitutions</w:t>
            </w:r>
            <w:r>
              <w:rPr>
                <w:rStyle w:val="BMSTableNote"/>
              </w:rPr>
              <w:t>e</w:t>
            </w:r>
          </w:p>
        </w:tc>
        <w:tc>
          <w:tcPr>
            <w:tcW w:w="785" w:type="pct"/>
            <w:tcBorders>
              <w:left w:val="single" w:sz="4" w:space="0" w:color="auto"/>
              <w:bottom w:val="single" w:sz="4" w:space="0" w:color="auto"/>
              <w:right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17 (20)</w:t>
            </w:r>
          </w:p>
        </w:tc>
        <w:tc>
          <w:tcPr>
            <w:tcW w:w="704" w:type="pct"/>
            <w:tcBorders>
              <w:left w:val="single" w:sz="4" w:space="0" w:color="auto"/>
              <w:bottom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6 (1)</w:t>
            </w:r>
          </w:p>
        </w:tc>
        <w:tc>
          <w:tcPr>
            <w:tcW w:w="724" w:type="pct"/>
            <w:tcBorders>
              <w:bottom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839" w:type="pct"/>
            <w:tcBorders>
              <w:bottom w:val="single" w:sz="4"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r w:rsidR="00E37810" w:rsidRPr="00CD56D7" w:rsidTr="00706301">
        <w:trPr>
          <w:trHeight w:val="432"/>
        </w:trPr>
        <w:tc>
          <w:tcPr>
            <w:tcW w:w="1948" w:type="pct"/>
            <w:tcBorders>
              <w:top w:val="single" w:sz="4" w:space="0" w:color="auto"/>
              <w:bottom w:val="double" w:sz="6" w:space="0" w:color="auto"/>
              <w:right w:val="single" w:sz="4" w:space="0" w:color="auto"/>
            </w:tcBorders>
            <w:shd w:val="clear" w:color="auto" w:fill="auto"/>
          </w:tcPr>
          <w:p w:rsidR="00E37810" w:rsidRPr="009A6764" w:rsidRDefault="00E37810" w:rsidP="00706301">
            <w:pPr>
              <w:rPr>
                <w:rFonts w:ascii="Times New Roman" w:hAnsi="Times New Roman"/>
                <w:sz w:val="22"/>
                <w:szCs w:val="22"/>
              </w:rPr>
            </w:pPr>
            <w:r w:rsidRPr="009A6764">
              <w:rPr>
                <w:rFonts w:ascii="Times New Roman" w:hAnsi="Times New Roman"/>
                <w:sz w:val="22"/>
                <w:szCs w:val="22"/>
              </w:rPr>
              <w:t xml:space="preserve">V36G, V36M, T54S, N77S, </w:t>
            </w:r>
            <w:r w:rsidRPr="000C5F3D">
              <w:rPr>
                <w:rFonts w:ascii="Times New Roman" w:hAnsi="Times New Roman"/>
                <w:sz w:val="22"/>
                <w:szCs w:val="22"/>
              </w:rPr>
              <w:t>Q80K/L/R,</w:t>
            </w:r>
            <w:r w:rsidRPr="009A6764">
              <w:rPr>
                <w:rFonts w:ascii="Times New Roman" w:hAnsi="Times New Roman"/>
                <w:sz w:val="22"/>
                <w:szCs w:val="22"/>
              </w:rPr>
              <w:t xml:space="preserve"> or S122</w:t>
            </w:r>
            <w:r w:rsidR="00BD53E3">
              <w:rPr>
                <w:rFonts w:ascii="Times New Roman" w:hAnsi="Times New Roman"/>
                <w:sz w:val="22"/>
                <w:szCs w:val="22"/>
              </w:rPr>
              <w:t>D/</w:t>
            </w:r>
            <w:r w:rsidRPr="009A6764">
              <w:rPr>
                <w:rFonts w:ascii="Times New Roman" w:hAnsi="Times New Roman"/>
                <w:sz w:val="22"/>
                <w:szCs w:val="22"/>
              </w:rPr>
              <w:t>G/I/N/T,</w:t>
            </w:r>
          </w:p>
        </w:tc>
        <w:tc>
          <w:tcPr>
            <w:tcW w:w="785" w:type="pct"/>
            <w:tcBorders>
              <w:top w:val="single" w:sz="4" w:space="0" w:color="auto"/>
              <w:left w:val="single" w:sz="4" w:space="0" w:color="auto"/>
              <w:bottom w:val="double" w:sz="6" w:space="0" w:color="auto"/>
              <w:right w:val="single" w:sz="4" w:space="0" w:color="auto"/>
            </w:tcBorders>
            <w:shd w:val="clear" w:color="auto" w:fill="auto"/>
          </w:tcPr>
          <w:p w:rsidR="00E37810" w:rsidRPr="009A6764" w:rsidRDefault="00E37810" w:rsidP="00706301">
            <w:pPr>
              <w:jc w:val="center"/>
              <w:rPr>
                <w:rFonts w:ascii="Times New Roman" w:hAnsi="Times New Roman"/>
                <w:sz w:val="22"/>
                <w:szCs w:val="22"/>
              </w:rPr>
            </w:pPr>
            <w:r w:rsidRPr="009A6764">
              <w:rPr>
                <w:rFonts w:ascii="Times New Roman" w:hAnsi="Times New Roman"/>
                <w:sz w:val="22"/>
                <w:szCs w:val="22"/>
              </w:rPr>
              <w:t>Less than 10%</w:t>
            </w:r>
          </w:p>
        </w:tc>
        <w:tc>
          <w:tcPr>
            <w:tcW w:w="704" w:type="pct"/>
            <w:tcBorders>
              <w:top w:val="single" w:sz="4" w:space="0" w:color="auto"/>
              <w:left w:val="single" w:sz="4" w:space="0" w:color="auto"/>
              <w:bottom w:val="double" w:sz="6"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Less than 10%</w:t>
            </w:r>
          </w:p>
        </w:tc>
        <w:tc>
          <w:tcPr>
            <w:tcW w:w="724" w:type="pct"/>
            <w:tcBorders>
              <w:top w:val="single" w:sz="4" w:space="0" w:color="auto"/>
              <w:bottom w:val="double" w:sz="6"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c>
          <w:tcPr>
            <w:tcW w:w="839" w:type="pct"/>
            <w:tcBorders>
              <w:top w:val="single" w:sz="4" w:space="0" w:color="auto"/>
              <w:bottom w:val="double" w:sz="6" w:space="0" w:color="auto"/>
            </w:tcBorders>
            <w:shd w:val="clear" w:color="auto" w:fill="auto"/>
          </w:tcPr>
          <w:p w:rsidR="00E37810" w:rsidRPr="000C5F3D" w:rsidRDefault="00E37810" w:rsidP="00706301">
            <w:pPr>
              <w:jc w:val="center"/>
              <w:rPr>
                <w:rFonts w:ascii="Times New Roman" w:hAnsi="Times New Roman"/>
                <w:color w:val="000000"/>
                <w:sz w:val="22"/>
                <w:szCs w:val="22"/>
              </w:rPr>
            </w:pPr>
            <w:r w:rsidRPr="000C5F3D">
              <w:rPr>
                <w:rFonts w:ascii="Times New Roman" w:hAnsi="Times New Roman"/>
                <w:color w:val="000000"/>
                <w:sz w:val="22"/>
                <w:szCs w:val="22"/>
              </w:rPr>
              <w:t>0</w:t>
            </w:r>
          </w:p>
        </w:tc>
      </w:tr>
    </w:tbl>
    <w:p w:rsidR="00E37810" w:rsidRPr="000C5F3D" w:rsidRDefault="00E37810" w:rsidP="00E37810">
      <w:pPr>
        <w:pStyle w:val="BMSTableNoteInfo"/>
      </w:pPr>
      <w:r w:rsidRPr="000C5F3D">
        <w:rPr>
          <w:rStyle w:val="BMSSuperscript"/>
          <w:sz w:val="24"/>
          <w:szCs w:val="24"/>
        </w:rPr>
        <w:t>a</w:t>
      </w:r>
      <w:r w:rsidRPr="000C5F3D">
        <w:tab/>
        <w:t xml:space="preserve">Of 26 patients who </w:t>
      </w:r>
      <w:r w:rsidR="00C11267">
        <w:t>were considered non</w:t>
      </w:r>
      <w:r w:rsidRPr="000C5F3D">
        <w:t xml:space="preserve"> SVR12 by a modified intent-to-treat analysis (subjects with missing values for a given time point were considered as a failure for the specific time point only), 2 subjects (1 with HCV genotype 1a and 1 with HCV genotype 4) achieved SVR12 by an imputed analysis (for subjects missing post-treatment week 12 HCV RNA, the next subsequent HCV RNA value was used).</w:t>
      </w:r>
      <w:r w:rsidR="00C11267">
        <w:t xml:space="preserve">  One subject with HCV genotype 1b had undetectable HCV RNA at Week 24 (last visit).</w:t>
      </w:r>
    </w:p>
    <w:p w:rsidR="00E37810" w:rsidRPr="009A6764" w:rsidRDefault="00E37810" w:rsidP="00E37810">
      <w:pPr>
        <w:pStyle w:val="BMSTableNoteInfo"/>
      </w:pPr>
      <w:r w:rsidRPr="00423F07">
        <w:rPr>
          <w:vertAlign w:val="superscript"/>
        </w:rPr>
        <w:t>b</w:t>
      </w:r>
      <w:r w:rsidRPr="009A6764">
        <w:tab/>
        <w:t>X may include G (genotype 1b) or M (genotype 1a). Other noted NS3 substitutions include R155K or D168E.</w:t>
      </w:r>
    </w:p>
    <w:p w:rsidR="00E37810" w:rsidRPr="009A6764" w:rsidRDefault="00E37810" w:rsidP="00E37810">
      <w:pPr>
        <w:pStyle w:val="BMSTableNoteInfo"/>
      </w:pPr>
      <w:r w:rsidRPr="00423F07">
        <w:rPr>
          <w:vertAlign w:val="superscript"/>
        </w:rPr>
        <w:t>c</w:t>
      </w:r>
      <w:r w:rsidRPr="009A6764">
        <w:tab/>
        <w:t>X may include G, K, or Q.</w:t>
      </w:r>
    </w:p>
    <w:p w:rsidR="00E37810" w:rsidRPr="009A6764" w:rsidRDefault="00E37810" w:rsidP="00E37810">
      <w:pPr>
        <w:pStyle w:val="BMSTableNoteInfo"/>
      </w:pPr>
      <w:r w:rsidRPr="00423F07">
        <w:rPr>
          <w:vertAlign w:val="superscript"/>
        </w:rPr>
        <w:t>d</w:t>
      </w:r>
      <w:r w:rsidRPr="009A6764">
        <w:tab/>
        <w:t>X may include NS3 D168 substitutions A, E, F, H, N, T, V, or Y.</w:t>
      </w:r>
    </w:p>
    <w:p w:rsidR="00E37810" w:rsidRPr="009A6764" w:rsidRDefault="00E37810" w:rsidP="00E37810">
      <w:pPr>
        <w:pStyle w:val="BMSTableNoteInfo"/>
      </w:pPr>
      <w:r w:rsidRPr="00423F07">
        <w:rPr>
          <w:vertAlign w:val="superscript"/>
        </w:rPr>
        <w:t>e</w:t>
      </w:r>
      <w:r w:rsidRPr="009A6764">
        <w:tab/>
        <w:t>For genotype 1a subjects, other NS3 substitutions included V36M; for genotype 1b subjects, other NS3 substitutions included V36G, T54S, N77S, Q80R, S122D/G/I/T, or R155Q.</w:t>
      </w:r>
    </w:p>
    <w:p w:rsidR="00E37810" w:rsidRDefault="00E37810" w:rsidP="00E37810">
      <w:pPr>
        <w:spacing w:after="0" w:line="240" w:lineRule="auto"/>
        <w:jc w:val="both"/>
        <w:rPr>
          <w:rFonts w:ascii="Times New Roman" w:hAnsi="Times New Roman"/>
          <w:sz w:val="20"/>
        </w:rPr>
      </w:pPr>
    </w:p>
    <w:p w:rsidR="00E37810" w:rsidRPr="00CD56D7" w:rsidRDefault="00E37810" w:rsidP="00E61859">
      <w:pPr>
        <w:pStyle w:val="BMSBodyText"/>
        <w:spacing w:before="0" w:line="240" w:lineRule="auto"/>
        <w:ind w:right="720"/>
        <w:rPr>
          <w:b/>
        </w:rPr>
      </w:pPr>
      <w:r w:rsidRPr="00121F02">
        <w:rPr>
          <w:b/>
        </w:rPr>
        <w:t>Persistence of resistance-associated substitutions</w:t>
      </w:r>
    </w:p>
    <w:p w:rsidR="00E37810" w:rsidRPr="00CD56D7" w:rsidRDefault="00E37810" w:rsidP="00E61859">
      <w:pPr>
        <w:pStyle w:val="BMSBodyText"/>
        <w:spacing w:before="0" w:line="240" w:lineRule="auto"/>
      </w:pPr>
      <w:r w:rsidRPr="00CD56D7">
        <w:t xml:space="preserve">Persistence of emergent NS3 resistance-associated substitutions was monitored post-treatment in subjects who experienced treatment failure in phase 2/3 clinical trials of </w:t>
      </w:r>
      <w:r>
        <w:t>SUNVEPRA</w:t>
      </w:r>
      <w:r w:rsidRPr="00CD56D7">
        <w:t xml:space="preserve">-containing regimens. Among subjects treated with </w:t>
      </w:r>
      <w:r>
        <w:t>SUNVEPRA</w:t>
      </w:r>
      <w:r w:rsidRPr="00CD56D7">
        <w:t xml:space="preserve"> and </w:t>
      </w:r>
      <w:r>
        <w:lastRenderedPageBreak/>
        <w:t>DAKLINZA</w:t>
      </w:r>
      <w:r w:rsidRPr="00CD56D7">
        <w:t xml:space="preserve">, emergent HCV genotype 1b NS3 resistance-associated substitutions remained at detectable levels </w:t>
      </w:r>
      <w:r>
        <w:t xml:space="preserve">in </w:t>
      </w:r>
      <w:r w:rsidRPr="0093440F">
        <w:t>19 of 32</w:t>
      </w:r>
      <w:r>
        <w:t xml:space="preserve"> </w:t>
      </w:r>
      <w:r w:rsidRPr="00CD56D7">
        <w:t xml:space="preserve">subjects </w:t>
      </w:r>
      <w:r>
        <w:t xml:space="preserve">only </w:t>
      </w:r>
      <w:r w:rsidRPr="00CD56D7">
        <w:t xml:space="preserve">monitored at 24 weeks post-treatment </w:t>
      </w:r>
      <w:r>
        <w:t xml:space="preserve">and </w:t>
      </w:r>
      <w:r w:rsidRPr="00CD56D7">
        <w:t>in 1</w:t>
      </w:r>
      <w:r>
        <w:t xml:space="preserve"> </w:t>
      </w:r>
      <w:r w:rsidRPr="00CD56D7">
        <w:t>of</w:t>
      </w:r>
      <w:r w:rsidR="00E44954">
        <w:t xml:space="preserve"> </w:t>
      </w:r>
      <w:r w:rsidRPr="00CD56D7">
        <w:t xml:space="preserve"> </w:t>
      </w:r>
      <w:r>
        <w:t xml:space="preserve">9 </w:t>
      </w:r>
      <w:r w:rsidRPr="00CD56D7">
        <w:t xml:space="preserve">subjects monitored for 36 weeks or more post-treatment. </w:t>
      </w:r>
    </w:p>
    <w:p w:rsidR="00E37810" w:rsidRPr="00E61859" w:rsidRDefault="00E37810" w:rsidP="00E61859">
      <w:pPr>
        <w:spacing w:after="120" w:line="240" w:lineRule="auto"/>
        <w:jc w:val="both"/>
        <w:rPr>
          <w:rFonts w:ascii="Times New Roman" w:hAnsi="Times New Roman"/>
        </w:rPr>
      </w:pPr>
      <w:r w:rsidRPr="008B6725">
        <w:rPr>
          <w:rFonts w:ascii="Times New Roman" w:hAnsi="Times New Roman"/>
        </w:rPr>
        <w:t>The lack of detection of resistance-associated substitution does not necessarily indicate that drug-resistant virus is no longer present. The long-term clinical impact of virus containing emergent asunaprevir-resistant substitutions is unknown.</w:t>
      </w:r>
    </w:p>
    <w:p w:rsidR="00E37810" w:rsidRPr="00FF700A" w:rsidRDefault="00E37810" w:rsidP="00E61859">
      <w:pPr>
        <w:keepNext/>
        <w:keepLines/>
        <w:spacing w:after="120" w:line="240" w:lineRule="auto"/>
        <w:outlineLvl w:val="2"/>
        <w:rPr>
          <w:rFonts w:ascii="Times New Roman" w:hAnsi="Times New Roman"/>
          <w:b/>
          <w:color w:val="000000"/>
          <w:lang w:val="en-US"/>
        </w:rPr>
      </w:pPr>
      <w:r w:rsidRPr="00121F02">
        <w:rPr>
          <w:rFonts w:ascii="Times New Roman" w:hAnsi="Times New Roman"/>
          <w:b/>
          <w:color w:val="000000"/>
          <w:lang w:val="en-US"/>
        </w:rPr>
        <w:t>Cross-resistance</w:t>
      </w:r>
    </w:p>
    <w:p w:rsidR="00E37810" w:rsidRPr="00F9148D" w:rsidRDefault="00BE24AB" w:rsidP="00E61859">
      <w:pPr>
        <w:spacing w:after="120" w:line="240" w:lineRule="auto"/>
        <w:jc w:val="both"/>
        <w:rPr>
          <w:rFonts w:ascii="Times New Roman" w:hAnsi="Times New Roman"/>
        </w:rPr>
      </w:pPr>
      <w:r w:rsidRPr="00F9148D">
        <w:rPr>
          <w:rFonts w:ascii="Times New Roman" w:hAnsi="Times New Roman"/>
        </w:rPr>
        <w:t xml:space="preserve">Cross-resistance between asunaprevir and other NS3/4A protease inhibitors is expected. In clinical trials, asunaprevir resistance-associated substitutions were most commonly observed at NS3 positions R155 and D168. HCV replicons expressing asunaprevir resistance-associated substitutions remained fully sensitive to interferon alfa and ribavirin, as well as other direct-acting antivirals with different mechanisms of action, </w:t>
      </w:r>
      <w:r w:rsidR="00E44954">
        <w:rPr>
          <w:rFonts w:ascii="Times New Roman" w:hAnsi="Times New Roman"/>
        </w:rPr>
        <w:t xml:space="preserve"> </w:t>
      </w:r>
      <w:r w:rsidRPr="00F9148D">
        <w:rPr>
          <w:rFonts w:ascii="Times New Roman" w:hAnsi="Times New Roman"/>
        </w:rPr>
        <w:t>such as HCV NS5B polymerase inhibitors.</w:t>
      </w:r>
    </w:p>
    <w:p w:rsidR="00954716" w:rsidRPr="008D28D2" w:rsidRDefault="00954716" w:rsidP="00E61859">
      <w:pPr>
        <w:pStyle w:val="A-Heading3"/>
        <w:spacing w:line="240" w:lineRule="auto"/>
        <w:jc w:val="both"/>
        <w:rPr>
          <w:rFonts w:ascii="Times New Roman" w:hAnsi="Times New Roman"/>
        </w:rPr>
      </w:pPr>
      <w:r w:rsidRPr="008D28D2">
        <w:rPr>
          <w:rFonts w:ascii="Times New Roman" w:hAnsi="Times New Roman"/>
        </w:rPr>
        <w:t>Pharmacokinetics</w:t>
      </w:r>
    </w:p>
    <w:p w:rsidR="003F1796" w:rsidRPr="000C6A11" w:rsidRDefault="00A60581" w:rsidP="00E61859">
      <w:pPr>
        <w:pStyle w:val="BMSBodyText"/>
        <w:spacing w:before="0" w:line="240" w:lineRule="auto"/>
        <w:rPr>
          <w:color w:val="auto"/>
          <w:lang w:eastAsia="en-US"/>
        </w:rPr>
      </w:pPr>
      <w:r w:rsidRPr="000C6A11">
        <w:rPr>
          <w:color w:val="auto"/>
          <w:lang w:eastAsia="en-US"/>
        </w:rPr>
        <w:t xml:space="preserve">The pharmacokinetic properties of asunaprevir were evaluated in healthy adult subjects and in subjects with chronic HCV. Following multiple doses of asunaprevir </w:t>
      </w:r>
      <w:r w:rsidR="00863602">
        <w:rPr>
          <w:color w:val="auto"/>
          <w:lang w:eastAsia="en-US"/>
        </w:rPr>
        <w:t>1</w:t>
      </w:r>
      <w:r w:rsidR="00863602" w:rsidRPr="000C6A11">
        <w:rPr>
          <w:color w:val="auto"/>
          <w:lang w:eastAsia="en-US"/>
        </w:rPr>
        <w:t xml:space="preserve">00 </w:t>
      </w:r>
      <w:r w:rsidRPr="000C6A11">
        <w:rPr>
          <w:color w:val="auto"/>
          <w:lang w:eastAsia="en-US"/>
        </w:rPr>
        <w:t xml:space="preserve">mg twice daily  in combination with </w:t>
      </w:r>
      <w:r w:rsidR="00AC373E">
        <w:rPr>
          <w:color w:val="auto"/>
          <w:lang w:eastAsia="en-US"/>
        </w:rPr>
        <w:t xml:space="preserve">daclatasvir </w:t>
      </w:r>
      <w:r w:rsidRPr="000C6A11">
        <w:rPr>
          <w:color w:val="auto"/>
          <w:lang w:eastAsia="en-US"/>
        </w:rPr>
        <w:t>in HCV-infected</w:t>
      </w:r>
      <w:r w:rsidRPr="001644AF">
        <w:rPr>
          <w:color w:val="auto"/>
          <w:lang w:eastAsia="en-US"/>
        </w:rPr>
        <w:t xml:space="preserve"> </w:t>
      </w:r>
      <w:r w:rsidRPr="000C6A11">
        <w:rPr>
          <w:color w:val="auto"/>
          <w:lang w:eastAsia="en-US"/>
        </w:rPr>
        <w:t>subjects, the steady-state geometric mean (CV%) asunaprevir C</w:t>
      </w:r>
      <w:r w:rsidRPr="00863602">
        <w:rPr>
          <w:color w:val="auto"/>
          <w:vertAlign w:val="subscript"/>
          <w:lang w:eastAsia="en-US"/>
        </w:rPr>
        <w:t>max</w:t>
      </w:r>
      <w:r w:rsidRPr="000C6A11">
        <w:rPr>
          <w:color w:val="auto"/>
          <w:lang w:eastAsia="en-US"/>
        </w:rPr>
        <w:t xml:space="preserve"> was </w:t>
      </w:r>
      <w:r w:rsidR="00FD0651">
        <w:rPr>
          <w:color w:val="auto"/>
          <w:lang w:eastAsia="en-US"/>
        </w:rPr>
        <w:t>572</w:t>
      </w:r>
      <w:r w:rsidRPr="000C6A11">
        <w:rPr>
          <w:color w:val="auto"/>
          <w:lang w:eastAsia="en-US"/>
        </w:rPr>
        <w:t xml:space="preserve"> (</w:t>
      </w:r>
      <w:r w:rsidR="00FD0651">
        <w:rPr>
          <w:color w:val="auto"/>
          <w:lang w:eastAsia="en-US"/>
        </w:rPr>
        <w:t>75</w:t>
      </w:r>
      <w:r w:rsidRPr="000C6A11">
        <w:rPr>
          <w:color w:val="auto"/>
          <w:lang w:eastAsia="en-US"/>
        </w:rPr>
        <w:t>) ng/mL, AUC</w:t>
      </w:r>
      <w:r w:rsidRPr="00FD0651">
        <w:rPr>
          <w:color w:val="auto"/>
          <w:vertAlign w:val="subscript"/>
          <w:lang w:eastAsia="en-US"/>
        </w:rPr>
        <w:t xml:space="preserve">0-12h </w:t>
      </w:r>
      <w:r w:rsidRPr="000C6A11">
        <w:rPr>
          <w:color w:val="auto"/>
          <w:lang w:eastAsia="en-US"/>
        </w:rPr>
        <w:t xml:space="preserve">was </w:t>
      </w:r>
      <w:r w:rsidR="00FD0651">
        <w:rPr>
          <w:color w:val="auto"/>
          <w:lang w:eastAsia="en-US"/>
        </w:rPr>
        <w:t>1887</w:t>
      </w:r>
      <w:r w:rsidRPr="000C6A11">
        <w:rPr>
          <w:color w:val="auto"/>
          <w:lang w:eastAsia="en-US"/>
        </w:rPr>
        <w:t xml:space="preserve"> (77) ng</w:t>
      </w:r>
      <w:r w:rsidRPr="000C6A11">
        <w:rPr>
          <w:color w:val="auto"/>
          <w:lang w:eastAsia="en-US"/>
        </w:rPr>
        <w:sym w:font="Symbol" w:char="F0B7"/>
      </w:r>
      <w:r w:rsidRPr="000C6A11">
        <w:rPr>
          <w:color w:val="auto"/>
          <w:lang w:eastAsia="en-US"/>
        </w:rPr>
        <w:t>h/mL, and C</w:t>
      </w:r>
      <w:r w:rsidRPr="00FD0651">
        <w:rPr>
          <w:color w:val="auto"/>
          <w:vertAlign w:val="subscript"/>
          <w:lang w:eastAsia="en-US"/>
        </w:rPr>
        <w:t>min</w:t>
      </w:r>
      <w:r w:rsidRPr="000C6A11">
        <w:rPr>
          <w:color w:val="auto"/>
          <w:lang w:eastAsia="en-US"/>
        </w:rPr>
        <w:t xml:space="preserve"> was</w:t>
      </w:r>
      <w:r w:rsidR="000C5F3D">
        <w:rPr>
          <w:color w:val="auto"/>
          <w:lang w:eastAsia="en-US"/>
        </w:rPr>
        <w:t xml:space="preserve"> </w:t>
      </w:r>
      <w:r w:rsidR="00FD0651">
        <w:rPr>
          <w:color w:val="auto"/>
          <w:lang w:eastAsia="en-US"/>
        </w:rPr>
        <w:t>47.6</w:t>
      </w:r>
      <w:r w:rsidRPr="000C6A11">
        <w:rPr>
          <w:color w:val="auto"/>
          <w:lang w:eastAsia="en-US"/>
        </w:rPr>
        <w:t> (</w:t>
      </w:r>
      <w:r w:rsidR="00FD0651">
        <w:rPr>
          <w:color w:val="auto"/>
          <w:lang w:eastAsia="en-US"/>
        </w:rPr>
        <w:t>105</w:t>
      </w:r>
      <w:r w:rsidRPr="000C6A11">
        <w:rPr>
          <w:color w:val="auto"/>
          <w:lang w:eastAsia="en-US"/>
        </w:rPr>
        <w:t>) ng/mL.</w:t>
      </w:r>
    </w:p>
    <w:p w:rsidR="00954716" w:rsidRPr="008D28D2" w:rsidRDefault="00954716" w:rsidP="00E61859">
      <w:pPr>
        <w:pStyle w:val="A-Heading3"/>
        <w:spacing w:line="240" w:lineRule="auto"/>
        <w:jc w:val="both"/>
        <w:rPr>
          <w:rFonts w:ascii="Times New Roman" w:hAnsi="Times New Roman"/>
        </w:rPr>
      </w:pPr>
      <w:r w:rsidRPr="008D28D2">
        <w:rPr>
          <w:rFonts w:ascii="Times New Roman" w:hAnsi="Times New Roman"/>
        </w:rPr>
        <w:t>Absorption</w:t>
      </w:r>
    </w:p>
    <w:p w:rsidR="00E44954" w:rsidRDefault="000C6A11" w:rsidP="00E61859">
      <w:pPr>
        <w:autoSpaceDE w:val="0"/>
        <w:autoSpaceDN w:val="0"/>
        <w:adjustRightInd w:val="0"/>
        <w:spacing w:after="120" w:line="240" w:lineRule="auto"/>
        <w:jc w:val="both"/>
        <w:rPr>
          <w:rFonts w:ascii="Times New Roman" w:hAnsi="Times New Roman"/>
        </w:rPr>
      </w:pPr>
      <w:r w:rsidRPr="000C6A11">
        <w:rPr>
          <w:rFonts w:ascii="Times New Roman" w:hAnsi="Times New Roman"/>
        </w:rPr>
        <w:t xml:space="preserve">In HCV-infected subjects, asunaprevir peak plasma concentrations occurred between 1 and 4 hours. </w:t>
      </w:r>
      <w:r w:rsidRPr="000C6A11">
        <w:rPr>
          <w:rFonts w:ascii="Times New Roman" w:hAnsi="Times New Roman"/>
          <w:iCs/>
        </w:rPr>
        <w:t>Asunaprevir</w:t>
      </w:r>
      <w:r w:rsidRPr="000C6A11">
        <w:rPr>
          <w:rFonts w:ascii="Times New Roman" w:hAnsi="Times New Roman"/>
        </w:rPr>
        <w:t xml:space="preserve"> C</w:t>
      </w:r>
      <w:r w:rsidRPr="000C6A11">
        <w:rPr>
          <w:rFonts w:ascii="Times New Roman" w:hAnsi="Times New Roman"/>
          <w:vertAlign w:val="subscript"/>
        </w:rPr>
        <w:t>max</w:t>
      </w:r>
      <w:r w:rsidRPr="000C6A11">
        <w:rPr>
          <w:rFonts w:ascii="Times New Roman" w:hAnsi="Times New Roman"/>
        </w:rPr>
        <w:t>, AUC and C</w:t>
      </w:r>
      <w:r w:rsidRPr="000C6A11">
        <w:rPr>
          <w:rFonts w:ascii="Times New Roman" w:hAnsi="Times New Roman"/>
          <w:vertAlign w:val="subscript"/>
        </w:rPr>
        <w:t>min</w:t>
      </w:r>
      <w:r w:rsidRPr="000C6A11">
        <w:rPr>
          <w:rFonts w:ascii="Times New Roman" w:hAnsi="Times New Roman"/>
        </w:rPr>
        <w:t xml:space="preserve"> increased in an approximately dose proportional manner.</w:t>
      </w:r>
      <w:r w:rsidRPr="000C6A11">
        <w:rPr>
          <w:rFonts w:ascii="Times New Roman" w:hAnsi="Times New Roman"/>
          <w:b/>
          <w:bCs/>
          <w:vertAlign w:val="superscript"/>
        </w:rPr>
        <w:t xml:space="preserve"> </w:t>
      </w:r>
      <w:r w:rsidRPr="000C6A11">
        <w:rPr>
          <w:rFonts w:ascii="Times New Roman" w:hAnsi="Times New Roman"/>
        </w:rPr>
        <w:t xml:space="preserve"> Steady state was achieved after 7 days of twice-daily administration in healthy subjects.</w:t>
      </w:r>
      <w:r w:rsidR="00216636">
        <w:rPr>
          <w:rFonts w:ascii="Times New Roman" w:hAnsi="Times New Roman"/>
        </w:rPr>
        <w:t xml:space="preserve"> </w:t>
      </w:r>
      <w:r w:rsidRPr="000C6A11">
        <w:rPr>
          <w:rFonts w:ascii="Times New Roman" w:hAnsi="Times New Roman"/>
        </w:rPr>
        <w:t xml:space="preserve"> </w:t>
      </w:r>
    </w:p>
    <w:p w:rsidR="000C6A11" w:rsidRPr="000C6A11" w:rsidRDefault="000C6A11" w:rsidP="00E61859">
      <w:pPr>
        <w:autoSpaceDE w:val="0"/>
        <w:autoSpaceDN w:val="0"/>
        <w:adjustRightInd w:val="0"/>
        <w:spacing w:after="120" w:line="240" w:lineRule="auto"/>
        <w:jc w:val="both"/>
        <w:rPr>
          <w:rFonts w:ascii="Times New Roman" w:hAnsi="Times New Roman"/>
        </w:rPr>
      </w:pPr>
      <w:r w:rsidRPr="000C6A11">
        <w:rPr>
          <w:rFonts w:ascii="Times New Roman" w:hAnsi="Times New Roman"/>
          <w:i/>
        </w:rPr>
        <w:t>In vitro</w:t>
      </w:r>
      <w:r w:rsidRPr="000C6A11">
        <w:rPr>
          <w:rFonts w:ascii="Times New Roman" w:hAnsi="Times New Roman"/>
        </w:rPr>
        <w:t xml:space="preserve"> studies performed with human Caco-2 cells indicated that asunaprevir is a substrate of P</w:t>
      </w:r>
      <w:r w:rsidR="00FD0651">
        <w:rPr>
          <w:rFonts w:ascii="Times New Roman" w:hAnsi="Times New Roman"/>
        </w:rPr>
        <w:t>-</w:t>
      </w:r>
      <w:r w:rsidRPr="000C6A11">
        <w:rPr>
          <w:rFonts w:ascii="Times New Roman" w:hAnsi="Times New Roman"/>
        </w:rPr>
        <w:t>gp. The absolute oral bioavailability of asunaprevir soft capsule is 9.3%.</w:t>
      </w:r>
    </w:p>
    <w:p w:rsidR="00B8283A" w:rsidRPr="00BF0067" w:rsidRDefault="000C6A11" w:rsidP="00BF0067">
      <w:pPr>
        <w:pStyle w:val="A-Heading3"/>
        <w:spacing w:line="240" w:lineRule="auto"/>
        <w:jc w:val="both"/>
        <w:rPr>
          <w:rFonts w:ascii="Times New Roman" w:hAnsi="Times New Roman"/>
          <w:b w:val="0"/>
          <w:i w:val="0"/>
        </w:rPr>
      </w:pPr>
      <w:r w:rsidRPr="000C6A11">
        <w:rPr>
          <w:rFonts w:ascii="Times New Roman" w:hAnsi="Times New Roman"/>
          <w:b w:val="0"/>
          <w:i w:val="0"/>
        </w:rPr>
        <w:t xml:space="preserve">In healthy subjects, administration of 100 mg asunaprevir soft capsule with a high-fat meal (approximately 1000 kcal,  approximately 50% from fat) increased the rate of absorption relative to fasting conditions, but did not have a clinically meaningful effect on the overall bioavailability of </w:t>
      </w:r>
      <w:r w:rsidRPr="000C6A11">
        <w:rPr>
          <w:rFonts w:ascii="Times New Roman" w:hAnsi="Times New Roman"/>
          <w:b w:val="0"/>
          <w:i w:val="0"/>
          <w:iCs/>
        </w:rPr>
        <w:t>asunaprevir,</w:t>
      </w:r>
      <w:r w:rsidRPr="000C6A11">
        <w:rPr>
          <w:rFonts w:ascii="Times New Roman" w:hAnsi="Times New Roman"/>
          <w:b w:val="0"/>
          <w:i w:val="0"/>
        </w:rPr>
        <w:t xml:space="preserve"> with an increase in C</w:t>
      </w:r>
      <w:r w:rsidRPr="000C6A11">
        <w:rPr>
          <w:rFonts w:ascii="Times New Roman" w:hAnsi="Times New Roman"/>
          <w:b w:val="0"/>
          <w:i w:val="0"/>
          <w:vertAlign w:val="subscript"/>
        </w:rPr>
        <w:t>max</w:t>
      </w:r>
      <w:r w:rsidRPr="000C6A11">
        <w:rPr>
          <w:rFonts w:ascii="Times New Roman" w:hAnsi="Times New Roman"/>
          <w:b w:val="0"/>
          <w:i w:val="0"/>
        </w:rPr>
        <w:t xml:space="preserve"> and AUC of 34% and 20%, respectively. T</w:t>
      </w:r>
      <w:r w:rsidRPr="000C6A11">
        <w:rPr>
          <w:rFonts w:ascii="Times New Roman" w:hAnsi="Times New Roman"/>
          <w:b w:val="0"/>
          <w:i w:val="0"/>
          <w:vertAlign w:val="subscript"/>
        </w:rPr>
        <w:t>max</w:t>
      </w:r>
      <w:r w:rsidRPr="000C6A11">
        <w:rPr>
          <w:rFonts w:ascii="Times New Roman" w:hAnsi="Times New Roman"/>
          <w:b w:val="0"/>
          <w:i w:val="0"/>
        </w:rPr>
        <w:t xml:space="preserve"> of </w:t>
      </w:r>
      <w:r w:rsidRPr="000C6A11">
        <w:rPr>
          <w:rFonts w:ascii="Times New Roman" w:hAnsi="Times New Roman"/>
          <w:b w:val="0"/>
          <w:i w:val="0"/>
          <w:iCs/>
        </w:rPr>
        <w:t>asunaprevir</w:t>
      </w:r>
      <w:r w:rsidRPr="000C6A11">
        <w:rPr>
          <w:rFonts w:ascii="Times New Roman" w:hAnsi="Times New Roman"/>
          <w:b w:val="0"/>
          <w:i w:val="0"/>
        </w:rPr>
        <w:t xml:space="preserve"> when administered with food occurred about 1.5 hours postdose relative to about 2.5 hours postdose when administered under fasting conditions. </w:t>
      </w:r>
    </w:p>
    <w:p w:rsidR="00954716" w:rsidRPr="008D28D2" w:rsidRDefault="00954716" w:rsidP="00E61859">
      <w:pPr>
        <w:pStyle w:val="A-Heading3"/>
        <w:spacing w:line="240" w:lineRule="auto"/>
        <w:rPr>
          <w:rFonts w:ascii="Times New Roman" w:hAnsi="Times New Roman"/>
        </w:rPr>
      </w:pPr>
      <w:r w:rsidRPr="008D28D2">
        <w:rPr>
          <w:rFonts w:ascii="Times New Roman" w:hAnsi="Times New Roman"/>
        </w:rPr>
        <w:t>Distribution</w:t>
      </w:r>
    </w:p>
    <w:p w:rsidR="000C6A11" w:rsidRPr="000C6A11" w:rsidRDefault="000C6A11" w:rsidP="00E61859">
      <w:pPr>
        <w:pStyle w:val="A-Heading3"/>
        <w:spacing w:line="240" w:lineRule="auto"/>
        <w:jc w:val="both"/>
        <w:rPr>
          <w:rFonts w:ascii="Times New Roman" w:hAnsi="Times New Roman"/>
          <w:b w:val="0"/>
          <w:i w:val="0"/>
        </w:rPr>
      </w:pPr>
      <w:r w:rsidRPr="000C6A11">
        <w:rPr>
          <w:rFonts w:ascii="Times New Roman" w:hAnsi="Times New Roman"/>
          <w:b w:val="0"/>
          <w:i w:val="0"/>
        </w:rPr>
        <w:t>Protein binding of asunaprevir in HCV-infected subjects was greater than 99% and was independent of dose at the dose range studied (200 to 600 mg twice daily).</w:t>
      </w:r>
    </w:p>
    <w:p w:rsidR="00D83799" w:rsidRDefault="000C6A11" w:rsidP="00E61859">
      <w:pPr>
        <w:pStyle w:val="A-Heading3"/>
        <w:spacing w:line="240" w:lineRule="auto"/>
        <w:jc w:val="both"/>
        <w:rPr>
          <w:rFonts w:ascii="Times New Roman" w:hAnsi="Times New Roman"/>
          <w:b w:val="0"/>
          <w:i w:val="0"/>
        </w:rPr>
      </w:pPr>
      <w:r w:rsidRPr="00FD0651">
        <w:rPr>
          <w:rFonts w:ascii="Times New Roman" w:hAnsi="Times New Roman"/>
          <w:b w:val="0"/>
        </w:rPr>
        <w:t>In vitro</w:t>
      </w:r>
      <w:r w:rsidRPr="000C6A11">
        <w:rPr>
          <w:rFonts w:ascii="Times New Roman" w:hAnsi="Times New Roman"/>
          <w:b w:val="0"/>
          <w:i w:val="0"/>
        </w:rPr>
        <w:t xml:space="preserve"> studies performed with HEK-293 cells indicated that asunaprevir is a substrate of the liver uptake transporters OATP 1B1 and 2B1. In subjects who received asunaprevir 100 mg soft capsule orally followed by a 100 μg </w:t>
      </w:r>
      <w:r w:rsidRPr="000C6A11">
        <w:rPr>
          <w:rFonts w:ascii="Times New Roman" w:hAnsi="Times New Roman"/>
          <w:b w:val="0"/>
          <w:i w:val="0"/>
          <w:vertAlign w:val="superscript"/>
        </w:rPr>
        <w:t>14</w:t>
      </w:r>
      <w:r w:rsidRPr="000C6A11">
        <w:rPr>
          <w:rFonts w:ascii="Times New Roman" w:hAnsi="Times New Roman"/>
          <w:b w:val="0"/>
          <w:i w:val="0"/>
        </w:rPr>
        <w:t>C-asunaprevir intravenous dose, estimated volume of distribution at steady state was 194 L.</w:t>
      </w:r>
    </w:p>
    <w:p w:rsidR="00954716" w:rsidRPr="008D28D2" w:rsidRDefault="00954716" w:rsidP="00E61859">
      <w:pPr>
        <w:pStyle w:val="A-Heading3"/>
        <w:spacing w:line="240" w:lineRule="auto"/>
        <w:rPr>
          <w:rFonts w:ascii="Times New Roman" w:hAnsi="Times New Roman"/>
        </w:rPr>
      </w:pPr>
      <w:r w:rsidRPr="008D28D2">
        <w:rPr>
          <w:rFonts w:ascii="Times New Roman" w:hAnsi="Times New Roman"/>
        </w:rPr>
        <w:t>Metabolism</w:t>
      </w:r>
    </w:p>
    <w:p w:rsidR="00E76EA4" w:rsidRPr="00E61859" w:rsidRDefault="000C6A11" w:rsidP="00E61859">
      <w:pPr>
        <w:autoSpaceDE w:val="0"/>
        <w:autoSpaceDN w:val="0"/>
        <w:adjustRightInd w:val="0"/>
        <w:spacing w:after="120" w:line="240" w:lineRule="auto"/>
        <w:jc w:val="both"/>
        <w:rPr>
          <w:rFonts w:ascii="Times New Roman" w:hAnsi="Times New Roman"/>
        </w:rPr>
      </w:pPr>
      <w:r w:rsidRPr="000C6A11">
        <w:rPr>
          <w:rFonts w:ascii="Times New Roman" w:hAnsi="Times New Roman"/>
          <w:i/>
        </w:rPr>
        <w:t>In vitro</w:t>
      </w:r>
      <w:r w:rsidRPr="000C6A11">
        <w:rPr>
          <w:rFonts w:ascii="Times New Roman" w:hAnsi="Times New Roman"/>
        </w:rPr>
        <w:t xml:space="preserve"> studies demonstrate that </w:t>
      </w:r>
      <w:r w:rsidRPr="000C6A11">
        <w:rPr>
          <w:rFonts w:ascii="Times New Roman" w:hAnsi="Times New Roman"/>
          <w:iCs/>
        </w:rPr>
        <w:t>asunaprevir</w:t>
      </w:r>
      <w:r w:rsidRPr="000C6A11">
        <w:rPr>
          <w:rFonts w:ascii="Times New Roman" w:hAnsi="Times New Roman"/>
        </w:rPr>
        <w:t xml:space="preserve"> undergoes oxidative metabolism primarily mediated by CYP3A.</w:t>
      </w:r>
    </w:p>
    <w:p w:rsidR="00954716" w:rsidRPr="008D28D2" w:rsidRDefault="00954716" w:rsidP="00E61859">
      <w:pPr>
        <w:pStyle w:val="A-Heading3"/>
        <w:spacing w:line="240" w:lineRule="auto"/>
        <w:rPr>
          <w:rFonts w:ascii="Times New Roman" w:hAnsi="Times New Roman"/>
        </w:rPr>
      </w:pPr>
      <w:r w:rsidRPr="008D28D2">
        <w:rPr>
          <w:rFonts w:ascii="Times New Roman" w:hAnsi="Times New Roman"/>
        </w:rPr>
        <w:lastRenderedPageBreak/>
        <w:t>Excretion</w:t>
      </w:r>
    </w:p>
    <w:p w:rsidR="00E76EA4" w:rsidRPr="000029B3" w:rsidRDefault="000C6A11" w:rsidP="00E61859">
      <w:pPr>
        <w:autoSpaceDE w:val="0"/>
        <w:autoSpaceDN w:val="0"/>
        <w:adjustRightInd w:val="0"/>
        <w:spacing w:after="120" w:line="240" w:lineRule="auto"/>
        <w:jc w:val="both"/>
        <w:rPr>
          <w:rFonts w:ascii="Times New Roman" w:hAnsi="Times New Roman"/>
        </w:rPr>
      </w:pPr>
      <w:r w:rsidRPr="000C6A11">
        <w:rPr>
          <w:rFonts w:ascii="Times New Roman" w:hAnsi="Times New Roman"/>
        </w:rPr>
        <w:t xml:space="preserve">Following single-dose oral administration of </w:t>
      </w:r>
      <w:r w:rsidRPr="000C6A11">
        <w:rPr>
          <w:rFonts w:ascii="Times New Roman" w:hAnsi="Times New Roman"/>
          <w:vertAlign w:val="superscript"/>
        </w:rPr>
        <w:t>14</w:t>
      </w:r>
      <w:r w:rsidRPr="000C6A11">
        <w:rPr>
          <w:rFonts w:ascii="Times New Roman" w:hAnsi="Times New Roman"/>
        </w:rPr>
        <w:t>C-</w:t>
      </w:r>
      <w:r w:rsidRPr="000C6A11">
        <w:rPr>
          <w:rFonts w:ascii="Times New Roman" w:hAnsi="Times New Roman"/>
          <w:iCs/>
        </w:rPr>
        <w:t>asunaprevir</w:t>
      </w:r>
      <w:r w:rsidRPr="000C6A11">
        <w:rPr>
          <w:rFonts w:ascii="Times New Roman" w:hAnsi="Times New Roman"/>
        </w:rPr>
        <w:t xml:space="preserve"> in healthy subjects, 84% of total radioactivity was recovered in f</w:t>
      </w:r>
      <w:r w:rsidR="00FD0651">
        <w:rPr>
          <w:rFonts w:ascii="Times New Roman" w:hAnsi="Times New Roman"/>
        </w:rPr>
        <w:t>a</w:t>
      </w:r>
      <w:r w:rsidRPr="000C6A11">
        <w:rPr>
          <w:rFonts w:ascii="Times New Roman" w:hAnsi="Times New Roman"/>
        </w:rPr>
        <w:t>eces (primarily as metabolites) and less than 1% was recovered in the urine (primarily as metabolites). Metabolism was the major route of asunaprevir elimination. Of dose recovered in f</w:t>
      </w:r>
      <w:r w:rsidR="00FD0651">
        <w:rPr>
          <w:rFonts w:ascii="Times New Roman" w:hAnsi="Times New Roman"/>
        </w:rPr>
        <w:t>a</w:t>
      </w:r>
      <w:r w:rsidRPr="000C6A11">
        <w:rPr>
          <w:rFonts w:ascii="Times New Roman" w:hAnsi="Times New Roman"/>
        </w:rPr>
        <w:t xml:space="preserve">eces, unchanged asunaprevir accounted for 7.5% of the dose. </w:t>
      </w:r>
      <w:r w:rsidRPr="00121F02">
        <w:rPr>
          <w:rFonts w:ascii="Times New Roman" w:hAnsi="Times New Roman"/>
        </w:rPr>
        <w:t xml:space="preserve">Unchanged asunaprevir comprised the majority of the circulating radioactivity in </w:t>
      </w:r>
      <w:r w:rsidR="00077385" w:rsidRPr="00121F02">
        <w:rPr>
          <w:rFonts w:ascii="Times New Roman" w:hAnsi="Times New Roman"/>
        </w:rPr>
        <w:t>the early post-dose period</w:t>
      </w:r>
      <w:r w:rsidRPr="00121F02">
        <w:rPr>
          <w:rFonts w:ascii="Times New Roman" w:hAnsi="Times New Roman"/>
        </w:rPr>
        <w:t xml:space="preserve">, and </w:t>
      </w:r>
      <w:r w:rsidR="00077385" w:rsidRPr="00121F02">
        <w:rPr>
          <w:rFonts w:ascii="Times New Roman" w:hAnsi="Times New Roman"/>
        </w:rPr>
        <w:t>nine</w:t>
      </w:r>
      <w:r w:rsidRPr="00121F02">
        <w:rPr>
          <w:rFonts w:ascii="Times New Roman" w:hAnsi="Times New Roman"/>
        </w:rPr>
        <w:t xml:space="preserve"> minor metabolites were detected in human plasma (</w:t>
      </w:r>
      <w:r w:rsidR="00CD2000" w:rsidRPr="00121F02">
        <w:rPr>
          <w:rFonts w:ascii="Times New Roman" w:hAnsi="Times New Roman"/>
        </w:rPr>
        <w:t>no single metabolite reached 20% of the exposure to unchanged asunaprevir or</w:t>
      </w:r>
      <w:r w:rsidRPr="00121F02">
        <w:rPr>
          <w:rFonts w:ascii="Times New Roman" w:hAnsi="Times New Roman"/>
        </w:rPr>
        <w:t xml:space="preserve"> 10% of total exposure to asunaprevir and its metabolites after repeat dosing).</w:t>
      </w:r>
      <w:r w:rsidRPr="000C6A11">
        <w:rPr>
          <w:rFonts w:ascii="Times New Roman" w:hAnsi="Times New Roman"/>
        </w:rPr>
        <w:t xml:space="preserve"> Both asunaprevir and its metabolites were detected in human bile. Following multiple-dose administration of asunaprevir in healthy subjects, the terminal elimination half-life ranged from 17 to 23 hours. In subjects who received asunaprevir 100 mg soft capsule orally followed by a 100 µg </w:t>
      </w:r>
      <w:r w:rsidRPr="000C6A11">
        <w:rPr>
          <w:rFonts w:ascii="Times New Roman" w:hAnsi="Times New Roman"/>
          <w:vertAlign w:val="superscript"/>
        </w:rPr>
        <w:t>14</w:t>
      </w:r>
      <w:r w:rsidRPr="000C6A11">
        <w:rPr>
          <w:rFonts w:ascii="Times New Roman" w:hAnsi="Times New Roman"/>
        </w:rPr>
        <w:t>C-asunaprevir intravenous dose, estimated total body clearance of asunaprevir was 49.5 L/h.</w:t>
      </w:r>
    </w:p>
    <w:p w:rsidR="00954716" w:rsidRPr="008D28D2" w:rsidRDefault="00954716" w:rsidP="00E61859">
      <w:pPr>
        <w:pStyle w:val="A-Heading3"/>
        <w:spacing w:line="240" w:lineRule="auto"/>
        <w:rPr>
          <w:rFonts w:ascii="Times New Roman" w:hAnsi="Times New Roman"/>
        </w:rPr>
      </w:pPr>
      <w:r w:rsidRPr="008D28D2">
        <w:rPr>
          <w:rFonts w:ascii="Times New Roman" w:hAnsi="Times New Roman"/>
        </w:rPr>
        <w:t>Special Populations</w:t>
      </w:r>
    </w:p>
    <w:p w:rsidR="00954716" w:rsidRPr="008D28D2" w:rsidRDefault="00AD01DB" w:rsidP="00E61859">
      <w:pPr>
        <w:pStyle w:val="A-Heading4"/>
        <w:spacing w:line="240" w:lineRule="auto"/>
        <w:rPr>
          <w:rFonts w:ascii="Times New Roman" w:hAnsi="Times New Roman"/>
        </w:rPr>
      </w:pPr>
      <w:r>
        <w:rPr>
          <w:rFonts w:ascii="Times New Roman" w:hAnsi="Times New Roman"/>
        </w:rPr>
        <w:t>Hepatic</w:t>
      </w:r>
      <w:r w:rsidR="00954716" w:rsidRPr="008D28D2">
        <w:rPr>
          <w:rFonts w:ascii="Times New Roman" w:hAnsi="Times New Roman"/>
        </w:rPr>
        <w:t xml:space="preserve"> Impairment</w:t>
      </w:r>
    </w:p>
    <w:p w:rsidR="00AD01DB" w:rsidRPr="00E61859" w:rsidRDefault="00272C6E" w:rsidP="00E61859">
      <w:pPr>
        <w:autoSpaceDE w:val="0"/>
        <w:autoSpaceDN w:val="0"/>
        <w:adjustRightInd w:val="0"/>
        <w:spacing w:after="120" w:line="240" w:lineRule="auto"/>
        <w:jc w:val="both"/>
        <w:rPr>
          <w:rFonts w:ascii="Times New Roman" w:hAnsi="Times New Roman"/>
        </w:rPr>
      </w:pPr>
      <w:r w:rsidRPr="00795D69">
        <w:rPr>
          <w:rFonts w:ascii="Times New Roman" w:hAnsi="Times New Roman"/>
        </w:rPr>
        <w:t xml:space="preserve">No dose adjustment of </w:t>
      </w:r>
      <w:r>
        <w:rPr>
          <w:rFonts w:ascii="Times New Roman" w:hAnsi="Times New Roman"/>
        </w:rPr>
        <w:t>SUNVEPRA</w:t>
      </w:r>
      <w:r w:rsidRPr="00795D69">
        <w:rPr>
          <w:rFonts w:ascii="Times New Roman" w:hAnsi="Times New Roman"/>
        </w:rPr>
        <w:t xml:space="preserve"> is required for patients with mild hepatic impairment</w:t>
      </w:r>
      <w:r>
        <w:rPr>
          <w:rFonts w:ascii="Times New Roman" w:hAnsi="Times New Roman"/>
        </w:rPr>
        <w:t>.</w:t>
      </w:r>
      <w:r w:rsidRPr="00795D69">
        <w:rPr>
          <w:rFonts w:ascii="Times New Roman" w:hAnsi="Times New Roman"/>
        </w:rPr>
        <w:t xml:space="preserve"> </w:t>
      </w:r>
      <w:r w:rsidR="006808F8" w:rsidRPr="006808F8">
        <w:rPr>
          <w:rFonts w:ascii="Times New Roman" w:hAnsi="Times New Roman"/>
        </w:rPr>
        <w:t>The pharmacokinetic properties of asunaprevir were studied in non-HCV infected subjects with mild (Child-Pugh A), moderate (Child-Pugh B), and severe (Child-Pugh C) hepatic impairment and compared with unimpaired subjects. Subjects received asunaprevir (nonmarketed hard capsule) 200 mg twice daily for 7 days. Mild hepatic impairment had minimal effect on asunaprevir pharmacokinetics. Asunaprevir steady state exposures (C</w:t>
      </w:r>
      <w:r w:rsidR="006808F8" w:rsidRPr="006808F8">
        <w:rPr>
          <w:rFonts w:ascii="Times New Roman" w:hAnsi="Times New Roman"/>
          <w:vertAlign w:val="subscript"/>
        </w:rPr>
        <w:t>max</w:t>
      </w:r>
      <w:r w:rsidR="006808F8" w:rsidRPr="006808F8">
        <w:rPr>
          <w:rFonts w:ascii="Times New Roman" w:hAnsi="Times New Roman"/>
        </w:rPr>
        <w:t>, AUC</w:t>
      </w:r>
      <w:r w:rsidR="006808F8" w:rsidRPr="006808F8">
        <w:rPr>
          <w:rFonts w:ascii="Times New Roman" w:hAnsi="Times New Roman"/>
          <w:vertAlign w:val="subscript"/>
        </w:rPr>
        <w:t>TAU</w:t>
      </w:r>
      <w:r w:rsidR="006808F8" w:rsidRPr="006808F8">
        <w:rPr>
          <w:rFonts w:ascii="Times New Roman" w:hAnsi="Times New Roman"/>
        </w:rPr>
        <w:t>, and C</w:t>
      </w:r>
      <w:r w:rsidR="006808F8" w:rsidRPr="006808F8">
        <w:rPr>
          <w:rFonts w:ascii="Times New Roman" w:hAnsi="Times New Roman"/>
          <w:vertAlign w:val="subscript"/>
        </w:rPr>
        <w:t>min</w:t>
      </w:r>
      <w:r w:rsidR="006808F8" w:rsidRPr="006808F8">
        <w:rPr>
          <w:rFonts w:ascii="Times New Roman" w:hAnsi="Times New Roman"/>
        </w:rPr>
        <w:t xml:space="preserve">) were markedly higher in subjects with moderate (5.0-, 9.8-, and 32.9-fold, respectively) or severe hepatic impairment (22.9-, 32.1-, and 76.5-fold, respectively) than in subjects without hepatic </w:t>
      </w:r>
      <w:r w:rsidR="006808F8" w:rsidRPr="00832CD0">
        <w:rPr>
          <w:rFonts w:ascii="Times New Roman" w:hAnsi="Times New Roman"/>
        </w:rPr>
        <w:t>impairment [see</w:t>
      </w:r>
      <w:r w:rsidR="006808F8" w:rsidRPr="00832CD0">
        <w:rPr>
          <w:rFonts w:ascii="Times New Roman" w:hAnsi="Times New Roman"/>
          <w:i/>
        </w:rPr>
        <w:t xml:space="preserve"> </w:t>
      </w:r>
      <w:r w:rsidR="00832CD0" w:rsidRPr="00832CD0">
        <w:rPr>
          <w:rFonts w:ascii="Times New Roman" w:hAnsi="Times New Roman"/>
        </w:rPr>
        <w:t>CONTRAINDICATIONS</w:t>
      </w:r>
      <w:r w:rsidR="00832CD0" w:rsidRPr="00832CD0">
        <w:rPr>
          <w:rFonts w:ascii="Times New Roman" w:hAnsi="Times New Roman"/>
          <w:i/>
        </w:rPr>
        <w:t xml:space="preserve"> </w:t>
      </w:r>
      <w:r w:rsidR="006808F8" w:rsidRPr="00832CD0">
        <w:rPr>
          <w:rFonts w:ascii="Times New Roman" w:hAnsi="Times New Roman"/>
        </w:rPr>
        <w:t xml:space="preserve">and </w:t>
      </w:r>
      <w:r w:rsidR="00832CD0" w:rsidRPr="00832CD0">
        <w:rPr>
          <w:rFonts w:ascii="Times New Roman" w:hAnsi="Times New Roman"/>
        </w:rPr>
        <w:t>PRECAUTIONS - Hepatic Impairment</w:t>
      </w:r>
      <w:r w:rsidR="00C50EAF">
        <w:rPr>
          <w:rFonts w:ascii="Times New Roman" w:hAnsi="Times New Roman"/>
        </w:rPr>
        <w:t xml:space="preserve"> and Cirrhosis</w:t>
      </w:r>
      <w:r w:rsidR="006808F8" w:rsidRPr="00832CD0">
        <w:rPr>
          <w:rFonts w:ascii="Times New Roman" w:hAnsi="Times New Roman"/>
        </w:rPr>
        <w:t>].</w:t>
      </w:r>
    </w:p>
    <w:p w:rsidR="00954716" w:rsidRPr="008D28D2" w:rsidRDefault="005E562D" w:rsidP="00E61859">
      <w:pPr>
        <w:pStyle w:val="A-Heading4"/>
        <w:spacing w:line="240" w:lineRule="auto"/>
        <w:jc w:val="both"/>
        <w:rPr>
          <w:rFonts w:ascii="Times New Roman" w:hAnsi="Times New Roman"/>
        </w:rPr>
      </w:pPr>
      <w:r>
        <w:rPr>
          <w:rFonts w:ascii="Times New Roman" w:hAnsi="Times New Roman"/>
        </w:rPr>
        <w:t>Renal</w:t>
      </w:r>
      <w:r w:rsidR="00954716" w:rsidRPr="008D28D2">
        <w:rPr>
          <w:rFonts w:ascii="Times New Roman" w:hAnsi="Times New Roman"/>
        </w:rPr>
        <w:t xml:space="preserve"> Impairment</w:t>
      </w:r>
    </w:p>
    <w:p w:rsidR="005E562D" w:rsidRPr="00E61859" w:rsidRDefault="009F1E29" w:rsidP="00E61859">
      <w:pPr>
        <w:autoSpaceDE w:val="0"/>
        <w:autoSpaceDN w:val="0"/>
        <w:adjustRightInd w:val="0"/>
        <w:spacing w:after="120" w:line="240" w:lineRule="auto"/>
        <w:jc w:val="both"/>
        <w:rPr>
          <w:rFonts w:ascii="Times New Roman" w:hAnsi="Times New Roman"/>
          <w:szCs w:val="24"/>
        </w:rPr>
      </w:pPr>
      <w:r w:rsidRPr="009F1E29">
        <w:rPr>
          <w:rFonts w:ascii="Times New Roman" w:hAnsi="Times New Roman"/>
        </w:rPr>
        <w:t xml:space="preserve">The pharmacokinetic properties of asunaprevir, as one of three components of an investigational fixed dose combination tablet (asunaprevir/daclatasvir/an investigational non-nucleoside NS5B inhibitor), were studied after multiple-dose administration in non-HCV infected subjects with normal renal function (CrCL </w:t>
      </w:r>
      <w:r w:rsidR="00361062">
        <w:rPr>
          <w:color w:val="1F497D"/>
          <w:lang w:val="en-US"/>
        </w:rPr>
        <w:t>≥</w:t>
      </w:r>
      <w:r w:rsidRPr="009F1E29">
        <w:rPr>
          <w:rFonts w:ascii="Times New Roman" w:hAnsi="Times New Roman"/>
        </w:rPr>
        <w:t>90 mL/min, defined using the Cockcroft-Gault CrCL formula), with mild (CrCl 60 to &lt;90 mL/min), moderate (CrCl 30 to &lt;60 mL/min), or severe (CrCl &lt;30 mL/min) renal impairment not on hemodialysis, and with end-stage renal disease (ESRD) on hemodialysis. Asunaprevir unbound C</w:t>
      </w:r>
      <w:r w:rsidRPr="009F1E29">
        <w:rPr>
          <w:rFonts w:ascii="Times New Roman" w:hAnsi="Times New Roman"/>
          <w:vertAlign w:val="subscript"/>
        </w:rPr>
        <w:t>max</w:t>
      </w:r>
      <w:r w:rsidRPr="009F1E29">
        <w:rPr>
          <w:rFonts w:ascii="Times New Roman" w:hAnsi="Times New Roman"/>
        </w:rPr>
        <w:t xml:space="preserve"> was estimated to be 37%, 87% and 119% higher and asunaprevir unbound AUC was estimated to be 41%, 99% and 137% higher for subjects with mild, moderate and severe renal impairment, respectively, compared with subjects with normal renal function. Asunaprevir unbound C</w:t>
      </w:r>
      <w:r w:rsidRPr="009F1E29">
        <w:rPr>
          <w:rFonts w:ascii="Times New Roman" w:hAnsi="Times New Roman"/>
          <w:vertAlign w:val="subscript"/>
        </w:rPr>
        <w:t>max</w:t>
      </w:r>
      <w:r w:rsidRPr="009F1E29">
        <w:rPr>
          <w:rFonts w:ascii="Times New Roman" w:hAnsi="Times New Roman"/>
        </w:rPr>
        <w:t xml:space="preserve"> and AUC decreased 2% and 6%, respectively, soon after hemodialysis in subjects with ESRD requiring hemodialysis compared to subjects with normal renal function </w:t>
      </w:r>
      <w:r w:rsidR="00185B3B" w:rsidRPr="00832CD0">
        <w:rPr>
          <w:rFonts w:ascii="Times New Roman" w:hAnsi="Times New Roman"/>
        </w:rPr>
        <w:t>[see PRECAUTIONS - Renal Impairment]</w:t>
      </w:r>
      <w:r w:rsidR="00630AFB" w:rsidRPr="00630AFB">
        <w:rPr>
          <w:rFonts w:ascii="Times New Roman" w:hAnsi="Times New Roman"/>
          <w:szCs w:val="24"/>
        </w:rPr>
        <w:t>.</w:t>
      </w:r>
    </w:p>
    <w:p w:rsidR="00954716" w:rsidRPr="008D28D2" w:rsidRDefault="00954716" w:rsidP="00E61859">
      <w:pPr>
        <w:pStyle w:val="A-Heading4"/>
        <w:spacing w:line="240" w:lineRule="auto"/>
        <w:rPr>
          <w:rFonts w:ascii="Times New Roman" w:hAnsi="Times New Roman"/>
        </w:rPr>
      </w:pPr>
      <w:r w:rsidRPr="008D28D2">
        <w:rPr>
          <w:rFonts w:ascii="Times New Roman" w:hAnsi="Times New Roman"/>
        </w:rPr>
        <w:t>Elderly Patients</w:t>
      </w:r>
    </w:p>
    <w:p w:rsidR="00C11267" w:rsidRPr="00C11267" w:rsidRDefault="00C11267" w:rsidP="00E61859">
      <w:pPr>
        <w:autoSpaceDE w:val="0"/>
        <w:autoSpaceDN w:val="0"/>
        <w:adjustRightInd w:val="0"/>
        <w:spacing w:after="120" w:line="240" w:lineRule="auto"/>
        <w:jc w:val="both"/>
        <w:rPr>
          <w:rFonts w:ascii="Times New Roman" w:hAnsi="Times New Roman"/>
        </w:rPr>
      </w:pPr>
      <w:r w:rsidRPr="000029B3">
        <w:rPr>
          <w:rFonts w:ascii="Times New Roman" w:hAnsi="Times New Roman"/>
        </w:rPr>
        <w:t>Population pharmacokinetic analysis of data from clinical trials indicated that</w:t>
      </w:r>
      <w:r w:rsidR="00D5563C">
        <w:rPr>
          <w:rFonts w:ascii="Times New Roman" w:hAnsi="Times New Roman"/>
        </w:rPr>
        <w:t xml:space="preserve"> within the age range evaluated (20-79 years)</w:t>
      </w:r>
      <w:r w:rsidRPr="000029B3">
        <w:rPr>
          <w:rFonts w:ascii="Times New Roman" w:hAnsi="Times New Roman"/>
        </w:rPr>
        <w:t xml:space="preserve"> age had no</w:t>
      </w:r>
      <w:r>
        <w:rPr>
          <w:rFonts w:ascii="Times New Roman" w:hAnsi="Times New Roman"/>
        </w:rPr>
        <w:t xml:space="preserve"> </w:t>
      </w:r>
      <w:r w:rsidRPr="00C11267">
        <w:rPr>
          <w:rFonts w:ascii="Times New Roman" w:hAnsi="Times New Roman"/>
        </w:rPr>
        <w:t>clinically meaningful</w:t>
      </w:r>
      <w:r w:rsidRPr="000029B3">
        <w:rPr>
          <w:rFonts w:ascii="Times New Roman" w:hAnsi="Times New Roman"/>
        </w:rPr>
        <w:t xml:space="preserve"> effect on the pharmacokinetics of </w:t>
      </w:r>
      <w:r w:rsidRPr="00C11267">
        <w:rPr>
          <w:rFonts w:ascii="Times New Roman" w:hAnsi="Times New Roman"/>
        </w:rPr>
        <w:t xml:space="preserve">asunaprevir. </w:t>
      </w:r>
    </w:p>
    <w:p w:rsidR="00954716" w:rsidRPr="008D28D2" w:rsidRDefault="00954716" w:rsidP="00E61859">
      <w:pPr>
        <w:pStyle w:val="A-Heading4"/>
        <w:spacing w:line="240" w:lineRule="auto"/>
        <w:rPr>
          <w:rFonts w:ascii="Times New Roman" w:hAnsi="Times New Roman"/>
        </w:rPr>
      </w:pPr>
      <w:r w:rsidRPr="008D28D2">
        <w:rPr>
          <w:rFonts w:ascii="Times New Roman" w:hAnsi="Times New Roman"/>
        </w:rPr>
        <w:lastRenderedPageBreak/>
        <w:t>Paediatric and Adolescent</w:t>
      </w:r>
    </w:p>
    <w:p w:rsidR="00307CB1" w:rsidRPr="00307CB1" w:rsidRDefault="00307CB1" w:rsidP="00E61859">
      <w:pPr>
        <w:pStyle w:val="A-Heading4"/>
        <w:spacing w:line="240" w:lineRule="auto"/>
        <w:rPr>
          <w:rFonts w:ascii="Times New Roman" w:hAnsi="Times New Roman"/>
          <w:i w:val="0"/>
        </w:rPr>
      </w:pPr>
      <w:r w:rsidRPr="00307CB1">
        <w:rPr>
          <w:rFonts w:ascii="Times New Roman" w:hAnsi="Times New Roman"/>
          <w:i w:val="0"/>
        </w:rPr>
        <w:t xml:space="preserve">The pharmacokinetics of </w:t>
      </w:r>
      <w:r>
        <w:rPr>
          <w:rFonts w:ascii="Times New Roman" w:hAnsi="Times New Roman"/>
          <w:i w:val="0"/>
        </w:rPr>
        <w:t>SUNVEPRA</w:t>
      </w:r>
      <w:r w:rsidRPr="00307CB1">
        <w:rPr>
          <w:rFonts w:ascii="Times New Roman" w:hAnsi="Times New Roman"/>
          <w:i w:val="0"/>
        </w:rPr>
        <w:t xml:space="preserve"> in p</w:t>
      </w:r>
      <w:r>
        <w:rPr>
          <w:rFonts w:ascii="Times New Roman" w:hAnsi="Times New Roman"/>
          <w:i w:val="0"/>
        </w:rPr>
        <w:t>a</w:t>
      </w:r>
      <w:r w:rsidRPr="00307CB1">
        <w:rPr>
          <w:rFonts w:ascii="Times New Roman" w:hAnsi="Times New Roman"/>
          <w:i w:val="0"/>
        </w:rPr>
        <w:t>ediatric patients have not been evaluated.</w:t>
      </w:r>
    </w:p>
    <w:p w:rsidR="00954716" w:rsidRPr="008D28D2" w:rsidRDefault="00954716" w:rsidP="00E61859">
      <w:pPr>
        <w:pStyle w:val="A-Heading4"/>
        <w:spacing w:line="240" w:lineRule="auto"/>
        <w:rPr>
          <w:rFonts w:ascii="Times New Roman" w:hAnsi="Times New Roman"/>
        </w:rPr>
      </w:pPr>
      <w:r w:rsidRPr="008D28D2">
        <w:rPr>
          <w:rFonts w:ascii="Times New Roman" w:hAnsi="Times New Roman"/>
        </w:rPr>
        <w:t>Gender</w:t>
      </w:r>
    </w:p>
    <w:p w:rsidR="005E562D" w:rsidRPr="00E61859" w:rsidRDefault="00C11267" w:rsidP="00E61859">
      <w:pPr>
        <w:autoSpaceDE w:val="0"/>
        <w:autoSpaceDN w:val="0"/>
        <w:adjustRightInd w:val="0"/>
        <w:spacing w:after="120" w:line="240" w:lineRule="auto"/>
        <w:jc w:val="both"/>
        <w:rPr>
          <w:rFonts w:ascii="Times New Roman" w:hAnsi="Times New Roman"/>
        </w:rPr>
      </w:pPr>
      <w:r w:rsidRPr="0085236B">
        <w:rPr>
          <w:rFonts w:ascii="Times New Roman" w:hAnsi="Times New Roman"/>
        </w:rPr>
        <w:t xml:space="preserve">Population pharmacokinetic analysis of data from clinical trials indicated that gender had no </w:t>
      </w:r>
      <w:r>
        <w:rPr>
          <w:rFonts w:ascii="Times New Roman" w:hAnsi="Times New Roman"/>
        </w:rPr>
        <w:t>clinically meaningful</w:t>
      </w:r>
      <w:r w:rsidRPr="0085236B">
        <w:rPr>
          <w:rFonts w:ascii="Times New Roman" w:hAnsi="Times New Roman"/>
        </w:rPr>
        <w:t xml:space="preserve"> effect on the pharmacokinetics of </w:t>
      </w:r>
      <w:r>
        <w:rPr>
          <w:rFonts w:ascii="Times New Roman" w:hAnsi="Times New Roman"/>
        </w:rPr>
        <w:t>asunaprevir</w:t>
      </w:r>
      <w:r w:rsidRPr="0085236B">
        <w:rPr>
          <w:rFonts w:ascii="Times New Roman" w:hAnsi="Times New Roman"/>
        </w:rPr>
        <w:t>.</w:t>
      </w:r>
    </w:p>
    <w:p w:rsidR="00954716" w:rsidRPr="008D28D2" w:rsidRDefault="00954716" w:rsidP="00E61859">
      <w:pPr>
        <w:pStyle w:val="A-Heading4"/>
        <w:spacing w:line="240" w:lineRule="auto"/>
        <w:jc w:val="both"/>
        <w:rPr>
          <w:rFonts w:ascii="Times New Roman" w:hAnsi="Times New Roman"/>
        </w:rPr>
      </w:pPr>
      <w:r w:rsidRPr="008D28D2">
        <w:rPr>
          <w:rFonts w:ascii="Times New Roman" w:hAnsi="Times New Roman"/>
        </w:rPr>
        <w:t>Race</w:t>
      </w:r>
    </w:p>
    <w:p w:rsidR="001972D2" w:rsidRDefault="00884418" w:rsidP="00E61859">
      <w:pPr>
        <w:autoSpaceDE w:val="0"/>
        <w:autoSpaceDN w:val="0"/>
        <w:adjustRightInd w:val="0"/>
        <w:spacing w:after="120" w:line="240" w:lineRule="auto"/>
        <w:jc w:val="both"/>
        <w:rPr>
          <w:rFonts w:ascii="Times New Roman" w:hAnsi="Times New Roman"/>
        </w:rPr>
      </w:pPr>
      <w:r w:rsidRPr="00884418">
        <w:rPr>
          <w:rFonts w:ascii="Times New Roman" w:hAnsi="Times New Roman"/>
        </w:rPr>
        <w:t xml:space="preserve">Population pharmacokinetic analysis of </w:t>
      </w:r>
      <w:r w:rsidR="00630AFB" w:rsidRPr="00307CB1">
        <w:rPr>
          <w:rFonts w:ascii="Times New Roman" w:hAnsi="Times New Roman"/>
        </w:rPr>
        <w:t xml:space="preserve">data from clinical trials of </w:t>
      </w:r>
      <w:r>
        <w:rPr>
          <w:rFonts w:ascii="Times New Roman" w:hAnsi="Times New Roman"/>
        </w:rPr>
        <w:t>SUNVEPRA</w:t>
      </w:r>
      <w:r w:rsidR="00630AFB" w:rsidRPr="00630AFB">
        <w:t xml:space="preserve"> </w:t>
      </w:r>
      <w:r w:rsidR="00D5563C" w:rsidRPr="00D5563C">
        <w:rPr>
          <w:rFonts w:ascii="Times New Roman" w:hAnsi="Times New Roman"/>
        </w:rPr>
        <w:t xml:space="preserve">indicated that race had no clinically relevant effect on </w:t>
      </w:r>
      <w:r w:rsidR="00534083">
        <w:rPr>
          <w:rFonts w:ascii="Times New Roman" w:hAnsi="Times New Roman"/>
        </w:rPr>
        <w:t xml:space="preserve">the pharmacokinetics of </w:t>
      </w:r>
      <w:r w:rsidR="00D5563C" w:rsidRPr="00D5563C">
        <w:rPr>
          <w:rFonts w:ascii="Times New Roman" w:hAnsi="Times New Roman"/>
        </w:rPr>
        <w:t>a</w:t>
      </w:r>
      <w:r w:rsidR="00534083">
        <w:rPr>
          <w:rFonts w:ascii="Times New Roman" w:hAnsi="Times New Roman"/>
        </w:rPr>
        <w:t>sunaprevir</w:t>
      </w:r>
      <w:r w:rsidR="00D5563C" w:rsidRPr="00D5563C">
        <w:rPr>
          <w:rFonts w:ascii="Times New Roman" w:hAnsi="Times New Roman"/>
        </w:rPr>
        <w:t>.</w:t>
      </w:r>
    </w:p>
    <w:p w:rsidR="00954716" w:rsidRPr="008D28D2" w:rsidRDefault="00954716" w:rsidP="00E61859">
      <w:pPr>
        <w:pStyle w:val="A-Heading2"/>
        <w:spacing w:before="0" w:line="240" w:lineRule="auto"/>
        <w:rPr>
          <w:rFonts w:ascii="Times New Roman" w:hAnsi="Times New Roman"/>
        </w:rPr>
      </w:pPr>
      <w:r w:rsidRPr="008D28D2">
        <w:rPr>
          <w:rFonts w:ascii="Times New Roman" w:hAnsi="Times New Roman"/>
        </w:rPr>
        <w:t>Pharmacodynamics</w:t>
      </w:r>
    </w:p>
    <w:p w:rsidR="00450FF6" w:rsidRDefault="00884418" w:rsidP="00E61859">
      <w:pPr>
        <w:autoSpaceDE w:val="0"/>
        <w:autoSpaceDN w:val="0"/>
        <w:adjustRightInd w:val="0"/>
        <w:spacing w:after="120" w:line="240" w:lineRule="auto"/>
        <w:jc w:val="both"/>
        <w:rPr>
          <w:rFonts w:ascii="Times New Roman" w:hAnsi="Times New Roman"/>
        </w:rPr>
      </w:pPr>
      <w:r w:rsidRPr="00884418">
        <w:rPr>
          <w:rFonts w:ascii="Times New Roman" w:hAnsi="Times New Roman"/>
        </w:rPr>
        <w:t xml:space="preserve">The effect of asunaprevir on the QTc interval was evaluated in a randomized, double-blind, positive-controlled, placebo-controlled, parallel-group, nested-crossover study in 120 healthy subjects. The effect of a supratherapeutic dose of asunaprevir 300 mg twice daily relative to placebo on QTc (using Fridericia’s correction) was evaluated on Days 3 and 10 of active dosing. No statistically significant effects of asunaprevir on placebo-corrected change in QTc or significant relationship between plasma concentration and change in QTc were observed. </w:t>
      </w:r>
      <w:bookmarkStart w:id="1" w:name="Table_MISC4"/>
      <w:bookmarkStart w:id="2" w:name="Table_MISC5"/>
      <w:bookmarkEnd w:id="1"/>
      <w:bookmarkEnd w:id="2"/>
    </w:p>
    <w:p w:rsidR="00E61859" w:rsidRPr="00F9148D" w:rsidRDefault="00E61859" w:rsidP="00E61859">
      <w:pPr>
        <w:autoSpaceDE w:val="0"/>
        <w:autoSpaceDN w:val="0"/>
        <w:adjustRightInd w:val="0"/>
        <w:spacing w:after="120" w:line="240" w:lineRule="auto"/>
        <w:jc w:val="both"/>
        <w:rPr>
          <w:rFonts w:ascii="Times New Roman" w:hAnsi="Times New Roman"/>
        </w:rPr>
      </w:pP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CLINICAL TRIALS</w:t>
      </w:r>
    </w:p>
    <w:p w:rsidR="000F5D7F" w:rsidRPr="00E61859" w:rsidRDefault="00450FF6" w:rsidP="00E61859">
      <w:pPr>
        <w:autoSpaceDE w:val="0"/>
        <w:autoSpaceDN w:val="0"/>
        <w:adjustRightInd w:val="0"/>
        <w:spacing w:after="120" w:line="240" w:lineRule="auto"/>
        <w:jc w:val="both"/>
        <w:rPr>
          <w:rFonts w:ascii="Times New Roman" w:hAnsi="Times New Roman"/>
          <w:color w:val="000000"/>
          <w:lang w:eastAsia="en-AU"/>
        </w:rPr>
      </w:pPr>
      <w:r w:rsidRPr="00450FF6">
        <w:rPr>
          <w:rFonts w:ascii="Times New Roman" w:hAnsi="Times New Roman"/>
          <w:color w:val="000000"/>
          <w:lang w:eastAsia="en-AU"/>
        </w:rPr>
        <w:t xml:space="preserve">The efficacy </w:t>
      </w:r>
      <w:r w:rsidR="00B34DFF" w:rsidRPr="0093440F">
        <w:rPr>
          <w:rFonts w:ascii="Times New Roman" w:hAnsi="Times New Roman"/>
          <w:color w:val="000000"/>
          <w:lang w:eastAsia="en-AU"/>
        </w:rPr>
        <w:t xml:space="preserve">and safety </w:t>
      </w:r>
      <w:r w:rsidRPr="0093440F">
        <w:rPr>
          <w:rFonts w:ascii="Times New Roman" w:hAnsi="Times New Roman"/>
          <w:color w:val="000000"/>
          <w:lang w:eastAsia="en-AU"/>
        </w:rPr>
        <w:t xml:space="preserve">of SUNVEPRA in combination with </w:t>
      </w:r>
      <w:r w:rsidR="00644782">
        <w:rPr>
          <w:rFonts w:ascii="Times New Roman" w:hAnsi="Times New Roman"/>
          <w:color w:val="000000"/>
          <w:lang w:eastAsia="en-AU"/>
        </w:rPr>
        <w:t>DAKLINZA</w:t>
      </w:r>
      <w:r w:rsidRPr="0093440F">
        <w:rPr>
          <w:rFonts w:ascii="Times New Roman" w:hAnsi="Times New Roman"/>
          <w:color w:val="000000"/>
          <w:lang w:eastAsia="en-AU"/>
        </w:rPr>
        <w:t xml:space="preserve"> </w:t>
      </w:r>
      <w:r w:rsidR="00B34DFF" w:rsidRPr="0093440F">
        <w:rPr>
          <w:rFonts w:ascii="Times New Roman" w:hAnsi="Times New Roman"/>
          <w:color w:val="000000"/>
          <w:lang w:eastAsia="en-AU"/>
        </w:rPr>
        <w:t>as an all</w:t>
      </w:r>
      <w:r w:rsidR="00E24FB4">
        <w:rPr>
          <w:rFonts w:ascii="Times New Roman" w:hAnsi="Times New Roman"/>
          <w:color w:val="000000"/>
          <w:lang w:eastAsia="en-AU"/>
        </w:rPr>
        <w:t>-</w:t>
      </w:r>
      <w:r w:rsidR="00B34DFF" w:rsidRPr="0093440F">
        <w:rPr>
          <w:rFonts w:ascii="Times New Roman" w:hAnsi="Times New Roman"/>
          <w:color w:val="000000"/>
          <w:lang w:eastAsia="en-AU"/>
        </w:rPr>
        <w:t>oral regimen were</w:t>
      </w:r>
      <w:r w:rsidRPr="00450FF6">
        <w:rPr>
          <w:rFonts w:ascii="Times New Roman" w:hAnsi="Times New Roman"/>
          <w:color w:val="000000"/>
          <w:lang w:eastAsia="en-AU"/>
        </w:rPr>
        <w:t xml:space="preserve"> evaluated in two phase 3 trials (HALLMARK DUAL and</w:t>
      </w:r>
      <w:r w:rsidR="0093440F">
        <w:rPr>
          <w:rFonts w:ascii="Times New Roman" w:hAnsi="Times New Roman"/>
          <w:color w:val="000000"/>
          <w:lang w:eastAsia="en-AU"/>
        </w:rPr>
        <w:t xml:space="preserve"> </w:t>
      </w:r>
      <w:r w:rsidR="00B52833">
        <w:rPr>
          <w:rFonts w:ascii="Times New Roman" w:hAnsi="Times New Roman"/>
          <w:color w:val="000000"/>
          <w:lang w:eastAsia="en-AU"/>
        </w:rPr>
        <w:t>HALLMARK NIPPON</w:t>
      </w:r>
      <w:r w:rsidRPr="00450FF6">
        <w:rPr>
          <w:rFonts w:ascii="Times New Roman" w:hAnsi="Times New Roman"/>
          <w:color w:val="000000"/>
          <w:lang w:eastAsia="en-AU"/>
        </w:rPr>
        <w:t xml:space="preserve">). The efficacy </w:t>
      </w:r>
      <w:r w:rsidR="00B52833">
        <w:rPr>
          <w:rFonts w:ascii="Times New Roman" w:hAnsi="Times New Roman"/>
          <w:color w:val="000000"/>
          <w:lang w:eastAsia="en-AU"/>
        </w:rPr>
        <w:t xml:space="preserve">and safety </w:t>
      </w:r>
      <w:r w:rsidRPr="00450FF6">
        <w:rPr>
          <w:rFonts w:ascii="Times New Roman" w:hAnsi="Times New Roman"/>
          <w:color w:val="000000"/>
          <w:lang w:eastAsia="en-AU"/>
        </w:rPr>
        <w:t xml:space="preserve">of SUNVEPRA in combination with </w:t>
      </w:r>
      <w:r w:rsidR="00644782">
        <w:rPr>
          <w:rFonts w:ascii="Times New Roman" w:hAnsi="Times New Roman"/>
          <w:color w:val="000000"/>
          <w:lang w:eastAsia="en-AU"/>
        </w:rPr>
        <w:t>DAKLINZA</w:t>
      </w:r>
      <w:r w:rsidR="00B34DFF">
        <w:rPr>
          <w:rFonts w:ascii="Times New Roman" w:hAnsi="Times New Roman"/>
          <w:color w:val="000000"/>
          <w:lang w:eastAsia="en-AU"/>
        </w:rPr>
        <w:t>, peginterferon alfa</w:t>
      </w:r>
      <w:r w:rsidRPr="00450FF6">
        <w:rPr>
          <w:rFonts w:ascii="Times New Roman" w:hAnsi="Times New Roman"/>
          <w:color w:val="000000"/>
          <w:lang w:eastAsia="en-AU"/>
        </w:rPr>
        <w:t xml:space="preserve"> and ribavirin </w:t>
      </w:r>
      <w:r w:rsidR="00B52833">
        <w:rPr>
          <w:rFonts w:ascii="Times New Roman" w:hAnsi="Times New Roman"/>
          <w:color w:val="000000"/>
          <w:lang w:eastAsia="en-AU"/>
        </w:rPr>
        <w:t xml:space="preserve">were </w:t>
      </w:r>
      <w:r w:rsidRPr="00450FF6">
        <w:rPr>
          <w:rFonts w:ascii="Times New Roman" w:hAnsi="Times New Roman"/>
          <w:color w:val="000000"/>
          <w:lang w:eastAsia="en-AU"/>
        </w:rPr>
        <w:t xml:space="preserve">evaluated in </w:t>
      </w:r>
      <w:r w:rsidR="00B52833">
        <w:rPr>
          <w:rFonts w:ascii="Times New Roman" w:hAnsi="Times New Roman"/>
          <w:color w:val="000000"/>
          <w:lang w:eastAsia="en-AU"/>
        </w:rPr>
        <w:t xml:space="preserve">the </w:t>
      </w:r>
      <w:r w:rsidRPr="00450FF6">
        <w:rPr>
          <w:rFonts w:ascii="Times New Roman" w:hAnsi="Times New Roman"/>
          <w:color w:val="000000"/>
          <w:lang w:eastAsia="en-AU"/>
        </w:rPr>
        <w:t>phase 3 HALLMARK QUAD</w:t>
      </w:r>
      <w:r w:rsidR="00853CFB">
        <w:rPr>
          <w:rFonts w:ascii="Times New Roman" w:hAnsi="Times New Roman"/>
          <w:color w:val="000000"/>
          <w:lang w:eastAsia="en-AU"/>
        </w:rPr>
        <w:t xml:space="preserve"> </w:t>
      </w:r>
      <w:r w:rsidR="00B52833">
        <w:rPr>
          <w:rFonts w:ascii="Times New Roman" w:hAnsi="Times New Roman"/>
          <w:color w:val="000000"/>
          <w:lang w:eastAsia="en-AU"/>
        </w:rPr>
        <w:t>trial</w:t>
      </w:r>
      <w:r w:rsidRPr="00450FF6">
        <w:rPr>
          <w:rFonts w:ascii="Times New Roman" w:hAnsi="Times New Roman"/>
          <w:color w:val="000000"/>
          <w:lang w:eastAsia="en-AU"/>
        </w:rPr>
        <w:t xml:space="preserve">. </w:t>
      </w:r>
      <w:r w:rsidR="008F0F18" w:rsidRPr="008F0F18">
        <w:rPr>
          <w:rFonts w:ascii="Times New Roman" w:hAnsi="Times New Roman"/>
          <w:szCs w:val="24"/>
          <w:lang w:eastAsia="en-AU"/>
        </w:rPr>
        <w:t>HCV RNA values were measured during the clinical trials using the COBAS TaqMan HCV test (version 2.0), for use with the High Pure System. The assay had a lower limit of quantification (LLOQ) of 25 IU per mL except in the HALLMARK NIPPON study, where the LLOQ was 15 IU per mL.</w:t>
      </w:r>
      <w:r w:rsidR="00A43C73">
        <w:rPr>
          <w:rFonts w:ascii="Times New Roman" w:hAnsi="Times New Roman"/>
          <w:szCs w:val="24"/>
          <w:lang w:eastAsia="en-AU"/>
        </w:rPr>
        <w:t xml:space="preserve"> </w:t>
      </w:r>
      <w:r w:rsidRPr="00450FF6">
        <w:rPr>
          <w:rFonts w:ascii="Times New Roman" w:hAnsi="Times New Roman"/>
          <w:color w:val="000000"/>
          <w:lang w:eastAsia="en-AU"/>
        </w:rPr>
        <w:t xml:space="preserve">SVR (virologic cure) was defined as HCV RNA below the lower limit of quantification (LLOQ) at post-treatment Week </w:t>
      </w:r>
      <w:r w:rsidR="00A43C73">
        <w:rPr>
          <w:rFonts w:ascii="Times New Roman" w:hAnsi="Times New Roman"/>
          <w:color w:val="000000"/>
          <w:lang w:eastAsia="en-AU"/>
        </w:rPr>
        <w:t>12</w:t>
      </w:r>
      <w:r w:rsidRPr="00450FF6">
        <w:rPr>
          <w:rFonts w:ascii="Times New Roman" w:hAnsi="Times New Roman"/>
          <w:color w:val="000000"/>
          <w:lang w:eastAsia="en-AU"/>
        </w:rPr>
        <w:t xml:space="preserve">. </w:t>
      </w:r>
    </w:p>
    <w:p w:rsidR="003C23A7" w:rsidRPr="003C23A7" w:rsidRDefault="00450FF6" w:rsidP="00E61859">
      <w:pPr>
        <w:pStyle w:val="BMSHeading2"/>
        <w:numPr>
          <w:ilvl w:val="0"/>
          <w:numId w:val="0"/>
        </w:numPr>
        <w:tabs>
          <w:tab w:val="num" w:pos="1276"/>
        </w:tabs>
        <w:spacing w:before="0"/>
        <w:rPr>
          <w:rFonts w:ascii="Times New Roman" w:hAnsi="Times New Roman"/>
        </w:rPr>
      </w:pPr>
      <w:bookmarkStart w:id="3" w:name="_Toc375124745"/>
      <w:r>
        <w:rPr>
          <w:rFonts w:ascii="Times New Roman" w:hAnsi="Times New Roman"/>
        </w:rPr>
        <w:t>SUNVEPRA</w:t>
      </w:r>
      <w:r w:rsidRPr="00450FF6">
        <w:rPr>
          <w:rFonts w:ascii="Times New Roman" w:hAnsi="Times New Roman"/>
        </w:rPr>
        <w:t xml:space="preserve"> in Combination with </w:t>
      </w:r>
      <w:r w:rsidR="00644782">
        <w:rPr>
          <w:rFonts w:ascii="Times New Roman" w:hAnsi="Times New Roman"/>
        </w:rPr>
        <w:t>DAKLINZA</w:t>
      </w:r>
      <w:r w:rsidRPr="00450FF6">
        <w:rPr>
          <w:rFonts w:ascii="Times New Roman" w:hAnsi="Times New Roman"/>
        </w:rPr>
        <w:t xml:space="preserve"> in Subjects with HCV Genotype 1b</w:t>
      </w:r>
      <w:bookmarkEnd w:id="3"/>
    </w:p>
    <w:p w:rsidR="003C23A7" w:rsidRPr="003C23A7" w:rsidRDefault="00450FF6" w:rsidP="00E61859">
      <w:pPr>
        <w:spacing w:after="120" w:line="240" w:lineRule="auto"/>
        <w:jc w:val="both"/>
        <w:rPr>
          <w:rFonts w:ascii="Times New Roman" w:hAnsi="Times New Roman"/>
          <w:color w:val="000000"/>
          <w:lang w:eastAsia="en-AU"/>
        </w:rPr>
      </w:pPr>
      <w:r w:rsidRPr="000F5D7F">
        <w:rPr>
          <w:rFonts w:ascii="Times New Roman" w:hAnsi="Times New Roman"/>
          <w:color w:val="000000"/>
          <w:lang w:eastAsia="en-AU"/>
        </w:rPr>
        <w:t>HALLMARK DUAL (Study AI447028)</w:t>
      </w:r>
      <w:r w:rsidRPr="003C23A7">
        <w:rPr>
          <w:rFonts w:ascii="Times New Roman" w:hAnsi="Times New Roman"/>
          <w:color w:val="000000"/>
          <w:lang w:eastAsia="en-AU"/>
        </w:rPr>
        <w:t xml:space="preserve"> was a global </w:t>
      </w:r>
      <w:r w:rsidR="00C50EAF">
        <w:rPr>
          <w:rFonts w:ascii="Times New Roman" w:hAnsi="Times New Roman"/>
          <w:color w:val="000000"/>
          <w:lang w:eastAsia="en-AU"/>
        </w:rPr>
        <w:t xml:space="preserve">open-label </w:t>
      </w:r>
      <w:r w:rsidRPr="003C23A7">
        <w:rPr>
          <w:rFonts w:ascii="Times New Roman" w:hAnsi="Times New Roman"/>
          <w:color w:val="000000"/>
          <w:lang w:eastAsia="en-AU"/>
        </w:rPr>
        <w:t xml:space="preserve">study that included subjects </w:t>
      </w:r>
      <w:r w:rsidR="00C461BB" w:rsidRPr="00C461BB">
        <w:rPr>
          <w:rFonts w:ascii="Times New Roman" w:hAnsi="Times New Roman"/>
        </w:rPr>
        <w:t xml:space="preserve">with chronic HCV genotype 1b infection and compensated liver disease </w:t>
      </w:r>
      <w:r w:rsidRPr="003C23A7">
        <w:rPr>
          <w:rFonts w:ascii="Times New Roman" w:hAnsi="Times New Roman"/>
          <w:color w:val="000000"/>
          <w:lang w:eastAsia="en-AU"/>
        </w:rPr>
        <w:t xml:space="preserve">who were treatment-naive, null or partial responders to peginterferon alfa and ribavirin, or were intolerant of or ineligible to receive interferon-based therapy. Subjects in the treatment-naive cohort were randomized 2:1 to receive </w:t>
      </w:r>
      <w:r w:rsidR="003C23A7" w:rsidRPr="003C23A7">
        <w:rPr>
          <w:rFonts w:ascii="Times New Roman" w:hAnsi="Times New Roman"/>
          <w:color w:val="000000"/>
          <w:lang w:eastAsia="en-AU"/>
        </w:rPr>
        <w:t>SUNVEPRA</w:t>
      </w:r>
      <w:r w:rsidRPr="003C23A7">
        <w:rPr>
          <w:rFonts w:ascii="Times New Roman" w:hAnsi="Times New Roman"/>
          <w:color w:val="000000"/>
          <w:lang w:eastAsia="en-AU"/>
        </w:rPr>
        <w:t xml:space="preserve"> </w:t>
      </w:r>
      <w:r w:rsidR="00C461BB">
        <w:rPr>
          <w:rFonts w:ascii="Times New Roman" w:hAnsi="Times New Roman"/>
          <w:color w:val="000000"/>
          <w:lang w:eastAsia="en-AU"/>
        </w:rPr>
        <w:t xml:space="preserve">100 mg twice daily </w:t>
      </w:r>
      <w:r w:rsidRPr="003C23A7">
        <w:rPr>
          <w:rFonts w:ascii="Times New Roman" w:hAnsi="Times New Roman"/>
          <w:color w:val="000000"/>
          <w:lang w:eastAsia="en-AU"/>
        </w:rPr>
        <w:t xml:space="preserve">in combination with </w:t>
      </w:r>
      <w:r w:rsidR="00644782">
        <w:rPr>
          <w:rFonts w:ascii="Times New Roman" w:hAnsi="Times New Roman"/>
          <w:color w:val="000000"/>
          <w:lang w:eastAsia="en-AU"/>
        </w:rPr>
        <w:t>DAKLINZA</w:t>
      </w:r>
      <w:r w:rsidRPr="003C23A7">
        <w:rPr>
          <w:rFonts w:ascii="Times New Roman" w:hAnsi="Times New Roman"/>
          <w:color w:val="000000"/>
          <w:lang w:eastAsia="en-AU"/>
        </w:rPr>
        <w:t xml:space="preserve"> </w:t>
      </w:r>
      <w:r w:rsidR="00C461BB">
        <w:rPr>
          <w:rFonts w:ascii="Times New Roman" w:hAnsi="Times New Roman"/>
          <w:color w:val="000000"/>
          <w:lang w:eastAsia="en-AU"/>
        </w:rPr>
        <w:t xml:space="preserve">60 mg once daily </w:t>
      </w:r>
      <w:r w:rsidRPr="003C23A7">
        <w:rPr>
          <w:rFonts w:ascii="Times New Roman" w:hAnsi="Times New Roman"/>
          <w:color w:val="000000"/>
          <w:lang w:eastAsia="en-AU"/>
        </w:rPr>
        <w:t xml:space="preserve">for 24 weeks or placebo for 12 weeks (placebo subjects were rolled over into another study and offered treatment with </w:t>
      </w:r>
      <w:r w:rsidR="003C23A7" w:rsidRPr="003C23A7">
        <w:rPr>
          <w:rFonts w:ascii="Times New Roman" w:hAnsi="Times New Roman"/>
          <w:color w:val="000000"/>
          <w:lang w:eastAsia="en-AU"/>
        </w:rPr>
        <w:t>SUNVEPRA</w:t>
      </w:r>
      <w:r w:rsidRPr="003C23A7">
        <w:rPr>
          <w:rFonts w:ascii="Times New Roman" w:hAnsi="Times New Roman"/>
          <w:color w:val="000000"/>
          <w:lang w:eastAsia="en-AU"/>
        </w:rPr>
        <w:t xml:space="preserve"> in combination with </w:t>
      </w:r>
      <w:r w:rsidR="00644782">
        <w:rPr>
          <w:rFonts w:ascii="Times New Roman" w:hAnsi="Times New Roman"/>
          <w:color w:val="000000"/>
          <w:lang w:eastAsia="en-AU"/>
        </w:rPr>
        <w:t>DAKLINZA</w:t>
      </w:r>
      <w:r w:rsidRPr="003C23A7">
        <w:rPr>
          <w:rFonts w:ascii="Times New Roman" w:hAnsi="Times New Roman"/>
          <w:color w:val="000000"/>
          <w:lang w:eastAsia="en-AU"/>
        </w:rPr>
        <w:t xml:space="preserve"> for 24 weeks). Subjects in the null or partial responder and intolerant/ineligible cohorts were treated with </w:t>
      </w:r>
      <w:r w:rsidR="003C23A7" w:rsidRPr="003C23A7">
        <w:rPr>
          <w:rFonts w:ascii="Times New Roman" w:hAnsi="Times New Roman"/>
          <w:color w:val="000000"/>
          <w:lang w:eastAsia="en-AU"/>
        </w:rPr>
        <w:t>SUNVEPRA</w:t>
      </w:r>
      <w:r w:rsidRPr="003C23A7">
        <w:rPr>
          <w:rFonts w:ascii="Times New Roman" w:hAnsi="Times New Roman"/>
          <w:color w:val="000000"/>
          <w:lang w:eastAsia="en-AU"/>
        </w:rPr>
        <w:t xml:space="preserve"> </w:t>
      </w:r>
      <w:r w:rsidR="00C461BB">
        <w:rPr>
          <w:rFonts w:ascii="Times New Roman" w:hAnsi="Times New Roman"/>
          <w:color w:val="000000"/>
          <w:lang w:eastAsia="en-AU"/>
        </w:rPr>
        <w:t xml:space="preserve">100 mg twice daily </w:t>
      </w:r>
      <w:r w:rsidRPr="003C23A7">
        <w:rPr>
          <w:rFonts w:ascii="Times New Roman" w:hAnsi="Times New Roman"/>
          <w:color w:val="000000"/>
          <w:lang w:eastAsia="en-AU"/>
        </w:rPr>
        <w:t xml:space="preserve">in combination with </w:t>
      </w:r>
      <w:r w:rsidR="00644782">
        <w:rPr>
          <w:rFonts w:ascii="Times New Roman" w:hAnsi="Times New Roman"/>
          <w:color w:val="000000"/>
          <w:lang w:eastAsia="en-AU"/>
        </w:rPr>
        <w:t>DAKLINZA</w:t>
      </w:r>
      <w:r w:rsidR="00C461BB">
        <w:rPr>
          <w:rFonts w:ascii="Times New Roman" w:hAnsi="Times New Roman"/>
          <w:color w:val="000000"/>
          <w:lang w:eastAsia="en-AU"/>
        </w:rPr>
        <w:t xml:space="preserve"> 60 mg once daily</w:t>
      </w:r>
      <w:r w:rsidRPr="003C23A7">
        <w:rPr>
          <w:rFonts w:ascii="Times New Roman" w:hAnsi="Times New Roman"/>
          <w:color w:val="000000"/>
          <w:lang w:eastAsia="en-AU"/>
        </w:rPr>
        <w:t xml:space="preserve"> for 24 weeks. Subjects were monitored for 24 weeks post treatment.</w:t>
      </w:r>
    </w:p>
    <w:p w:rsidR="00E44954" w:rsidRPr="00E61859" w:rsidRDefault="00A43C73" w:rsidP="00E61859">
      <w:pPr>
        <w:spacing w:after="120" w:line="240" w:lineRule="auto"/>
        <w:jc w:val="both"/>
        <w:rPr>
          <w:rFonts w:ascii="Times New Roman" w:hAnsi="Times New Roman"/>
        </w:rPr>
      </w:pPr>
      <w:r>
        <w:rPr>
          <w:rFonts w:ascii="Times New Roman" w:hAnsi="Times New Roman"/>
          <w:color w:val="000000"/>
          <w:lang w:eastAsia="en-AU"/>
        </w:rPr>
        <w:t>Of t</w:t>
      </w:r>
      <w:r w:rsidR="00450FF6" w:rsidRPr="003C23A7">
        <w:rPr>
          <w:rFonts w:ascii="Times New Roman" w:hAnsi="Times New Roman"/>
          <w:color w:val="000000"/>
          <w:lang w:eastAsia="en-AU"/>
        </w:rPr>
        <w:t xml:space="preserve">he </w:t>
      </w:r>
      <w:r w:rsidR="003C3BA8">
        <w:rPr>
          <w:rFonts w:ascii="Times New Roman" w:hAnsi="Times New Roman"/>
          <w:color w:val="000000"/>
          <w:lang w:eastAsia="en-AU"/>
        </w:rPr>
        <w:t>745</w:t>
      </w:r>
      <w:r w:rsidR="00450FF6" w:rsidRPr="003C23A7">
        <w:rPr>
          <w:rFonts w:ascii="Times New Roman" w:hAnsi="Times New Roman"/>
          <w:color w:val="000000"/>
          <w:lang w:eastAsia="en-AU"/>
        </w:rPr>
        <w:t xml:space="preserve"> treated subjects in HALLMARK DUAL</w:t>
      </w:r>
      <w:r w:rsidR="003C3BA8">
        <w:rPr>
          <w:rFonts w:ascii="Times New Roman" w:hAnsi="Times New Roman"/>
          <w:color w:val="000000"/>
          <w:lang w:eastAsia="en-AU"/>
        </w:rPr>
        <w:t xml:space="preserve"> included in the efficacy analyses</w:t>
      </w:r>
      <w:r w:rsidR="00C461BB">
        <w:rPr>
          <w:rFonts w:ascii="Times New Roman" w:hAnsi="Times New Roman"/>
          <w:color w:val="000000"/>
          <w:lang w:eastAsia="en-AU"/>
        </w:rPr>
        <w:t xml:space="preserve">, </w:t>
      </w:r>
      <w:r w:rsidR="00C461BB" w:rsidRPr="00C461BB">
        <w:rPr>
          <w:rFonts w:ascii="Times New Roman" w:hAnsi="Times New Roman"/>
        </w:rPr>
        <w:t xml:space="preserve">643 subjects received </w:t>
      </w:r>
      <w:r w:rsidR="00C461BB">
        <w:rPr>
          <w:rFonts w:ascii="Times New Roman" w:hAnsi="Times New Roman"/>
        </w:rPr>
        <w:t>SUNVEPRA</w:t>
      </w:r>
      <w:r w:rsidR="00C461BB" w:rsidRPr="00C461BB">
        <w:rPr>
          <w:rFonts w:ascii="Times New Roman" w:hAnsi="Times New Roman"/>
        </w:rPr>
        <w:t xml:space="preserve"> in combination with </w:t>
      </w:r>
      <w:r w:rsidR="00644782">
        <w:rPr>
          <w:rFonts w:ascii="Times New Roman" w:hAnsi="Times New Roman"/>
        </w:rPr>
        <w:t>DAKLINZA</w:t>
      </w:r>
      <w:r w:rsidR="00C461BB" w:rsidRPr="00C461BB">
        <w:rPr>
          <w:rFonts w:ascii="Times New Roman" w:hAnsi="Times New Roman"/>
        </w:rPr>
        <w:t>. These 643 subjects had a median age of 57 years (range: 20 to 79); 48% of the subjects were male; 70% were white, 24% were Asian, 5% were black</w:t>
      </w:r>
      <w:r w:rsidR="00853CFB" w:rsidRPr="0093440F">
        <w:rPr>
          <w:rFonts w:ascii="Times New Roman" w:hAnsi="Times New Roman"/>
        </w:rPr>
        <w:t>;</w:t>
      </w:r>
      <w:r w:rsidR="00C461BB" w:rsidRPr="0093440F">
        <w:rPr>
          <w:rFonts w:ascii="Times New Roman" w:hAnsi="Times New Roman"/>
        </w:rPr>
        <w:t xml:space="preserve"> 4% were Hispanic/Latino. </w:t>
      </w:r>
      <w:r w:rsidR="00450FF6" w:rsidRPr="0093440F">
        <w:rPr>
          <w:rFonts w:ascii="Times New Roman" w:hAnsi="Times New Roman"/>
          <w:color w:val="000000"/>
          <w:lang w:eastAsia="en-AU"/>
        </w:rPr>
        <w:t>The mean baseline HCV RNA level was 6.4 log</w:t>
      </w:r>
      <w:r w:rsidR="00450FF6" w:rsidRPr="0093440F">
        <w:rPr>
          <w:rFonts w:ascii="Times New Roman" w:hAnsi="Times New Roman"/>
          <w:color w:val="000000"/>
          <w:vertAlign w:val="subscript"/>
          <w:lang w:eastAsia="en-AU"/>
        </w:rPr>
        <w:t>10</w:t>
      </w:r>
      <w:r w:rsidR="00450FF6" w:rsidRPr="0093440F">
        <w:rPr>
          <w:rFonts w:ascii="Times New Roman" w:hAnsi="Times New Roman"/>
          <w:color w:val="000000"/>
          <w:lang w:eastAsia="en-AU"/>
        </w:rPr>
        <w:t xml:space="preserve"> IU/mL; </w:t>
      </w:r>
      <w:r w:rsidR="00C461BB" w:rsidRPr="0093440F">
        <w:rPr>
          <w:rFonts w:ascii="Times New Roman" w:hAnsi="Times New Roman"/>
          <w:color w:val="000000"/>
          <w:lang w:eastAsia="en-AU"/>
        </w:rPr>
        <w:t>32</w:t>
      </w:r>
      <w:r w:rsidR="00450FF6" w:rsidRPr="0093440F">
        <w:rPr>
          <w:rFonts w:ascii="Times New Roman" w:hAnsi="Times New Roman"/>
          <w:color w:val="000000"/>
          <w:lang w:eastAsia="en-AU"/>
        </w:rPr>
        <w:t>%</w:t>
      </w:r>
      <w:r w:rsidR="00450FF6" w:rsidRPr="003C23A7">
        <w:rPr>
          <w:rFonts w:ascii="Times New Roman" w:hAnsi="Times New Roman"/>
          <w:color w:val="000000"/>
          <w:lang w:eastAsia="en-AU"/>
        </w:rPr>
        <w:t xml:space="preserve"> of the subjects had </w:t>
      </w:r>
      <w:r w:rsidR="00C461BB">
        <w:rPr>
          <w:rFonts w:ascii="Times New Roman" w:hAnsi="Times New Roman"/>
          <w:color w:val="000000"/>
          <w:lang w:eastAsia="en-AU"/>
        </w:rPr>
        <w:t xml:space="preserve">compensated </w:t>
      </w:r>
      <w:r w:rsidR="00450FF6" w:rsidRPr="003C23A7">
        <w:rPr>
          <w:rFonts w:ascii="Times New Roman" w:hAnsi="Times New Roman"/>
          <w:color w:val="000000"/>
          <w:lang w:eastAsia="en-AU"/>
        </w:rPr>
        <w:t xml:space="preserve">cirrhosis (Child-Pugh A) </w:t>
      </w:r>
      <w:r w:rsidR="00450FF6" w:rsidRPr="003C23A7">
        <w:rPr>
          <w:rFonts w:ascii="Times New Roman" w:hAnsi="Times New Roman"/>
          <w:color w:val="000000"/>
          <w:lang w:eastAsia="en-AU"/>
        </w:rPr>
        <w:lastRenderedPageBreak/>
        <w:t xml:space="preserve">and </w:t>
      </w:r>
      <w:r w:rsidR="00C461BB">
        <w:rPr>
          <w:rFonts w:ascii="Times New Roman" w:hAnsi="Times New Roman"/>
          <w:color w:val="000000"/>
          <w:lang w:eastAsia="en-AU"/>
        </w:rPr>
        <w:t>29</w:t>
      </w:r>
      <w:r w:rsidR="00450FF6" w:rsidRPr="003C23A7">
        <w:rPr>
          <w:rFonts w:ascii="Times New Roman" w:hAnsi="Times New Roman"/>
          <w:color w:val="000000"/>
          <w:lang w:eastAsia="en-AU"/>
        </w:rPr>
        <w:t>% had the IL28B CC genotype.</w:t>
      </w:r>
      <w:r w:rsidR="002311FE">
        <w:rPr>
          <w:rFonts w:ascii="Times New Roman" w:hAnsi="Times New Roman"/>
          <w:color w:val="000000"/>
          <w:lang w:eastAsia="en-AU"/>
        </w:rPr>
        <w:t xml:space="preserve"> </w:t>
      </w:r>
      <w:r w:rsidR="002311FE" w:rsidRPr="002311FE">
        <w:rPr>
          <w:rFonts w:ascii="Times New Roman" w:hAnsi="Times New Roman"/>
        </w:rPr>
        <w:t xml:space="preserve">Baseline characteristics of the 102 placebo-treated subjects were similar to those of subjects treated with </w:t>
      </w:r>
      <w:r w:rsidR="002311FE">
        <w:rPr>
          <w:rFonts w:ascii="Times New Roman" w:hAnsi="Times New Roman"/>
        </w:rPr>
        <w:t>SUNVEPRA</w:t>
      </w:r>
      <w:r w:rsidR="002311FE" w:rsidRPr="002311FE">
        <w:rPr>
          <w:rFonts w:ascii="Times New Roman" w:hAnsi="Times New Roman"/>
        </w:rPr>
        <w:t xml:space="preserve"> in combination with </w:t>
      </w:r>
      <w:r w:rsidR="00644782">
        <w:rPr>
          <w:rFonts w:ascii="Times New Roman" w:hAnsi="Times New Roman"/>
        </w:rPr>
        <w:t>DAKLINZA</w:t>
      </w:r>
      <w:r w:rsidR="002311FE" w:rsidRPr="002311FE">
        <w:rPr>
          <w:rFonts w:ascii="Times New Roman" w:hAnsi="Times New Roman"/>
        </w:rPr>
        <w:t>.</w:t>
      </w:r>
    </w:p>
    <w:p w:rsidR="000F5D7F" w:rsidRPr="003C23A7" w:rsidRDefault="00450FF6" w:rsidP="00E61859">
      <w:pPr>
        <w:spacing w:after="120" w:line="240" w:lineRule="auto"/>
        <w:jc w:val="both"/>
        <w:rPr>
          <w:rFonts w:ascii="Times New Roman" w:hAnsi="Times New Roman"/>
          <w:color w:val="000000"/>
          <w:lang w:eastAsia="en-AU"/>
        </w:rPr>
      </w:pPr>
      <w:r w:rsidRPr="003C23A7">
        <w:rPr>
          <w:rFonts w:ascii="Times New Roman" w:hAnsi="Times New Roman"/>
          <w:color w:val="000000"/>
          <w:lang w:eastAsia="en-AU"/>
        </w:rPr>
        <w:t xml:space="preserve">SVR, the primary endpoint, and outcomes for subjects without SVR in HALLMARK DUAL are shown by patient population in </w:t>
      </w:r>
      <w:r w:rsidRPr="00832CD0">
        <w:rPr>
          <w:rFonts w:ascii="Times New Roman" w:hAnsi="Times New Roman"/>
          <w:color w:val="000000"/>
          <w:lang w:eastAsia="en-AU"/>
        </w:rPr>
        <w:t>Table </w:t>
      </w:r>
      <w:r w:rsidR="002311FE">
        <w:rPr>
          <w:rFonts w:ascii="Times New Roman" w:hAnsi="Times New Roman"/>
          <w:color w:val="000000"/>
          <w:lang w:eastAsia="en-AU"/>
        </w:rPr>
        <w:t>2</w:t>
      </w:r>
      <w:r w:rsidRPr="00832CD0">
        <w:rPr>
          <w:rFonts w:ascii="Times New Roman" w:hAnsi="Times New Roman"/>
          <w:color w:val="000000"/>
          <w:lang w:eastAsia="en-AU"/>
        </w:rPr>
        <w:t>.</w:t>
      </w:r>
      <w:r w:rsidR="009F1E29">
        <w:rPr>
          <w:rFonts w:ascii="Times New Roman" w:hAnsi="Times New Roman"/>
          <w:color w:val="000000"/>
          <w:lang w:eastAsia="en-AU"/>
        </w:rPr>
        <w:t xml:space="preserve"> </w:t>
      </w:r>
      <w:r w:rsidR="009F1E29" w:rsidRPr="009F1E29">
        <w:rPr>
          <w:rFonts w:ascii="Times New Roman" w:hAnsi="Times New Roman"/>
          <w:color w:val="000000"/>
          <w:lang w:eastAsia="en-AU"/>
        </w:rPr>
        <w:t>SVR rates</w:t>
      </w:r>
      <w:r w:rsidR="009F1E29">
        <w:rPr>
          <w:rFonts w:ascii="Times New Roman" w:hAnsi="Times New Roman"/>
          <w:color w:val="000000"/>
          <w:lang w:eastAsia="en-AU"/>
        </w:rPr>
        <w:t xml:space="preserve"> for</w:t>
      </w:r>
      <w:r w:rsidR="009F1E29" w:rsidRPr="009F1E29">
        <w:rPr>
          <w:rFonts w:ascii="Times New Roman" w:hAnsi="Times New Roman"/>
          <w:color w:val="000000"/>
          <w:lang w:eastAsia="en-AU"/>
        </w:rPr>
        <w:t xml:space="preserve"> patients with and without baseline NS5A resistance associated polymorphisms are included in the table. See the prescribing information for </w:t>
      </w:r>
      <w:r w:rsidR="00835D65">
        <w:rPr>
          <w:rFonts w:ascii="Times New Roman" w:hAnsi="Times New Roman"/>
          <w:color w:val="000000"/>
          <w:lang w:eastAsia="en-AU"/>
        </w:rPr>
        <w:t>DAKLINZA</w:t>
      </w:r>
      <w:r w:rsidR="009F1E29" w:rsidRPr="009F1E29">
        <w:rPr>
          <w:rFonts w:ascii="Times New Roman" w:hAnsi="Times New Roman"/>
          <w:color w:val="000000"/>
          <w:lang w:eastAsia="en-AU"/>
        </w:rPr>
        <w:t xml:space="preserve"> for information on the prevalence of these polymorphisms.</w:t>
      </w:r>
    </w:p>
    <w:p w:rsidR="00450FF6" w:rsidRPr="002311FE" w:rsidRDefault="002311FE" w:rsidP="00E61859">
      <w:pPr>
        <w:pStyle w:val="BMSBodyText"/>
        <w:spacing w:before="0" w:line="240" w:lineRule="auto"/>
        <w:rPr>
          <w:b/>
          <w:sz w:val="22"/>
          <w:szCs w:val="22"/>
        </w:rPr>
      </w:pPr>
      <w:bookmarkStart w:id="4" w:name="Table10_TreatmentOutcomesinHAL"/>
      <w:bookmarkEnd w:id="4"/>
      <w:r w:rsidRPr="002311FE">
        <w:rPr>
          <w:b/>
          <w:sz w:val="22"/>
          <w:szCs w:val="22"/>
        </w:rPr>
        <w:t>Table 2:</w:t>
      </w:r>
      <w:r w:rsidRPr="002311FE">
        <w:rPr>
          <w:b/>
          <w:sz w:val="22"/>
          <w:szCs w:val="22"/>
        </w:rPr>
        <w:tab/>
        <w:t xml:space="preserve">Treatment Outcomes in HALLMARK DUAL, SUNVEPRA in Combination with </w:t>
      </w:r>
      <w:r w:rsidR="00644782">
        <w:rPr>
          <w:b/>
          <w:sz w:val="22"/>
          <w:szCs w:val="22"/>
        </w:rPr>
        <w:t>DAKLINZA</w:t>
      </w:r>
      <w:r w:rsidRPr="002311FE">
        <w:rPr>
          <w:b/>
          <w:sz w:val="22"/>
          <w:szCs w:val="22"/>
        </w:rPr>
        <w:t xml:space="preserve"> in Subjects with HCV Genotype 1b Infection</w:t>
      </w:r>
    </w:p>
    <w:tbl>
      <w:tblPr>
        <w:tblW w:w="9576" w:type="dxa"/>
        <w:tblBorders>
          <w:bottom w:val="double" w:sz="6" w:space="0" w:color="auto"/>
        </w:tblBorders>
        <w:tblLayout w:type="fixed"/>
        <w:tblLook w:val="0000" w:firstRow="0" w:lastRow="0" w:firstColumn="0" w:lastColumn="0" w:noHBand="0" w:noVBand="0"/>
      </w:tblPr>
      <w:tblGrid>
        <w:gridCol w:w="2802"/>
        <w:gridCol w:w="1986"/>
        <w:gridCol w:w="2394"/>
        <w:gridCol w:w="2394"/>
      </w:tblGrid>
      <w:tr w:rsidR="002311FE" w:rsidRPr="0005017B" w:rsidTr="002311FE">
        <w:trPr>
          <w:trHeight w:val="1162"/>
          <w:tblHeader/>
        </w:trPr>
        <w:tc>
          <w:tcPr>
            <w:tcW w:w="2802" w:type="dxa"/>
            <w:tcBorders>
              <w:top w:val="double" w:sz="6" w:space="0" w:color="auto"/>
              <w:left w:val="single" w:sz="4" w:space="0" w:color="auto"/>
              <w:right w:val="single" w:sz="4" w:space="0" w:color="auto"/>
            </w:tcBorders>
            <w:shd w:val="clear" w:color="auto" w:fill="auto"/>
            <w:vAlign w:val="bottom"/>
          </w:tcPr>
          <w:p w:rsidR="002311FE" w:rsidRPr="002311FE" w:rsidRDefault="002311FE" w:rsidP="002A1924">
            <w:pPr>
              <w:pStyle w:val="BMSTableHeader"/>
              <w:jc w:val="left"/>
              <w:rPr>
                <w:sz w:val="22"/>
                <w:szCs w:val="22"/>
              </w:rPr>
            </w:pPr>
            <w:r w:rsidRPr="002311FE">
              <w:rPr>
                <w:sz w:val="22"/>
                <w:szCs w:val="22"/>
              </w:rPr>
              <w:t>Treatment outcomes</w:t>
            </w:r>
          </w:p>
        </w:tc>
        <w:tc>
          <w:tcPr>
            <w:tcW w:w="1986" w:type="dxa"/>
            <w:tcBorders>
              <w:top w:val="double" w:sz="6" w:space="0" w:color="auto"/>
              <w:left w:val="single" w:sz="4" w:space="0" w:color="auto"/>
              <w:right w:val="single" w:sz="4" w:space="0" w:color="auto"/>
            </w:tcBorders>
            <w:shd w:val="clear" w:color="auto" w:fill="auto"/>
            <w:vAlign w:val="center"/>
          </w:tcPr>
          <w:p w:rsidR="002311FE" w:rsidRPr="002311FE" w:rsidRDefault="002311FE" w:rsidP="002A1924">
            <w:pPr>
              <w:pStyle w:val="BMSBodyText"/>
              <w:spacing w:after="0" w:line="240" w:lineRule="auto"/>
              <w:jc w:val="center"/>
              <w:rPr>
                <w:b/>
                <w:color w:val="auto"/>
                <w:sz w:val="22"/>
                <w:szCs w:val="22"/>
              </w:rPr>
            </w:pPr>
            <w:r w:rsidRPr="002311FE">
              <w:rPr>
                <w:b/>
                <w:color w:val="auto"/>
                <w:sz w:val="22"/>
                <w:szCs w:val="22"/>
              </w:rPr>
              <w:t>Treatment-Naive</w:t>
            </w:r>
          </w:p>
          <w:p w:rsidR="002311FE" w:rsidRPr="002311FE" w:rsidRDefault="002311FE" w:rsidP="002A1924">
            <w:pPr>
              <w:pStyle w:val="BMSTableHeader"/>
              <w:rPr>
                <w:sz w:val="22"/>
                <w:szCs w:val="22"/>
              </w:rPr>
            </w:pPr>
            <w:r w:rsidRPr="002311FE">
              <w:rPr>
                <w:sz w:val="22"/>
                <w:szCs w:val="22"/>
              </w:rPr>
              <w:t xml:space="preserve">n=203 </w:t>
            </w:r>
          </w:p>
        </w:tc>
        <w:tc>
          <w:tcPr>
            <w:tcW w:w="2394" w:type="dxa"/>
            <w:tcBorders>
              <w:top w:val="double" w:sz="6" w:space="0" w:color="auto"/>
              <w:left w:val="single" w:sz="4" w:space="0" w:color="auto"/>
              <w:right w:val="single" w:sz="4" w:space="0" w:color="auto"/>
            </w:tcBorders>
            <w:shd w:val="clear" w:color="auto" w:fill="auto"/>
          </w:tcPr>
          <w:p w:rsidR="002311FE" w:rsidRPr="002311FE" w:rsidRDefault="002311FE" w:rsidP="002A1924">
            <w:pPr>
              <w:pStyle w:val="BMSTableHeader"/>
              <w:rPr>
                <w:sz w:val="22"/>
                <w:szCs w:val="22"/>
              </w:rPr>
            </w:pPr>
            <w:r w:rsidRPr="002311FE">
              <w:rPr>
                <w:sz w:val="22"/>
                <w:szCs w:val="22"/>
              </w:rPr>
              <w:t>Failed Prior Therapy</w:t>
            </w:r>
          </w:p>
          <w:p w:rsidR="002311FE" w:rsidRPr="002311FE" w:rsidRDefault="002311FE" w:rsidP="002A1924">
            <w:pPr>
              <w:pStyle w:val="BMSBodyText"/>
              <w:spacing w:after="0" w:line="240" w:lineRule="auto"/>
              <w:jc w:val="center"/>
              <w:rPr>
                <w:b/>
                <w:color w:val="auto"/>
                <w:sz w:val="22"/>
                <w:szCs w:val="22"/>
              </w:rPr>
            </w:pPr>
            <w:r w:rsidRPr="002311FE">
              <w:rPr>
                <w:b/>
                <w:color w:val="auto"/>
                <w:sz w:val="22"/>
                <w:szCs w:val="22"/>
              </w:rPr>
              <w:t>(Partial and Null Responders)</w:t>
            </w:r>
          </w:p>
          <w:p w:rsidR="002311FE" w:rsidRPr="002311FE" w:rsidRDefault="002311FE" w:rsidP="002A1924">
            <w:pPr>
              <w:pStyle w:val="BMSTableHeader"/>
              <w:rPr>
                <w:sz w:val="22"/>
                <w:szCs w:val="22"/>
              </w:rPr>
            </w:pPr>
            <w:r w:rsidRPr="002311FE">
              <w:rPr>
                <w:sz w:val="22"/>
                <w:szCs w:val="22"/>
              </w:rPr>
              <w:t>n=205</w:t>
            </w:r>
          </w:p>
        </w:tc>
        <w:tc>
          <w:tcPr>
            <w:tcW w:w="2394" w:type="dxa"/>
            <w:tcBorders>
              <w:top w:val="double" w:sz="6" w:space="0" w:color="auto"/>
              <w:left w:val="single" w:sz="4" w:space="0" w:color="auto"/>
              <w:right w:val="single" w:sz="4" w:space="0" w:color="auto"/>
            </w:tcBorders>
            <w:shd w:val="clear" w:color="auto" w:fill="auto"/>
            <w:vAlign w:val="center"/>
          </w:tcPr>
          <w:p w:rsidR="002311FE" w:rsidRPr="002311FE" w:rsidRDefault="002311FE" w:rsidP="002A1924">
            <w:pPr>
              <w:pStyle w:val="BMSBodyText"/>
              <w:spacing w:after="0" w:line="240" w:lineRule="auto"/>
              <w:jc w:val="center"/>
              <w:rPr>
                <w:rStyle w:val="BMSSuperscript"/>
                <w:b/>
                <w:sz w:val="22"/>
                <w:szCs w:val="22"/>
              </w:rPr>
            </w:pPr>
            <w:r w:rsidRPr="002311FE">
              <w:rPr>
                <w:b/>
                <w:color w:val="auto"/>
                <w:sz w:val="22"/>
                <w:szCs w:val="22"/>
              </w:rPr>
              <w:t>Interferon Intolerant/ Ineligible</w:t>
            </w:r>
          </w:p>
          <w:p w:rsidR="002311FE" w:rsidRPr="002311FE" w:rsidRDefault="002311FE" w:rsidP="002A1924">
            <w:pPr>
              <w:pStyle w:val="BMSTableHeader"/>
              <w:rPr>
                <w:sz w:val="22"/>
                <w:szCs w:val="22"/>
              </w:rPr>
            </w:pPr>
            <w:r w:rsidRPr="002311FE">
              <w:rPr>
                <w:sz w:val="22"/>
                <w:szCs w:val="22"/>
              </w:rPr>
              <w:t>n=235</w:t>
            </w:r>
          </w:p>
        </w:tc>
      </w:tr>
      <w:tr w:rsidR="002311FE" w:rsidRPr="0069776B" w:rsidTr="002311FE">
        <w:tc>
          <w:tcPr>
            <w:tcW w:w="2802" w:type="dxa"/>
            <w:tcBorders>
              <w:top w:val="single" w:sz="6" w:space="0" w:color="auto"/>
              <w:left w:val="single" w:sz="4" w:space="0" w:color="auto"/>
              <w:bottom w:val="nil"/>
              <w:right w:val="single" w:sz="4" w:space="0" w:color="auto"/>
            </w:tcBorders>
            <w:shd w:val="clear" w:color="auto" w:fill="auto"/>
            <w:vAlign w:val="center"/>
          </w:tcPr>
          <w:p w:rsidR="002311FE" w:rsidRPr="000B4998" w:rsidRDefault="002311FE" w:rsidP="008F0F18">
            <w:pPr>
              <w:pStyle w:val="BMSBodyText"/>
              <w:tabs>
                <w:tab w:val="left" w:pos="169"/>
              </w:tabs>
              <w:spacing w:before="0" w:after="0" w:line="240" w:lineRule="auto"/>
              <w:jc w:val="left"/>
              <w:rPr>
                <w:b/>
                <w:color w:val="auto"/>
                <w:sz w:val="22"/>
                <w:szCs w:val="22"/>
                <w:vertAlign w:val="superscript"/>
              </w:rPr>
            </w:pPr>
            <w:r w:rsidRPr="008F0F18">
              <w:rPr>
                <w:b/>
                <w:color w:val="auto"/>
                <w:sz w:val="22"/>
                <w:szCs w:val="22"/>
              </w:rPr>
              <w:t>SVR</w:t>
            </w:r>
            <w:r w:rsidR="003C3BA8">
              <w:rPr>
                <w:b/>
                <w:color w:val="auto"/>
                <w:sz w:val="22"/>
                <w:szCs w:val="22"/>
              </w:rPr>
              <w:t>12</w:t>
            </w:r>
            <w:r w:rsidR="000B4998">
              <w:rPr>
                <w:b/>
                <w:color w:val="auto"/>
                <w:sz w:val="22"/>
                <w:szCs w:val="22"/>
                <w:vertAlign w:val="superscript"/>
              </w:rPr>
              <w:t>a</w:t>
            </w:r>
          </w:p>
          <w:p w:rsidR="008F0F18" w:rsidRPr="008F0F18" w:rsidRDefault="008F0F18" w:rsidP="008F0F18">
            <w:pPr>
              <w:pStyle w:val="BMSBodyText"/>
              <w:tabs>
                <w:tab w:val="left" w:pos="169"/>
              </w:tabs>
              <w:spacing w:before="0" w:after="0" w:line="240" w:lineRule="auto"/>
              <w:jc w:val="left"/>
              <w:rPr>
                <w:color w:val="auto"/>
                <w:sz w:val="22"/>
                <w:szCs w:val="22"/>
              </w:rPr>
            </w:pPr>
            <w:r w:rsidRPr="008F0F18">
              <w:rPr>
                <w:color w:val="auto"/>
                <w:sz w:val="22"/>
                <w:szCs w:val="22"/>
              </w:rPr>
              <w:t>All</w:t>
            </w:r>
          </w:p>
        </w:tc>
        <w:tc>
          <w:tcPr>
            <w:tcW w:w="1986" w:type="dxa"/>
            <w:tcBorders>
              <w:top w:val="single" w:sz="6" w:space="0" w:color="auto"/>
              <w:left w:val="single" w:sz="4" w:space="0" w:color="auto"/>
              <w:bottom w:val="nil"/>
              <w:right w:val="single" w:sz="4" w:space="0" w:color="auto"/>
            </w:tcBorders>
            <w:shd w:val="clear" w:color="auto" w:fill="auto"/>
          </w:tcPr>
          <w:p w:rsidR="008F0F18" w:rsidRDefault="008F0F18" w:rsidP="008F0F18">
            <w:pPr>
              <w:pStyle w:val="BMSBodyText"/>
              <w:spacing w:before="0" w:after="0" w:line="240" w:lineRule="auto"/>
              <w:jc w:val="center"/>
              <w:rPr>
                <w:color w:val="auto"/>
                <w:sz w:val="22"/>
                <w:szCs w:val="22"/>
              </w:rPr>
            </w:pPr>
          </w:p>
          <w:p w:rsidR="002311FE" w:rsidRPr="002311FE" w:rsidRDefault="002311FE" w:rsidP="008F0F18">
            <w:pPr>
              <w:pStyle w:val="BMSBodyText"/>
              <w:spacing w:before="0" w:after="0" w:line="240" w:lineRule="auto"/>
              <w:jc w:val="center"/>
              <w:rPr>
                <w:color w:val="auto"/>
                <w:sz w:val="22"/>
                <w:szCs w:val="22"/>
              </w:rPr>
            </w:pPr>
            <w:r w:rsidRPr="002311FE">
              <w:rPr>
                <w:color w:val="auto"/>
                <w:sz w:val="22"/>
                <w:szCs w:val="22"/>
              </w:rPr>
              <w:t>91% (184/203)</w:t>
            </w:r>
          </w:p>
        </w:tc>
        <w:tc>
          <w:tcPr>
            <w:tcW w:w="2394" w:type="dxa"/>
            <w:tcBorders>
              <w:top w:val="single" w:sz="6" w:space="0" w:color="auto"/>
              <w:left w:val="single" w:sz="4" w:space="0" w:color="auto"/>
              <w:bottom w:val="nil"/>
              <w:right w:val="single" w:sz="4" w:space="0" w:color="auto"/>
            </w:tcBorders>
            <w:shd w:val="clear" w:color="auto" w:fill="auto"/>
          </w:tcPr>
          <w:p w:rsidR="008F0F18" w:rsidRDefault="008F0F18" w:rsidP="008F0F18">
            <w:pPr>
              <w:pStyle w:val="BMSBodyText"/>
              <w:spacing w:before="0" w:after="0" w:line="240" w:lineRule="auto"/>
              <w:jc w:val="center"/>
              <w:rPr>
                <w:color w:val="auto"/>
                <w:sz w:val="22"/>
                <w:szCs w:val="22"/>
              </w:rPr>
            </w:pPr>
          </w:p>
          <w:p w:rsidR="002311FE" w:rsidRPr="002311FE" w:rsidRDefault="002311FE" w:rsidP="008F0F18">
            <w:pPr>
              <w:pStyle w:val="BMSBodyText"/>
              <w:spacing w:before="0" w:after="0" w:line="240" w:lineRule="auto"/>
              <w:jc w:val="center"/>
              <w:rPr>
                <w:color w:val="0070C0"/>
                <w:sz w:val="22"/>
                <w:szCs w:val="22"/>
              </w:rPr>
            </w:pPr>
            <w:r w:rsidRPr="002311FE">
              <w:rPr>
                <w:color w:val="auto"/>
                <w:sz w:val="22"/>
                <w:szCs w:val="22"/>
              </w:rPr>
              <w:t>82% (169/205)</w:t>
            </w:r>
          </w:p>
        </w:tc>
        <w:tc>
          <w:tcPr>
            <w:tcW w:w="2394" w:type="dxa"/>
            <w:tcBorders>
              <w:top w:val="single" w:sz="6" w:space="0" w:color="auto"/>
              <w:left w:val="single" w:sz="4" w:space="0" w:color="auto"/>
              <w:bottom w:val="nil"/>
              <w:right w:val="single" w:sz="4" w:space="0" w:color="auto"/>
            </w:tcBorders>
            <w:shd w:val="clear" w:color="auto" w:fill="auto"/>
          </w:tcPr>
          <w:p w:rsidR="008F0F18" w:rsidRDefault="008F0F18" w:rsidP="008F0F18">
            <w:pPr>
              <w:pStyle w:val="BMSBodyText"/>
              <w:spacing w:before="0" w:after="0" w:line="240" w:lineRule="auto"/>
              <w:jc w:val="center"/>
              <w:rPr>
                <w:sz w:val="22"/>
                <w:szCs w:val="22"/>
              </w:rPr>
            </w:pPr>
          </w:p>
          <w:p w:rsidR="002311FE" w:rsidRPr="002311FE" w:rsidRDefault="002311FE" w:rsidP="008F0F18">
            <w:pPr>
              <w:pStyle w:val="BMSBodyText"/>
              <w:spacing w:before="0" w:after="0" w:line="240" w:lineRule="auto"/>
              <w:jc w:val="center"/>
              <w:rPr>
                <w:sz w:val="22"/>
                <w:szCs w:val="22"/>
              </w:rPr>
            </w:pPr>
            <w:r w:rsidRPr="002311FE">
              <w:rPr>
                <w:sz w:val="22"/>
                <w:szCs w:val="22"/>
              </w:rPr>
              <w:t>83% (194/235)</w:t>
            </w:r>
          </w:p>
        </w:tc>
      </w:tr>
      <w:tr w:rsidR="00835D65" w:rsidRPr="00835D65" w:rsidTr="002311FE">
        <w:tc>
          <w:tcPr>
            <w:tcW w:w="2802" w:type="dxa"/>
            <w:tcBorders>
              <w:top w:val="nil"/>
              <w:left w:val="single" w:sz="4" w:space="0" w:color="auto"/>
              <w:bottom w:val="single" w:sz="6" w:space="0" w:color="auto"/>
              <w:right w:val="single" w:sz="4" w:space="0" w:color="auto"/>
            </w:tcBorders>
            <w:shd w:val="clear" w:color="auto" w:fill="auto"/>
          </w:tcPr>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ab/>
              <w:t>With Y93H or L31F/I/M/Vb</w:t>
            </w:r>
          </w:p>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ab/>
              <w:t>Without Y93H or L31F/I/M/V</w:t>
            </w:r>
          </w:p>
        </w:tc>
        <w:tc>
          <w:tcPr>
            <w:tcW w:w="1986" w:type="dxa"/>
            <w:tcBorders>
              <w:top w:val="nil"/>
              <w:left w:val="single" w:sz="4" w:space="0" w:color="auto"/>
              <w:bottom w:val="single" w:sz="6" w:space="0" w:color="auto"/>
              <w:right w:val="single" w:sz="4" w:space="0" w:color="auto"/>
            </w:tcBorders>
            <w:shd w:val="clear" w:color="auto" w:fill="auto"/>
          </w:tcPr>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59% (10/17)</w:t>
            </w:r>
          </w:p>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96% (162/169)</w:t>
            </w:r>
          </w:p>
        </w:tc>
        <w:tc>
          <w:tcPr>
            <w:tcW w:w="2394" w:type="dxa"/>
            <w:tcBorders>
              <w:top w:val="nil"/>
              <w:left w:val="single" w:sz="4" w:space="0" w:color="auto"/>
              <w:bottom w:val="single" w:sz="6" w:space="0" w:color="auto"/>
              <w:right w:val="single" w:sz="4" w:space="0" w:color="auto"/>
            </w:tcBorders>
            <w:shd w:val="clear" w:color="auto" w:fill="auto"/>
          </w:tcPr>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28% (7/25)</w:t>
            </w:r>
          </w:p>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92% (151/165)</w:t>
            </w:r>
          </w:p>
        </w:tc>
        <w:tc>
          <w:tcPr>
            <w:tcW w:w="2394" w:type="dxa"/>
            <w:tcBorders>
              <w:top w:val="nil"/>
              <w:left w:val="single" w:sz="4" w:space="0" w:color="auto"/>
              <w:bottom w:val="single" w:sz="6" w:space="0" w:color="auto"/>
              <w:right w:val="single" w:sz="4" w:space="0" w:color="auto"/>
            </w:tcBorders>
            <w:shd w:val="clear" w:color="auto" w:fill="auto"/>
          </w:tcPr>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37% (11/30)</w:t>
            </w:r>
          </w:p>
          <w:p w:rsidR="00835D65" w:rsidRPr="00F9148D" w:rsidRDefault="00835D65" w:rsidP="00F9148D">
            <w:pPr>
              <w:pStyle w:val="BMSBodyText"/>
              <w:spacing w:after="0" w:line="240" w:lineRule="auto"/>
              <w:jc w:val="center"/>
              <w:rPr>
                <w:color w:val="auto"/>
                <w:sz w:val="22"/>
                <w:szCs w:val="22"/>
              </w:rPr>
            </w:pPr>
            <w:r w:rsidRPr="00F9148D">
              <w:rPr>
                <w:color w:val="auto"/>
                <w:sz w:val="22"/>
                <w:szCs w:val="22"/>
              </w:rPr>
              <w:t>90% (172/191)</w:t>
            </w:r>
          </w:p>
        </w:tc>
      </w:tr>
      <w:tr w:rsidR="002311FE" w:rsidRPr="0069776B" w:rsidTr="002311FE">
        <w:tc>
          <w:tcPr>
            <w:tcW w:w="2802" w:type="dxa"/>
            <w:tcBorders>
              <w:top w:val="nil"/>
              <w:left w:val="single" w:sz="4" w:space="0" w:color="auto"/>
              <w:bottom w:val="single" w:sz="6" w:space="0" w:color="auto"/>
              <w:right w:val="single" w:sz="4" w:space="0" w:color="auto"/>
            </w:tcBorders>
            <w:shd w:val="clear" w:color="auto" w:fill="auto"/>
          </w:tcPr>
          <w:p w:rsidR="002311FE" w:rsidRPr="002311FE" w:rsidRDefault="002311FE" w:rsidP="008F0F18">
            <w:pPr>
              <w:pStyle w:val="BMSBodyText"/>
              <w:tabs>
                <w:tab w:val="left" w:pos="169"/>
              </w:tabs>
              <w:spacing w:after="0" w:line="240" w:lineRule="auto"/>
              <w:rPr>
                <w:color w:val="auto"/>
                <w:sz w:val="22"/>
                <w:szCs w:val="22"/>
              </w:rPr>
            </w:pPr>
            <w:r w:rsidRPr="002311FE">
              <w:rPr>
                <w:color w:val="auto"/>
                <w:sz w:val="22"/>
                <w:szCs w:val="22"/>
              </w:rPr>
              <w:t>With cirrhosis</w:t>
            </w:r>
          </w:p>
          <w:p w:rsidR="002311FE" w:rsidRPr="002311FE" w:rsidRDefault="002311FE" w:rsidP="008F0F18">
            <w:pPr>
              <w:pStyle w:val="BMSBodyText"/>
              <w:tabs>
                <w:tab w:val="left" w:pos="169"/>
              </w:tabs>
              <w:spacing w:after="0" w:line="240" w:lineRule="auto"/>
              <w:rPr>
                <w:color w:val="auto"/>
                <w:sz w:val="22"/>
                <w:szCs w:val="22"/>
              </w:rPr>
            </w:pPr>
            <w:r w:rsidRPr="002311FE">
              <w:rPr>
                <w:color w:val="auto"/>
                <w:sz w:val="22"/>
                <w:szCs w:val="22"/>
              </w:rPr>
              <w:t>No cirrhosis</w:t>
            </w:r>
          </w:p>
        </w:tc>
        <w:tc>
          <w:tcPr>
            <w:tcW w:w="1986" w:type="dxa"/>
            <w:tcBorders>
              <w:top w:val="nil"/>
              <w:left w:val="single" w:sz="4" w:space="0" w:color="auto"/>
              <w:bottom w:val="single" w:sz="6" w:space="0" w:color="auto"/>
              <w:right w:val="single" w:sz="4" w:space="0" w:color="auto"/>
            </w:tcBorders>
            <w:shd w:val="clear" w:color="auto" w:fill="auto"/>
          </w:tcPr>
          <w:p w:rsidR="002311FE" w:rsidRPr="002311FE" w:rsidRDefault="002311FE" w:rsidP="008F0F18">
            <w:pPr>
              <w:pStyle w:val="BMSBodyText"/>
              <w:spacing w:after="0" w:line="240" w:lineRule="auto"/>
              <w:jc w:val="center"/>
              <w:rPr>
                <w:color w:val="auto"/>
                <w:sz w:val="22"/>
                <w:szCs w:val="22"/>
              </w:rPr>
            </w:pPr>
            <w:r w:rsidRPr="002311FE">
              <w:rPr>
                <w:color w:val="auto"/>
                <w:sz w:val="22"/>
                <w:szCs w:val="22"/>
              </w:rPr>
              <w:t>91% (29/32)</w:t>
            </w:r>
          </w:p>
          <w:p w:rsidR="002311FE" w:rsidRPr="002311FE" w:rsidRDefault="002311FE" w:rsidP="008F0F18">
            <w:pPr>
              <w:pStyle w:val="BMSBodyText"/>
              <w:spacing w:after="0" w:line="240" w:lineRule="auto"/>
              <w:jc w:val="center"/>
              <w:rPr>
                <w:color w:val="auto"/>
                <w:sz w:val="22"/>
                <w:szCs w:val="22"/>
              </w:rPr>
            </w:pPr>
            <w:r w:rsidRPr="002311FE">
              <w:rPr>
                <w:color w:val="auto"/>
                <w:sz w:val="22"/>
                <w:szCs w:val="22"/>
              </w:rPr>
              <w:t>91% (155/171)</w:t>
            </w:r>
          </w:p>
        </w:tc>
        <w:tc>
          <w:tcPr>
            <w:tcW w:w="2394" w:type="dxa"/>
            <w:tcBorders>
              <w:top w:val="nil"/>
              <w:left w:val="single" w:sz="4" w:space="0" w:color="auto"/>
              <w:bottom w:val="single" w:sz="6" w:space="0" w:color="auto"/>
              <w:right w:val="single" w:sz="4" w:space="0" w:color="auto"/>
            </w:tcBorders>
            <w:shd w:val="clear" w:color="auto" w:fill="auto"/>
          </w:tcPr>
          <w:p w:rsidR="002311FE" w:rsidRPr="002311FE" w:rsidRDefault="002311FE" w:rsidP="008F0F18">
            <w:pPr>
              <w:pStyle w:val="BMSBodyText"/>
              <w:spacing w:after="0" w:line="240" w:lineRule="auto"/>
              <w:jc w:val="center"/>
              <w:rPr>
                <w:color w:val="auto"/>
                <w:sz w:val="22"/>
                <w:szCs w:val="22"/>
              </w:rPr>
            </w:pPr>
            <w:r w:rsidRPr="002311FE">
              <w:rPr>
                <w:color w:val="auto"/>
                <w:sz w:val="22"/>
                <w:szCs w:val="22"/>
              </w:rPr>
              <w:t>87% (55/63)</w:t>
            </w:r>
          </w:p>
          <w:p w:rsidR="002311FE" w:rsidRPr="002311FE" w:rsidRDefault="002311FE" w:rsidP="008F0F18">
            <w:pPr>
              <w:pStyle w:val="BMSBodyText"/>
              <w:spacing w:after="0" w:line="240" w:lineRule="auto"/>
              <w:jc w:val="center"/>
              <w:rPr>
                <w:color w:val="0070C0"/>
                <w:sz w:val="22"/>
                <w:szCs w:val="22"/>
              </w:rPr>
            </w:pPr>
            <w:r w:rsidRPr="002311FE">
              <w:rPr>
                <w:color w:val="auto"/>
                <w:sz w:val="22"/>
                <w:szCs w:val="22"/>
              </w:rPr>
              <w:t>80% (114/142)</w:t>
            </w:r>
          </w:p>
        </w:tc>
        <w:tc>
          <w:tcPr>
            <w:tcW w:w="2394" w:type="dxa"/>
            <w:tcBorders>
              <w:top w:val="nil"/>
              <w:left w:val="single" w:sz="4" w:space="0" w:color="auto"/>
              <w:bottom w:val="single" w:sz="6" w:space="0" w:color="auto"/>
              <w:right w:val="single" w:sz="4" w:space="0" w:color="auto"/>
            </w:tcBorders>
            <w:shd w:val="clear" w:color="auto" w:fill="auto"/>
          </w:tcPr>
          <w:p w:rsidR="002311FE" w:rsidRPr="002311FE" w:rsidRDefault="002311FE" w:rsidP="008F0F18">
            <w:pPr>
              <w:pStyle w:val="BMSBodyText"/>
              <w:spacing w:after="0" w:line="240" w:lineRule="auto"/>
              <w:jc w:val="center"/>
              <w:rPr>
                <w:sz w:val="22"/>
                <w:szCs w:val="22"/>
              </w:rPr>
            </w:pPr>
            <w:r w:rsidRPr="002311FE">
              <w:rPr>
                <w:sz w:val="22"/>
                <w:szCs w:val="22"/>
              </w:rPr>
              <w:t>81% (90/111)</w:t>
            </w:r>
          </w:p>
          <w:p w:rsidR="002311FE" w:rsidRPr="002311FE" w:rsidRDefault="002311FE" w:rsidP="008F0F18">
            <w:pPr>
              <w:pStyle w:val="BMSBodyText"/>
              <w:spacing w:after="0" w:line="240" w:lineRule="auto"/>
              <w:jc w:val="center"/>
              <w:rPr>
                <w:sz w:val="22"/>
                <w:szCs w:val="22"/>
              </w:rPr>
            </w:pPr>
            <w:r w:rsidRPr="002311FE">
              <w:rPr>
                <w:sz w:val="22"/>
                <w:szCs w:val="22"/>
              </w:rPr>
              <w:t>84% (104/124)</w:t>
            </w:r>
          </w:p>
        </w:tc>
      </w:tr>
      <w:tr w:rsidR="002311FE" w:rsidRPr="00B45C83" w:rsidTr="002311FE">
        <w:tc>
          <w:tcPr>
            <w:tcW w:w="2802" w:type="dxa"/>
            <w:tcBorders>
              <w:top w:val="single" w:sz="6" w:space="0" w:color="auto"/>
              <w:left w:val="single" w:sz="4" w:space="0" w:color="auto"/>
              <w:bottom w:val="nil"/>
              <w:right w:val="single" w:sz="4" w:space="0" w:color="auto"/>
            </w:tcBorders>
            <w:shd w:val="clear" w:color="auto" w:fill="auto"/>
          </w:tcPr>
          <w:p w:rsidR="008F0F18" w:rsidRDefault="008F0F18" w:rsidP="008F0F18">
            <w:pPr>
              <w:pStyle w:val="BMSBodyText"/>
              <w:spacing w:after="0" w:line="240" w:lineRule="auto"/>
              <w:jc w:val="left"/>
              <w:rPr>
                <w:color w:val="auto"/>
                <w:sz w:val="22"/>
                <w:szCs w:val="22"/>
              </w:rPr>
            </w:pPr>
            <w:r w:rsidRPr="002311FE">
              <w:rPr>
                <w:b/>
                <w:sz w:val="22"/>
                <w:szCs w:val="22"/>
              </w:rPr>
              <w:t>Outcomes for subjects without SVR</w:t>
            </w:r>
          </w:p>
          <w:p w:rsidR="002311FE" w:rsidRPr="002311FE" w:rsidRDefault="002311FE" w:rsidP="000B4998">
            <w:pPr>
              <w:pStyle w:val="BMSBodyText"/>
              <w:spacing w:line="240" w:lineRule="auto"/>
              <w:jc w:val="left"/>
              <w:rPr>
                <w:rStyle w:val="BMSSuperscript"/>
                <w:color w:val="auto"/>
                <w:sz w:val="22"/>
                <w:szCs w:val="22"/>
              </w:rPr>
            </w:pPr>
            <w:r w:rsidRPr="002311FE">
              <w:rPr>
                <w:color w:val="auto"/>
                <w:sz w:val="22"/>
                <w:szCs w:val="22"/>
              </w:rPr>
              <w:t xml:space="preserve">On-treatment virologic </w:t>
            </w:r>
            <w:r w:rsidR="000B4998" w:rsidRPr="002311FE">
              <w:rPr>
                <w:color w:val="auto"/>
                <w:sz w:val="22"/>
                <w:szCs w:val="22"/>
              </w:rPr>
              <w:t>failure</w:t>
            </w:r>
            <w:r w:rsidR="00835D65">
              <w:rPr>
                <w:rStyle w:val="BMSTableNote"/>
                <w:sz w:val="22"/>
                <w:szCs w:val="22"/>
              </w:rPr>
              <w:t>c</w:t>
            </w:r>
          </w:p>
        </w:tc>
        <w:tc>
          <w:tcPr>
            <w:tcW w:w="1986" w:type="dxa"/>
            <w:tcBorders>
              <w:top w:val="single" w:sz="6" w:space="0" w:color="auto"/>
              <w:left w:val="single" w:sz="4" w:space="0" w:color="auto"/>
              <w:bottom w:val="nil"/>
              <w:right w:val="single" w:sz="4" w:space="0" w:color="auto"/>
            </w:tcBorders>
            <w:shd w:val="clear" w:color="auto" w:fill="auto"/>
          </w:tcPr>
          <w:p w:rsidR="008F0F18" w:rsidRDefault="008F0F18" w:rsidP="002A1924">
            <w:pPr>
              <w:pStyle w:val="BMSBodyText"/>
              <w:jc w:val="center"/>
              <w:rPr>
                <w:color w:val="auto"/>
                <w:sz w:val="22"/>
                <w:szCs w:val="22"/>
              </w:rPr>
            </w:pPr>
          </w:p>
          <w:p w:rsidR="008F0F18" w:rsidRDefault="008F0F18" w:rsidP="002A1924">
            <w:pPr>
              <w:pStyle w:val="BMSBodyText"/>
              <w:jc w:val="center"/>
              <w:rPr>
                <w:color w:val="auto"/>
                <w:sz w:val="22"/>
                <w:szCs w:val="22"/>
              </w:rPr>
            </w:pPr>
          </w:p>
          <w:p w:rsidR="002311FE" w:rsidRPr="002311FE" w:rsidRDefault="002311FE" w:rsidP="002A1924">
            <w:pPr>
              <w:pStyle w:val="BMSBodyText"/>
              <w:jc w:val="center"/>
              <w:rPr>
                <w:color w:val="auto"/>
                <w:sz w:val="22"/>
                <w:szCs w:val="22"/>
              </w:rPr>
            </w:pPr>
            <w:r w:rsidRPr="002311FE">
              <w:rPr>
                <w:color w:val="auto"/>
                <w:sz w:val="22"/>
                <w:szCs w:val="22"/>
              </w:rPr>
              <w:t>6% (12/203)</w:t>
            </w:r>
          </w:p>
        </w:tc>
        <w:tc>
          <w:tcPr>
            <w:tcW w:w="2394" w:type="dxa"/>
            <w:tcBorders>
              <w:top w:val="single" w:sz="6" w:space="0" w:color="auto"/>
              <w:left w:val="single" w:sz="4" w:space="0" w:color="auto"/>
              <w:bottom w:val="nil"/>
              <w:right w:val="single" w:sz="4" w:space="0" w:color="auto"/>
            </w:tcBorders>
            <w:shd w:val="clear" w:color="auto" w:fill="auto"/>
          </w:tcPr>
          <w:p w:rsidR="008F0F18" w:rsidRDefault="008F0F18" w:rsidP="002A1924">
            <w:pPr>
              <w:pStyle w:val="BMSTableText"/>
              <w:rPr>
                <w:sz w:val="22"/>
                <w:szCs w:val="22"/>
              </w:rPr>
            </w:pPr>
          </w:p>
          <w:p w:rsidR="008F0F18" w:rsidRDefault="008F0F18" w:rsidP="002A1924">
            <w:pPr>
              <w:pStyle w:val="BMSTableText"/>
              <w:rPr>
                <w:sz w:val="22"/>
                <w:szCs w:val="22"/>
              </w:rPr>
            </w:pPr>
          </w:p>
          <w:p w:rsidR="008F0F18" w:rsidRDefault="008F0F18" w:rsidP="002A1924">
            <w:pPr>
              <w:pStyle w:val="BMSTableText"/>
              <w:rPr>
                <w:sz w:val="22"/>
                <w:szCs w:val="22"/>
              </w:rPr>
            </w:pPr>
          </w:p>
          <w:p w:rsidR="002311FE" w:rsidRPr="002311FE" w:rsidRDefault="002311FE" w:rsidP="002A1924">
            <w:pPr>
              <w:pStyle w:val="BMSTableText"/>
              <w:rPr>
                <w:sz w:val="22"/>
                <w:szCs w:val="22"/>
              </w:rPr>
            </w:pPr>
            <w:r w:rsidRPr="002311FE">
              <w:rPr>
                <w:sz w:val="22"/>
                <w:szCs w:val="22"/>
              </w:rPr>
              <w:t>14% (29/205)</w:t>
            </w:r>
          </w:p>
        </w:tc>
        <w:tc>
          <w:tcPr>
            <w:tcW w:w="2394" w:type="dxa"/>
            <w:tcBorders>
              <w:top w:val="single" w:sz="6" w:space="0" w:color="auto"/>
              <w:left w:val="single" w:sz="4" w:space="0" w:color="auto"/>
              <w:bottom w:val="nil"/>
              <w:right w:val="single" w:sz="4" w:space="0" w:color="auto"/>
            </w:tcBorders>
            <w:shd w:val="clear" w:color="auto" w:fill="auto"/>
          </w:tcPr>
          <w:p w:rsidR="008F0F18" w:rsidRDefault="008F0F18" w:rsidP="002A1924">
            <w:pPr>
              <w:pStyle w:val="BMSTableText"/>
              <w:rPr>
                <w:sz w:val="22"/>
                <w:szCs w:val="22"/>
              </w:rPr>
            </w:pPr>
          </w:p>
          <w:p w:rsidR="008F0F18" w:rsidRDefault="008F0F18" w:rsidP="002A1924">
            <w:pPr>
              <w:pStyle w:val="BMSTableText"/>
              <w:rPr>
                <w:sz w:val="22"/>
                <w:szCs w:val="22"/>
              </w:rPr>
            </w:pPr>
          </w:p>
          <w:p w:rsidR="008F0F18" w:rsidRDefault="008F0F18" w:rsidP="002A1924">
            <w:pPr>
              <w:pStyle w:val="BMSTableText"/>
              <w:rPr>
                <w:sz w:val="22"/>
                <w:szCs w:val="22"/>
              </w:rPr>
            </w:pPr>
          </w:p>
          <w:p w:rsidR="002311FE" w:rsidRPr="002311FE" w:rsidRDefault="002311FE" w:rsidP="008F0F18">
            <w:pPr>
              <w:pStyle w:val="BMSTableText"/>
              <w:rPr>
                <w:sz w:val="22"/>
                <w:szCs w:val="22"/>
              </w:rPr>
            </w:pPr>
            <w:r w:rsidRPr="002311FE">
              <w:rPr>
                <w:sz w:val="22"/>
                <w:szCs w:val="22"/>
              </w:rPr>
              <w:t>12% (28/235)</w:t>
            </w:r>
          </w:p>
        </w:tc>
      </w:tr>
      <w:tr w:rsidR="002311FE" w:rsidRPr="00AD10CC" w:rsidTr="002311FE">
        <w:tc>
          <w:tcPr>
            <w:tcW w:w="2802" w:type="dxa"/>
            <w:tcBorders>
              <w:left w:val="single" w:sz="4" w:space="0" w:color="auto"/>
              <w:bottom w:val="nil"/>
              <w:right w:val="single" w:sz="4" w:space="0" w:color="auto"/>
            </w:tcBorders>
            <w:shd w:val="clear" w:color="auto" w:fill="auto"/>
          </w:tcPr>
          <w:p w:rsidR="002311FE" w:rsidRPr="002311FE" w:rsidRDefault="000B4998" w:rsidP="000B4998">
            <w:pPr>
              <w:pStyle w:val="BMSBodyText"/>
              <w:spacing w:line="240" w:lineRule="auto"/>
              <w:jc w:val="left"/>
              <w:rPr>
                <w:rStyle w:val="BMSSuperscript"/>
                <w:color w:val="auto"/>
                <w:sz w:val="22"/>
                <w:szCs w:val="22"/>
              </w:rPr>
            </w:pPr>
            <w:r w:rsidRPr="002311FE">
              <w:rPr>
                <w:color w:val="auto"/>
                <w:sz w:val="22"/>
                <w:szCs w:val="22"/>
              </w:rPr>
              <w:t>Relapse</w:t>
            </w:r>
            <w:r w:rsidR="00835D65">
              <w:rPr>
                <w:rStyle w:val="BMSTableNote"/>
                <w:sz w:val="22"/>
                <w:szCs w:val="22"/>
              </w:rPr>
              <w:t>d</w:t>
            </w:r>
          </w:p>
        </w:tc>
        <w:tc>
          <w:tcPr>
            <w:tcW w:w="1986" w:type="dxa"/>
            <w:tcBorders>
              <w:left w:val="single" w:sz="4" w:space="0" w:color="auto"/>
              <w:bottom w:val="nil"/>
              <w:right w:val="single" w:sz="4" w:space="0" w:color="auto"/>
            </w:tcBorders>
            <w:shd w:val="clear" w:color="auto" w:fill="auto"/>
          </w:tcPr>
          <w:p w:rsidR="002311FE" w:rsidRPr="002311FE" w:rsidRDefault="002311FE" w:rsidP="002A1924">
            <w:pPr>
              <w:pStyle w:val="BMSBodyText"/>
              <w:jc w:val="center"/>
              <w:rPr>
                <w:color w:val="auto"/>
                <w:sz w:val="22"/>
                <w:szCs w:val="22"/>
              </w:rPr>
            </w:pPr>
            <w:r w:rsidRPr="002311FE">
              <w:rPr>
                <w:color w:val="auto"/>
                <w:sz w:val="22"/>
                <w:szCs w:val="22"/>
              </w:rPr>
              <w:t>3% (5/189)</w:t>
            </w:r>
          </w:p>
        </w:tc>
        <w:tc>
          <w:tcPr>
            <w:tcW w:w="2394" w:type="dxa"/>
            <w:tcBorders>
              <w:left w:val="single" w:sz="4" w:space="0" w:color="auto"/>
              <w:bottom w:val="nil"/>
              <w:right w:val="single" w:sz="4" w:space="0" w:color="auto"/>
            </w:tcBorders>
            <w:shd w:val="clear" w:color="auto" w:fill="auto"/>
          </w:tcPr>
          <w:p w:rsidR="002311FE" w:rsidRPr="002311FE" w:rsidRDefault="002311FE" w:rsidP="002A1924">
            <w:pPr>
              <w:pStyle w:val="BMSTableText"/>
              <w:rPr>
                <w:color w:val="0000FF"/>
                <w:sz w:val="22"/>
                <w:szCs w:val="22"/>
              </w:rPr>
            </w:pPr>
            <w:r w:rsidRPr="002311FE">
              <w:rPr>
                <w:sz w:val="22"/>
                <w:szCs w:val="22"/>
              </w:rPr>
              <w:t>4% (7/174)</w:t>
            </w:r>
          </w:p>
        </w:tc>
        <w:tc>
          <w:tcPr>
            <w:tcW w:w="2394" w:type="dxa"/>
            <w:tcBorders>
              <w:left w:val="single" w:sz="4" w:space="0" w:color="auto"/>
              <w:bottom w:val="nil"/>
              <w:right w:val="single" w:sz="4" w:space="0" w:color="auto"/>
            </w:tcBorders>
            <w:shd w:val="clear" w:color="auto" w:fill="auto"/>
          </w:tcPr>
          <w:p w:rsidR="002311FE" w:rsidRPr="002311FE" w:rsidRDefault="002311FE" w:rsidP="002A1924">
            <w:pPr>
              <w:pStyle w:val="BMSTableText"/>
              <w:rPr>
                <w:sz w:val="22"/>
                <w:szCs w:val="22"/>
              </w:rPr>
            </w:pPr>
            <w:r w:rsidRPr="002311FE">
              <w:rPr>
                <w:sz w:val="22"/>
                <w:szCs w:val="22"/>
              </w:rPr>
              <w:t>6% (12/204)</w:t>
            </w:r>
          </w:p>
        </w:tc>
      </w:tr>
      <w:tr w:rsidR="002311FE" w:rsidTr="002311FE">
        <w:tc>
          <w:tcPr>
            <w:tcW w:w="2802" w:type="dxa"/>
            <w:tcBorders>
              <w:left w:val="single" w:sz="4" w:space="0" w:color="auto"/>
              <w:bottom w:val="double" w:sz="6" w:space="0" w:color="auto"/>
              <w:right w:val="single" w:sz="4" w:space="0" w:color="auto"/>
            </w:tcBorders>
            <w:shd w:val="clear" w:color="auto" w:fill="auto"/>
          </w:tcPr>
          <w:p w:rsidR="002311FE" w:rsidRPr="002311FE" w:rsidRDefault="002311FE" w:rsidP="002A1924">
            <w:pPr>
              <w:pStyle w:val="BMSBodyText"/>
              <w:spacing w:line="240" w:lineRule="auto"/>
              <w:jc w:val="left"/>
              <w:rPr>
                <w:color w:val="auto"/>
                <w:sz w:val="22"/>
                <w:szCs w:val="22"/>
              </w:rPr>
            </w:pPr>
            <w:r w:rsidRPr="002311FE">
              <w:rPr>
                <w:sz w:val="22"/>
                <w:szCs w:val="22"/>
              </w:rPr>
              <w:t>Missing post-treatment data</w:t>
            </w:r>
          </w:p>
        </w:tc>
        <w:tc>
          <w:tcPr>
            <w:tcW w:w="1986" w:type="dxa"/>
            <w:tcBorders>
              <w:left w:val="single" w:sz="4" w:space="0" w:color="auto"/>
              <w:bottom w:val="double" w:sz="6" w:space="0" w:color="auto"/>
              <w:right w:val="single" w:sz="4" w:space="0" w:color="auto"/>
            </w:tcBorders>
            <w:shd w:val="clear" w:color="auto" w:fill="auto"/>
          </w:tcPr>
          <w:p w:rsidR="002311FE" w:rsidRPr="002311FE" w:rsidRDefault="002311FE" w:rsidP="002A1924">
            <w:pPr>
              <w:pStyle w:val="BMSBodyText"/>
              <w:jc w:val="center"/>
              <w:rPr>
                <w:color w:val="auto"/>
                <w:sz w:val="22"/>
                <w:szCs w:val="22"/>
              </w:rPr>
            </w:pPr>
            <w:r w:rsidRPr="002311FE">
              <w:rPr>
                <w:color w:val="auto"/>
                <w:sz w:val="22"/>
                <w:szCs w:val="22"/>
              </w:rPr>
              <w:t>1% (2/203)</w:t>
            </w:r>
          </w:p>
        </w:tc>
        <w:tc>
          <w:tcPr>
            <w:tcW w:w="2394" w:type="dxa"/>
            <w:tcBorders>
              <w:left w:val="single" w:sz="4" w:space="0" w:color="auto"/>
              <w:bottom w:val="double" w:sz="6" w:space="0" w:color="auto"/>
              <w:right w:val="single" w:sz="4" w:space="0" w:color="auto"/>
            </w:tcBorders>
            <w:shd w:val="clear" w:color="auto" w:fill="auto"/>
          </w:tcPr>
          <w:p w:rsidR="002311FE" w:rsidRPr="002311FE" w:rsidRDefault="002311FE" w:rsidP="002A1924">
            <w:pPr>
              <w:pStyle w:val="BMSTableText"/>
              <w:rPr>
                <w:color w:val="0000FF"/>
                <w:sz w:val="22"/>
                <w:szCs w:val="22"/>
              </w:rPr>
            </w:pPr>
            <w:r w:rsidRPr="002311FE">
              <w:rPr>
                <w:sz w:val="22"/>
                <w:szCs w:val="22"/>
              </w:rPr>
              <w:t>0</w:t>
            </w:r>
          </w:p>
        </w:tc>
        <w:tc>
          <w:tcPr>
            <w:tcW w:w="2394" w:type="dxa"/>
            <w:tcBorders>
              <w:left w:val="single" w:sz="4" w:space="0" w:color="auto"/>
              <w:bottom w:val="double" w:sz="6" w:space="0" w:color="auto"/>
              <w:right w:val="single" w:sz="4" w:space="0" w:color="auto"/>
            </w:tcBorders>
            <w:shd w:val="clear" w:color="auto" w:fill="auto"/>
          </w:tcPr>
          <w:p w:rsidR="002311FE" w:rsidRPr="002311FE" w:rsidRDefault="002311FE" w:rsidP="002A1924">
            <w:pPr>
              <w:pStyle w:val="BMSTableText"/>
              <w:rPr>
                <w:sz w:val="22"/>
                <w:szCs w:val="22"/>
              </w:rPr>
            </w:pPr>
            <w:r w:rsidRPr="002311FE">
              <w:rPr>
                <w:sz w:val="22"/>
                <w:szCs w:val="22"/>
              </w:rPr>
              <w:t>&lt;1% (1/235)</w:t>
            </w:r>
          </w:p>
        </w:tc>
      </w:tr>
    </w:tbl>
    <w:p w:rsidR="000B4998" w:rsidRDefault="002311FE" w:rsidP="00F9148D">
      <w:pPr>
        <w:pStyle w:val="BMSTableNoteInfo"/>
      </w:pPr>
      <w:r w:rsidRPr="00361062">
        <w:rPr>
          <w:sz w:val="28"/>
          <w:vertAlign w:val="superscript"/>
        </w:rPr>
        <w:t>a</w:t>
      </w:r>
      <w:r>
        <w:tab/>
      </w:r>
      <w:r w:rsidR="009E7AF1" w:rsidRPr="009E7AF1">
        <w:t xml:space="preserve">Missing HCV RNA data at follow-up </w:t>
      </w:r>
      <w:r w:rsidR="009E7AF1">
        <w:t>w</w:t>
      </w:r>
      <w:r w:rsidR="009E7AF1" w:rsidRPr="009E7AF1">
        <w:t>eek 12 w</w:t>
      </w:r>
      <w:r w:rsidR="009E7AF1">
        <w:t>ere</w:t>
      </w:r>
      <w:r w:rsidR="009E7AF1" w:rsidRPr="009E7AF1">
        <w:t xml:space="preserve"> imputed using the Next Value Carried Backwards (NVCB) approach, i.e., </w:t>
      </w:r>
      <w:r w:rsidR="009E7AF1">
        <w:t>usin</w:t>
      </w:r>
      <w:r w:rsidR="009E7AF1" w:rsidRPr="009E7AF1">
        <w:t xml:space="preserve">g the next and closest available HCV RNA measurement after the follow-up </w:t>
      </w:r>
      <w:r w:rsidR="009E7AF1">
        <w:t>w</w:t>
      </w:r>
      <w:r w:rsidR="009E7AF1" w:rsidRPr="009E7AF1">
        <w:t>eek 12 HCV RNA visit window</w:t>
      </w:r>
      <w:r w:rsidR="000B4998">
        <w:t>.</w:t>
      </w:r>
    </w:p>
    <w:p w:rsidR="00835D65" w:rsidRPr="00F9148D" w:rsidRDefault="000B4998" w:rsidP="00F9148D">
      <w:pPr>
        <w:pStyle w:val="BMSTableNoteInfo"/>
      </w:pPr>
      <w:r w:rsidRPr="00361062">
        <w:rPr>
          <w:sz w:val="28"/>
          <w:vertAlign w:val="superscript"/>
        </w:rPr>
        <w:t>b</w:t>
      </w:r>
      <w:r w:rsidR="00F9148D" w:rsidRPr="00F9148D">
        <w:tab/>
      </w:r>
      <w:r w:rsidR="00835D65" w:rsidRPr="00F9148D">
        <w:t>Analysis includes patients with available baseline NS5A sequence data.</w:t>
      </w:r>
    </w:p>
    <w:p w:rsidR="002311FE" w:rsidRPr="00D54A74" w:rsidRDefault="00835D65" w:rsidP="002311FE">
      <w:pPr>
        <w:pStyle w:val="BMSTableNoteInfo"/>
      </w:pPr>
      <w:r w:rsidRPr="00361062">
        <w:rPr>
          <w:sz w:val="28"/>
          <w:vertAlign w:val="superscript"/>
        </w:rPr>
        <w:t>c</w:t>
      </w:r>
      <w:r>
        <w:tab/>
      </w:r>
      <w:r w:rsidR="002311FE" w:rsidRPr="00BE2902">
        <w:t xml:space="preserve">On-treatment virologic failure includes subjects with virologic breakthrough </w:t>
      </w:r>
      <w:r w:rsidR="002311FE" w:rsidRPr="00BE2902">
        <w:rPr>
          <w:rStyle w:val="BMSTableTextChar"/>
        </w:rPr>
        <w:t>(confirmed &gt;1 log</w:t>
      </w:r>
      <w:r w:rsidR="002311FE" w:rsidRPr="00BE2902">
        <w:rPr>
          <w:rStyle w:val="BMSSubscript"/>
        </w:rPr>
        <w:t>10</w:t>
      </w:r>
      <w:r w:rsidR="002311FE" w:rsidRPr="00BE2902">
        <w:rPr>
          <w:rStyle w:val="BMSTableTextChar"/>
        </w:rPr>
        <w:t xml:space="preserve"> </w:t>
      </w:r>
      <w:r w:rsidR="004A4E90">
        <w:rPr>
          <w:rStyle w:val="BMSTableTextChar"/>
        </w:rPr>
        <w:t xml:space="preserve">IU/mL </w:t>
      </w:r>
      <w:r w:rsidR="002311FE" w:rsidRPr="00BE2902">
        <w:rPr>
          <w:rStyle w:val="BMSTableTextChar"/>
        </w:rPr>
        <w:t xml:space="preserve">increase in HCV RNA </w:t>
      </w:r>
      <w:r w:rsidR="002311FE">
        <w:rPr>
          <w:rStyle w:val="BMSTableTextChar"/>
        </w:rPr>
        <w:t>from</w:t>
      </w:r>
      <w:r w:rsidR="002311FE" w:rsidRPr="00BE2902">
        <w:rPr>
          <w:rStyle w:val="BMSTableTextChar"/>
        </w:rPr>
        <w:t xml:space="preserve"> nadir or any confirmed HCV RNA </w:t>
      </w:r>
      <w:r w:rsidR="002311FE" w:rsidRPr="00BE2902">
        <w:rPr>
          <w:rStyle w:val="BMSTableTextChar"/>
        </w:rPr>
        <w:sym w:font="Symbol" w:char="F0B3"/>
      </w:r>
      <w:r w:rsidR="002311FE" w:rsidRPr="00BE2902">
        <w:rPr>
          <w:rStyle w:val="BMSTableTextChar"/>
        </w:rPr>
        <w:t xml:space="preserve">LLOQ after </w:t>
      </w:r>
      <w:r w:rsidR="002311FE">
        <w:rPr>
          <w:rStyle w:val="BMSTableTextChar"/>
        </w:rPr>
        <w:t>&lt;LLOQ during treatment</w:t>
      </w:r>
      <w:r w:rsidR="002311FE" w:rsidRPr="00BE2902">
        <w:rPr>
          <w:rStyle w:val="BMSTableTextChar"/>
        </w:rPr>
        <w:t>), those with</w:t>
      </w:r>
      <w:r w:rsidR="002311FE" w:rsidRPr="00CA5180">
        <w:t xml:space="preserve"> HCV RNA ≥LLOQ </w:t>
      </w:r>
      <w:r w:rsidR="002311FE">
        <w:t>at</w:t>
      </w:r>
      <w:r w:rsidR="002311FE" w:rsidRPr="00CA5180">
        <w:t xml:space="preserve"> treatment Week 8, </w:t>
      </w:r>
      <w:r w:rsidR="002311FE" w:rsidRPr="00BE2902">
        <w:rPr>
          <w:rStyle w:val="BMSTableTextChar"/>
        </w:rPr>
        <w:t>and those with detectable HCV RNA at end of treatment.</w:t>
      </w:r>
    </w:p>
    <w:p w:rsidR="002311FE" w:rsidRDefault="00835D65" w:rsidP="002311FE">
      <w:pPr>
        <w:pStyle w:val="BMSTableNoteInfo"/>
      </w:pPr>
      <w:r>
        <w:rPr>
          <w:rStyle w:val="BMSTableNote"/>
        </w:rPr>
        <w:t>d</w:t>
      </w:r>
      <w:r w:rsidR="002311FE">
        <w:tab/>
      </w:r>
      <w:r w:rsidR="002311FE" w:rsidRPr="00677BAF">
        <w:t>Relapse rates are calculated with a denominator of subjects with undetectable HCV RNA at the end of treatment.</w:t>
      </w:r>
    </w:p>
    <w:p w:rsidR="00BF0067" w:rsidRDefault="00BF0067" w:rsidP="00E61859">
      <w:pPr>
        <w:pStyle w:val="BMSBodyText"/>
        <w:spacing w:before="0" w:line="240" w:lineRule="auto"/>
        <w:rPr>
          <w:color w:val="auto"/>
        </w:rPr>
      </w:pPr>
    </w:p>
    <w:p w:rsidR="000F5D7F" w:rsidRDefault="002311FE" w:rsidP="00E61859">
      <w:pPr>
        <w:pStyle w:val="BMSBodyText"/>
        <w:spacing w:before="0" w:line="240" w:lineRule="auto"/>
      </w:pPr>
      <w:r w:rsidRPr="00EA0DAE">
        <w:rPr>
          <w:color w:val="auto"/>
        </w:rPr>
        <w:t xml:space="preserve">Among subjects who had failed prior therapy, SVR rate was the same (82%) among the 84 subjects with prior partial response and the 119 subjects with prior null response. Response was rapid (95% of subjects had HCV RNA &lt;LLOQ at Week 4). </w:t>
      </w:r>
      <w:r w:rsidRPr="00EA0DAE">
        <w:rPr>
          <w:noProof/>
          <w:color w:val="auto"/>
        </w:rPr>
        <w:t>T</w:t>
      </w:r>
      <w:r w:rsidRPr="00EA0DAE">
        <w:rPr>
          <w:rFonts w:hint="eastAsia"/>
          <w:noProof/>
          <w:color w:val="auto"/>
        </w:rPr>
        <w:t xml:space="preserve">here </w:t>
      </w:r>
      <w:r w:rsidRPr="00EA0DAE">
        <w:rPr>
          <w:noProof/>
          <w:color w:val="auto"/>
        </w:rPr>
        <w:t>were</w:t>
      </w:r>
      <w:r w:rsidRPr="00EA0DAE">
        <w:rPr>
          <w:rFonts w:hint="eastAsia"/>
          <w:noProof/>
          <w:color w:val="auto"/>
        </w:rPr>
        <w:t xml:space="preserve"> no </w:t>
      </w:r>
      <w:r w:rsidRPr="00EA0DAE">
        <w:rPr>
          <w:noProof/>
          <w:color w:val="auto"/>
        </w:rPr>
        <w:lastRenderedPageBreak/>
        <w:t>differences</w:t>
      </w:r>
      <w:r w:rsidRPr="00EA0DAE">
        <w:rPr>
          <w:rFonts w:hint="eastAsia"/>
          <w:noProof/>
          <w:color w:val="auto"/>
        </w:rPr>
        <w:t xml:space="preserve"> </w:t>
      </w:r>
      <w:r w:rsidRPr="00EA0DAE">
        <w:rPr>
          <w:noProof/>
          <w:color w:val="auto"/>
        </w:rPr>
        <w:t xml:space="preserve">in </w:t>
      </w:r>
      <w:r w:rsidRPr="00EA0DAE">
        <w:rPr>
          <w:rFonts w:hint="eastAsia"/>
          <w:noProof/>
          <w:color w:val="auto"/>
        </w:rPr>
        <w:t xml:space="preserve">antiviral response due to </w:t>
      </w:r>
      <w:r>
        <w:rPr>
          <w:noProof/>
          <w:color w:val="auto"/>
        </w:rPr>
        <w:t xml:space="preserve">race, </w:t>
      </w:r>
      <w:r w:rsidRPr="00EA0DAE">
        <w:rPr>
          <w:rFonts w:hint="eastAsia"/>
          <w:noProof/>
          <w:color w:val="auto"/>
        </w:rPr>
        <w:t xml:space="preserve">gender, age, IL28B </w:t>
      </w:r>
      <w:r w:rsidRPr="00EA0DAE">
        <w:rPr>
          <w:noProof/>
          <w:color w:val="auto"/>
        </w:rPr>
        <w:t>allele,</w:t>
      </w:r>
      <w:r w:rsidRPr="00EA0DAE">
        <w:rPr>
          <w:rFonts w:hint="eastAsia"/>
          <w:noProof/>
          <w:color w:val="auto"/>
        </w:rPr>
        <w:t xml:space="preserve"> or </w:t>
      </w:r>
      <w:r w:rsidRPr="00EA0DAE">
        <w:rPr>
          <w:noProof/>
          <w:color w:val="auto"/>
        </w:rPr>
        <w:t>presence or absence of cirrhosis in any of the treatment populations.</w:t>
      </w:r>
      <w:r w:rsidRPr="00EA0DAE">
        <w:rPr>
          <w:color w:val="auto"/>
        </w:rPr>
        <w:t xml:space="preserve"> </w:t>
      </w:r>
      <w:r w:rsidR="00E44954">
        <w:rPr>
          <w:color w:val="auto"/>
        </w:rPr>
        <w:t xml:space="preserve"> </w:t>
      </w:r>
      <w:r w:rsidRPr="00EA0DAE">
        <w:rPr>
          <w:noProof/>
          <w:color w:val="auto"/>
        </w:rPr>
        <w:t>SVR rates were consistently high across all categories of baseline viral load.</w:t>
      </w:r>
      <w:r>
        <w:rPr>
          <w:noProof/>
          <w:color w:val="auto"/>
        </w:rPr>
        <w:t xml:space="preserve"> </w:t>
      </w:r>
      <w:r w:rsidRPr="00793A60">
        <w:rPr>
          <w:noProof/>
          <w:color w:val="auto"/>
        </w:rPr>
        <w:t xml:space="preserve">Among subjects 65 </w:t>
      </w:r>
      <w:r w:rsidR="00E24FB4">
        <w:rPr>
          <w:noProof/>
          <w:color w:val="auto"/>
        </w:rPr>
        <w:t xml:space="preserve">years </w:t>
      </w:r>
      <w:r w:rsidR="00AA7510" w:rsidRPr="00AA7510">
        <w:rPr>
          <w:szCs w:val="24"/>
          <w:lang w:eastAsia="en-AU"/>
        </w:rPr>
        <w:t>of age or older, 88% (117/133)</w:t>
      </w:r>
      <w:r w:rsidR="00AA7510" w:rsidRPr="00793A60">
        <w:rPr>
          <w:noProof/>
          <w:color w:val="auto"/>
        </w:rPr>
        <w:t xml:space="preserve"> </w:t>
      </w:r>
      <w:r w:rsidRPr="00793A60">
        <w:rPr>
          <w:noProof/>
          <w:color w:val="auto"/>
        </w:rPr>
        <w:t xml:space="preserve">achieved SVR, and </w:t>
      </w:r>
      <w:r>
        <w:rPr>
          <w:noProof/>
          <w:color w:val="auto"/>
        </w:rPr>
        <w:t xml:space="preserve">among </w:t>
      </w:r>
      <w:r w:rsidRPr="00793A60">
        <w:rPr>
          <w:noProof/>
          <w:color w:val="auto"/>
        </w:rPr>
        <w:t>subjects 75 years or older</w:t>
      </w:r>
      <w:r>
        <w:rPr>
          <w:noProof/>
          <w:color w:val="auto"/>
        </w:rPr>
        <w:t>,</w:t>
      </w:r>
      <w:r w:rsidRPr="00793A60">
        <w:rPr>
          <w:noProof/>
          <w:color w:val="auto"/>
        </w:rPr>
        <w:t xml:space="preserve"> 100% (10/10) achieved SVR.</w:t>
      </w:r>
    </w:p>
    <w:p w:rsidR="003C23A7" w:rsidRPr="00E61859" w:rsidRDefault="002311FE" w:rsidP="00E61859">
      <w:pPr>
        <w:spacing w:after="120" w:line="240" w:lineRule="auto"/>
        <w:jc w:val="both"/>
        <w:rPr>
          <w:rFonts w:ascii="Times New Roman" w:hAnsi="Times New Roman"/>
          <w:color w:val="000000"/>
          <w:lang w:eastAsia="en-AU"/>
        </w:rPr>
      </w:pPr>
      <w:r w:rsidRPr="000F5D7F">
        <w:rPr>
          <w:rFonts w:ascii="Times New Roman" w:hAnsi="Times New Roman"/>
        </w:rPr>
        <w:t>HALLMARK NIPPON</w:t>
      </w:r>
      <w:r w:rsidRPr="000F5D7F">
        <w:t xml:space="preserve"> (</w:t>
      </w:r>
      <w:r w:rsidR="00450FF6" w:rsidRPr="000F5D7F">
        <w:rPr>
          <w:rFonts w:ascii="Times New Roman" w:hAnsi="Times New Roman"/>
          <w:color w:val="000000"/>
          <w:lang w:eastAsia="en-AU"/>
        </w:rPr>
        <w:t>Study AI447026</w:t>
      </w:r>
      <w:r w:rsidRPr="000F5D7F">
        <w:rPr>
          <w:rFonts w:ascii="Times New Roman" w:hAnsi="Times New Roman"/>
          <w:color w:val="000000"/>
          <w:lang w:eastAsia="en-AU"/>
        </w:rPr>
        <w:t>)</w:t>
      </w:r>
      <w:r w:rsidR="00450FF6" w:rsidRPr="003C23A7">
        <w:rPr>
          <w:rFonts w:ascii="Times New Roman" w:hAnsi="Times New Roman"/>
          <w:color w:val="000000"/>
          <w:lang w:eastAsia="en-AU"/>
        </w:rPr>
        <w:t xml:space="preserve"> </w:t>
      </w:r>
      <w:r w:rsidRPr="002311FE">
        <w:rPr>
          <w:rFonts w:ascii="Times New Roman" w:hAnsi="Times New Roman"/>
        </w:rPr>
        <w:t xml:space="preserve">was an open-label study that </w:t>
      </w:r>
      <w:r w:rsidR="00450FF6" w:rsidRPr="002311FE">
        <w:rPr>
          <w:rFonts w:ascii="Times New Roman" w:hAnsi="Times New Roman"/>
          <w:color w:val="000000"/>
          <w:lang w:eastAsia="en-AU"/>
        </w:rPr>
        <w:t>included</w:t>
      </w:r>
      <w:r w:rsidR="00450FF6" w:rsidRPr="003C23A7">
        <w:rPr>
          <w:rFonts w:ascii="Times New Roman" w:hAnsi="Times New Roman"/>
          <w:color w:val="000000"/>
          <w:lang w:eastAsia="en-AU"/>
        </w:rPr>
        <w:t xml:space="preserve"> Japanese subjects with </w:t>
      </w:r>
      <w:r>
        <w:rPr>
          <w:rFonts w:ascii="Times New Roman" w:hAnsi="Times New Roman"/>
          <w:color w:val="000000"/>
          <w:lang w:eastAsia="en-AU"/>
        </w:rPr>
        <w:t xml:space="preserve">chronic </w:t>
      </w:r>
      <w:r w:rsidR="00450FF6" w:rsidRPr="003C23A7">
        <w:rPr>
          <w:rFonts w:ascii="Times New Roman" w:hAnsi="Times New Roman"/>
          <w:color w:val="000000"/>
          <w:lang w:eastAsia="en-AU"/>
        </w:rPr>
        <w:t xml:space="preserve">HCV genotype 1b infection </w:t>
      </w:r>
      <w:r>
        <w:rPr>
          <w:rFonts w:ascii="Times New Roman" w:hAnsi="Times New Roman"/>
          <w:color w:val="000000"/>
          <w:lang w:eastAsia="en-AU"/>
        </w:rPr>
        <w:t xml:space="preserve">and compensated liver disease </w:t>
      </w:r>
      <w:r w:rsidR="00450FF6" w:rsidRPr="003C23A7">
        <w:rPr>
          <w:rFonts w:ascii="Times New Roman" w:hAnsi="Times New Roman"/>
          <w:color w:val="000000"/>
          <w:lang w:eastAsia="en-AU"/>
        </w:rPr>
        <w:t xml:space="preserve">who were nonresponders (null or partial responders) to interferon alfa or beta and ribavirin, or who were intolerant of or ineligible to receive interferon-based therapy. Subjects in both the nonresponder and intolerant/ineligible cohorts were treated with </w:t>
      </w:r>
      <w:r w:rsidR="003C23A7" w:rsidRPr="003C23A7">
        <w:rPr>
          <w:rFonts w:ascii="Times New Roman" w:hAnsi="Times New Roman"/>
          <w:color w:val="000000"/>
          <w:lang w:eastAsia="en-AU"/>
        </w:rPr>
        <w:t>SUNVEPRA</w:t>
      </w:r>
      <w:r w:rsidR="00450FF6" w:rsidRPr="003C23A7">
        <w:rPr>
          <w:rFonts w:ascii="Times New Roman" w:hAnsi="Times New Roman"/>
          <w:color w:val="000000"/>
          <w:lang w:eastAsia="en-AU"/>
        </w:rPr>
        <w:t xml:space="preserve"> </w:t>
      </w:r>
      <w:r>
        <w:rPr>
          <w:rFonts w:ascii="Times New Roman" w:hAnsi="Times New Roman"/>
          <w:color w:val="000000"/>
          <w:lang w:eastAsia="en-AU"/>
        </w:rPr>
        <w:t xml:space="preserve">100 mg twice daily </w:t>
      </w:r>
      <w:r w:rsidR="00450FF6" w:rsidRPr="003C23A7">
        <w:rPr>
          <w:rFonts w:ascii="Times New Roman" w:hAnsi="Times New Roman"/>
          <w:color w:val="000000"/>
          <w:lang w:eastAsia="en-AU"/>
        </w:rPr>
        <w:t xml:space="preserve">in combination with </w:t>
      </w:r>
      <w:r w:rsidR="00644782">
        <w:rPr>
          <w:rFonts w:ascii="Times New Roman" w:hAnsi="Times New Roman"/>
          <w:color w:val="000000"/>
          <w:lang w:eastAsia="en-AU"/>
        </w:rPr>
        <w:t>DAKLINZA</w:t>
      </w:r>
      <w:r w:rsidR="00450FF6" w:rsidRPr="003C23A7">
        <w:rPr>
          <w:rFonts w:ascii="Times New Roman" w:hAnsi="Times New Roman"/>
          <w:color w:val="000000"/>
          <w:lang w:eastAsia="en-AU"/>
        </w:rPr>
        <w:t xml:space="preserve"> </w:t>
      </w:r>
      <w:r>
        <w:rPr>
          <w:rFonts w:ascii="Times New Roman" w:hAnsi="Times New Roman"/>
          <w:color w:val="000000"/>
          <w:lang w:eastAsia="en-AU"/>
        </w:rPr>
        <w:t xml:space="preserve">60 mg once daily </w:t>
      </w:r>
      <w:r w:rsidR="00450FF6" w:rsidRPr="003C23A7">
        <w:rPr>
          <w:rFonts w:ascii="Times New Roman" w:hAnsi="Times New Roman"/>
          <w:color w:val="000000"/>
          <w:lang w:eastAsia="en-AU"/>
        </w:rPr>
        <w:t>for 24 weeks and monitored for 24 weeks post</w:t>
      </w:r>
      <w:r w:rsidR="00E24FB4">
        <w:rPr>
          <w:rFonts w:ascii="Times New Roman" w:hAnsi="Times New Roman"/>
          <w:color w:val="000000"/>
          <w:lang w:eastAsia="en-AU"/>
        </w:rPr>
        <w:t>-</w:t>
      </w:r>
      <w:r w:rsidR="00450FF6" w:rsidRPr="003C23A7">
        <w:rPr>
          <w:rFonts w:ascii="Times New Roman" w:hAnsi="Times New Roman"/>
          <w:color w:val="000000"/>
          <w:lang w:eastAsia="en-AU"/>
        </w:rPr>
        <w:t xml:space="preserve">treatment. </w:t>
      </w:r>
    </w:p>
    <w:p w:rsidR="00450FF6" w:rsidRPr="00E61859" w:rsidRDefault="00450FF6" w:rsidP="00E61859">
      <w:pPr>
        <w:spacing w:after="120" w:line="240" w:lineRule="auto"/>
        <w:jc w:val="both"/>
        <w:rPr>
          <w:rFonts w:ascii="Times New Roman" w:hAnsi="Times New Roman"/>
          <w:lang w:eastAsia="en-AU"/>
        </w:rPr>
      </w:pPr>
      <w:r w:rsidRPr="003C23A7">
        <w:rPr>
          <w:rFonts w:ascii="Times New Roman" w:hAnsi="Times New Roman"/>
          <w:lang w:eastAsia="en-AU"/>
        </w:rPr>
        <w:t xml:space="preserve">The 222 treated subjects in </w:t>
      </w:r>
      <w:r w:rsidR="002311FE">
        <w:rPr>
          <w:rFonts w:ascii="Times New Roman" w:hAnsi="Times New Roman"/>
          <w:lang w:eastAsia="en-AU"/>
        </w:rPr>
        <w:t xml:space="preserve">HALLMARK NIPPON </w:t>
      </w:r>
      <w:r w:rsidRPr="003C23A7">
        <w:rPr>
          <w:rFonts w:ascii="Times New Roman" w:hAnsi="Times New Roman"/>
          <w:lang w:eastAsia="en-AU"/>
        </w:rPr>
        <w:t>had a median age of 63 years (range: 24 to 75); 35% of the subjects were male. Mean baseline HCV RNA level was 7 log</w:t>
      </w:r>
      <w:r w:rsidRPr="002311FE">
        <w:rPr>
          <w:rFonts w:ascii="Times New Roman" w:hAnsi="Times New Roman"/>
          <w:color w:val="000000"/>
          <w:vertAlign w:val="subscript"/>
          <w:lang w:eastAsia="en-AU"/>
        </w:rPr>
        <w:t>10</w:t>
      </w:r>
      <w:r w:rsidRPr="003C23A7">
        <w:rPr>
          <w:rFonts w:ascii="Times New Roman" w:hAnsi="Times New Roman"/>
          <w:lang w:eastAsia="en-AU"/>
        </w:rPr>
        <w:t xml:space="preserve"> IU/mL, and 10% of subjects had </w:t>
      </w:r>
      <w:r w:rsidR="00853CFB" w:rsidRPr="0093440F">
        <w:rPr>
          <w:rFonts w:ascii="Times New Roman" w:hAnsi="Times New Roman"/>
          <w:lang w:eastAsia="en-AU"/>
        </w:rPr>
        <w:t xml:space="preserve">compensated </w:t>
      </w:r>
      <w:r w:rsidRPr="0093440F">
        <w:rPr>
          <w:rFonts w:ascii="Times New Roman" w:hAnsi="Times New Roman"/>
          <w:lang w:eastAsia="en-AU"/>
        </w:rPr>
        <w:t>c</w:t>
      </w:r>
      <w:r w:rsidRPr="003C23A7">
        <w:rPr>
          <w:rFonts w:ascii="Times New Roman" w:hAnsi="Times New Roman"/>
          <w:lang w:eastAsia="en-AU"/>
        </w:rPr>
        <w:t>irrhosis (Child-Pugh A). Among 87 subjects in the nonresponder cohort, 36 subjects were prior partial responders and 48 were prior null responders to interferon/ribavirin. Among 135 subjects in the interferon intolerant/ineligible cohort, 35 subjects were in the intolerant category and 100 in the ineligible. Most of the nonresponder cohort had a non-CC IL28B genotype, while most of the intolerant/ineligible cohort had IL28B genotype CC.</w:t>
      </w:r>
    </w:p>
    <w:p w:rsidR="000F5D7F" w:rsidRDefault="00450FF6" w:rsidP="00E61859">
      <w:pPr>
        <w:spacing w:after="120" w:line="240" w:lineRule="auto"/>
        <w:jc w:val="both"/>
        <w:rPr>
          <w:rFonts w:ascii="Times New Roman" w:hAnsi="Times New Roman"/>
          <w:lang w:eastAsia="en-AU"/>
        </w:rPr>
      </w:pPr>
      <w:r w:rsidRPr="003C23A7">
        <w:rPr>
          <w:rFonts w:ascii="Times New Roman" w:hAnsi="Times New Roman"/>
          <w:lang w:eastAsia="en-AU"/>
        </w:rPr>
        <w:t xml:space="preserve">SVR and outcomes for subjects without SVR in </w:t>
      </w:r>
      <w:r w:rsidR="00A43C73">
        <w:rPr>
          <w:rFonts w:ascii="Times New Roman" w:hAnsi="Times New Roman"/>
          <w:lang w:eastAsia="en-AU"/>
        </w:rPr>
        <w:t>HALLMARK NIPPON</w:t>
      </w:r>
      <w:r w:rsidR="00A43C73" w:rsidRPr="003C23A7">
        <w:rPr>
          <w:rFonts w:ascii="Times New Roman" w:hAnsi="Times New Roman"/>
          <w:lang w:eastAsia="en-AU"/>
        </w:rPr>
        <w:t xml:space="preserve"> </w:t>
      </w:r>
      <w:r w:rsidRPr="003C23A7">
        <w:rPr>
          <w:rFonts w:ascii="Times New Roman" w:hAnsi="Times New Roman"/>
          <w:lang w:eastAsia="en-AU"/>
        </w:rPr>
        <w:t xml:space="preserve">are shown by patient population in Table </w:t>
      </w:r>
      <w:r w:rsidR="002311FE">
        <w:rPr>
          <w:rFonts w:ascii="Times New Roman" w:hAnsi="Times New Roman"/>
          <w:lang w:eastAsia="en-AU"/>
        </w:rPr>
        <w:t>3</w:t>
      </w:r>
      <w:r w:rsidRPr="003C23A7">
        <w:rPr>
          <w:rFonts w:ascii="Times New Roman" w:hAnsi="Times New Roman"/>
          <w:lang w:eastAsia="en-AU"/>
        </w:rPr>
        <w:t xml:space="preserve">. </w:t>
      </w:r>
      <w:r w:rsidR="008162DE" w:rsidRPr="00540EEC">
        <w:rPr>
          <w:rFonts w:ascii="Times New Roman" w:hAnsi="Times New Roman"/>
          <w:lang w:eastAsia="en-AU"/>
        </w:rPr>
        <w:t>SVR rates for patients with and without baseline NS5A resistance associated polymorphisms are included in the table. See the prescribing information for DAKLINZA for information on the prevalence of these polymorphisms.</w:t>
      </w:r>
    </w:p>
    <w:p w:rsidR="000F5D7F" w:rsidRPr="000F5D7F" w:rsidRDefault="000F5D7F" w:rsidP="00E61859">
      <w:pPr>
        <w:spacing w:after="120" w:line="240" w:lineRule="auto"/>
        <w:jc w:val="both"/>
        <w:rPr>
          <w:rFonts w:ascii="Times New Roman" w:hAnsi="Times New Roman"/>
          <w:b/>
          <w:lang w:eastAsia="en-AU"/>
        </w:rPr>
      </w:pPr>
      <w:r w:rsidRPr="000F5D7F">
        <w:rPr>
          <w:rFonts w:ascii="Times New Roman" w:hAnsi="Times New Roman"/>
          <w:b/>
        </w:rPr>
        <w:t>Table 3:</w:t>
      </w:r>
      <w:r>
        <w:rPr>
          <w:rFonts w:ascii="Times New Roman" w:hAnsi="Times New Roman"/>
          <w:b/>
        </w:rPr>
        <w:tab/>
      </w:r>
      <w:r w:rsidRPr="000F5D7F">
        <w:rPr>
          <w:rFonts w:ascii="Times New Roman" w:hAnsi="Times New Roman"/>
          <w:b/>
        </w:rPr>
        <w:t>Treatment Outcomes in HALLMARK NIPPON, SUNVEPRA in Combination with DAKLINZA in Subjects with HCV Genotype 1b</w:t>
      </w:r>
    </w:p>
    <w:tbl>
      <w:tblPr>
        <w:tblW w:w="9576" w:type="dxa"/>
        <w:tblBorders>
          <w:bottom w:val="double" w:sz="6" w:space="0" w:color="auto"/>
        </w:tblBorders>
        <w:tblLayout w:type="fixed"/>
        <w:tblLook w:val="0000" w:firstRow="0" w:lastRow="0" w:firstColumn="0" w:lastColumn="0" w:noHBand="0" w:noVBand="0"/>
      </w:tblPr>
      <w:tblGrid>
        <w:gridCol w:w="3192"/>
        <w:gridCol w:w="3192"/>
        <w:gridCol w:w="3192"/>
      </w:tblGrid>
      <w:tr w:rsidR="00450FF6" w:rsidRPr="00637BF4" w:rsidTr="000F5D7F">
        <w:trPr>
          <w:tblHeader/>
        </w:trPr>
        <w:tc>
          <w:tcPr>
            <w:tcW w:w="3192" w:type="dxa"/>
            <w:tcBorders>
              <w:top w:val="double" w:sz="6" w:space="0" w:color="000000"/>
              <w:bottom w:val="single" w:sz="6" w:space="0" w:color="auto"/>
            </w:tcBorders>
            <w:shd w:val="clear" w:color="auto" w:fill="auto"/>
            <w:vAlign w:val="bottom"/>
          </w:tcPr>
          <w:p w:rsidR="00450FF6" w:rsidRPr="00637BF4" w:rsidRDefault="00450FF6" w:rsidP="00450FF6">
            <w:pPr>
              <w:pStyle w:val="BMSTableHeader"/>
              <w:jc w:val="left"/>
            </w:pPr>
            <w:bookmarkStart w:id="5" w:name="Table11_TreatmetnOutcomesinJap"/>
            <w:bookmarkEnd w:id="5"/>
            <w:r w:rsidRPr="0046158D">
              <w:t>Treatment outcomes</w:t>
            </w:r>
          </w:p>
        </w:tc>
        <w:tc>
          <w:tcPr>
            <w:tcW w:w="3192" w:type="dxa"/>
            <w:tcBorders>
              <w:top w:val="double" w:sz="6" w:space="0" w:color="000000"/>
              <w:bottom w:val="single" w:sz="6" w:space="0" w:color="auto"/>
            </w:tcBorders>
            <w:shd w:val="clear" w:color="auto" w:fill="auto"/>
            <w:vAlign w:val="bottom"/>
          </w:tcPr>
          <w:p w:rsidR="00450FF6" w:rsidRPr="00637BF4" w:rsidRDefault="00450FF6" w:rsidP="00450FF6">
            <w:pPr>
              <w:pStyle w:val="BMSTableHeader"/>
            </w:pPr>
            <w:r w:rsidRPr="0046158D">
              <w:t>Failed Prior Therapy</w:t>
            </w:r>
            <w:r>
              <w:br/>
            </w:r>
            <w:r w:rsidRPr="0046158D">
              <w:t>(Partial and Null)</w:t>
            </w:r>
            <w:r>
              <w:br/>
              <w:t>n</w:t>
            </w:r>
            <w:r w:rsidRPr="0046158D">
              <w:t>=87</w:t>
            </w:r>
          </w:p>
        </w:tc>
        <w:tc>
          <w:tcPr>
            <w:tcW w:w="3192" w:type="dxa"/>
            <w:tcBorders>
              <w:top w:val="double" w:sz="6" w:space="0" w:color="000000"/>
              <w:bottom w:val="single" w:sz="6" w:space="0" w:color="auto"/>
            </w:tcBorders>
            <w:shd w:val="clear" w:color="auto" w:fill="auto"/>
            <w:vAlign w:val="bottom"/>
          </w:tcPr>
          <w:p w:rsidR="00450FF6" w:rsidRPr="00637BF4" w:rsidRDefault="00450FF6" w:rsidP="002311FE">
            <w:pPr>
              <w:pStyle w:val="BMSTableHeader"/>
            </w:pPr>
            <w:r w:rsidRPr="0046158D">
              <w:t>Interferon Intolerant/Ineligible</w:t>
            </w:r>
            <w:r>
              <w:rPr>
                <w:rStyle w:val="BMSSuperscript"/>
              </w:rPr>
              <w:br/>
            </w:r>
            <w:r>
              <w:t>n</w:t>
            </w:r>
            <w:r w:rsidRPr="0046158D">
              <w:t>=135</w:t>
            </w:r>
          </w:p>
        </w:tc>
      </w:tr>
      <w:tr w:rsidR="00450FF6" w:rsidRPr="00637BF4" w:rsidTr="000F5D7F">
        <w:tc>
          <w:tcPr>
            <w:tcW w:w="3192" w:type="dxa"/>
            <w:tcBorders>
              <w:top w:val="single" w:sz="6" w:space="0" w:color="auto"/>
            </w:tcBorders>
            <w:shd w:val="clear" w:color="auto" w:fill="auto"/>
          </w:tcPr>
          <w:p w:rsidR="00B34DFF" w:rsidRPr="000B4998" w:rsidRDefault="00450FF6" w:rsidP="008C1A2E">
            <w:pPr>
              <w:spacing w:after="0"/>
              <w:rPr>
                <w:rFonts w:ascii="Times New Roman" w:hAnsi="Times New Roman"/>
                <w:b/>
                <w:sz w:val="20"/>
                <w:vertAlign w:val="superscript"/>
              </w:rPr>
            </w:pPr>
            <w:r w:rsidRPr="008C1A2E">
              <w:rPr>
                <w:rFonts w:ascii="Times New Roman" w:hAnsi="Times New Roman"/>
                <w:b/>
                <w:sz w:val="20"/>
              </w:rPr>
              <w:t>SVR</w:t>
            </w:r>
            <w:r w:rsidR="003C3BA8">
              <w:rPr>
                <w:rFonts w:ascii="Times New Roman" w:hAnsi="Times New Roman"/>
                <w:b/>
                <w:sz w:val="20"/>
              </w:rPr>
              <w:t>12</w:t>
            </w:r>
            <w:r w:rsidR="000B4998">
              <w:rPr>
                <w:rFonts w:ascii="Times New Roman" w:hAnsi="Times New Roman"/>
                <w:b/>
                <w:sz w:val="20"/>
                <w:vertAlign w:val="superscript"/>
              </w:rPr>
              <w:t>a</w:t>
            </w:r>
          </w:p>
          <w:p w:rsidR="008162DE" w:rsidRPr="008162DE" w:rsidRDefault="00AA7510" w:rsidP="008162DE">
            <w:pPr>
              <w:tabs>
                <w:tab w:val="left" w:pos="344"/>
              </w:tabs>
              <w:spacing w:after="0"/>
              <w:rPr>
                <w:rFonts w:ascii="Times New Roman" w:hAnsi="Times New Roman"/>
                <w:sz w:val="20"/>
              </w:rPr>
            </w:pPr>
            <w:r w:rsidRPr="008C1A2E">
              <w:rPr>
                <w:rFonts w:ascii="Times New Roman" w:hAnsi="Times New Roman"/>
                <w:sz w:val="20"/>
              </w:rPr>
              <w:t>All</w:t>
            </w:r>
            <w:r w:rsidR="00450FF6" w:rsidRPr="008C1A2E">
              <w:rPr>
                <w:rFonts w:ascii="Times New Roman" w:hAnsi="Times New Roman"/>
                <w:sz w:val="20"/>
              </w:rPr>
              <w:t xml:space="preserve"> </w:t>
            </w:r>
            <w:r w:rsidRPr="008C1A2E">
              <w:rPr>
                <w:rFonts w:ascii="Times New Roman" w:hAnsi="Times New Roman"/>
                <w:sz w:val="20"/>
              </w:rPr>
              <w:t xml:space="preserve"> </w:t>
            </w:r>
            <w:r w:rsidR="008C1A2E">
              <w:rPr>
                <w:rFonts w:ascii="Times New Roman" w:hAnsi="Times New Roman"/>
                <w:sz w:val="20"/>
              </w:rPr>
              <w:br/>
            </w:r>
            <w:r w:rsidR="008162DE" w:rsidRPr="008162DE">
              <w:rPr>
                <w:rFonts w:ascii="Times New Roman" w:hAnsi="Times New Roman"/>
                <w:sz w:val="20"/>
              </w:rPr>
              <w:tab/>
              <w:t>With Y93H or L31F/I/M/V</w:t>
            </w:r>
            <w:r w:rsidR="008162DE">
              <w:rPr>
                <w:rFonts w:ascii="Times New Roman" w:hAnsi="Times New Roman"/>
                <w:sz w:val="20"/>
                <w:vertAlign w:val="superscript"/>
              </w:rPr>
              <w:t>b</w:t>
            </w:r>
          </w:p>
          <w:p w:rsidR="00450FF6" w:rsidRPr="008C1A2E" w:rsidRDefault="008162DE" w:rsidP="008162DE">
            <w:pPr>
              <w:tabs>
                <w:tab w:val="left" w:pos="344"/>
              </w:tabs>
              <w:spacing w:after="0"/>
              <w:rPr>
                <w:rFonts w:ascii="Times New Roman" w:hAnsi="Times New Roman"/>
                <w:sz w:val="20"/>
              </w:rPr>
            </w:pPr>
            <w:r w:rsidRPr="008162DE">
              <w:rPr>
                <w:rFonts w:ascii="Times New Roman" w:hAnsi="Times New Roman"/>
                <w:sz w:val="20"/>
              </w:rPr>
              <w:tab/>
              <w:t>Without Y93H or L31F/I/M/V</w:t>
            </w:r>
            <w:r w:rsidRPr="008162DE" w:rsidDel="008162DE">
              <w:rPr>
                <w:rFonts w:ascii="Times New Roman" w:hAnsi="Times New Roman"/>
                <w:sz w:val="20"/>
              </w:rPr>
              <w:t xml:space="preserve"> </w:t>
            </w:r>
            <w:r>
              <w:rPr>
                <w:rFonts w:ascii="Times New Roman" w:hAnsi="Times New Roman"/>
                <w:sz w:val="20"/>
              </w:rPr>
              <w:tab/>
            </w:r>
            <w:r w:rsidR="00450FF6" w:rsidRPr="008C1A2E">
              <w:rPr>
                <w:rFonts w:ascii="Times New Roman" w:hAnsi="Times New Roman"/>
                <w:sz w:val="20"/>
              </w:rPr>
              <w:t>With cirrhosis</w:t>
            </w:r>
          </w:p>
          <w:p w:rsidR="00450FF6" w:rsidRPr="008C1A2E" w:rsidRDefault="008162DE" w:rsidP="008162DE">
            <w:pPr>
              <w:tabs>
                <w:tab w:val="left" w:pos="344"/>
              </w:tabs>
              <w:spacing w:after="0"/>
              <w:rPr>
                <w:rFonts w:ascii="Times New Roman" w:hAnsi="Times New Roman"/>
                <w:sz w:val="20"/>
              </w:rPr>
            </w:pPr>
            <w:r>
              <w:rPr>
                <w:rFonts w:ascii="Times New Roman" w:hAnsi="Times New Roman"/>
                <w:sz w:val="20"/>
              </w:rPr>
              <w:tab/>
            </w:r>
            <w:r w:rsidR="00450FF6" w:rsidRPr="008C1A2E">
              <w:rPr>
                <w:rFonts w:ascii="Times New Roman" w:hAnsi="Times New Roman"/>
                <w:sz w:val="20"/>
              </w:rPr>
              <w:t>No cirrhosis</w:t>
            </w:r>
          </w:p>
        </w:tc>
        <w:tc>
          <w:tcPr>
            <w:tcW w:w="3192" w:type="dxa"/>
            <w:shd w:val="clear" w:color="auto" w:fill="auto"/>
          </w:tcPr>
          <w:p w:rsidR="00AA7510" w:rsidRPr="008C1A2E" w:rsidRDefault="00AA7510" w:rsidP="008C1A2E">
            <w:pPr>
              <w:spacing w:after="0"/>
              <w:jc w:val="center"/>
              <w:rPr>
                <w:rFonts w:ascii="Times New Roman" w:hAnsi="Times New Roman"/>
                <w:sz w:val="20"/>
              </w:rPr>
            </w:pPr>
          </w:p>
          <w:p w:rsidR="008162DE" w:rsidRPr="008162DE" w:rsidRDefault="00450FF6" w:rsidP="008162DE">
            <w:pPr>
              <w:spacing w:after="0"/>
              <w:jc w:val="center"/>
              <w:rPr>
                <w:rFonts w:ascii="Times New Roman" w:hAnsi="Times New Roman"/>
                <w:sz w:val="20"/>
              </w:rPr>
            </w:pPr>
            <w:r w:rsidRPr="008C1A2E">
              <w:rPr>
                <w:rFonts w:ascii="Times New Roman" w:hAnsi="Times New Roman"/>
                <w:sz w:val="20"/>
              </w:rPr>
              <w:t>81% (70/87)</w:t>
            </w:r>
            <w:r w:rsidRPr="008C1A2E">
              <w:rPr>
                <w:rFonts w:ascii="Times New Roman" w:hAnsi="Times New Roman"/>
                <w:sz w:val="20"/>
              </w:rPr>
              <w:br/>
            </w:r>
            <w:r w:rsidR="008162DE" w:rsidRPr="008162DE">
              <w:rPr>
                <w:rFonts w:ascii="Times New Roman" w:hAnsi="Times New Roman"/>
                <w:sz w:val="20"/>
              </w:rPr>
              <w:t>29% (4/14)</w:t>
            </w:r>
          </w:p>
          <w:p w:rsidR="00AA7510" w:rsidRPr="008C1A2E" w:rsidRDefault="008162DE" w:rsidP="008162DE">
            <w:pPr>
              <w:spacing w:after="0"/>
              <w:jc w:val="center"/>
              <w:rPr>
                <w:rFonts w:ascii="Times New Roman" w:hAnsi="Times New Roman"/>
                <w:sz w:val="20"/>
              </w:rPr>
            </w:pPr>
            <w:r w:rsidRPr="008162DE">
              <w:rPr>
                <w:rFonts w:ascii="Times New Roman" w:hAnsi="Times New Roman"/>
                <w:sz w:val="20"/>
              </w:rPr>
              <w:t>90% (65/72)</w:t>
            </w:r>
          </w:p>
          <w:p w:rsidR="00450FF6" w:rsidRPr="008C1A2E" w:rsidRDefault="00450FF6" w:rsidP="008C1A2E">
            <w:pPr>
              <w:spacing w:after="0"/>
              <w:jc w:val="center"/>
              <w:rPr>
                <w:rFonts w:ascii="Times New Roman" w:hAnsi="Times New Roman"/>
                <w:sz w:val="20"/>
              </w:rPr>
            </w:pPr>
            <w:r w:rsidRPr="008C1A2E">
              <w:rPr>
                <w:rFonts w:ascii="Times New Roman" w:hAnsi="Times New Roman"/>
                <w:sz w:val="20"/>
              </w:rPr>
              <w:t>91% (10/11)</w:t>
            </w:r>
          </w:p>
          <w:p w:rsidR="008C1A2E" w:rsidRPr="008C1A2E" w:rsidRDefault="00450FF6" w:rsidP="008C1A2E">
            <w:pPr>
              <w:spacing w:after="0"/>
              <w:jc w:val="center"/>
              <w:rPr>
                <w:rFonts w:ascii="Times New Roman" w:hAnsi="Times New Roman"/>
                <w:sz w:val="20"/>
              </w:rPr>
            </w:pPr>
            <w:r w:rsidRPr="008C1A2E">
              <w:rPr>
                <w:rFonts w:ascii="Times New Roman" w:hAnsi="Times New Roman"/>
                <w:sz w:val="20"/>
              </w:rPr>
              <w:t>79% (60/76)</w:t>
            </w:r>
          </w:p>
        </w:tc>
        <w:tc>
          <w:tcPr>
            <w:tcW w:w="3192" w:type="dxa"/>
            <w:shd w:val="clear" w:color="auto" w:fill="auto"/>
          </w:tcPr>
          <w:p w:rsidR="00E24FB4" w:rsidRPr="008C1A2E" w:rsidRDefault="00E24FB4" w:rsidP="008C1A2E">
            <w:pPr>
              <w:spacing w:after="0"/>
              <w:jc w:val="center"/>
              <w:rPr>
                <w:rFonts w:ascii="Times New Roman" w:hAnsi="Times New Roman"/>
                <w:sz w:val="20"/>
              </w:rPr>
            </w:pPr>
          </w:p>
          <w:p w:rsidR="00450FF6" w:rsidRPr="008C1A2E" w:rsidRDefault="00450FF6" w:rsidP="008C1A2E">
            <w:pPr>
              <w:spacing w:after="0"/>
              <w:jc w:val="center"/>
              <w:rPr>
                <w:rFonts w:ascii="Times New Roman" w:hAnsi="Times New Roman"/>
                <w:sz w:val="20"/>
              </w:rPr>
            </w:pPr>
            <w:r w:rsidRPr="008C1A2E">
              <w:rPr>
                <w:rFonts w:ascii="Times New Roman" w:hAnsi="Times New Roman"/>
                <w:sz w:val="20"/>
              </w:rPr>
              <w:t>88% (119/135)</w:t>
            </w:r>
          </w:p>
          <w:p w:rsidR="008162DE" w:rsidRPr="008162DE" w:rsidRDefault="008162DE" w:rsidP="008162DE">
            <w:pPr>
              <w:spacing w:after="0"/>
              <w:jc w:val="center"/>
              <w:rPr>
                <w:rFonts w:ascii="Times New Roman" w:hAnsi="Times New Roman"/>
                <w:sz w:val="20"/>
              </w:rPr>
            </w:pPr>
            <w:r w:rsidRPr="008162DE">
              <w:rPr>
                <w:rFonts w:ascii="Times New Roman" w:hAnsi="Times New Roman"/>
                <w:sz w:val="20"/>
              </w:rPr>
              <w:t>54% (13/24)</w:t>
            </w:r>
          </w:p>
          <w:p w:rsidR="00AA7510" w:rsidRPr="008C1A2E" w:rsidRDefault="008162DE" w:rsidP="008162DE">
            <w:pPr>
              <w:spacing w:after="0"/>
              <w:jc w:val="center"/>
              <w:rPr>
                <w:rFonts w:ascii="Times New Roman" w:hAnsi="Times New Roman"/>
                <w:sz w:val="20"/>
              </w:rPr>
            </w:pPr>
            <w:r w:rsidRPr="008162DE">
              <w:rPr>
                <w:rFonts w:ascii="Times New Roman" w:hAnsi="Times New Roman"/>
                <w:sz w:val="20"/>
              </w:rPr>
              <w:t>96% (100/104)</w:t>
            </w:r>
          </w:p>
          <w:p w:rsidR="00450FF6" w:rsidRPr="008C1A2E" w:rsidRDefault="00450FF6" w:rsidP="008C1A2E">
            <w:pPr>
              <w:spacing w:after="0"/>
              <w:jc w:val="center"/>
              <w:rPr>
                <w:rFonts w:ascii="Times New Roman" w:hAnsi="Times New Roman"/>
                <w:sz w:val="20"/>
              </w:rPr>
            </w:pPr>
            <w:r w:rsidRPr="008C1A2E">
              <w:rPr>
                <w:rFonts w:ascii="Times New Roman" w:hAnsi="Times New Roman"/>
                <w:sz w:val="20"/>
              </w:rPr>
              <w:t>91% (10/11)</w:t>
            </w:r>
          </w:p>
          <w:p w:rsidR="00450FF6" w:rsidRPr="008C1A2E" w:rsidRDefault="00450FF6" w:rsidP="008C1A2E">
            <w:pPr>
              <w:spacing w:after="0"/>
              <w:jc w:val="center"/>
              <w:rPr>
                <w:rFonts w:ascii="Times New Roman" w:hAnsi="Times New Roman"/>
                <w:sz w:val="20"/>
              </w:rPr>
            </w:pPr>
            <w:r w:rsidRPr="008C1A2E">
              <w:rPr>
                <w:rFonts w:ascii="Times New Roman" w:hAnsi="Times New Roman"/>
                <w:sz w:val="20"/>
              </w:rPr>
              <w:t>88% (109/124)</w:t>
            </w:r>
          </w:p>
        </w:tc>
      </w:tr>
      <w:tr w:rsidR="00450FF6" w:rsidRPr="00637BF4" w:rsidTr="000F5D7F">
        <w:tc>
          <w:tcPr>
            <w:tcW w:w="9576" w:type="dxa"/>
            <w:gridSpan w:val="3"/>
            <w:tcBorders>
              <w:bottom w:val="nil"/>
            </w:tcBorders>
            <w:shd w:val="clear" w:color="auto" w:fill="auto"/>
            <w:vAlign w:val="center"/>
          </w:tcPr>
          <w:p w:rsidR="008C1A2E" w:rsidRDefault="008C1A2E" w:rsidP="008C1A2E">
            <w:pPr>
              <w:pStyle w:val="BMSTableText"/>
              <w:spacing w:before="0" w:after="0"/>
              <w:jc w:val="left"/>
              <w:rPr>
                <w:b/>
              </w:rPr>
            </w:pPr>
          </w:p>
          <w:p w:rsidR="00450FF6" w:rsidRPr="00637BF4" w:rsidRDefault="00450FF6" w:rsidP="008C1A2E">
            <w:pPr>
              <w:pStyle w:val="BMSTableText"/>
              <w:spacing w:before="0" w:after="0"/>
              <w:jc w:val="left"/>
            </w:pPr>
            <w:r w:rsidRPr="0046158D">
              <w:rPr>
                <w:b/>
              </w:rPr>
              <w:t xml:space="preserve">Outcomes for </w:t>
            </w:r>
            <w:r>
              <w:rPr>
                <w:b/>
              </w:rPr>
              <w:t>subjects</w:t>
            </w:r>
            <w:r w:rsidRPr="0046158D">
              <w:rPr>
                <w:b/>
              </w:rPr>
              <w:t xml:space="preserve"> without SVR</w:t>
            </w:r>
          </w:p>
        </w:tc>
      </w:tr>
      <w:tr w:rsidR="008C1A2E" w:rsidRPr="00637BF4" w:rsidTr="000F5D7F">
        <w:tc>
          <w:tcPr>
            <w:tcW w:w="3192" w:type="dxa"/>
            <w:tcBorders>
              <w:bottom w:val="nil"/>
            </w:tcBorders>
            <w:shd w:val="clear" w:color="auto" w:fill="auto"/>
          </w:tcPr>
          <w:p w:rsidR="008C1A2E" w:rsidRPr="008C1A2E" w:rsidRDefault="008C1A2E" w:rsidP="008C1A2E">
            <w:pPr>
              <w:pStyle w:val="BMSBodyText"/>
              <w:spacing w:before="0" w:after="0" w:line="240" w:lineRule="auto"/>
              <w:jc w:val="left"/>
              <w:rPr>
                <w:sz w:val="28"/>
                <w:vertAlign w:val="subscript"/>
              </w:rPr>
            </w:pPr>
            <w:r w:rsidRPr="0046158D">
              <w:rPr>
                <w:sz w:val="20"/>
              </w:rPr>
              <w:t>On-treatment virologic failure</w:t>
            </w:r>
            <w:r w:rsidR="008162DE">
              <w:rPr>
                <w:rStyle w:val="BMSTableNote"/>
              </w:rPr>
              <w:t>c</w:t>
            </w:r>
          </w:p>
        </w:tc>
        <w:tc>
          <w:tcPr>
            <w:tcW w:w="3192" w:type="dxa"/>
            <w:tcBorders>
              <w:bottom w:val="nil"/>
            </w:tcBorders>
            <w:shd w:val="clear" w:color="auto" w:fill="auto"/>
            <w:vAlign w:val="bottom"/>
          </w:tcPr>
          <w:p w:rsidR="008C1A2E" w:rsidRPr="0046158D" w:rsidRDefault="008C1A2E" w:rsidP="008C1A2E">
            <w:pPr>
              <w:pStyle w:val="BMSBodyText"/>
              <w:spacing w:before="0" w:after="0" w:line="240" w:lineRule="auto"/>
              <w:jc w:val="center"/>
              <w:rPr>
                <w:sz w:val="20"/>
              </w:rPr>
            </w:pPr>
            <w:r w:rsidRPr="0046158D">
              <w:rPr>
                <w:sz w:val="20"/>
              </w:rPr>
              <w:t>13% (11/87)</w:t>
            </w:r>
          </w:p>
        </w:tc>
        <w:tc>
          <w:tcPr>
            <w:tcW w:w="3192" w:type="dxa"/>
            <w:tcBorders>
              <w:bottom w:val="nil"/>
            </w:tcBorders>
            <w:shd w:val="clear" w:color="auto" w:fill="auto"/>
            <w:vAlign w:val="bottom"/>
          </w:tcPr>
          <w:p w:rsidR="008C1A2E" w:rsidRPr="0046158D" w:rsidRDefault="008C1A2E" w:rsidP="008C1A2E">
            <w:pPr>
              <w:pStyle w:val="BMSBodyText"/>
              <w:spacing w:before="0" w:after="0" w:line="240" w:lineRule="auto"/>
              <w:jc w:val="center"/>
              <w:rPr>
                <w:sz w:val="20"/>
              </w:rPr>
            </w:pPr>
            <w:r w:rsidRPr="0046158D">
              <w:rPr>
                <w:sz w:val="20"/>
              </w:rPr>
              <w:t>4% (6/135)</w:t>
            </w:r>
          </w:p>
        </w:tc>
      </w:tr>
      <w:tr w:rsidR="00450FF6" w:rsidRPr="00637BF4" w:rsidTr="000F5D7F">
        <w:tc>
          <w:tcPr>
            <w:tcW w:w="3192" w:type="dxa"/>
            <w:tcBorders>
              <w:top w:val="nil"/>
              <w:bottom w:val="double" w:sz="4" w:space="0" w:color="auto"/>
            </w:tcBorders>
            <w:shd w:val="clear" w:color="auto" w:fill="auto"/>
          </w:tcPr>
          <w:p w:rsidR="00450FF6" w:rsidRPr="0046158D" w:rsidRDefault="00450FF6" w:rsidP="008C1A2E">
            <w:pPr>
              <w:pStyle w:val="BMSBodyText"/>
              <w:spacing w:before="0" w:after="0" w:line="240" w:lineRule="auto"/>
              <w:rPr>
                <w:rStyle w:val="BMSSuperscript"/>
                <w:sz w:val="20"/>
              </w:rPr>
            </w:pPr>
            <w:r w:rsidRPr="0046158D">
              <w:rPr>
                <w:sz w:val="20"/>
              </w:rPr>
              <w:t>Relapse</w:t>
            </w:r>
            <w:r w:rsidR="008162DE">
              <w:rPr>
                <w:rStyle w:val="BMSTableNote"/>
              </w:rPr>
              <w:t>d</w:t>
            </w:r>
          </w:p>
        </w:tc>
        <w:tc>
          <w:tcPr>
            <w:tcW w:w="3192" w:type="dxa"/>
            <w:tcBorders>
              <w:top w:val="nil"/>
              <w:bottom w:val="double" w:sz="4" w:space="0" w:color="auto"/>
            </w:tcBorders>
            <w:shd w:val="clear" w:color="auto" w:fill="auto"/>
            <w:vAlign w:val="bottom"/>
          </w:tcPr>
          <w:p w:rsidR="00450FF6" w:rsidRPr="0046158D" w:rsidRDefault="00450FF6" w:rsidP="008C1A2E">
            <w:pPr>
              <w:pStyle w:val="BMSBodyText"/>
              <w:spacing w:before="0" w:after="0" w:line="240" w:lineRule="auto"/>
              <w:jc w:val="center"/>
              <w:rPr>
                <w:sz w:val="20"/>
              </w:rPr>
            </w:pPr>
            <w:r w:rsidRPr="0046158D">
              <w:rPr>
                <w:sz w:val="20"/>
              </w:rPr>
              <w:t>8% (6/76)</w:t>
            </w:r>
          </w:p>
        </w:tc>
        <w:tc>
          <w:tcPr>
            <w:tcW w:w="3192" w:type="dxa"/>
            <w:tcBorders>
              <w:top w:val="nil"/>
              <w:bottom w:val="double" w:sz="4" w:space="0" w:color="auto"/>
            </w:tcBorders>
            <w:shd w:val="clear" w:color="auto" w:fill="auto"/>
            <w:vAlign w:val="bottom"/>
          </w:tcPr>
          <w:p w:rsidR="00450FF6" w:rsidRPr="0046158D" w:rsidRDefault="00A43C73" w:rsidP="008C1A2E">
            <w:pPr>
              <w:pStyle w:val="BMSBodyText"/>
              <w:spacing w:before="0" w:after="0" w:line="240" w:lineRule="auto"/>
              <w:jc w:val="center"/>
              <w:rPr>
                <w:sz w:val="20"/>
              </w:rPr>
            </w:pPr>
            <w:r>
              <w:rPr>
                <w:sz w:val="20"/>
              </w:rPr>
              <w:t>8</w:t>
            </w:r>
            <w:r w:rsidR="00450FF6" w:rsidRPr="0046158D">
              <w:rPr>
                <w:sz w:val="20"/>
              </w:rPr>
              <w:t>% (</w:t>
            </w:r>
            <w:r>
              <w:rPr>
                <w:sz w:val="20"/>
              </w:rPr>
              <w:t>10</w:t>
            </w:r>
            <w:r w:rsidR="00450FF6" w:rsidRPr="0046158D">
              <w:rPr>
                <w:sz w:val="20"/>
              </w:rPr>
              <w:t>/129)</w:t>
            </w:r>
          </w:p>
        </w:tc>
      </w:tr>
    </w:tbl>
    <w:p w:rsidR="000B4998" w:rsidRDefault="002311FE" w:rsidP="000B4998">
      <w:pPr>
        <w:pStyle w:val="BMSTableNoteInfo"/>
        <w:rPr>
          <w:rStyle w:val="BMSTableTextChar"/>
        </w:rPr>
      </w:pPr>
      <w:r>
        <w:rPr>
          <w:rStyle w:val="BMSTableNote"/>
        </w:rPr>
        <w:t>a</w:t>
      </w:r>
      <w:r w:rsidR="00450FF6">
        <w:tab/>
      </w:r>
      <w:r w:rsidR="000B4998">
        <w:t>Missing HCV RNA data were imputed using the NVCB approach.</w:t>
      </w:r>
    </w:p>
    <w:p w:rsidR="008162DE" w:rsidRPr="007B1F6F" w:rsidRDefault="000B4998" w:rsidP="008162DE">
      <w:pPr>
        <w:pStyle w:val="BMSBodyText"/>
        <w:tabs>
          <w:tab w:val="left" w:pos="159"/>
        </w:tabs>
        <w:spacing w:after="0" w:line="240" w:lineRule="auto"/>
        <w:ind w:left="142" w:hanging="142"/>
        <w:rPr>
          <w:rStyle w:val="BMSSubscript"/>
        </w:rPr>
      </w:pPr>
      <w:r>
        <w:rPr>
          <w:rStyle w:val="BMSTableNote"/>
        </w:rPr>
        <w:t>b</w:t>
      </w:r>
      <w:r w:rsidR="008162DE">
        <w:tab/>
      </w:r>
      <w:r w:rsidR="008162DE" w:rsidRPr="00540EEC">
        <w:rPr>
          <w:sz w:val="20"/>
        </w:rPr>
        <w:t>Analysis includes patients with available baseline NS5A sequence data.</w:t>
      </w:r>
    </w:p>
    <w:p w:rsidR="00450FF6" w:rsidRPr="00513D6A" w:rsidRDefault="008162DE" w:rsidP="000B4998">
      <w:pPr>
        <w:pStyle w:val="BMSTableNoteInfo"/>
        <w:spacing w:before="0"/>
      </w:pPr>
      <w:r>
        <w:rPr>
          <w:rStyle w:val="BMSTableTextChar"/>
          <w:vertAlign w:val="superscript"/>
        </w:rPr>
        <w:t>c</w:t>
      </w:r>
      <w:r>
        <w:rPr>
          <w:rStyle w:val="BMSTableTextChar"/>
          <w:vertAlign w:val="superscript"/>
        </w:rPr>
        <w:tab/>
      </w:r>
      <w:r w:rsidR="00450FF6" w:rsidRPr="00C0485B">
        <w:rPr>
          <w:rStyle w:val="BMSTableTextChar"/>
        </w:rPr>
        <w:t>On-treatment virologic failure includes subjects with virologic breakthrough (confirmed &gt;1 log</w:t>
      </w:r>
      <w:r w:rsidR="00450FF6" w:rsidRPr="00D80671">
        <w:rPr>
          <w:rStyle w:val="BMSSubscript"/>
        </w:rPr>
        <w:t>10</w:t>
      </w:r>
      <w:r w:rsidR="00450FF6" w:rsidRPr="00C0485B">
        <w:rPr>
          <w:rStyle w:val="BMSTableTextChar"/>
        </w:rPr>
        <w:t xml:space="preserve"> </w:t>
      </w:r>
      <w:r w:rsidR="00C11267">
        <w:rPr>
          <w:rStyle w:val="BMSTableTextChar"/>
        </w:rPr>
        <w:t xml:space="preserve">IU/mL </w:t>
      </w:r>
      <w:r w:rsidR="00450FF6" w:rsidRPr="00C0485B">
        <w:rPr>
          <w:rStyle w:val="BMSTableTextChar"/>
        </w:rPr>
        <w:t xml:space="preserve">increase in HCV RNA over nadir or any confirmed HCV RNA </w:t>
      </w:r>
      <w:r w:rsidR="00450FF6" w:rsidRPr="00C0485B">
        <w:rPr>
          <w:rStyle w:val="BMSTableTextChar"/>
        </w:rPr>
        <w:sym w:font="Symbol" w:char="F0B3"/>
      </w:r>
      <w:r w:rsidR="00450FF6" w:rsidRPr="00C0485B">
        <w:rPr>
          <w:rStyle w:val="BMSTableTextChar"/>
        </w:rPr>
        <w:t>LLOQ after</w:t>
      </w:r>
      <w:r w:rsidR="00E24FB4">
        <w:rPr>
          <w:rStyle w:val="BMSTableTextChar"/>
        </w:rPr>
        <w:t xml:space="preserve"> </w:t>
      </w:r>
      <w:r w:rsidR="002311FE">
        <w:rPr>
          <w:rStyle w:val="BMSTableTextChar"/>
        </w:rPr>
        <w:t>&lt;LLOQ during treatment</w:t>
      </w:r>
      <w:r w:rsidR="002311FE" w:rsidRPr="00C0485B">
        <w:rPr>
          <w:rStyle w:val="BMSTableTextChar"/>
        </w:rPr>
        <w:t xml:space="preserve">), </w:t>
      </w:r>
      <w:r w:rsidR="002311FE" w:rsidRPr="00BE2902">
        <w:rPr>
          <w:rStyle w:val="BMSTableTextChar"/>
        </w:rPr>
        <w:t>those with</w:t>
      </w:r>
      <w:r w:rsidR="002311FE" w:rsidRPr="00CA5180">
        <w:t xml:space="preserve"> </w:t>
      </w:r>
      <w:r w:rsidR="002311FE">
        <w:t xml:space="preserve">confirmed </w:t>
      </w:r>
      <w:r w:rsidR="002311FE" w:rsidRPr="00CA5180">
        <w:t xml:space="preserve">HCV RNA ≥LLOQ </w:t>
      </w:r>
      <w:r w:rsidR="002311FE">
        <w:t>on or after</w:t>
      </w:r>
      <w:r w:rsidR="002311FE" w:rsidRPr="00CA5180">
        <w:t xml:space="preserve"> treatment Week 8</w:t>
      </w:r>
      <w:r w:rsidR="002311FE" w:rsidRPr="00C0485B">
        <w:rPr>
          <w:rStyle w:val="BMSTableTextChar"/>
        </w:rPr>
        <w:t>, and those with detectable HCV RNA at end of treatment</w:t>
      </w:r>
      <w:r w:rsidR="00450FF6" w:rsidRPr="00C0485B">
        <w:rPr>
          <w:rStyle w:val="BMSTableTextChar"/>
        </w:rPr>
        <w:t>.</w:t>
      </w:r>
    </w:p>
    <w:p w:rsidR="00450FF6" w:rsidRPr="00513D6A" w:rsidRDefault="008162DE" w:rsidP="00450FF6">
      <w:pPr>
        <w:pStyle w:val="BMSTableNoteInfo"/>
      </w:pPr>
      <w:r>
        <w:rPr>
          <w:rStyle w:val="BMSTableNote"/>
        </w:rPr>
        <w:lastRenderedPageBreak/>
        <w:t>d</w:t>
      </w:r>
      <w:r w:rsidR="00450FF6">
        <w:tab/>
      </w:r>
      <w:r w:rsidR="00450FF6" w:rsidRPr="0046158D">
        <w:t>Relapse rates are calculated with a denominator of subjects with undetectable HCV RNA at the end of treatment.</w:t>
      </w:r>
    </w:p>
    <w:p w:rsidR="003C23A7" w:rsidRDefault="003C23A7" w:rsidP="003C23A7">
      <w:pPr>
        <w:spacing w:after="0" w:line="264" w:lineRule="auto"/>
        <w:jc w:val="both"/>
        <w:rPr>
          <w:rFonts w:ascii="Times New Roman" w:hAnsi="Times New Roman"/>
          <w:lang w:eastAsia="en-AU"/>
        </w:rPr>
      </w:pPr>
    </w:p>
    <w:p w:rsidR="003C23A7" w:rsidRPr="00E61859" w:rsidRDefault="00450FF6" w:rsidP="00E61859">
      <w:pPr>
        <w:autoSpaceDE w:val="0"/>
        <w:autoSpaceDN w:val="0"/>
        <w:adjustRightInd w:val="0"/>
        <w:spacing w:after="120" w:line="240" w:lineRule="auto"/>
        <w:jc w:val="both"/>
        <w:rPr>
          <w:rFonts w:ascii="TimesNewRoman" w:hAnsi="TimesNewRoman" w:cs="TimesNewRoman"/>
          <w:szCs w:val="24"/>
          <w:lang w:eastAsia="en-AU"/>
        </w:rPr>
      </w:pPr>
      <w:r w:rsidRPr="003C23A7">
        <w:rPr>
          <w:rFonts w:ascii="Times New Roman" w:hAnsi="Times New Roman"/>
          <w:lang w:eastAsia="en-AU"/>
        </w:rPr>
        <w:t xml:space="preserve">In the nonresponder cohort, 78% of prior partial responders and 81% of prior null responders achieved SVR12. In the intolerant/ineligible cohort, 94% of subjects who were intolerant and 86% of those who were ineligible achieved SVR. </w:t>
      </w:r>
      <w:r w:rsidR="002311FE" w:rsidRPr="002311FE">
        <w:rPr>
          <w:rFonts w:ascii="Times New Roman" w:hAnsi="Times New Roman"/>
        </w:rPr>
        <w:t>Response was rapid (96% of subjects had HCV RNA &lt;LLOQ at Week 4).</w:t>
      </w:r>
      <w:r w:rsidRPr="003C23A7">
        <w:rPr>
          <w:rFonts w:ascii="Times New Roman" w:hAnsi="Times New Roman"/>
          <w:lang w:eastAsia="en-AU"/>
        </w:rPr>
        <w:t>Within the prior nonresponder and interferon intolerant/ineligible populations</w:t>
      </w:r>
      <w:r w:rsidRPr="003C23A7">
        <w:rPr>
          <w:rFonts w:ascii="Times New Roman" w:hAnsi="Times New Roman" w:hint="eastAsia"/>
          <w:lang w:eastAsia="en-AU"/>
        </w:rPr>
        <w:t xml:space="preserve">, there </w:t>
      </w:r>
      <w:r w:rsidRPr="003C23A7">
        <w:rPr>
          <w:rFonts w:ascii="Times New Roman" w:hAnsi="Times New Roman"/>
          <w:lang w:eastAsia="en-AU"/>
        </w:rPr>
        <w:t>were</w:t>
      </w:r>
      <w:r w:rsidRPr="003C23A7">
        <w:rPr>
          <w:rFonts w:ascii="Times New Roman" w:hAnsi="Times New Roman" w:hint="eastAsia"/>
          <w:lang w:eastAsia="en-AU"/>
        </w:rPr>
        <w:t xml:space="preserve"> no </w:t>
      </w:r>
      <w:r w:rsidRPr="003C23A7">
        <w:rPr>
          <w:rFonts w:ascii="Times New Roman" w:hAnsi="Times New Roman"/>
          <w:lang w:eastAsia="en-AU"/>
        </w:rPr>
        <w:t>differences</w:t>
      </w:r>
      <w:r w:rsidRPr="003C23A7">
        <w:rPr>
          <w:rFonts w:ascii="Times New Roman" w:hAnsi="Times New Roman" w:hint="eastAsia"/>
          <w:lang w:eastAsia="en-AU"/>
        </w:rPr>
        <w:t xml:space="preserve"> </w:t>
      </w:r>
      <w:r w:rsidRPr="003C23A7">
        <w:rPr>
          <w:rFonts w:ascii="Times New Roman" w:hAnsi="Times New Roman"/>
          <w:lang w:eastAsia="en-AU"/>
        </w:rPr>
        <w:t xml:space="preserve">in </w:t>
      </w:r>
      <w:r w:rsidRPr="003C23A7">
        <w:rPr>
          <w:rFonts w:ascii="Times New Roman" w:hAnsi="Times New Roman" w:hint="eastAsia"/>
          <w:lang w:eastAsia="en-AU"/>
        </w:rPr>
        <w:t xml:space="preserve">antiviral response due to gender, age, </w:t>
      </w:r>
      <w:r w:rsidRPr="003C23A7">
        <w:rPr>
          <w:rFonts w:ascii="Times New Roman" w:hAnsi="Times New Roman"/>
          <w:lang w:eastAsia="en-AU"/>
        </w:rPr>
        <w:t xml:space="preserve">baseline HCV RNA level, </w:t>
      </w:r>
      <w:r w:rsidRPr="003C23A7">
        <w:rPr>
          <w:rFonts w:ascii="Times New Roman" w:hAnsi="Times New Roman" w:hint="eastAsia"/>
          <w:lang w:eastAsia="en-AU"/>
        </w:rPr>
        <w:t xml:space="preserve">IL28B </w:t>
      </w:r>
      <w:r w:rsidRPr="003C23A7">
        <w:rPr>
          <w:rFonts w:ascii="Times New Roman" w:hAnsi="Times New Roman"/>
          <w:lang w:eastAsia="en-AU"/>
        </w:rPr>
        <w:t>allele,</w:t>
      </w:r>
      <w:r w:rsidRPr="003C23A7">
        <w:rPr>
          <w:rFonts w:ascii="Times New Roman" w:hAnsi="Times New Roman" w:hint="eastAsia"/>
          <w:lang w:eastAsia="en-AU"/>
        </w:rPr>
        <w:t xml:space="preserve"> or </w:t>
      </w:r>
      <w:r w:rsidRPr="003C23A7">
        <w:rPr>
          <w:rFonts w:ascii="Times New Roman" w:hAnsi="Times New Roman"/>
          <w:lang w:eastAsia="en-AU"/>
        </w:rPr>
        <w:t>presence or absence of cirrhosis</w:t>
      </w:r>
      <w:r w:rsidRPr="003C23A7">
        <w:rPr>
          <w:rFonts w:ascii="Times New Roman" w:hAnsi="Times New Roman" w:hint="eastAsia"/>
          <w:lang w:eastAsia="en-AU"/>
        </w:rPr>
        <w:t>.</w:t>
      </w:r>
      <w:r w:rsidR="002311FE">
        <w:rPr>
          <w:rFonts w:ascii="Times New Roman" w:hAnsi="Times New Roman"/>
          <w:lang w:eastAsia="en-AU"/>
        </w:rPr>
        <w:t xml:space="preserve"> </w:t>
      </w:r>
      <w:r w:rsidR="002311FE" w:rsidRPr="002311FE">
        <w:rPr>
          <w:rFonts w:ascii="Times New Roman" w:hAnsi="Times New Roman"/>
          <w:noProof/>
        </w:rPr>
        <w:t xml:space="preserve">Among subjects 65 </w:t>
      </w:r>
      <w:r w:rsidR="00E24FB4">
        <w:rPr>
          <w:rFonts w:ascii="Times New Roman" w:hAnsi="Times New Roman"/>
          <w:noProof/>
        </w:rPr>
        <w:t xml:space="preserve">years </w:t>
      </w:r>
      <w:r w:rsidR="00AA7510" w:rsidRPr="00AA7510">
        <w:rPr>
          <w:rFonts w:ascii="Times New Roman" w:hAnsi="Times New Roman"/>
          <w:szCs w:val="24"/>
          <w:lang w:eastAsia="en-AU"/>
        </w:rPr>
        <w:t>of age or older, 91% (81/89)</w:t>
      </w:r>
      <w:r w:rsidR="00AA7510" w:rsidRPr="00AA7510">
        <w:rPr>
          <w:rFonts w:ascii="Times New Roman" w:hAnsi="Times New Roman"/>
          <w:noProof/>
        </w:rPr>
        <w:t xml:space="preserve"> </w:t>
      </w:r>
      <w:r w:rsidR="002311FE" w:rsidRPr="002311FE">
        <w:rPr>
          <w:rFonts w:ascii="Times New Roman" w:hAnsi="Times New Roman"/>
          <w:noProof/>
        </w:rPr>
        <w:t>achieved SVR, and among subjects 75 years or older, 100% (4/4) achieved SVR.</w:t>
      </w:r>
    </w:p>
    <w:p w:rsidR="002311FE" w:rsidRPr="003C23A7" w:rsidRDefault="00EA08D7" w:rsidP="00E61859">
      <w:pPr>
        <w:pStyle w:val="BMSBodyText"/>
        <w:spacing w:before="0" w:line="240" w:lineRule="auto"/>
      </w:pPr>
      <w:r>
        <w:rPr>
          <w:b/>
        </w:rPr>
        <w:t>SUNVEPRA</w:t>
      </w:r>
      <w:r w:rsidRPr="000029B3">
        <w:rPr>
          <w:b/>
        </w:rPr>
        <w:t xml:space="preserve"> in Combination with </w:t>
      </w:r>
      <w:r w:rsidR="00644782">
        <w:rPr>
          <w:b/>
        </w:rPr>
        <w:t>DAKLINZA</w:t>
      </w:r>
      <w:r>
        <w:rPr>
          <w:b/>
        </w:rPr>
        <w:t xml:space="preserve"> in Subjects with HCV Genotype</w:t>
      </w:r>
      <w:r w:rsidRPr="00D53B26">
        <w:rPr>
          <w:b/>
          <w:bCs/>
          <w:szCs w:val="24"/>
          <w:lang w:eastAsia="en-AU"/>
        </w:rPr>
        <w:t xml:space="preserve"> 1a: </w:t>
      </w:r>
      <w:r w:rsidRPr="00333E53">
        <w:rPr>
          <w:szCs w:val="24"/>
        </w:rPr>
        <w:t xml:space="preserve">The efficacy of </w:t>
      </w:r>
      <w:r>
        <w:rPr>
          <w:szCs w:val="24"/>
        </w:rPr>
        <w:t>SUNVEPRA</w:t>
      </w:r>
      <w:r w:rsidRPr="00333E53">
        <w:rPr>
          <w:szCs w:val="24"/>
        </w:rPr>
        <w:t xml:space="preserve"> and </w:t>
      </w:r>
      <w:r w:rsidR="00644782">
        <w:rPr>
          <w:szCs w:val="24"/>
        </w:rPr>
        <w:t>DAKLINZA</w:t>
      </w:r>
      <w:r w:rsidRPr="00333E53">
        <w:rPr>
          <w:szCs w:val="24"/>
        </w:rPr>
        <w:t xml:space="preserve"> combination therapy in the treatment of chronic hepatitis C genotype 1a infection </w:t>
      </w:r>
      <w:r w:rsidR="00E24FB4">
        <w:rPr>
          <w:szCs w:val="24"/>
        </w:rPr>
        <w:t>has</w:t>
      </w:r>
      <w:r w:rsidR="00E24FB4" w:rsidRPr="00333E53">
        <w:rPr>
          <w:szCs w:val="24"/>
        </w:rPr>
        <w:t xml:space="preserve"> </w:t>
      </w:r>
      <w:r w:rsidRPr="00333E53">
        <w:rPr>
          <w:szCs w:val="24"/>
        </w:rPr>
        <w:t>not been established.</w:t>
      </w:r>
      <w:r w:rsidRPr="00C9707B">
        <w:rPr>
          <w:sz w:val="21"/>
          <w:szCs w:val="21"/>
        </w:rPr>
        <w:t xml:space="preserve"> </w:t>
      </w:r>
      <w:r w:rsidR="002311FE" w:rsidRPr="002B23CF">
        <w:t xml:space="preserve">In a study of </w:t>
      </w:r>
      <w:r w:rsidR="002311FE">
        <w:t>SUNVEPRA</w:t>
      </w:r>
      <w:r w:rsidR="002311FE" w:rsidRPr="002B23CF">
        <w:t xml:space="preserve"> and </w:t>
      </w:r>
      <w:r w:rsidR="00644782">
        <w:t>DAKLINZA</w:t>
      </w:r>
      <w:r w:rsidR="002311FE" w:rsidRPr="002B23CF">
        <w:t xml:space="preserve"> combination therapy for 24 weeks in subjects with chronic HCV genotype 1 infection who were prior null responders to peginterferon alfa plus ribavirin, 2 (22%) of the 9 subjects with HCV genotype 1a infection had undetectable HCV RNA at post-treatment </w:t>
      </w:r>
      <w:r w:rsidR="002311FE">
        <w:t>w</w:t>
      </w:r>
      <w:r w:rsidR="002311FE" w:rsidRPr="002B23CF">
        <w:t>eek 24.</w:t>
      </w:r>
    </w:p>
    <w:p w:rsidR="003C23A7" w:rsidRPr="00B11FA1" w:rsidRDefault="003D5FEB" w:rsidP="00E61859">
      <w:pPr>
        <w:pStyle w:val="BMSHeading2"/>
        <w:numPr>
          <w:ilvl w:val="0"/>
          <w:numId w:val="0"/>
        </w:numPr>
        <w:spacing w:before="0"/>
        <w:rPr>
          <w:rFonts w:ascii="Times New Roman" w:hAnsi="Times New Roman"/>
        </w:rPr>
      </w:pPr>
      <w:bookmarkStart w:id="6" w:name="_Toc357185058"/>
      <w:bookmarkStart w:id="7" w:name="_Toc357185266"/>
      <w:bookmarkStart w:id="8" w:name="_Toc361652651"/>
      <w:bookmarkStart w:id="9" w:name="_Toc372802112"/>
      <w:bookmarkStart w:id="10" w:name="_Toc372817455"/>
      <w:bookmarkStart w:id="11" w:name="_Toc375124746"/>
      <w:r>
        <w:rPr>
          <w:rFonts w:ascii="Times New Roman" w:hAnsi="Times New Roman"/>
        </w:rPr>
        <w:t>SUNVEPRA</w:t>
      </w:r>
      <w:r w:rsidR="00450FF6" w:rsidRPr="003C23A7">
        <w:rPr>
          <w:rFonts w:ascii="Times New Roman" w:hAnsi="Times New Roman"/>
        </w:rPr>
        <w:t xml:space="preserve"> in Combination with </w:t>
      </w:r>
      <w:r w:rsidR="00644782">
        <w:rPr>
          <w:rFonts w:ascii="Times New Roman" w:hAnsi="Times New Roman"/>
        </w:rPr>
        <w:t>DAKLINZA</w:t>
      </w:r>
      <w:r w:rsidR="00450FF6" w:rsidRPr="003C23A7">
        <w:rPr>
          <w:rFonts w:ascii="Times New Roman" w:hAnsi="Times New Roman"/>
        </w:rPr>
        <w:t>, Peginterferon Alfa, and Ribavirin</w:t>
      </w:r>
      <w:bookmarkEnd w:id="6"/>
      <w:bookmarkEnd w:id="7"/>
      <w:bookmarkEnd w:id="8"/>
      <w:bookmarkEnd w:id="9"/>
      <w:bookmarkEnd w:id="10"/>
      <w:r w:rsidR="00450FF6" w:rsidRPr="003C23A7">
        <w:rPr>
          <w:rFonts w:ascii="Times New Roman" w:hAnsi="Times New Roman"/>
        </w:rPr>
        <w:t xml:space="preserve"> in Subjects with HCV Genotype 1 or 4</w:t>
      </w:r>
      <w:bookmarkEnd w:id="11"/>
    </w:p>
    <w:p w:rsidR="003D5FEB" w:rsidRPr="003D5FEB" w:rsidRDefault="00450FF6" w:rsidP="00E61859">
      <w:pPr>
        <w:spacing w:after="120" w:line="240" w:lineRule="auto"/>
        <w:jc w:val="both"/>
        <w:rPr>
          <w:rFonts w:ascii="Times New Roman" w:hAnsi="Times New Roman"/>
          <w:lang w:eastAsia="en-AU"/>
        </w:rPr>
      </w:pPr>
      <w:r w:rsidRPr="003D5FEB">
        <w:rPr>
          <w:rFonts w:ascii="Times New Roman" w:hAnsi="Times New Roman"/>
          <w:lang w:eastAsia="en-AU"/>
        </w:rPr>
        <w:t xml:space="preserve">The efficacy and safety of </w:t>
      </w:r>
      <w:r w:rsidR="00B11FA1" w:rsidRPr="003D5FEB">
        <w:rPr>
          <w:rFonts w:ascii="Times New Roman" w:hAnsi="Times New Roman"/>
          <w:lang w:eastAsia="en-AU"/>
        </w:rPr>
        <w:t>SUNVEPRA</w:t>
      </w:r>
      <w:r w:rsidRPr="003D5FEB">
        <w:rPr>
          <w:rFonts w:ascii="Times New Roman" w:hAnsi="Times New Roman"/>
          <w:lang w:eastAsia="en-AU"/>
        </w:rPr>
        <w:t xml:space="preserve"> in combination with </w:t>
      </w:r>
      <w:r w:rsidR="00644782">
        <w:rPr>
          <w:rFonts w:ascii="Times New Roman" w:hAnsi="Times New Roman"/>
          <w:lang w:eastAsia="en-AU"/>
        </w:rPr>
        <w:t>DAKLINZA</w:t>
      </w:r>
      <w:r w:rsidRPr="003D5FEB">
        <w:rPr>
          <w:rFonts w:ascii="Times New Roman" w:hAnsi="Times New Roman"/>
          <w:lang w:eastAsia="en-AU"/>
        </w:rPr>
        <w:t xml:space="preserve">, peginterferon alfa, and ribavirin in the treatment of chronic HCV genotype 1 or 4 infection were evaluated in the single-arm, open-label phase 3 HALLMARK QUAD </w:t>
      </w:r>
      <w:r w:rsidR="00B35468">
        <w:rPr>
          <w:rFonts w:ascii="Times New Roman" w:hAnsi="Times New Roman"/>
          <w:lang w:eastAsia="en-AU"/>
        </w:rPr>
        <w:t xml:space="preserve">study </w:t>
      </w:r>
      <w:r w:rsidRPr="003D5FEB">
        <w:rPr>
          <w:rFonts w:ascii="Times New Roman" w:hAnsi="Times New Roman"/>
          <w:lang w:eastAsia="en-AU"/>
        </w:rPr>
        <w:t xml:space="preserve">(AI447029) in adults </w:t>
      </w:r>
      <w:r w:rsidR="00B35468" w:rsidRPr="00B35468">
        <w:rPr>
          <w:rFonts w:ascii="Times New Roman" w:hAnsi="Times New Roman"/>
        </w:rPr>
        <w:t xml:space="preserve">with compensated liver disease </w:t>
      </w:r>
      <w:r w:rsidRPr="003D5FEB">
        <w:rPr>
          <w:rFonts w:ascii="Times New Roman" w:hAnsi="Times New Roman"/>
          <w:lang w:eastAsia="en-AU"/>
        </w:rPr>
        <w:t xml:space="preserve">who were partial or null responders to therapy with peginterferon alfa 2a or 2b and ribavirin. Subjects received </w:t>
      </w:r>
      <w:r w:rsidR="003D5FEB" w:rsidRPr="003D5FEB">
        <w:rPr>
          <w:rFonts w:ascii="Times New Roman" w:hAnsi="Times New Roman"/>
          <w:lang w:eastAsia="en-AU"/>
        </w:rPr>
        <w:t xml:space="preserve">SUNVEPRA </w:t>
      </w:r>
      <w:r w:rsidRPr="003D5FEB">
        <w:rPr>
          <w:rFonts w:ascii="Times New Roman" w:hAnsi="Times New Roman"/>
          <w:lang w:eastAsia="en-AU"/>
        </w:rPr>
        <w:t xml:space="preserve">100 mg twice daily, </w:t>
      </w:r>
      <w:r w:rsidR="00644782">
        <w:rPr>
          <w:rFonts w:ascii="Times New Roman" w:hAnsi="Times New Roman"/>
          <w:lang w:eastAsia="en-AU"/>
        </w:rPr>
        <w:t>DAKLINZA</w:t>
      </w:r>
      <w:r w:rsidRPr="003D5FEB">
        <w:rPr>
          <w:rFonts w:ascii="Times New Roman" w:hAnsi="Times New Roman"/>
          <w:lang w:eastAsia="en-AU"/>
        </w:rPr>
        <w:t xml:space="preserve"> 60 mg once daily, peginterferon alfa-2a 180 μg subcutaneously once weekly, and ribavirin 1000 mg per day (body weight less than 75 kg) or 1200 mg per day (at least 75 kg) in two divided doses for 24 weeks followed by 24 weeks of follow-up after completion of treatment or early discontinuation. </w:t>
      </w:r>
    </w:p>
    <w:p w:rsidR="003D5FEB" w:rsidRPr="003D5FEB" w:rsidRDefault="00450FF6" w:rsidP="00E61859">
      <w:pPr>
        <w:spacing w:after="120" w:line="240" w:lineRule="auto"/>
        <w:jc w:val="both"/>
        <w:rPr>
          <w:rFonts w:ascii="Times New Roman" w:hAnsi="Times New Roman"/>
          <w:lang w:eastAsia="en-AU"/>
        </w:rPr>
      </w:pPr>
      <w:r w:rsidRPr="003D5FEB">
        <w:rPr>
          <w:rFonts w:ascii="Times New Roman" w:hAnsi="Times New Roman"/>
          <w:lang w:eastAsia="en-AU"/>
        </w:rPr>
        <w:t xml:space="preserve">The </w:t>
      </w:r>
      <w:r w:rsidR="00B34DFF" w:rsidRPr="0093440F">
        <w:rPr>
          <w:rFonts w:ascii="Times New Roman" w:hAnsi="Times New Roman"/>
          <w:color w:val="000000"/>
          <w:lang w:eastAsia="en-AU"/>
        </w:rPr>
        <w:t xml:space="preserve">398 </w:t>
      </w:r>
      <w:r w:rsidRPr="003D5FEB">
        <w:rPr>
          <w:rFonts w:ascii="Times New Roman" w:hAnsi="Times New Roman"/>
          <w:lang w:eastAsia="en-AU"/>
        </w:rPr>
        <w:t xml:space="preserve">treated subjects in HALLMARK QUAD had a median age of </w:t>
      </w:r>
      <w:r w:rsidR="00B35468">
        <w:rPr>
          <w:rFonts w:ascii="Times New Roman" w:hAnsi="Times New Roman"/>
          <w:lang w:eastAsia="en-AU"/>
        </w:rPr>
        <w:t>53</w:t>
      </w:r>
      <w:r w:rsidR="00F90697">
        <w:rPr>
          <w:rFonts w:ascii="Times New Roman" w:hAnsi="Times New Roman"/>
          <w:lang w:eastAsia="en-AU"/>
        </w:rPr>
        <w:t xml:space="preserve"> </w:t>
      </w:r>
      <w:r w:rsidRPr="003D5FEB">
        <w:rPr>
          <w:rFonts w:ascii="Times New Roman" w:hAnsi="Times New Roman"/>
          <w:lang w:eastAsia="en-AU"/>
        </w:rPr>
        <w:t>years (range:</w:t>
      </w:r>
      <w:r w:rsidR="00F90697">
        <w:rPr>
          <w:rFonts w:ascii="Times New Roman" w:hAnsi="Times New Roman"/>
          <w:lang w:eastAsia="en-AU"/>
        </w:rPr>
        <w:t xml:space="preserve"> </w:t>
      </w:r>
      <w:r w:rsidR="00B35468">
        <w:rPr>
          <w:rFonts w:ascii="Times New Roman" w:hAnsi="Times New Roman"/>
          <w:lang w:eastAsia="en-AU"/>
        </w:rPr>
        <w:t>19 to 76</w:t>
      </w:r>
      <w:r w:rsidRPr="003D5FEB">
        <w:rPr>
          <w:rFonts w:ascii="Times New Roman" w:hAnsi="Times New Roman"/>
          <w:lang w:eastAsia="en-AU"/>
        </w:rPr>
        <w:t xml:space="preserve">); </w:t>
      </w:r>
      <w:r w:rsidR="00B35468">
        <w:rPr>
          <w:rFonts w:ascii="Times New Roman" w:hAnsi="Times New Roman"/>
          <w:lang w:eastAsia="en-AU"/>
        </w:rPr>
        <w:t>69</w:t>
      </w:r>
      <w:r w:rsidRPr="003D5FEB">
        <w:rPr>
          <w:rFonts w:ascii="Times New Roman" w:hAnsi="Times New Roman"/>
          <w:lang w:eastAsia="en-AU"/>
        </w:rPr>
        <w:t>% of the subjects were male</w:t>
      </w:r>
      <w:r w:rsidR="00B35468" w:rsidRPr="00B35468">
        <w:rPr>
          <w:rFonts w:ascii="Times New Roman" w:hAnsi="Times New Roman"/>
        </w:rPr>
        <w:t xml:space="preserve">; 76% were white, 12% were Asian, </w:t>
      </w:r>
      <w:r w:rsidR="00853CFB" w:rsidRPr="0093440F">
        <w:rPr>
          <w:rFonts w:ascii="Times New Roman" w:hAnsi="Times New Roman"/>
        </w:rPr>
        <w:t xml:space="preserve">and </w:t>
      </w:r>
      <w:r w:rsidR="00B35468" w:rsidRPr="0093440F">
        <w:rPr>
          <w:rFonts w:ascii="Times New Roman" w:hAnsi="Times New Roman"/>
        </w:rPr>
        <w:t>9% were black</w:t>
      </w:r>
      <w:r w:rsidR="00853CFB" w:rsidRPr="0093440F">
        <w:rPr>
          <w:rFonts w:ascii="Times New Roman" w:hAnsi="Times New Roman"/>
        </w:rPr>
        <w:t>;</w:t>
      </w:r>
      <w:r w:rsidR="00B35468" w:rsidRPr="0093440F">
        <w:rPr>
          <w:rFonts w:ascii="Times New Roman" w:hAnsi="Times New Roman"/>
        </w:rPr>
        <w:t xml:space="preserve"> 9% were Hispanic or Latino</w:t>
      </w:r>
      <w:r w:rsidRPr="0093440F">
        <w:rPr>
          <w:rFonts w:ascii="Times New Roman" w:hAnsi="Times New Roman"/>
          <w:lang w:eastAsia="en-AU"/>
        </w:rPr>
        <w:t>. The mean baseline HCV RNA lev</w:t>
      </w:r>
      <w:r w:rsidRPr="003D5FEB">
        <w:rPr>
          <w:rFonts w:ascii="Times New Roman" w:hAnsi="Times New Roman"/>
          <w:lang w:eastAsia="en-AU"/>
        </w:rPr>
        <w:t xml:space="preserve">el was </w:t>
      </w:r>
      <w:r w:rsidR="00B35468">
        <w:rPr>
          <w:rFonts w:ascii="Times New Roman" w:hAnsi="Times New Roman"/>
          <w:lang w:eastAsia="en-AU"/>
        </w:rPr>
        <w:t xml:space="preserve">6.46 </w:t>
      </w:r>
      <w:r w:rsidRPr="003D5FEB">
        <w:rPr>
          <w:rFonts w:ascii="Times New Roman" w:hAnsi="Times New Roman"/>
          <w:lang w:eastAsia="en-AU"/>
        </w:rPr>
        <w:t>log</w:t>
      </w:r>
      <w:r w:rsidRPr="0056419E">
        <w:rPr>
          <w:rFonts w:ascii="Times New Roman" w:hAnsi="Times New Roman"/>
          <w:vertAlign w:val="subscript"/>
          <w:lang w:eastAsia="en-AU"/>
        </w:rPr>
        <w:t>10</w:t>
      </w:r>
      <w:r w:rsidRPr="003D5FEB">
        <w:rPr>
          <w:rFonts w:ascii="Times New Roman" w:hAnsi="Times New Roman"/>
          <w:lang w:eastAsia="en-AU"/>
        </w:rPr>
        <w:t xml:space="preserve"> IU/mL; </w:t>
      </w:r>
      <w:r w:rsidR="00B35468">
        <w:rPr>
          <w:rFonts w:ascii="Times New Roman" w:hAnsi="Times New Roman"/>
          <w:lang w:eastAsia="en-AU"/>
        </w:rPr>
        <w:t>23</w:t>
      </w:r>
      <w:r w:rsidRPr="003D5FEB">
        <w:rPr>
          <w:rFonts w:ascii="Times New Roman" w:hAnsi="Times New Roman"/>
          <w:lang w:eastAsia="en-AU"/>
        </w:rPr>
        <w:t xml:space="preserve">% of subjects had </w:t>
      </w:r>
      <w:r w:rsidR="00AA7510">
        <w:rPr>
          <w:rFonts w:ascii="Times New Roman" w:hAnsi="Times New Roman"/>
          <w:lang w:eastAsia="en-AU"/>
        </w:rPr>
        <w:t xml:space="preserve">compensated </w:t>
      </w:r>
      <w:r w:rsidRPr="003D5FEB">
        <w:rPr>
          <w:rFonts w:ascii="Times New Roman" w:hAnsi="Times New Roman"/>
          <w:lang w:eastAsia="en-AU"/>
        </w:rPr>
        <w:t xml:space="preserve">cirrhosis (Child-Pugh A); </w:t>
      </w:r>
      <w:r w:rsidR="00B35468">
        <w:rPr>
          <w:rFonts w:ascii="Times New Roman" w:hAnsi="Times New Roman"/>
          <w:lang w:eastAsia="en-AU"/>
        </w:rPr>
        <w:t>89</w:t>
      </w:r>
      <w:r w:rsidRPr="003D5FEB">
        <w:rPr>
          <w:rFonts w:ascii="Times New Roman" w:hAnsi="Times New Roman"/>
          <w:lang w:eastAsia="en-AU"/>
        </w:rPr>
        <w:t xml:space="preserve">% had HCV genotype 1 and </w:t>
      </w:r>
      <w:r w:rsidR="00B35468">
        <w:rPr>
          <w:rFonts w:ascii="Times New Roman" w:hAnsi="Times New Roman"/>
          <w:lang w:eastAsia="en-AU"/>
        </w:rPr>
        <w:t>11</w:t>
      </w:r>
      <w:r w:rsidRPr="003D5FEB">
        <w:rPr>
          <w:rFonts w:ascii="Times New Roman" w:hAnsi="Times New Roman"/>
          <w:lang w:eastAsia="en-AU"/>
        </w:rPr>
        <w:t xml:space="preserve">% had HCV genotype 4; </w:t>
      </w:r>
      <w:r w:rsidR="00B35468">
        <w:rPr>
          <w:rFonts w:ascii="Times New Roman" w:hAnsi="Times New Roman"/>
          <w:lang w:eastAsia="en-AU"/>
        </w:rPr>
        <w:t>91</w:t>
      </w:r>
      <w:r w:rsidRPr="003D5FEB">
        <w:rPr>
          <w:rFonts w:ascii="Times New Roman" w:hAnsi="Times New Roman"/>
          <w:lang w:eastAsia="en-AU"/>
        </w:rPr>
        <w:t>%</w:t>
      </w:r>
      <w:r w:rsidR="00B35468">
        <w:rPr>
          <w:rFonts w:ascii="Times New Roman" w:hAnsi="Times New Roman"/>
          <w:lang w:eastAsia="en-AU"/>
        </w:rPr>
        <w:t xml:space="preserve"> of subjects </w:t>
      </w:r>
      <w:r w:rsidRPr="003D5FEB">
        <w:rPr>
          <w:rFonts w:ascii="Times New Roman" w:hAnsi="Times New Roman"/>
          <w:lang w:eastAsia="en-AU"/>
        </w:rPr>
        <w:t xml:space="preserve">had </w:t>
      </w:r>
      <w:r w:rsidR="00B35468">
        <w:rPr>
          <w:rFonts w:ascii="Times New Roman" w:hAnsi="Times New Roman"/>
          <w:lang w:eastAsia="en-AU"/>
        </w:rPr>
        <w:t xml:space="preserve">non-CC </w:t>
      </w:r>
      <w:r w:rsidRPr="003D5FEB">
        <w:rPr>
          <w:rFonts w:ascii="Times New Roman" w:hAnsi="Times New Roman"/>
          <w:lang w:eastAsia="en-AU"/>
        </w:rPr>
        <w:t xml:space="preserve">IL28B genotype. </w:t>
      </w:r>
    </w:p>
    <w:p w:rsidR="000F5D7F" w:rsidRDefault="00450FF6" w:rsidP="00E61859">
      <w:pPr>
        <w:spacing w:after="120" w:line="240" w:lineRule="auto"/>
        <w:jc w:val="both"/>
        <w:rPr>
          <w:rFonts w:ascii="Times New Roman" w:hAnsi="Times New Roman"/>
          <w:szCs w:val="24"/>
        </w:rPr>
      </w:pPr>
      <w:r w:rsidRPr="003D5FEB">
        <w:rPr>
          <w:rFonts w:ascii="Times New Roman" w:hAnsi="Times New Roman"/>
          <w:lang w:eastAsia="en-AU"/>
        </w:rPr>
        <w:t xml:space="preserve">SVR, the primary endpoint, and outcomes for subjects who did not achieve SVR in HALLMARK QUAD are shown by patient population in Table </w:t>
      </w:r>
      <w:r w:rsidR="00B35468">
        <w:rPr>
          <w:rFonts w:ascii="Times New Roman" w:hAnsi="Times New Roman"/>
          <w:lang w:eastAsia="en-AU"/>
        </w:rPr>
        <w:t>4</w:t>
      </w:r>
      <w:r w:rsidRPr="003D5FEB">
        <w:rPr>
          <w:rFonts w:ascii="Times New Roman" w:hAnsi="Times New Roman"/>
          <w:lang w:eastAsia="en-AU"/>
        </w:rPr>
        <w:t xml:space="preserve">. </w:t>
      </w:r>
      <w:r w:rsidR="00B35468" w:rsidRPr="00B35468">
        <w:rPr>
          <w:rFonts w:ascii="Times New Roman" w:hAnsi="Times New Roman"/>
          <w:szCs w:val="24"/>
        </w:rPr>
        <w:t xml:space="preserve">The demonstrated effectiveness of </w:t>
      </w:r>
      <w:r w:rsidR="00B35468">
        <w:rPr>
          <w:rFonts w:ascii="Times New Roman" w:hAnsi="Times New Roman"/>
          <w:szCs w:val="24"/>
        </w:rPr>
        <w:t>SUNVEPRA</w:t>
      </w:r>
      <w:r w:rsidR="001A4B2F">
        <w:rPr>
          <w:rFonts w:ascii="Times New Roman" w:hAnsi="Times New Roman"/>
          <w:szCs w:val="24"/>
        </w:rPr>
        <w:t xml:space="preserve">, </w:t>
      </w:r>
      <w:r w:rsidR="00644782">
        <w:rPr>
          <w:rFonts w:ascii="Times New Roman" w:hAnsi="Times New Roman"/>
          <w:szCs w:val="24"/>
        </w:rPr>
        <w:t>DAKLINZA</w:t>
      </w:r>
      <w:r w:rsidR="001A4B2F">
        <w:rPr>
          <w:rFonts w:ascii="Times New Roman" w:hAnsi="Times New Roman"/>
          <w:szCs w:val="24"/>
        </w:rPr>
        <w:t xml:space="preserve">, peginterferon alfa and </w:t>
      </w:r>
      <w:r w:rsidR="00B35468" w:rsidRPr="00B35468">
        <w:rPr>
          <w:rFonts w:ascii="Times New Roman" w:hAnsi="Times New Roman"/>
          <w:szCs w:val="24"/>
        </w:rPr>
        <w:t>ribavirin treatment in HCV genotype 1 and 4 null responders indicates that this regimen is also expected to be effective in HCV genotype 1 and 4 subjects who are treatment-naive.</w:t>
      </w:r>
    </w:p>
    <w:p w:rsidR="000F5D7F" w:rsidRPr="000F5D7F" w:rsidRDefault="000F5D7F" w:rsidP="00E61859">
      <w:pPr>
        <w:spacing w:after="120" w:line="240" w:lineRule="auto"/>
        <w:jc w:val="both"/>
        <w:rPr>
          <w:rFonts w:ascii="Times New Roman" w:hAnsi="Times New Roman"/>
          <w:b/>
          <w:lang w:eastAsia="en-AU"/>
        </w:rPr>
      </w:pPr>
      <w:r w:rsidRPr="000F5D7F">
        <w:rPr>
          <w:rFonts w:ascii="Times New Roman" w:hAnsi="Times New Roman"/>
          <w:b/>
          <w:szCs w:val="24"/>
        </w:rPr>
        <w:t>Table 4:</w:t>
      </w:r>
      <w:r>
        <w:rPr>
          <w:rFonts w:ascii="Times New Roman" w:hAnsi="Times New Roman"/>
          <w:b/>
          <w:szCs w:val="24"/>
        </w:rPr>
        <w:tab/>
      </w:r>
      <w:r w:rsidRPr="000F5D7F">
        <w:rPr>
          <w:rFonts w:ascii="Times New Roman" w:hAnsi="Times New Roman"/>
          <w:b/>
          <w:szCs w:val="24"/>
        </w:rPr>
        <w:t>Treatment Outcomes in HALLMARK QUAD, SUNVEPRA in Combination with DAKLINZA, Peginterferon Alfa, and Ribavirin in Subjects with HCV Genotype 1 or 4 Infection</w:t>
      </w:r>
    </w:p>
    <w:tbl>
      <w:tblPr>
        <w:tblW w:w="9576" w:type="dxa"/>
        <w:tblBorders>
          <w:bottom w:val="double" w:sz="6" w:space="0" w:color="auto"/>
        </w:tblBorders>
        <w:tblLayout w:type="fixed"/>
        <w:tblLook w:val="0000" w:firstRow="0" w:lastRow="0" w:firstColumn="0" w:lastColumn="0" w:noHBand="0" w:noVBand="0"/>
      </w:tblPr>
      <w:tblGrid>
        <w:gridCol w:w="3192"/>
        <w:gridCol w:w="3192"/>
        <w:gridCol w:w="3192"/>
      </w:tblGrid>
      <w:tr w:rsidR="00B35468" w:rsidRPr="005749A2" w:rsidTr="0063512C">
        <w:trPr>
          <w:tblHeader/>
        </w:trPr>
        <w:tc>
          <w:tcPr>
            <w:tcW w:w="3192" w:type="dxa"/>
            <w:tcBorders>
              <w:top w:val="double" w:sz="6" w:space="0" w:color="000000"/>
              <w:bottom w:val="single" w:sz="6" w:space="0" w:color="auto"/>
            </w:tcBorders>
            <w:shd w:val="clear" w:color="auto" w:fill="auto"/>
            <w:vAlign w:val="center"/>
          </w:tcPr>
          <w:p w:rsidR="00B35468" w:rsidRPr="00636D31" w:rsidRDefault="00B35468" w:rsidP="00B35468">
            <w:pPr>
              <w:pStyle w:val="BMSBodyText"/>
              <w:spacing w:after="0" w:line="240" w:lineRule="auto"/>
              <w:jc w:val="left"/>
              <w:rPr>
                <w:b/>
                <w:color w:val="auto"/>
                <w:sz w:val="22"/>
                <w:szCs w:val="22"/>
              </w:rPr>
            </w:pPr>
            <w:bookmarkStart w:id="12" w:name="Table12_xx"/>
            <w:bookmarkStart w:id="13" w:name="_Toc375124747"/>
            <w:bookmarkEnd w:id="12"/>
            <w:r w:rsidRPr="00636D31">
              <w:rPr>
                <w:b/>
                <w:color w:val="auto"/>
                <w:sz w:val="22"/>
                <w:szCs w:val="22"/>
              </w:rPr>
              <w:t>Treatment outcomes</w:t>
            </w:r>
          </w:p>
        </w:tc>
        <w:tc>
          <w:tcPr>
            <w:tcW w:w="3192" w:type="dxa"/>
            <w:tcBorders>
              <w:top w:val="double" w:sz="6" w:space="0" w:color="000000"/>
              <w:bottom w:val="single" w:sz="6" w:space="0" w:color="auto"/>
            </w:tcBorders>
            <w:shd w:val="clear" w:color="auto" w:fill="auto"/>
            <w:vAlign w:val="bottom"/>
          </w:tcPr>
          <w:p w:rsidR="00B35468" w:rsidRPr="00636D31" w:rsidRDefault="00B35468" w:rsidP="0063512C">
            <w:pPr>
              <w:pStyle w:val="BMSBodyText"/>
              <w:spacing w:after="0" w:line="240" w:lineRule="auto"/>
              <w:jc w:val="center"/>
              <w:rPr>
                <w:b/>
                <w:smallCaps/>
                <w:color w:val="auto"/>
                <w:sz w:val="22"/>
                <w:szCs w:val="22"/>
              </w:rPr>
            </w:pPr>
            <w:r w:rsidRPr="00636D31">
              <w:rPr>
                <w:b/>
                <w:color w:val="auto"/>
                <w:sz w:val="22"/>
                <w:szCs w:val="22"/>
              </w:rPr>
              <w:t>HCV Genotype 1</w:t>
            </w:r>
          </w:p>
          <w:p w:rsidR="00B35468" w:rsidRPr="00636D31" w:rsidRDefault="00B35468" w:rsidP="0063512C">
            <w:pPr>
              <w:pStyle w:val="BMSBodyText"/>
              <w:spacing w:after="0" w:line="240" w:lineRule="auto"/>
              <w:jc w:val="center"/>
              <w:rPr>
                <w:b/>
                <w:smallCaps/>
                <w:color w:val="auto"/>
                <w:sz w:val="22"/>
                <w:szCs w:val="22"/>
              </w:rPr>
            </w:pPr>
            <w:r w:rsidRPr="00636D31">
              <w:rPr>
                <w:b/>
                <w:color w:val="auto"/>
                <w:sz w:val="22"/>
                <w:szCs w:val="22"/>
              </w:rPr>
              <w:t>n=354</w:t>
            </w:r>
          </w:p>
        </w:tc>
        <w:tc>
          <w:tcPr>
            <w:tcW w:w="3192" w:type="dxa"/>
            <w:tcBorders>
              <w:top w:val="double" w:sz="6" w:space="0" w:color="000000"/>
              <w:bottom w:val="single" w:sz="6" w:space="0" w:color="auto"/>
            </w:tcBorders>
            <w:shd w:val="clear" w:color="auto" w:fill="auto"/>
            <w:vAlign w:val="bottom"/>
          </w:tcPr>
          <w:p w:rsidR="00B35468" w:rsidRPr="00636D31" w:rsidRDefault="00B35468" w:rsidP="0063512C">
            <w:pPr>
              <w:pStyle w:val="BMSBodyText"/>
              <w:spacing w:after="0" w:line="240" w:lineRule="auto"/>
              <w:jc w:val="center"/>
              <w:rPr>
                <w:b/>
                <w:color w:val="auto"/>
                <w:sz w:val="22"/>
                <w:szCs w:val="22"/>
              </w:rPr>
            </w:pPr>
            <w:r w:rsidRPr="00636D31">
              <w:rPr>
                <w:b/>
                <w:color w:val="auto"/>
                <w:sz w:val="22"/>
                <w:szCs w:val="22"/>
              </w:rPr>
              <w:t>HCV Genotype 4</w:t>
            </w:r>
          </w:p>
          <w:p w:rsidR="00B35468" w:rsidRPr="00636D31" w:rsidRDefault="00B35468" w:rsidP="0063512C">
            <w:pPr>
              <w:pStyle w:val="BMSBodyText"/>
              <w:spacing w:after="0" w:line="240" w:lineRule="auto"/>
              <w:jc w:val="center"/>
              <w:rPr>
                <w:b/>
                <w:color w:val="auto"/>
                <w:sz w:val="22"/>
                <w:szCs w:val="22"/>
              </w:rPr>
            </w:pPr>
            <w:r w:rsidRPr="00636D31">
              <w:rPr>
                <w:b/>
                <w:color w:val="auto"/>
                <w:sz w:val="22"/>
                <w:szCs w:val="22"/>
              </w:rPr>
              <w:t>n=44</w:t>
            </w:r>
          </w:p>
        </w:tc>
      </w:tr>
      <w:tr w:rsidR="0063512C" w:rsidRPr="005749A2" w:rsidTr="0063512C">
        <w:tc>
          <w:tcPr>
            <w:tcW w:w="3192" w:type="dxa"/>
            <w:tcBorders>
              <w:top w:val="single" w:sz="6" w:space="0" w:color="auto"/>
              <w:bottom w:val="nil"/>
            </w:tcBorders>
            <w:shd w:val="clear" w:color="auto" w:fill="auto"/>
            <w:vAlign w:val="bottom"/>
          </w:tcPr>
          <w:p w:rsidR="0063512C" w:rsidRPr="0063512C" w:rsidRDefault="0063512C" w:rsidP="0063512C">
            <w:pPr>
              <w:pStyle w:val="BMSBodyText"/>
              <w:tabs>
                <w:tab w:val="left" w:pos="282"/>
                <w:tab w:val="left" w:pos="438"/>
              </w:tabs>
              <w:spacing w:before="0" w:after="0" w:line="276" w:lineRule="auto"/>
              <w:jc w:val="left"/>
              <w:rPr>
                <w:b/>
                <w:color w:val="auto"/>
                <w:sz w:val="22"/>
                <w:szCs w:val="22"/>
              </w:rPr>
            </w:pPr>
            <w:r w:rsidRPr="00636D31">
              <w:rPr>
                <w:color w:val="auto"/>
                <w:sz w:val="22"/>
                <w:szCs w:val="22"/>
              </w:rPr>
              <w:tab/>
            </w:r>
            <w:r>
              <w:rPr>
                <w:b/>
                <w:color w:val="auto"/>
                <w:sz w:val="22"/>
                <w:szCs w:val="22"/>
              </w:rPr>
              <w:t>SVR</w:t>
            </w:r>
            <w:r w:rsidR="003C3BA8">
              <w:rPr>
                <w:b/>
                <w:color w:val="auto"/>
                <w:sz w:val="22"/>
                <w:szCs w:val="22"/>
              </w:rPr>
              <w:t>12</w:t>
            </w:r>
            <w:r w:rsidR="000B4998">
              <w:rPr>
                <w:b/>
                <w:color w:val="auto"/>
                <w:sz w:val="22"/>
                <w:szCs w:val="22"/>
                <w:vertAlign w:val="superscript"/>
              </w:rPr>
              <w:t>a</w:t>
            </w:r>
            <w:r>
              <w:rPr>
                <w:b/>
                <w:color w:val="auto"/>
                <w:sz w:val="22"/>
                <w:szCs w:val="22"/>
              </w:rPr>
              <w:t xml:space="preserve"> </w:t>
            </w:r>
          </w:p>
        </w:tc>
        <w:tc>
          <w:tcPr>
            <w:tcW w:w="3192" w:type="dxa"/>
            <w:tcBorders>
              <w:top w:val="single" w:sz="6" w:space="0" w:color="auto"/>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p>
        </w:tc>
        <w:tc>
          <w:tcPr>
            <w:tcW w:w="3192" w:type="dxa"/>
            <w:tcBorders>
              <w:top w:val="single" w:sz="6" w:space="0" w:color="auto"/>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p>
        </w:tc>
      </w:tr>
      <w:tr w:rsidR="00B35468" w:rsidRPr="005749A2" w:rsidTr="0063512C">
        <w:tc>
          <w:tcPr>
            <w:tcW w:w="3192" w:type="dxa"/>
            <w:tcBorders>
              <w:top w:val="nil"/>
              <w:bottom w:val="nil"/>
            </w:tcBorders>
            <w:shd w:val="clear" w:color="auto" w:fill="auto"/>
            <w:vAlign w:val="bottom"/>
          </w:tcPr>
          <w:p w:rsidR="00B35468" w:rsidRPr="00636D31" w:rsidRDefault="00B35468" w:rsidP="0063512C">
            <w:pPr>
              <w:pStyle w:val="BMSBodyText"/>
              <w:tabs>
                <w:tab w:val="left" w:pos="282"/>
                <w:tab w:val="left" w:pos="438"/>
              </w:tabs>
              <w:spacing w:before="0" w:after="0" w:line="276" w:lineRule="auto"/>
              <w:ind w:left="282"/>
              <w:jc w:val="left"/>
              <w:rPr>
                <w:color w:val="auto"/>
                <w:sz w:val="22"/>
                <w:szCs w:val="22"/>
              </w:rPr>
            </w:pPr>
            <w:r w:rsidRPr="00636D31">
              <w:rPr>
                <w:color w:val="auto"/>
                <w:sz w:val="22"/>
                <w:szCs w:val="22"/>
              </w:rPr>
              <w:lastRenderedPageBreak/>
              <w:t>All</w:t>
            </w:r>
          </w:p>
        </w:tc>
        <w:tc>
          <w:tcPr>
            <w:tcW w:w="3192" w:type="dxa"/>
            <w:tcBorders>
              <w:top w:val="nil"/>
              <w:bottom w:val="nil"/>
            </w:tcBorders>
            <w:shd w:val="clear" w:color="auto" w:fill="auto"/>
            <w:vAlign w:val="bottom"/>
          </w:tcPr>
          <w:p w:rsidR="00B35468" w:rsidRPr="00636D31" w:rsidRDefault="00B35468" w:rsidP="0063512C">
            <w:pPr>
              <w:pStyle w:val="BMSBodyText"/>
              <w:spacing w:before="0" w:after="0" w:line="276" w:lineRule="auto"/>
              <w:jc w:val="center"/>
              <w:rPr>
                <w:color w:val="auto"/>
                <w:sz w:val="22"/>
                <w:szCs w:val="22"/>
              </w:rPr>
            </w:pPr>
            <w:r w:rsidRPr="00636D31">
              <w:rPr>
                <w:color w:val="auto"/>
                <w:sz w:val="22"/>
                <w:szCs w:val="22"/>
              </w:rPr>
              <w:t>93% (330/354)</w:t>
            </w:r>
          </w:p>
        </w:tc>
        <w:tc>
          <w:tcPr>
            <w:tcW w:w="3192" w:type="dxa"/>
            <w:tcBorders>
              <w:top w:val="nil"/>
              <w:bottom w:val="nil"/>
            </w:tcBorders>
            <w:shd w:val="clear" w:color="auto" w:fill="auto"/>
            <w:vAlign w:val="bottom"/>
          </w:tcPr>
          <w:p w:rsidR="00B35468" w:rsidRPr="00636D31" w:rsidRDefault="00B35468" w:rsidP="0063512C">
            <w:pPr>
              <w:pStyle w:val="BMSBodyText"/>
              <w:spacing w:before="0" w:after="0" w:line="276" w:lineRule="auto"/>
              <w:jc w:val="center"/>
              <w:rPr>
                <w:color w:val="auto"/>
                <w:sz w:val="22"/>
                <w:szCs w:val="22"/>
              </w:rPr>
            </w:pPr>
            <w:r w:rsidRPr="00636D31">
              <w:rPr>
                <w:color w:val="auto"/>
                <w:sz w:val="22"/>
                <w:szCs w:val="22"/>
              </w:rPr>
              <w:t>100% (44/44)</w:t>
            </w:r>
          </w:p>
        </w:tc>
      </w:tr>
      <w:tr w:rsidR="0063512C" w:rsidRPr="005749A2" w:rsidTr="0063512C">
        <w:tc>
          <w:tcPr>
            <w:tcW w:w="3192" w:type="dxa"/>
            <w:tcBorders>
              <w:top w:val="nil"/>
              <w:bottom w:val="nil"/>
            </w:tcBorders>
            <w:shd w:val="clear" w:color="auto" w:fill="auto"/>
            <w:vAlign w:val="bottom"/>
          </w:tcPr>
          <w:p w:rsidR="0063512C" w:rsidRPr="00636D31" w:rsidRDefault="0063512C" w:rsidP="0063512C">
            <w:pPr>
              <w:pStyle w:val="BMSBodyText"/>
              <w:tabs>
                <w:tab w:val="left" w:pos="284"/>
              </w:tabs>
              <w:spacing w:before="0" w:after="0" w:line="276" w:lineRule="auto"/>
              <w:jc w:val="left"/>
              <w:rPr>
                <w:color w:val="auto"/>
                <w:sz w:val="22"/>
                <w:szCs w:val="22"/>
              </w:rPr>
            </w:pPr>
            <w:r w:rsidRPr="00636D31">
              <w:rPr>
                <w:color w:val="auto"/>
                <w:sz w:val="22"/>
                <w:szCs w:val="22"/>
              </w:rPr>
              <w:tab/>
              <w:t>Prior partial responders</w:t>
            </w:r>
          </w:p>
        </w:tc>
        <w:tc>
          <w:tcPr>
            <w:tcW w:w="3192" w:type="dxa"/>
            <w:tcBorders>
              <w:top w:val="nil"/>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93% (111/120)</w:t>
            </w:r>
          </w:p>
        </w:tc>
        <w:tc>
          <w:tcPr>
            <w:tcW w:w="3192" w:type="dxa"/>
            <w:tcBorders>
              <w:top w:val="nil"/>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100% (10/10)</w:t>
            </w:r>
          </w:p>
        </w:tc>
      </w:tr>
      <w:tr w:rsidR="0063512C" w:rsidRPr="005749A2" w:rsidTr="0063512C">
        <w:tc>
          <w:tcPr>
            <w:tcW w:w="3192" w:type="dxa"/>
            <w:tcBorders>
              <w:top w:val="nil"/>
              <w:bottom w:val="nil"/>
            </w:tcBorders>
            <w:shd w:val="clear" w:color="auto" w:fill="auto"/>
            <w:vAlign w:val="bottom"/>
          </w:tcPr>
          <w:p w:rsidR="0063512C" w:rsidRPr="00636D31" w:rsidRDefault="0063512C" w:rsidP="0063512C">
            <w:pPr>
              <w:pStyle w:val="BMSBodyText"/>
              <w:tabs>
                <w:tab w:val="left" w:pos="264"/>
              </w:tabs>
              <w:spacing w:before="0" w:after="0" w:line="276" w:lineRule="auto"/>
              <w:jc w:val="left"/>
              <w:rPr>
                <w:color w:val="auto"/>
                <w:sz w:val="22"/>
                <w:szCs w:val="22"/>
              </w:rPr>
            </w:pPr>
            <w:r w:rsidRPr="00636D31">
              <w:rPr>
                <w:color w:val="auto"/>
                <w:sz w:val="22"/>
                <w:szCs w:val="22"/>
              </w:rPr>
              <w:tab/>
              <w:t>Prior null responders</w:t>
            </w:r>
          </w:p>
        </w:tc>
        <w:tc>
          <w:tcPr>
            <w:tcW w:w="3192" w:type="dxa"/>
            <w:tcBorders>
              <w:top w:val="nil"/>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94% (219/234)</w:t>
            </w:r>
          </w:p>
        </w:tc>
        <w:tc>
          <w:tcPr>
            <w:tcW w:w="3192" w:type="dxa"/>
            <w:tcBorders>
              <w:top w:val="nil"/>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100% (34/34)</w:t>
            </w:r>
          </w:p>
        </w:tc>
      </w:tr>
      <w:tr w:rsidR="0063512C" w:rsidRPr="005749A2" w:rsidTr="0063512C">
        <w:tc>
          <w:tcPr>
            <w:tcW w:w="3192" w:type="dxa"/>
            <w:tcBorders>
              <w:bottom w:val="nil"/>
            </w:tcBorders>
            <w:shd w:val="clear" w:color="auto" w:fill="auto"/>
            <w:vAlign w:val="bottom"/>
          </w:tcPr>
          <w:p w:rsidR="0063512C" w:rsidRPr="00636D31" w:rsidRDefault="0063512C" w:rsidP="0063512C">
            <w:pPr>
              <w:pStyle w:val="BMSBodyText"/>
              <w:tabs>
                <w:tab w:val="left" w:pos="284"/>
              </w:tabs>
              <w:spacing w:before="0" w:after="0" w:line="276" w:lineRule="auto"/>
              <w:jc w:val="left"/>
              <w:rPr>
                <w:color w:val="auto"/>
                <w:sz w:val="22"/>
                <w:szCs w:val="22"/>
              </w:rPr>
            </w:pPr>
            <w:r w:rsidRPr="00636D31">
              <w:rPr>
                <w:color w:val="auto"/>
                <w:sz w:val="22"/>
                <w:szCs w:val="22"/>
              </w:rPr>
              <w:tab/>
              <w:t>With cirrhosis</w:t>
            </w:r>
          </w:p>
        </w:tc>
        <w:tc>
          <w:tcPr>
            <w:tcW w:w="3192" w:type="dxa"/>
            <w:tcBorders>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90% (66/73)</w:t>
            </w:r>
          </w:p>
        </w:tc>
        <w:tc>
          <w:tcPr>
            <w:tcW w:w="3192" w:type="dxa"/>
            <w:tcBorders>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100% (20/20)</w:t>
            </w:r>
          </w:p>
        </w:tc>
      </w:tr>
      <w:tr w:rsidR="0063512C" w:rsidRPr="005749A2" w:rsidTr="0063512C">
        <w:tc>
          <w:tcPr>
            <w:tcW w:w="3192" w:type="dxa"/>
            <w:tcBorders>
              <w:top w:val="nil"/>
              <w:bottom w:val="nil"/>
            </w:tcBorders>
            <w:shd w:val="clear" w:color="auto" w:fill="auto"/>
            <w:vAlign w:val="bottom"/>
          </w:tcPr>
          <w:p w:rsidR="0063512C" w:rsidRPr="00636D31" w:rsidRDefault="0063512C" w:rsidP="0063512C">
            <w:pPr>
              <w:pStyle w:val="BMSBodyText"/>
              <w:tabs>
                <w:tab w:val="left" w:pos="274"/>
              </w:tabs>
              <w:spacing w:before="0" w:after="0" w:line="276" w:lineRule="auto"/>
              <w:jc w:val="left"/>
              <w:rPr>
                <w:color w:val="auto"/>
                <w:sz w:val="22"/>
                <w:szCs w:val="22"/>
              </w:rPr>
            </w:pPr>
            <w:r w:rsidRPr="00636D31">
              <w:rPr>
                <w:color w:val="auto"/>
                <w:sz w:val="22"/>
                <w:szCs w:val="22"/>
              </w:rPr>
              <w:tab/>
              <w:t>No cirrhosis</w:t>
            </w:r>
          </w:p>
        </w:tc>
        <w:tc>
          <w:tcPr>
            <w:tcW w:w="3192" w:type="dxa"/>
            <w:tcBorders>
              <w:top w:val="nil"/>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94% (264/281)</w:t>
            </w:r>
          </w:p>
        </w:tc>
        <w:tc>
          <w:tcPr>
            <w:tcW w:w="3192" w:type="dxa"/>
            <w:tcBorders>
              <w:top w:val="nil"/>
              <w:bottom w:val="nil"/>
            </w:tcBorders>
            <w:shd w:val="clear" w:color="auto" w:fill="auto"/>
            <w:vAlign w:val="bottom"/>
          </w:tcPr>
          <w:p w:rsidR="0063512C" w:rsidRPr="00636D31" w:rsidRDefault="0063512C" w:rsidP="0063512C">
            <w:pPr>
              <w:pStyle w:val="BMSBodyText"/>
              <w:spacing w:before="0" w:after="0" w:line="276" w:lineRule="auto"/>
              <w:jc w:val="center"/>
              <w:rPr>
                <w:color w:val="auto"/>
                <w:sz w:val="22"/>
                <w:szCs w:val="22"/>
              </w:rPr>
            </w:pPr>
            <w:r w:rsidRPr="00636D31">
              <w:rPr>
                <w:color w:val="auto"/>
                <w:sz w:val="22"/>
                <w:szCs w:val="22"/>
              </w:rPr>
              <w:t>100% (24/24)</w:t>
            </w:r>
          </w:p>
        </w:tc>
      </w:tr>
      <w:tr w:rsidR="00B35468" w:rsidRPr="00647A1C" w:rsidTr="00635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76" w:type="dxa"/>
            <w:gridSpan w:val="3"/>
            <w:tcBorders>
              <w:left w:val="nil"/>
              <w:right w:val="nil"/>
            </w:tcBorders>
            <w:vAlign w:val="bottom"/>
          </w:tcPr>
          <w:p w:rsidR="00B35468" w:rsidRPr="00636D31" w:rsidRDefault="00B35468" w:rsidP="0063512C">
            <w:pPr>
              <w:pStyle w:val="BMSBodyText"/>
              <w:spacing w:before="0" w:after="0" w:line="276" w:lineRule="auto"/>
              <w:jc w:val="left"/>
              <w:rPr>
                <w:color w:val="auto"/>
                <w:sz w:val="22"/>
                <w:szCs w:val="22"/>
              </w:rPr>
            </w:pPr>
            <w:r w:rsidRPr="00636D31">
              <w:rPr>
                <w:b/>
                <w:color w:val="auto"/>
                <w:sz w:val="22"/>
                <w:szCs w:val="22"/>
              </w:rPr>
              <w:t>Outcomes for subjects without SVR</w:t>
            </w:r>
          </w:p>
        </w:tc>
      </w:tr>
      <w:tr w:rsidR="00B35468" w:rsidRPr="00647A1C" w:rsidTr="0063512C">
        <w:tc>
          <w:tcPr>
            <w:tcW w:w="3192" w:type="dxa"/>
            <w:shd w:val="clear" w:color="auto" w:fill="auto"/>
            <w:vAlign w:val="bottom"/>
          </w:tcPr>
          <w:p w:rsidR="00B35468" w:rsidRPr="00636D31" w:rsidRDefault="00B35468" w:rsidP="000B4998">
            <w:pPr>
              <w:pStyle w:val="BMSBodyText"/>
              <w:spacing w:before="0" w:after="0" w:line="276" w:lineRule="auto"/>
              <w:jc w:val="left"/>
              <w:rPr>
                <w:sz w:val="22"/>
                <w:szCs w:val="22"/>
              </w:rPr>
            </w:pPr>
            <w:r w:rsidRPr="00636D31">
              <w:rPr>
                <w:color w:val="auto"/>
                <w:sz w:val="22"/>
                <w:szCs w:val="22"/>
              </w:rPr>
              <w:t xml:space="preserve">On-treatment virologic </w:t>
            </w:r>
            <w:r w:rsidR="000B4998" w:rsidRPr="00636D31">
              <w:rPr>
                <w:color w:val="auto"/>
                <w:sz w:val="22"/>
                <w:szCs w:val="22"/>
              </w:rPr>
              <w:t>failure</w:t>
            </w:r>
            <w:r w:rsidR="000B4998">
              <w:rPr>
                <w:rStyle w:val="BMSTableNote"/>
                <w:sz w:val="22"/>
                <w:szCs w:val="22"/>
              </w:rPr>
              <w:t>b</w:t>
            </w:r>
          </w:p>
        </w:tc>
        <w:tc>
          <w:tcPr>
            <w:tcW w:w="3192" w:type="dxa"/>
            <w:shd w:val="clear" w:color="auto" w:fill="auto"/>
            <w:vAlign w:val="bottom"/>
          </w:tcPr>
          <w:p w:rsidR="00B35468" w:rsidRPr="00636D31" w:rsidRDefault="00B35468" w:rsidP="0063512C">
            <w:pPr>
              <w:pStyle w:val="BMSTableText"/>
              <w:spacing w:before="0" w:after="0" w:line="276" w:lineRule="auto"/>
              <w:rPr>
                <w:sz w:val="22"/>
                <w:szCs w:val="22"/>
              </w:rPr>
            </w:pPr>
            <w:r w:rsidRPr="00636D31">
              <w:rPr>
                <w:sz w:val="22"/>
                <w:szCs w:val="22"/>
              </w:rPr>
              <w:t>3% (12/354)</w:t>
            </w:r>
          </w:p>
        </w:tc>
        <w:tc>
          <w:tcPr>
            <w:tcW w:w="3192" w:type="dxa"/>
            <w:shd w:val="clear" w:color="auto" w:fill="auto"/>
            <w:vAlign w:val="bottom"/>
          </w:tcPr>
          <w:p w:rsidR="00B35468" w:rsidRPr="00636D31" w:rsidRDefault="00B35468" w:rsidP="0063512C">
            <w:pPr>
              <w:pStyle w:val="BMSTableText"/>
              <w:spacing w:before="0" w:after="0" w:line="276" w:lineRule="auto"/>
              <w:rPr>
                <w:sz w:val="22"/>
                <w:szCs w:val="22"/>
              </w:rPr>
            </w:pPr>
            <w:r w:rsidRPr="00636D31">
              <w:rPr>
                <w:sz w:val="22"/>
                <w:szCs w:val="22"/>
              </w:rPr>
              <w:t>0/44</w:t>
            </w:r>
          </w:p>
        </w:tc>
      </w:tr>
      <w:tr w:rsidR="00B35468" w:rsidRPr="00647A1C" w:rsidTr="0063512C">
        <w:tc>
          <w:tcPr>
            <w:tcW w:w="3192" w:type="dxa"/>
            <w:shd w:val="clear" w:color="auto" w:fill="auto"/>
            <w:vAlign w:val="bottom"/>
          </w:tcPr>
          <w:p w:rsidR="00B35468" w:rsidRPr="00636D31" w:rsidRDefault="000B4998" w:rsidP="000B4998">
            <w:pPr>
              <w:pStyle w:val="BMSTableText"/>
              <w:spacing w:before="0" w:after="0" w:line="276" w:lineRule="auto"/>
              <w:jc w:val="left"/>
              <w:rPr>
                <w:sz w:val="22"/>
                <w:szCs w:val="22"/>
              </w:rPr>
            </w:pPr>
            <w:r w:rsidRPr="00636D31">
              <w:rPr>
                <w:sz w:val="22"/>
                <w:szCs w:val="22"/>
              </w:rPr>
              <w:t>Relapse</w:t>
            </w:r>
            <w:r>
              <w:rPr>
                <w:rStyle w:val="BMSTableNote"/>
                <w:sz w:val="22"/>
                <w:szCs w:val="22"/>
              </w:rPr>
              <w:t>c</w:t>
            </w:r>
          </w:p>
        </w:tc>
        <w:tc>
          <w:tcPr>
            <w:tcW w:w="3192" w:type="dxa"/>
            <w:shd w:val="clear" w:color="auto" w:fill="auto"/>
            <w:vAlign w:val="bottom"/>
          </w:tcPr>
          <w:p w:rsidR="00B35468" w:rsidRPr="00636D31" w:rsidRDefault="00B35468" w:rsidP="0063512C">
            <w:pPr>
              <w:pStyle w:val="BMSTableText"/>
              <w:spacing w:before="0" w:after="0" w:line="276" w:lineRule="auto"/>
              <w:rPr>
                <w:sz w:val="22"/>
                <w:szCs w:val="22"/>
              </w:rPr>
            </w:pPr>
            <w:r w:rsidRPr="00636D31">
              <w:rPr>
                <w:sz w:val="22"/>
                <w:szCs w:val="22"/>
              </w:rPr>
              <w:t>2% (8/337)</w:t>
            </w:r>
          </w:p>
        </w:tc>
        <w:tc>
          <w:tcPr>
            <w:tcW w:w="3192" w:type="dxa"/>
            <w:shd w:val="clear" w:color="auto" w:fill="auto"/>
            <w:vAlign w:val="bottom"/>
          </w:tcPr>
          <w:p w:rsidR="00B35468" w:rsidRPr="00636D31" w:rsidRDefault="00B35468" w:rsidP="0063512C">
            <w:pPr>
              <w:pStyle w:val="BMSTableText"/>
              <w:spacing w:before="0" w:after="0" w:line="276" w:lineRule="auto"/>
              <w:rPr>
                <w:sz w:val="22"/>
                <w:szCs w:val="22"/>
              </w:rPr>
            </w:pPr>
            <w:r w:rsidRPr="00636D31">
              <w:rPr>
                <w:sz w:val="22"/>
                <w:szCs w:val="22"/>
              </w:rPr>
              <w:t>0/43</w:t>
            </w:r>
          </w:p>
        </w:tc>
      </w:tr>
      <w:tr w:rsidR="00B35468" w:rsidTr="0063512C">
        <w:tc>
          <w:tcPr>
            <w:tcW w:w="3192" w:type="dxa"/>
            <w:shd w:val="clear" w:color="auto" w:fill="auto"/>
            <w:vAlign w:val="bottom"/>
          </w:tcPr>
          <w:p w:rsidR="00B35468" w:rsidRPr="00636D31" w:rsidRDefault="00B35468" w:rsidP="0063512C">
            <w:pPr>
              <w:pStyle w:val="BMSTableText"/>
              <w:spacing w:before="0" w:after="0" w:line="276" w:lineRule="auto"/>
              <w:jc w:val="left"/>
              <w:rPr>
                <w:sz w:val="22"/>
                <w:szCs w:val="22"/>
              </w:rPr>
            </w:pPr>
            <w:r w:rsidRPr="00636D31">
              <w:rPr>
                <w:sz w:val="22"/>
                <w:szCs w:val="22"/>
              </w:rPr>
              <w:t>Missing post-treatment data</w:t>
            </w:r>
          </w:p>
        </w:tc>
        <w:tc>
          <w:tcPr>
            <w:tcW w:w="3192" w:type="dxa"/>
            <w:shd w:val="clear" w:color="auto" w:fill="auto"/>
            <w:vAlign w:val="bottom"/>
          </w:tcPr>
          <w:p w:rsidR="00B35468" w:rsidRPr="00636D31" w:rsidRDefault="00B35468" w:rsidP="0063512C">
            <w:pPr>
              <w:pStyle w:val="BMSTableText"/>
              <w:spacing w:before="0" w:after="0" w:line="276" w:lineRule="auto"/>
              <w:rPr>
                <w:sz w:val="22"/>
                <w:szCs w:val="22"/>
              </w:rPr>
            </w:pPr>
            <w:r w:rsidRPr="00636D31">
              <w:rPr>
                <w:sz w:val="22"/>
                <w:szCs w:val="22"/>
              </w:rPr>
              <w:t>1</w:t>
            </w:r>
            <w:r w:rsidRPr="0093440F">
              <w:rPr>
                <w:sz w:val="22"/>
                <w:szCs w:val="22"/>
              </w:rPr>
              <w:t>% (4/</w:t>
            </w:r>
            <w:r w:rsidR="00853CFB" w:rsidRPr="0093440F">
              <w:rPr>
                <w:sz w:val="22"/>
                <w:szCs w:val="22"/>
              </w:rPr>
              <w:t>354</w:t>
            </w:r>
            <w:r w:rsidRPr="0093440F">
              <w:rPr>
                <w:sz w:val="22"/>
                <w:szCs w:val="22"/>
              </w:rPr>
              <w:t>)</w:t>
            </w:r>
          </w:p>
        </w:tc>
        <w:tc>
          <w:tcPr>
            <w:tcW w:w="3192" w:type="dxa"/>
            <w:shd w:val="clear" w:color="auto" w:fill="auto"/>
            <w:vAlign w:val="bottom"/>
          </w:tcPr>
          <w:p w:rsidR="00B35468" w:rsidRPr="00636D31" w:rsidRDefault="00B35468" w:rsidP="0063512C">
            <w:pPr>
              <w:pStyle w:val="BMSTableText"/>
              <w:spacing w:before="0" w:after="0" w:line="276" w:lineRule="auto"/>
              <w:rPr>
                <w:sz w:val="22"/>
                <w:szCs w:val="22"/>
              </w:rPr>
            </w:pPr>
            <w:r w:rsidRPr="00636D31">
              <w:rPr>
                <w:sz w:val="22"/>
                <w:szCs w:val="22"/>
              </w:rPr>
              <w:t>0/</w:t>
            </w:r>
            <w:r w:rsidR="00A43C73">
              <w:rPr>
                <w:sz w:val="22"/>
                <w:szCs w:val="22"/>
              </w:rPr>
              <w:t>44</w:t>
            </w:r>
          </w:p>
        </w:tc>
      </w:tr>
    </w:tbl>
    <w:p w:rsidR="000B4998" w:rsidRDefault="00B35468" w:rsidP="000B4998">
      <w:pPr>
        <w:pStyle w:val="BMSTableNoteInfo"/>
        <w:rPr>
          <w:rStyle w:val="BMSTableTextChar"/>
        </w:rPr>
      </w:pPr>
      <w:r>
        <w:rPr>
          <w:rStyle w:val="BMSTableNote"/>
        </w:rPr>
        <w:t>a</w:t>
      </w:r>
      <w:r>
        <w:tab/>
      </w:r>
      <w:r w:rsidR="000B4998">
        <w:rPr>
          <w:vertAlign w:val="superscript"/>
        </w:rPr>
        <w:t xml:space="preserve">a  </w:t>
      </w:r>
      <w:r w:rsidR="000B4998">
        <w:t>Missing HCV RNA data were imputed using the NVCB approach.</w:t>
      </w:r>
    </w:p>
    <w:p w:rsidR="00B35468" w:rsidRPr="00636D31" w:rsidRDefault="000B4998" w:rsidP="000B4998">
      <w:pPr>
        <w:pStyle w:val="BMSTableNoteInfo"/>
        <w:spacing w:before="0"/>
      </w:pPr>
      <w:r>
        <w:rPr>
          <w:rStyle w:val="BMSTableNote"/>
        </w:rPr>
        <w:t>b</w:t>
      </w:r>
      <w:r w:rsidRPr="00636D31">
        <w:t xml:space="preserve"> </w:t>
      </w:r>
      <w:r w:rsidR="00B35468" w:rsidRPr="00636D31">
        <w:t>On-treatment virologic failure includes subjects with virologic breakthrough (confirmed &gt;1 log</w:t>
      </w:r>
      <w:r w:rsidR="00B35468" w:rsidRPr="00636D31">
        <w:rPr>
          <w:rStyle w:val="BMSSubscript"/>
          <w:sz w:val="20"/>
        </w:rPr>
        <w:t>10</w:t>
      </w:r>
      <w:r w:rsidR="00B35468" w:rsidRPr="00636D31">
        <w:t xml:space="preserve"> increase in HCV RNA over nadir or any confirmed HCV RNA ≥</w:t>
      </w:r>
      <w:r w:rsidR="00B35468" w:rsidRPr="00636D31">
        <w:rPr>
          <w:rFonts w:eastAsia="SymbolMT"/>
        </w:rPr>
        <w:t>L</w:t>
      </w:r>
      <w:r w:rsidR="00B35468" w:rsidRPr="00636D31">
        <w:t xml:space="preserve">LOQ after confirmed undetectable), those with confirmed HCV RNA ≥LLOQ at treatment Week 8, </w:t>
      </w:r>
      <w:r w:rsidR="00B35468" w:rsidRPr="00636D31">
        <w:rPr>
          <w:rStyle w:val="BMSTableTextChar"/>
        </w:rPr>
        <w:t>and those with detectable HCV RNA at end of treatment.</w:t>
      </w:r>
    </w:p>
    <w:p w:rsidR="00E61859" w:rsidRDefault="00B35468" w:rsidP="00E61859">
      <w:pPr>
        <w:pStyle w:val="BMSTableNoteInfo"/>
        <w:spacing w:before="0" w:after="120"/>
      </w:pPr>
      <w:r w:rsidRPr="00636D31">
        <w:rPr>
          <w:rStyle w:val="BMSTableNote"/>
          <w:sz w:val="20"/>
          <w:szCs w:val="20"/>
        </w:rPr>
        <w:t>b</w:t>
      </w:r>
      <w:r w:rsidRPr="00636D31">
        <w:tab/>
        <w:t>Relapse rates are calculated with a denominator of subjects with undetectable HCV RNA at the end of treatment.</w:t>
      </w:r>
    </w:p>
    <w:p w:rsidR="00B35468" w:rsidRPr="002E5436" w:rsidRDefault="002E5436" w:rsidP="00E61859">
      <w:pPr>
        <w:spacing w:after="120" w:line="240" w:lineRule="auto"/>
        <w:jc w:val="both"/>
        <w:rPr>
          <w:rFonts w:ascii="Times New Roman" w:hAnsi="Times New Roman"/>
        </w:rPr>
      </w:pPr>
      <w:r w:rsidRPr="002E5436">
        <w:rPr>
          <w:rFonts w:ascii="Times New Roman" w:hAnsi="Times New Roman"/>
        </w:rPr>
        <w:t xml:space="preserve">Response was rapid (98% of subjects had HCV RNA &lt;LLOQ at Week 4). There were no differences in antiviral response due to gender, age, baseline HCV RNA level, </w:t>
      </w:r>
      <w:r w:rsidR="00C11267">
        <w:rPr>
          <w:rFonts w:ascii="Times New Roman" w:hAnsi="Times New Roman"/>
        </w:rPr>
        <w:t xml:space="preserve">presence or absence of baseline polymorphisms, </w:t>
      </w:r>
      <w:r w:rsidRPr="002E5436">
        <w:rPr>
          <w:rFonts w:ascii="Times New Roman" w:hAnsi="Times New Roman"/>
        </w:rPr>
        <w:t>IL28B allele status, or presence or absence of cirrhosis for patients in either genotype group.</w:t>
      </w:r>
    </w:p>
    <w:p w:rsidR="00450FF6" w:rsidRDefault="00450FF6" w:rsidP="00E61859">
      <w:pPr>
        <w:pStyle w:val="BMSHeading2"/>
        <w:numPr>
          <w:ilvl w:val="0"/>
          <w:numId w:val="0"/>
        </w:numPr>
        <w:spacing w:before="0"/>
        <w:ind w:left="1152" w:hanging="1152"/>
        <w:rPr>
          <w:rFonts w:ascii="Times New Roman" w:hAnsi="Times New Roman"/>
        </w:rPr>
      </w:pPr>
      <w:r w:rsidRPr="003D5FEB">
        <w:rPr>
          <w:rFonts w:ascii="Times New Roman" w:hAnsi="Times New Roman"/>
        </w:rPr>
        <w:t>Long-term Follow-up</w:t>
      </w:r>
      <w:bookmarkEnd w:id="13"/>
    </w:p>
    <w:p w:rsidR="00636D31" w:rsidRDefault="00636D31" w:rsidP="00E61859">
      <w:pPr>
        <w:pStyle w:val="BMSBodyText"/>
        <w:spacing w:before="0" w:line="240" w:lineRule="auto"/>
        <w:rPr>
          <w:noProof/>
        </w:rPr>
      </w:pPr>
      <w:r w:rsidRPr="006857E0">
        <w:rPr>
          <w:noProof/>
        </w:rPr>
        <w:t>Limited data are available from an ongoing follow-up study to assess durability of response up to 3</w:t>
      </w:r>
      <w:r>
        <w:rPr>
          <w:noProof/>
        </w:rPr>
        <w:t> </w:t>
      </w:r>
      <w:r w:rsidRPr="006857E0">
        <w:rPr>
          <w:noProof/>
        </w:rPr>
        <w:t xml:space="preserve">years after treatment with </w:t>
      </w:r>
      <w:r>
        <w:rPr>
          <w:noProof/>
        </w:rPr>
        <w:t>SUNVEPRA</w:t>
      </w:r>
      <w:r w:rsidRPr="006857E0">
        <w:rPr>
          <w:noProof/>
        </w:rPr>
        <w:t xml:space="preserve">. </w:t>
      </w:r>
      <w:r>
        <w:rPr>
          <w:noProof/>
        </w:rPr>
        <w:t>Among</w:t>
      </w:r>
      <w:r w:rsidRPr="006857E0">
        <w:rPr>
          <w:noProof/>
        </w:rPr>
        <w:t xml:space="preserve"> </w:t>
      </w:r>
      <w:r>
        <w:rPr>
          <w:noProof/>
        </w:rPr>
        <w:t>255</w:t>
      </w:r>
      <w:r w:rsidRPr="006857E0">
        <w:rPr>
          <w:noProof/>
        </w:rPr>
        <w:t xml:space="preserve"> </w:t>
      </w:r>
      <w:r>
        <w:rPr>
          <w:noProof/>
        </w:rPr>
        <w:t>subjects</w:t>
      </w:r>
      <w:r w:rsidRPr="006857E0">
        <w:rPr>
          <w:noProof/>
        </w:rPr>
        <w:t xml:space="preserve"> who achieved SVR</w:t>
      </w:r>
      <w:r>
        <w:rPr>
          <w:noProof/>
        </w:rPr>
        <w:t>12</w:t>
      </w:r>
      <w:r w:rsidRPr="006857E0">
        <w:rPr>
          <w:noProof/>
        </w:rPr>
        <w:t xml:space="preserve"> with </w:t>
      </w:r>
      <w:r>
        <w:rPr>
          <w:noProof/>
        </w:rPr>
        <w:t xml:space="preserve">SUNVEPRA and </w:t>
      </w:r>
      <w:r w:rsidR="00644782">
        <w:rPr>
          <w:noProof/>
        </w:rPr>
        <w:t>DAKLINZA</w:t>
      </w:r>
      <w:r w:rsidRPr="00AF03AC">
        <w:rPr>
          <w:noProof/>
        </w:rPr>
        <w:t xml:space="preserve"> </w:t>
      </w:r>
      <w:r w:rsidRPr="00B82BB7">
        <w:rPr>
          <w:noProof/>
        </w:rPr>
        <w:t xml:space="preserve">with a median duration of post-SVR12 follow-up of </w:t>
      </w:r>
      <w:r>
        <w:rPr>
          <w:noProof/>
        </w:rPr>
        <w:t>approximately 8.5</w:t>
      </w:r>
      <w:r w:rsidRPr="00B82BB7">
        <w:rPr>
          <w:noProof/>
        </w:rPr>
        <w:t xml:space="preserve"> months</w:t>
      </w:r>
      <w:r>
        <w:rPr>
          <w:noProof/>
        </w:rPr>
        <w:t>, 1 (&lt;1%) relapse occurred. No relapses occurred among 31</w:t>
      </w:r>
      <w:r w:rsidRPr="006857E0">
        <w:rPr>
          <w:noProof/>
        </w:rPr>
        <w:t xml:space="preserve"> </w:t>
      </w:r>
      <w:r>
        <w:rPr>
          <w:noProof/>
        </w:rPr>
        <w:t>subjects</w:t>
      </w:r>
      <w:r w:rsidRPr="006857E0">
        <w:rPr>
          <w:noProof/>
        </w:rPr>
        <w:t xml:space="preserve"> who achieved SVR12 with </w:t>
      </w:r>
      <w:r>
        <w:rPr>
          <w:noProof/>
        </w:rPr>
        <w:t xml:space="preserve">SUNVEPRA, </w:t>
      </w:r>
      <w:r w:rsidR="00644782">
        <w:rPr>
          <w:noProof/>
        </w:rPr>
        <w:t>DAKLINZA</w:t>
      </w:r>
      <w:r>
        <w:rPr>
          <w:noProof/>
        </w:rPr>
        <w:t>, peginterferon alfa,</w:t>
      </w:r>
      <w:r w:rsidRPr="00AF03AC">
        <w:rPr>
          <w:noProof/>
        </w:rPr>
        <w:t xml:space="preserve"> </w:t>
      </w:r>
      <w:r w:rsidRPr="006857E0">
        <w:rPr>
          <w:noProof/>
        </w:rPr>
        <w:t xml:space="preserve">and </w:t>
      </w:r>
      <w:r>
        <w:rPr>
          <w:noProof/>
        </w:rPr>
        <w:t>ribavirin</w:t>
      </w:r>
      <w:r w:rsidRPr="006857E0">
        <w:rPr>
          <w:noProof/>
        </w:rPr>
        <w:t xml:space="preserve"> </w:t>
      </w:r>
      <w:r w:rsidRPr="00B82BB7">
        <w:rPr>
          <w:noProof/>
        </w:rPr>
        <w:t>with a median duration of post-SVR</w:t>
      </w:r>
      <w:r>
        <w:rPr>
          <w:noProof/>
        </w:rPr>
        <w:t>12</w:t>
      </w:r>
      <w:r w:rsidRPr="00B82BB7">
        <w:rPr>
          <w:noProof/>
        </w:rPr>
        <w:t xml:space="preserve"> follow-up of </w:t>
      </w:r>
      <w:r>
        <w:rPr>
          <w:noProof/>
        </w:rPr>
        <w:t>approximately 18</w:t>
      </w:r>
      <w:r w:rsidRPr="00B82BB7">
        <w:rPr>
          <w:noProof/>
        </w:rPr>
        <w:t xml:space="preserve"> months</w:t>
      </w:r>
      <w:r w:rsidRPr="006857E0">
        <w:rPr>
          <w:noProof/>
        </w:rPr>
        <w:t>.</w:t>
      </w:r>
    </w:p>
    <w:p w:rsidR="00636D31" w:rsidRPr="00636D31" w:rsidRDefault="00636D31" w:rsidP="00E61859">
      <w:pPr>
        <w:pStyle w:val="BMSBodyText"/>
        <w:spacing w:before="0" w:line="240" w:lineRule="auto"/>
        <w:rPr>
          <w:lang w:eastAsia="en-US"/>
        </w:rPr>
      </w:pPr>
    </w:p>
    <w:p w:rsidR="002D7E79" w:rsidRPr="00E61859" w:rsidRDefault="00954716" w:rsidP="00E61859">
      <w:pPr>
        <w:pStyle w:val="A-Heading1"/>
        <w:spacing w:before="0" w:line="240" w:lineRule="auto"/>
        <w:jc w:val="both"/>
        <w:rPr>
          <w:rFonts w:ascii="Times New Roman" w:hAnsi="Times New Roman"/>
        </w:rPr>
      </w:pPr>
      <w:r w:rsidRPr="008D28D2">
        <w:rPr>
          <w:rFonts w:ascii="Times New Roman" w:hAnsi="Times New Roman"/>
        </w:rPr>
        <w:t>INDICATIONS</w:t>
      </w:r>
    </w:p>
    <w:p w:rsidR="00B45280" w:rsidRPr="00B45280" w:rsidRDefault="00B45280" w:rsidP="00E61859">
      <w:pPr>
        <w:spacing w:after="120" w:line="240" w:lineRule="auto"/>
        <w:jc w:val="both"/>
        <w:rPr>
          <w:rFonts w:ascii="Times New Roman" w:hAnsi="Times New Roman"/>
          <w:lang w:eastAsia="en-AU"/>
        </w:rPr>
      </w:pPr>
      <w:r>
        <w:rPr>
          <w:rFonts w:ascii="Times New Roman" w:hAnsi="Times New Roman"/>
          <w:lang w:eastAsia="en-AU"/>
        </w:rPr>
        <w:t>SUNVEPRA</w:t>
      </w:r>
      <w:r w:rsidRPr="00B45280">
        <w:rPr>
          <w:rFonts w:ascii="Times New Roman" w:hAnsi="Times New Roman"/>
          <w:lang w:eastAsia="en-AU"/>
        </w:rPr>
        <w:t xml:space="preserve"> (asunaprevir) is indicated </w:t>
      </w:r>
      <w:r w:rsidR="00552BA2">
        <w:rPr>
          <w:rFonts w:ascii="Times New Roman" w:hAnsi="Times New Roman"/>
          <w:lang w:eastAsia="en-AU"/>
        </w:rPr>
        <w:t xml:space="preserve">in combination with other medicinal products </w:t>
      </w:r>
      <w:r w:rsidRPr="00B45280">
        <w:rPr>
          <w:rFonts w:ascii="Times New Roman" w:hAnsi="Times New Roman"/>
          <w:lang w:eastAsia="en-AU"/>
        </w:rPr>
        <w:t>for the treatment of chronic hepatitis C virus (HCV) infection in adults with compensated liver disease (including cirrhosis)</w:t>
      </w:r>
      <w:r w:rsidR="00552BA2">
        <w:rPr>
          <w:rFonts w:ascii="Times New Roman" w:hAnsi="Times New Roman"/>
          <w:lang w:eastAsia="en-AU"/>
        </w:rPr>
        <w:t xml:space="preserve"> [see CLINICAL TRIALS and DOSAGE AND ADMINISTRATION].</w:t>
      </w:r>
      <w:r w:rsidRPr="00B45280">
        <w:rPr>
          <w:rFonts w:ascii="Times New Roman" w:hAnsi="Times New Roman"/>
          <w:lang w:eastAsia="en-AU"/>
        </w:rPr>
        <w:t xml:space="preserve"> </w:t>
      </w:r>
    </w:p>
    <w:p w:rsidR="00BF0067" w:rsidRDefault="00BF0067" w:rsidP="00E61859">
      <w:pPr>
        <w:pStyle w:val="A-Heading1"/>
        <w:spacing w:before="0" w:line="240" w:lineRule="auto"/>
        <w:rPr>
          <w:rFonts w:ascii="Times New Roman" w:hAnsi="Times New Roman"/>
        </w:rPr>
      </w:pPr>
    </w:p>
    <w:p w:rsidR="000E520E" w:rsidRDefault="00954716" w:rsidP="00E61859">
      <w:pPr>
        <w:pStyle w:val="A-Heading1"/>
        <w:spacing w:before="0" w:line="240" w:lineRule="auto"/>
        <w:rPr>
          <w:rFonts w:ascii="Times New Roman" w:hAnsi="Times New Roman"/>
        </w:rPr>
      </w:pPr>
      <w:r w:rsidRPr="000E520E">
        <w:rPr>
          <w:rFonts w:ascii="Times New Roman" w:hAnsi="Times New Roman"/>
        </w:rPr>
        <w:t>CONTRAINDICATIONS</w:t>
      </w:r>
      <w:r w:rsidRPr="008D28D2">
        <w:rPr>
          <w:rFonts w:ascii="Times New Roman" w:hAnsi="Times New Roman"/>
        </w:rPr>
        <w:t xml:space="preserve"> </w:t>
      </w:r>
    </w:p>
    <w:p w:rsidR="00954716" w:rsidRDefault="00E61859" w:rsidP="00E61859">
      <w:pPr>
        <w:pStyle w:val="A-Heading1"/>
        <w:spacing w:before="0" w:after="120" w:line="240" w:lineRule="auto"/>
        <w:rPr>
          <w:rFonts w:ascii="Times New Roman" w:hAnsi="Times New Roman"/>
        </w:rPr>
      </w:pPr>
      <w:r>
        <w:rPr>
          <w:rFonts w:ascii="Times New Roman" w:hAnsi="Times New Roman"/>
          <w:b w:val="0"/>
          <w:szCs w:val="24"/>
        </w:rPr>
        <w:t>S</w:t>
      </w:r>
      <w:r w:rsidR="008917C7">
        <w:rPr>
          <w:rFonts w:ascii="Times New Roman" w:hAnsi="Times New Roman"/>
          <w:b w:val="0"/>
          <w:szCs w:val="24"/>
        </w:rPr>
        <w:t>UNVEPRA</w:t>
      </w:r>
      <w:r w:rsidR="008917C7" w:rsidRPr="00C025BB">
        <w:rPr>
          <w:rFonts w:ascii="Times New Roman" w:hAnsi="Times New Roman"/>
          <w:b w:val="0"/>
          <w:szCs w:val="24"/>
        </w:rPr>
        <w:t xml:space="preserve"> </w:t>
      </w:r>
      <w:r w:rsidR="008917C7">
        <w:rPr>
          <w:rFonts w:ascii="Times New Roman" w:hAnsi="Times New Roman"/>
          <w:b w:val="0"/>
          <w:caps w:val="0"/>
          <w:szCs w:val="24"/>
        </w:rPr>
        <w:t>i</w:t>
      </w:r>
      <w:r w:rsidR="008917C7" w:rsidRPr="00C025BB">
        <w:rPr>
          <w:rFonts w:ascii="Times New Roman" w:hAnsi="Times New Roman"/>
          <w:b w:val="0"/>
          <w:caps w:val="0"/>
          <w:szCs w:val="24"/>
        </w:rPr>
        <w:t xml:space="preserve">s contraindicated in patients with previously demonstrated hypersensitivity to </w:t>
      </w:r>
      <w:r w:rsidR="008917C7">
        <w:rPr>
          <w:rFonts w:ascii="Times New Roman" w:hAnsi="Times New Roman"/>
          <w:b w:val="0"/>
          <w:caps w:val="0"/>
          <w:szCs w:val="24"/>
        </w:rPr>
        <w:t>asunaprevir</w:t>
      </w:r>
      <w:r w:rsidR="008917C7" w:rsidRPr="00C025BB">
        <w:rPr>
          <w:rFonts w:ascii="Times New Roman" w:hAnsi="Times New Roman"/>
          <w:b w:val="0"/>
          <w:caps w:val="0"/>
          <w:szCs w:val="24"/>
        </w:rPr>
        <w:t xml:space="preserve"> or any component of the product.</w:t>
      </w:r>
    </w:p>
    <w:p w:rsidR="00C338F3" w:rsidRPr="002A191C" w:rsidRDefault="00C338F3" w:rsidP="00E61859">
      <w:pPr>
        <w:spacing w:after="120" w:line="240" w:lineRule="auto"/>
        <w:jc w:val="both"/>
        <w:rPr>
          <w:rFonts w:ascii="Times New Roman" w:hAnsi="Times New Roman"/>
        </w:rPr>
      </w:pPr>
      <w:r w:rsidRPr="002A191C">
        <w:rPr>
          <w:rFonts w:ascii="Times New Roman" w:hAnsi="Times New Roman"/>
        </w:rPr>
        <w:t xml:space="preserve">When SUNVEPRA is used in combination with </w:t>
      </w:r>
      <w:r w:rsidR="00644782">
        <w:rPr>
          <w:rFonts w:ascii="Times New Roman" w:hAnsi="Times New Roman"/>
        </w:rPr>
        <w:t>DAKLINZA</w:t>
      </w:r>
      <w:r w:rsidRPr="002A191C">
        <w:rPr>
          <w:rFonts w:ascii="Times New Roman" w:hAnsi="Times New Roman"/>
        </w:rPr>
        <w:t xml:space="preserve">, peginterferon alfa, and ribavirin, the contraindications applicable to those </w:t>
      </w:r>
      <w:r w:rsidR="00EA08D7">
        <w:rPr>
          <w:rFonts w:ascii="Times New Roman" w:hAnsi="Times New Roman"/>
        </w:rPr>
        <w:t xml:space="preserve">medicinal products </w:t>
      </w:r>
      <w:r w:rsidRPr="002A191C">
        <w:rPr>
          <w:rFonts w:ascii="Times New Roman" w:hAnsi="Times New Roman"/>
        </w:rPr>
        <w:t xml:space="preserve">are applicable to the </w:t>
      </w:r>
      <w:r w:rsidRPr="002A191C">
        <w:rPr>
          <w:rFonts w:ascii="Times New Roman" w:hAnsi="Times New Roman"/>
        </w:rPr>
        <w:lastRenderedPageBreak/>
        <w:t xml:space="preserve">combination regimen. Refer to the respective </w:t>
      </w:r>
      <w:r w:rsidR="00B410BA" w:rsidRPr="002A191C">
        <w:rPr>
          <w:rFonts w:ascii="Times New Roman" w:hAnsi="Times New Roman"/>
        </w:rPr>
        <w:t xml:space="preserve">product </w:t>
      </w:r>
      <w:r w:rsidRPr="002A191C">
        <w:rPr>
          <w:rFonts w:ascii="Times New Roman" w:hAnsi="Times New Roman"/>
        </w:rPr>
        <w:t>information for a list of contraindications.</w:t>
      </w:r>
    </w:p>
    <w:p w:rsidR="00C338F3" w:rsidRPr="002A191C" w:rsidRDefault="00C338F3" w:rsidP="00E61859">
      <w:pPr>
        <w:spacing w:after="120" w:line="240" w:lineRule="auto"/>
        <w:jc w:val="both"/>
        <w:rPr>
          <w:rFonts w:ascii="Times New Roman" w:hAnsi="Times New Roman"/>
        </w:rPr>
      </w:pPr>
      <w:r w:rsidRPr="002A191C">
        <w:rPr>
          <w:rFonts w:ascii="Times New Roman" w:hAnsi="Times New Roman"/>
        </w:rPr>
        <w:t xml:space="preserve">The combination of </w:t>
      </w:r>
      <w:r w:rsidR="003B3405" w:rsidRPr="002A191C">
        <w:rPr>
          <w:rFonts w:ascii="Times New Roman" w:hAnsi="Times New Roman"/>
        </w:rPr>
        <w:t>SUNVEPRA</w:t>
      </w:r>
      <w:r w:rsidRPr="002A191C">
        <w:rPr>
          <w:rFonts w:ascii="Times New Roman" w:hAnsi="Times New Roman"/>
        </w:rPr>
        <w:t xml:space="preserve"> with </w:t>
      </w:r>
      <w:r w:rsidR="00644782">
        <w:rPr>
          <w:rFonts w:ascii="Times New Roman" w:hAnsi="Times New Roman"/>
        </w:rPr>
        <w:t>DAKLINZA</w:t>
      </w:r>
      <w:r w:rsidRPr="002A191C">
        <w:rPr>
          <w:rFonts w:ascii="Times New Roman" w:hAnsi="Times New Roman"/>
        </w:rPr>
        <w:t>, peginterferon alfa, and ribavirin is contraindicated in women who are pregnant or may become pregnant and men whose female partners are pregnant because of the risks of birth defects and f</w:t>
      </w:r>
      <w:r w:rsidR="00B410BA" w:rsidRPr="002A191C">
        <w:rPr>
          <w:rFonts w:ascii="Times New Roman" w:hAnsi="Times New Roman"/>
        </w:rPr>
        <w:t>o</w:t>
      </w:r>
      <w:r w:rsidRPr="002A191C">
        <w:rPr>
          <w:rFonts w:ascii="Times New Roman" w:hAnsi="Times New Roman"/>
        </w:rPr>
        <w:t xml:space="preserve">etal death associated with ribavirin.  </w:t>
      </w:r>
    </w:p>
    <w:p w:rsidR="00C338F3" w:rsidRPr="00C338F3" w:rsidRDefault="003B3405" w:rsidP="00E61859">
      <w:pPr>
        <w:spacing w:after="120" w:line="240" w:lineRule="auto"/>
        <w:jc w:val="both"/>
        <w:rPr>
          <w:rFonts w:ascii="Times New Roman" w:hAnsi="Times New Roman"/>
          <w:color w:val="000000"/>
          <w:lang w:eastAsia="en-AU"/>
        </w:rPr>
      </w:pPr>
      <w:r>
        <w:rPr>
          <w:rFonts w:ascii="Times New Roman" w:hAnsi="Times New Roman"/>
          <w:color w:val="000000"/>
          <w:lang w:eastAsia="en-AU"/>
        </w:rPr>
        <w:t>SUNVEPRA</w:t>
      </w:r>
      <w:r w:rsidR="00C338F3" w:rsidRPr="00C338F3">
        <w:rPr>
          <w:rFonts w:ascii="Times New Roman" w:hAnsi="Times New Roman"/>
          <w:color w:val="000000"/>
          <w:lang w:eastAsia="en-AU"/>
        </w:rPr>
        <w:t xml:space="preserve"> is contraindicated in patients with moderate or severe hepatic impairment (Child-Pugh B or C, score 7 or greater) and patients with decompensated liver disease </w:t>
      </w:r>
      <w:r w:rsidR="00C338F3" w:rsidRPr="00832CD0">
        <w:rPr>
          <w:rFonts w:ascii="TimesNewRomanPSMT" w:hAnsi="TimesNewRomanPSMT" w:cs="TimesNewRomanPSMT"/>
          <w:color w:val="000000"/>
          <w:szCs w:val="24"/>
          <w:lang w:eastAsia="en-AU"/>
        </w:rPr>
        <w:t xml:space="preserve">[see </w:t>
      </w:r>
      <w:r w:rsidR="00832CD0" w:rsidRPr="00832CD0">
        <w:rPr>
          <w:rFonts w:ascii="Times New Roman" w:hAnsi="Times New Roman"/>
          <w:iCs/>
          <w:color w:val="000000"/>
          <w:szCs w:val="24"/>
          <w:lang w:eastAsia="en-AU"/>
        </w:rPr>
        <w:t>PHARMACOLOGY - Special Populations</w:t>
      </w:r>
      <w:r w:rsidR="00C338F3" w:rsidRPr="00832CD0">
        <w:rPr>
          <w:rFonts w:ascii="TimesNewRomanPSMT" w:hAnsi="TimesNewRomanPSMT" w:cs="TimesNewRomanPSMT"/>
          <w:color w:val="000000"/>
          <w:szCs w:val="24"/>
          <w:lang w:eastAsia="en-AU"/>
        </w:rPr>
        <w:t>]</w:t>
      </w:r>
      <w:r w:rsidR="00C338F3" w:rsidRPr="00832CD0">
        <w:rPr>
          <w:rFonts w:ascii="Times New Roman" w:hAnsi="Times New Roman"/>
          <w:color w:val="000000"/>
          <w:lang w:eastAsia="en-AU"/>
        </w:rPr>
        <w:t>.</w:t>
      </w:r>
    </w:p>
    <w:p w:rsidR="00C338F3" w:rsidRPr="00C338F3" w:rsidRDefault="003B3405" w:rsidP="00E61859">
      <w:pPr>
        <w:spacing w:after="120" w:line="240" w:lineRule="auto"/>
        <w:jc w:val="both"/>
        <w:rPr>
          <w:rFonts w:ascii="Times New Roman" w:hAnsi="Times New Roman"/>
          <w:color w:val="000000"/>
          <w:lang w:eastAsia="en-AU"/>
        </w:rPr>
      </w:pPr>
      <w:r>
        <w:rPr>
          <w:rFonts w:ascii="Times New Roman" w:hAnsi="Times New Roman"/>
          <w:color w:val="000000"/>
          <w:lang w:eastAsia="en-AU"/>
        </w:rPr>
        <w:t>SUNVEPRA</w:t>
      </w:r>
      <w:r w:rsidR="00C338F3" w:rsidRPr="00C338F3">
        <w:rPr>
          <w:rFonts w:ascii="Times New Roman" w:hAnsi="Times New Roman"/>
          <w:color w:val="000000"/>
          <w:lang w:eastAsia="en-AU"/>
        </w:rPr>
        <w:t xml:space="preserve"> is contraindicated in combination with :</w:t>
      </w:r>
    </w:p>
    <w:p w:rsidR="00C338F3" w:rsidRPr="000B1DA8" w:rsidRDefault="005D667C" w:rsidP="00E61859">
      <w:pPr>
        <w:numPr>
          <w:ilvl w:val="0"/>
          <w:numId w:val="22"/>
        </w:numPr>
        <w:spacing w:after="120" w:line="240" w:lineRule="auto"/>
        <w:jc w:val="both"/>
        <w:rPr>
          <w:rFonts w:ascii="Times New Roman" w:hAnsi="Times New Roman"/>
          <w:color w:val="000000"/>
          <w:lang w:val="en-US" w:eastAsia="en-AU"/>
        </w:rPr>
      </w:pPr>
      <w:r>
        <w:rPr>
          <w:rFonts w:ascii="Times New Roman" w:hAnsi="Times New Roman"/>
          <w:color w:val="000000"/>
          <w:lang w:eastAsia="en-AU"/>
        </w:rPr>
        <w:t>thioridazine, which is</w:t>
      </w:r>
      <w:r w:rsidR="00C338F3" w:rsidRPr="000B1DA8">
        <w:rPr>
          <w:rFonts w:ascii="Times New Roman" w:hAnsi="Times New Roman"/>
          <w:color w:val="000000"/>
          <w:lang w:eastAsia="en-AU"/>
        </w:rPr>
        <w:t xml:space="preserve"> highly dependent on the cytochrome P450 enzyme 2D6 (CYP2D6) for clearance and for which elevated plasma concentrations are associated with serious</w:t>
      </w:r>
      <w:r>
        <w:rPr>
          <w:rFonts w:ascii="Times New Roman" w:hAnsi="Times New Roman"/>
          <w:color w:val="000000"/>
          <w:lang w:eastAsia="en-AU"/>
        </w:rPr>
        <w:t xml:space="preserve"> ventricular arrhythmias and sudden death</w:t>
      </w:r>
      <w:r w:rsidR="000B1DA8">
        <w:rPr>
          <w:rFonts w:ascii="Times New Roman" w:hAnsi="Times New Roman"/>
          <w:color w:val="000000"/>
          <w:lang w:val="en-US" w:eastAsia="en-AU"/>
        </w:rPr>
        <w:t>.</w:t>
      </w:r>
    </w:p>
    <w:p w:rsidR="00C338F3" w:rsidRPr="000B1DA8" w:rsidRDefault="005D667C" w:rsidP="00E61859">
      <w:pPr>
        <w:numPr>
          <w:ilvl w:val="0"/>
          <w:numId w:val="22"/>
        </w:numPr>
        <w:spacing w:after="120" w:line="240" w:lineRule="auto"/>
        <w:jc w:val="both"/>
        <w:rPr>
          <w:rFonts w:ascii="Times New Roman" w:hAnsi="Times New Roman"/>
          <w:color w:val="000000"/>
          <w:lang w:val="en-US" w:eastAsia="en-AU"/>
        </w:rPr>
      </w:pPr>
      <w:r>
        <w:rPr>
          <w:rFonts w:ascii="Times New Roman" w:hAnsi="Times New Roman"/>
          <w:color w:val="000000"/>
          <w:lang w:eastAsia="en-AU"/>
        </w:rPr>
        <w:t xml:space="preserve">drugs that </w:t>
      </w:r>
      <w:r w:rsidR="00C338F3" w:rsidRPr="000B1DA8">
        <w:rPr>
          <w:rFonts w:ascii="Times New Roman" w:hAnsi="Times New Roman"/>
          <w:color w:val="000000"/>
          <w:lang w:eastAsia="en-AU"/>
        </w:rPr>
        <w:t xml:space="preserve">strongly or moderately induce CYP3A and, thus, may lead to lower exposure and loss of efficacy of </w:t>
      </w:r>
      <w:r w:rsidR="003B3405" w:rsidRPr="000B1DA8">
        <w:rPr>
          <w:rFonts w:ascii="Times New Roman" w:hAnsi="Times New Roman"/>
          <w:color w:val="000000"/>
          <w:lang w:eastAsia="en-AU"/>
        </w:rPr>
        <w:t>SUNVEPRA</w:t>
      </w:r>
      <w:r w:rsidR="00C338F3" w:rsidRPr="000B1DA8">
        <w:rPr>
          <w:rFonts w:ascii="Times New Roman" w:hAnsi="Times New Roman"/>
          <w:color w:val="000000"/>
          <w:lang w:eastAsia="en-AU"/>
        </w:rPr>
        <w:t>.</w:t>
      </w:r>
      <w:r w:rsidR="000B1DA8" w:rsidRPr="000B1DA8">
        <w:rPr>
          <w:rFonts w:ascii="Times New Roman" w:hAnsi="Times New Roman"/>
          <w:color w:val="000000"/>
          <w:lang w:eastAsia="en-AU"/>
        </w:rPr>
        <w:t xml:space="preserve">  This includes </w:t>
      </w:r>
      <w:r w:rsidR="000B1DA8" w:rsidRPr="000B1DA8">
        <w:rPr>
          <w:rFonts w:ascii="Times New Roman" w:hAnsi="Times New Roman"/>
          <w:color w:val="000000"/>
          <w:lang w:val="en-US" w:eastAsia="en-AU"/>
        </w:rPr>
        <w:t xml:space="preserve">phenytoin, carbamazepine, </w:t>
      </w:r>
      <w:r w:rsidR="00E93802">
        <w:rPr>
          <w:rFonts w:ascii="Times New Roman" w:hAnsi="Times New Roman"/>
          <w:color w:val="000000"/>
          <w:lang w:val="en-US" w:eastAsia="en-AU"/>
        </w:rPr>
        <w:t xml:space="preserve">oxcarbazepine, </w:t>
      </w:r>
      <w:r w:rsidR="000B1DA8" w:rsidRPr="000B1DA8">
        <w:rPr>
          <w:rFonts w:ascii="Times New Roman" w:hAnsi="Times New Roman"/>
          <w:color w:val="000000"/>
          <w:lang w:val="en-US" w:eastAsia="en-AU"/>
        </w:rPr>
        <w:t>ph</w:t>
      </w:r>
      <w:r w:rsidR="002D2670">
        <w:rPr>
          <w:rFonts w:ascii="Times New Roman" w:hAnsi="Times New Roman"/>
          <w:color w:val="000000"/>
          <w:lang w:val="en-US" w:eastAsia="en-AU"/>
        </w:rPr>
        <w:t xml:space="preserve">enobarbital (anticonvulsants), </w:t>
      </w:r>
      <w:r w:rsidR="000B1DA8" w:rsidRPr="000B1DA8">
        <w:rPr>
          <w:rFonts w:ascii="Times New Roman" w:hAnsi="Times New Roman"/>
          <w:color w:val="000000"/>
          <w:lang w:val="en-US" w:eastAsia="en-AU"/>
        </w:rPr>
        <w:t>rifampi</w:t>
      </w:r>
      <w:r w:rsidR="00474345">
        <w:rPr>
          <w:rFonts w:ascii="Times New Roman" w:hAnsi="Times New Roman"/>
          <w:color w:val="000000"/>
          <w:lang w:val="en-US" w:eastAsia="en-AU"/>
        </w:rPr>
        <w:t>ci</w:t>
      </w:r>
      <w:r w:rsidR="000B1DA8" w:rsidRPr="000B1DA8">
        <w:rPr>
          <w:rFonts w:ascii="Times New Roman" w:hAnsi="Times New Roman"/>
          <w:color w:val="000000"/>
          <w:lang w:val="en-US" w:eastAsia="en-AU"/>
        </w:rPr>
        <w:t>n, rifabutin, (anti-infective agents), bosentan (</w:t>
      </w:r>
      <w:r w:rsidR="000B1DA8">
        <w:rPr>
          <w:rFonts w:ascii="Times New Roman" w:hAnsi="Times New Roman"/>
          <w:color w:val="000000"/>
          <w:lang w:val="en-US" w:eastAsia="en-AU"/>
        </w:rPr>
        <w:t>e</w:t>
      </w:r>
      <w:r w:rsidR="000B1DA8" w:rsidRPr="000B1DA8">
        <w:rPr>
          <w:rFonts w:ascii="Times New Roman" w:hAnsi="Times New Roman"/>
          <w:color w:val="000000"/>
          <w:lang w:val="en-US" w:eastAsia="en-AU"/>
        </w:rPr>
        <w:t>ndothelin receptor antagonist)</w:t>
      </w:r>
      <w:r w:rsidR="000B1DA8">
        <w:rPr>
          <w:rFonts w:ascii="Times New Roman" w:hAnsi="Times New Roman"/>
          <w:color w:val="000000"/>
          <w:lang w:val="en-US" w:eastAsia="en-AU"/>
        </w:rPr>
        <w:t xml:space="preserve">, dexamethasone (systemic glucocorticoid), </w:t>
      </w:r>
      <w:r w:rsidR="000B1DA8" w:rsidRPr="000B1DA8">
        <w:rPr>
          <w:rFonts w:ascii="Times New Roman" w:hAnsi="Times New Roman"/>
          <w:color w:val="000000"/>
          <w:lang w:val="en-US" w:eastAsia="en-AU"/>
        </w:rPr>
        <w:t>St John’s wort (</w:t>
      </w:r>
      <w:r w:rsidR="000B1DA8" w:rsidRPr="000B1DA8">
        <w:rPr>
          <w:rFonts w:ascii="Times New Roman" w:hAnsi="Times New Roman"/>
          <w:i/>
          <w:color w:val="000000"/>
          <w:lang w:val="en-US" w:eastAsia="en-AU"/>
        </w:rPr>
        <w:t>Hypericum perforatum</w:t>
      </w:r>
      <w:r w:rsidR="000B1DA8" w:rsidRPr="000B1DA8">
        <w:rPr>
          <w:rFonts w:ascii="Times New Roman" w:hAnsi="Times New Roman"/>
          <w:color w:val="000000"/>
          <w:lang w:val="en-US" w:eastAsia="en-AU"/>
        </w:rPr>
        <w:t>)</w:t>
      </w:r>
      <w:r w:rsidR="000B1DA8">
        <w:rPr>
          <w:rFonts w:ascii="Times New Roman" w:hAnsi="Times New Roman"/>
          <w:color w:val="000000"/>
          <w:lang w:val="en-US" w:eastAsia="en-AU"/>
        </w:rPr>
        <w:t>, e</w:t>
      </w:r>
      <w:r w:rsidR="000B1DA8" w:rsidRPr="000B1DA8">
        <w:rPr>
          <w:rFonts w:ascii="Times New Roman" w:hAnsi="Times New Roman"/>
          <w:color w:val="000000"/>
          <w:lang w:val="en-US" w:eastAsia="en-AU"/>
        </w:rPr>
        <w:t>favirenz, etravirine</w:t>
      </w:r>
      <w:r w:rsidR="002D2670">
        <w:rPr>
          <w:rFonts w:ascii="Times New Roman" w:hAnsi="Times New Roman"/>
          <w:color w:val="000000"/>
          <w:lang w:val="en-US" w:eastAsia="en-AU"/>
        </w:rPr>
        <w:t>,</w:t>
      </w:r>
      <w:r w:rsidR="000B1DA8">
        <w:rPr>
          <w:rFonts w:ascii="Times New Roman" w:hAnsi="Times New Roman"/>
          <w:color w:val="000000"/>
          <w:lang w:val="en-US" w:eastAsia="en-AU"/>
        </w:rPr>
        <w:t xml:space="preserve"> </w:t>
      </w:r>
      <w:r w:rsidR="002D2670">
        <w:rPr>
          <w:rFonts w:ascii="Times New Roman" w:hAnsi="Times New Roman"/>
          <w:color w:val="000000"/>
          <w:lang w:val="en-US" w:eastAsia="en-AU"/>
        </w:rPr>
        <w:t>nevirapine</w:t>
      </w:r>
      <w:r w:rsidR="002D2670" w:rsidRPr="000B1DA8">
        <w:rPr>
          <w:rFonts w:ascii="Times New Roman" w:hAnsi="Times New Roman"/>
          <w:color w:val="000000"/>
          <w:lang w:val="en-US" w:eastAsia="en-AU"/>
        </w:rPr>
        <w:t xml:space="preserve"> </w:t>
      </w:r>
      <w:r w:rsidR="000B1DA8" w:rsidRPr="000B1DA8">
        <w:rPr>
          <w:rFonts w:ascii="Times New Roman" w:hAnsi="Times New Roman"/>
          <w:color w:val="000000"/>
          <w:lang w:val="en-US" w:eastAsia="en-AU"/>
        </w:rPr>
        <w:t>(HIV non-nucleoside reverse transcriptase inhibitors)</w:t>
      </w:r>
      <w:r w:rsidR="00E93802">
        <w:rPr>
          <w:rFonts w:ascii="Times New Roman" w:hAnsi="Times New Roman"/>
          <w:color w:val="000000"/>
          <w:lang w:val="en-US" w:eastAsia="en-AU"/>
        </w:rPr>
        <w:t xml:space="preserve"> </w:t>
      </w:r>
      <w:r w:rsidR="000B1DA8">
        <w:rPr>
          <w:rFonts w:ascii="Times New Roman" w:hAnsi="Times New Roman"/>
          <w:color w:val="000000"/>
          <w:lang w:val="en-US" w:eastAsia="en-AU"/>
        </w:rPr>
        <w:t>and modafinil (wakefulness promoting agent).</w:t>
      </w:r>
    </w:p>
    <w:p w:rsidR="00C338F3" w:rsidRPr="00C338F3" w:rsidRDefault="005D667C" w:rsidP="00E61859">
      <w:pPr>
        <w:numPr>
          <w:ilvl w:val="0"/>
          <w:numId w:val="22"/>
        </w:numPr>
        <w:spacing w:after="120" w:line="240" w:lineRule="auto"/>
        <w:jc w:val="both"/>
        <w:rPr>
          <w:rFonts w:ascii="Times New Roman" w:hAnsi="Times New Roman"/>
          <w:color w:val="000000"/>
          <w:lang w:eastAsia="en-AU"/>
        </w:rPr>
      </w:pPr>
      <w:r>
        <w:rPr>
          <w:rFonts w:ascii="Times New Roman" w:hAnsi="Times New Roman"/>
          <w:color w:val="000000"/>
          <w:lang w:eastAsia="en-AU"/>
        </w:rPr>
        <w:t xml:space="preserve">drugs that </w:t>
      </w:r>
      <w:r w:rsidR="00C338F3" w:rsidRPr="00C338F3">
        <w:rPr>
          <w:rFonts w:ascii="Times New Roman" w:hAnsi="Times New Roman"/>
          <w:color w:val="000000"/>
          <w:lang w:eastAsia="en-AU"/>
        </w:rPr>
        <w:t xml:space="preserve">strongly or moderately inhibit CYP3A and, thus, may lead to higher exposure and an increase in toxicity of </w:t>
      </w:r>
      <w:r w:rsidR="003B3405">
        <w:rPr>
          <w:rFonts w:ascii="Times New Roman" w:hAnsi="Times New Roman"/>
          <w:color w:val="000000"/>
          <w:lang w:eastAsia="en-AU"/>
        </w:rPr>
        <w:t>SUNVEPRA</w:t>
      </w:r>
      <w:r w:rsidR="00C338F3" w:rsidRPr="00C338F3">
        <w:rPr>
          <w:rFonts w:ascii="Times New Roman" w:hAnsi="Times New Roman"/>
          <w:color w:val="000000"/>
          <w:lang w:eastAsia="en-AU"/>
        </w:rPr>
        <w:t xml:space="preserve">. </w:t>
      </w:r>
      <w:r w:rsidR="000B1DA8">
        <w:rPr>
          <w:rFonts w:ascii="Times New Roman" w:hAnsi="Times New Roman"/>
          <w:color w:val="000000"/>
          <w:lang w:eastAsia="en-AU"/>
        </w:rPr>
        <w:t xml:space="preserve"> This includes </w:t>
      </w:r>
      <w:r w:rsidR="000B1DA8" w:rsidRPr="000B1DA8">
        <w:rPr>
          <w:rFonts w:ascii="Times New Roman" w:hAnsi="Times New Roman"/>
          <w:color w:val="000000"/>
          <w:lang w:val="en-US" w:eastAsia="en-AU"/>
        </w:rPr>
        <w:t xml:space="preserve">itraconazole, </w:t>
      </w:r>
      <w:r w:rsidR="002D2670">
        <w:rPr>
          <w:rFonts w:ascii="Times New Roman" w:hAnsi="Times New Roman"/>
          <w:color w:val="000000"/>
          <w:lang w:val="en-US" w:eastAsia="en-AU"/>
        </w:rPr>
        <w:t xml:space="preserve">ketoconazole, </w:t>
      </w:r>
      <w:r w:rsidR="00E93802">
        <w:rPr>
          <w:rFonts w:ascii="Times New Roman" w:hAnsi="Times New Roman"/>
          <w:color w:val="000000"/>
          <w:lang w:val="en-US" w:eastAsia="en-AU"/>
        </w:rPr>
        <w:t xml:space="preserve">posaconazole, </w:t>
      </w:r>
      <w:r w:rsidR="000B1DA8" w:rsidRPr="000B1DA8">
        <w:rPr>
          <w:rFonts w:ascii="Times New Roman" w:hAnsi="Times New Roman"/>
          <w:color w:val="000000"/>
          <w:lang w:val="en-US" w:eastAsia="en-AU"/>
        </w:rPr>
        <w:t>voriconazole, fluconazole</w:t>
      </w:r>
      <w:r w:rsidR="000B1DA8">
        <w:rPr>
          <w:rFonts w:ascii="Times New Roman" w:hAnsi="Times New Roman"/>
          <w:color w:val="000000"/>
          <w:lang w:val="en-US" w:eastAsia="en-AU"/>
        </w:rPr>
        <w:t xml:space="preserve"> (antifungal agents), c</w:t>
      </w:r>
      <w:r w:rsidR="000B1DA8" w:rsidRPr="000B1DA8">
        <w:rPr>
          <w:rFonts w:ascii="Times New Roman" w:hAnsi="Times New Roman"/>
          <w:color w:val="000000"/>
          <w:lang w:val="en-US" w:eastAsia="en-AU"/>
        </w:rPr>
        <w:t>larithromycin, erythromycin</w:t>
      </w:r>
      <w:r w:rsidR="00E93802">
        <w:rPr>
          <w:rFonts w:ascii="Times New Roman" w:hAnsi="Times New Roman"/>
          <w:color w:val="000000"/>
          <w:lang w:val="en-US" w:eastAsia="en-AU"/>
        </w:rPr>
        <w:t>,</w:t>
      </w:r>
      <w:r w:rsidR="002D2670">
        <w:rPr>
          <w:rFonts w:ascii="Times New Roman" w:hAnsi="Times New Roman"/>
          <w:color w:val="000000"/>
          <w:lang w:val="en-US" w:eastAsia="en-AU"/>
        </w:rPr>
        <w:t xml:space="preserve"> </w:t>
      </w:r>
      <w:r w:rsidR="000B1DA8" w:rsidRPr="000B1DA8">
        <w:rPr>
          <w:rFonts w:ascii="Times New Roman" w:hAnsi="Times New Roman"/>
          <w:color w:val="000000"/>
          <w:lang w:val="en-US" w:eastAsia="en-AU"/>
        </w:rPr>
        <w:t>(anti-infective agents),</w:t>
      </w:r>
      <w:r w:rsidR="000B1DA8">
        <w:rPr>
          <w:rFonts w:ascii="Times New Roman" w:hAnsi="Times New Roman"/>
          <w:color w:val="000000"/>
          <w:lang w:val="en-US" w:eastAsia="en-AU"/>
        </w:rPr>
        <w:t xml:space="preserve"> d</w:t>
      </w:r>
      <w:r w:rsidR="000B1DA8" w:rsidRPr="000B1DA8">
        <w:rPr>
          <w:rFonts w:ascii="Times New Roman" w:hAnsi="Times New Roman"/>
          <w:color w:val="000000"/>
          <w:lang w:val="en-US" w:eastAsia="en-AU"/>
        </w:rPr>
        <w:t>iltiazem</w:t>
      </w:r>
      <w:r w:rsidR="00E93802">
        <w:rPr>
          <w:rFonts w:ascii="Times New Roman" w:hAnsi="Times New Roman"/>
          <w:color w:val="000000"/>
          <w:lang w:val="en-US" w:eastAsia="en-AU"/>
        </w:rPr>
        <w:t>, verapamil</w:t>
      </w:r>
      <w:r w:rsidR="000B1DA8">
        <w:rPr>
          <w:rFonts w:ascii="Times New Roman" w:hAnsi="Times New Roman"/>
          <w:color w:val="000000"/>
          <w:lang w:val="en-US" w:eastAsia="en-AU"/>
        </w:rPr>
        <w:t xml:space="preserve"> (calcium channel blocker</w:t>
      </w:r>
      <w:r w:rsidR="00E93802">
        <w:rPr>
          <w:rFonts w:ascii="Times New Roman" w:hAnsi="Times New Roman"/>
          <w:color w:val="000000"/>
          <w:lang w:val="en-US" w:eastAsia="en-AU"/>
        </w:rPr>
        <w:t>s</w:t>
      </w:r>
      <w:r w:rsidR="000B1DA8">
        <w:rPr>
          <w:rFonts w:ascii="Times New Roman" w:hAnsi="Times New Roman"/>
          <w:color w:val="000000"/>
          <w:lang w:val="en-US" w:eastAsia="en-AU"/>
        </w:rPr>
        <w:t>) and a</w:t>
      </w:r>
      <w:r w:rsidR="000B1DA8" w:rsidRPr="000B1DA8">
        <w:rPr>
          <w:rFonts w:ascii="Times New Roman" w:hAnsi="Times New Roman"/>
          <w:color w:val="000000"/>
          <w:lang w:val="en-US" w:eastAsia="en-AU"/>
        </w:rPr>
        <w:t xml:space="preserve">tazanavir, </w:t>
      </w:r>
      <w:r w:rsidR="00E93802">
        <w:rPr>
          <w:rFonts w:ascii="Times New Roman" w:hAnsi="Times New Roman"/>
          <w:color w:val="000000"/>
          <w:lang w:val="en-US" w:eastAsia="en-AU"/>
        </w:rPr>
        <w:t>darunavir/ritonavir,</w:t>
      </w:r>
      <w:r w:rsidR="002D2670">
        <w:rPr>
          <w:rFonts w:ascii="Times New Roman" w:hAnsi="Times New Roman"/>
          <w:color w:val="000000"/>
          <w:lang w:val="en-US" w:eastAsia="en-AU"/>
        </w:rPr>
        <w:t xml:space="preserve"> fosamprenavir,</w:t>
      </w:r>
      <w:r w:rsidR="00E93802">
        <w:rPr>
          <w:rFonts w:ascii="Times New Roman" w:hAnsi="Times New Roman"/>
          <w:color w:val="000000"/>
          <w:lang w:val="en-US" w:eastAsia="en-AU"/>
        </w:rPr>
        <w:t xml:space="preserve"> </w:t>
      </w:r>
      <w:r w:rsidR="000B1DA8" w:rsidRPr="000B1DA8">
        <w:rPr>
          <w:rFonts w:ascii="Times New Roman" w:hAnsi="Times New Roman"/>
          <w:color w:val="000000"/>
          <w:lang w:val="en-US" w:eastAsia="en-AU"/>
        </w:rPr>
        <w:t>indinavir, lopinavir/ritonavir, ritonavir, saquinavir</w:t>
      </w:r>
      <w:r w:rsidR="000B1DA8">
        <w:rPr>
          <w:rFonts w:ascii="Times New Roman" w:hAnsi="Times New Roman"/>
          <w:color w:val="000000"/>
          <w:lang w:val="en-US" w:eastAsia="en-AU"/>
        </w:rPr>
        <w:t xml:space="preserve"> (HIV protease inhibitors)</w:t>
      </w:r>
      <w:r w:rsidR="00E93802">
        <w:rPr>
          <w:rFonts w:ascii="Times New Roman" w:hAnsi="Times New Roman"/>
          <w:color w:val="000000"/>
          <w:lang w:val="en-US" w:eastAsia="en-AU"/>
        </w:rPr>
        <w:t xml:space="preserve"> and cobicistat</w:t>
      </w:r>
      <w:r w:rsidR="000B1DA8">
        <w:rPr>
          <w:rFonts w:ascii="Times New Roman" w:hAnsi="Times New Roman"/>
          <w:color w:val="000000"/>
          <w:lang w:val="en-US" w:eastAsia="en-AU"/>
        </w:rPr>
        <w:t>.</w:t>
      </w:r>
    </w:p>
    <w:p w:rsidR="00C338F3" w:rsidRPr="00E61859" w:rsidRDefault="005D667C" w:rsidP="00E61859">
      <w:pPr>
        <w:numPr>
          <w:ilvl w:val="0"/>
          <w:numId w:val="22"/>
        </w:numPr>
        <w:spacing w:after="120" w:line="240" w:lineRule="auto"/>
        <w:jc w:val="both"/>
        <w:rPr>
          <w:rFonts w:ascii="Times New Roman" w:hAnsi="Times New Roman"/>
          <w:i/>
          <w:color w:val="000000"/>
          <w:lang w:val="en-US" w:eastAsia="en-AU"/>
        </w:rPr>
      </w:pPr>
      <w:r>
        <w:rPr>
          <w:rFonts w:ascii="Times New Roman" w:hAnsi="Times New Roman"/>
          <w:color w:val="000000"/>
          <w:lang w:eastAsia="en-AU"/>
        </w:rPr>
        <w:t xml:space="preserve">drugs that </w:t>
      </w:r>
      <w:r w:rsidR="00C338F3" w:rsidRPr="00C338F3">
        <w:rPr>
          <w:rFonts w:ascii="Times New Roman" w:hAnsi="Times New Roman"/>
          <w:color w:val="000000"/>
          <w:lang w:eastAsia="en-AU"/>
        </w:rPr>
        <w:t>strongly inhibit organic anion transport</w:t>
      </w:r>
      <w:r w:rsidR="003668A9" w:rsidRPr="0093440F">
        <w:rPr>
          <w:rFonts w:ascii="Times New Roman" w:hAnsi="Times New Roman"/>
          <w:color w:val="000000"/>
          <w:lang w:eastAsia="en-AU"/>
        </w:rPr>
        <w:t>ing</w:t>
      </w:r>
      <w:r w:rsidR="00C338F3" w:rsidRPr="00C338F3">
        <w:rPr>
          <w:rFonts w:ascii="Times New Roman" w:hAnsi="Times New Roman"/>
          <w:color w:val="000000"/>
          <w:lang w:eastAsia="en-AU"/>
        </w:rPr>
        <w:t xml:space="preserve"> polypeptide (OATP) 1B1  and, thus, may lead to lower liver concentrations and loss of efficacy of </w:t>
      </w:r>
      <w:r w:rsidR="003B3405">
        <w:rPr>
          <w:rFonts w:ascii="Times New Roman" w:hAnsi="Times New Roman"/>
          <w:color w:val="000000"/>
          <w:lang w:eastAsia="en-AU"/>
        </w:rPr>
        <w:t>SUNVEPRA.</w:t>
      </w:r>
      <w:r w:rsidR="000B1DA8">
        <w:rPr>
          <w:rFonts w:ascii="Times New Roman" w:hAnsi="Times New Roman"/>
          <w:color w:val="000000"/>
          <w:lang w:eastAsia="en-AU"/>
        </w:rPr>
        <w:t xml:space="preserve"> This includes </w:t>
      </w:r>
      <w:r w:rsidR="000B1DA8">
        <w:rPr>
          <w:rFonts w:ascii="Times New Roman" w:hAnsi="Times New Roman"/>
          <w:color w:val="000000"/>
          <w:lang w:val="en-US" w:eastAsia="en-AU"/>
        </w:rPr>
        <w:t>r</w:t>
      </w:r>
      <w:r w:rsidR="000B1DA8" w:rsidRPr="000B1DA8">
        <w:rPr>
          <w:rFonts w:ascii="Times New Roman" w:hAnsi="Times New Roman"/>
          <w:color w:val="000000"/>
          <w:lang w:val="en-US" w:eastAsia="en-AU"/>
        </w:rPr>
        <w:t>ifampi</w:t>
      </w:r>
      <w:r w:rsidR="00474345">
        <w:rPr>
          <w:rFonts w:ascii="Times New Roman" w:hAnsi="Times New Roman"/>
          <w:color w:val="000000"/>
          <w:lang w:val="en-US" w:eastAsia="en-AU"/>
        </w:rPr>
        <w:t>ci</w:t>
      </w:r>
      <w:r w:rsidR="000B1DA8" w:rsidRPr="000B1DA8">
        <w:rPr>
          <w:rFonts w:ascii="Times New Roman" w:hAnsi="Times New Roman"/>
          <w:color w:val="000000"/>
          <w:lang w:val="en-US" w:eastAsia="en-AU"/>
        </w:rPr>
        <w:t>n</w:t>
      </w:r>
      <w:r w:rsidR="000B1DA8">
        <w:rPr>
          <w:rFonts w:ascii="Times New Roman" w:hAnsi="Times New Roman"/>
          <w:color w:val="000000"/>
          <w:lang w:val="en-US" w:eastAsia="en-AU"/>
        </w:rPr>
        <w:t xml:space="preserve"> (</w:t>
      </w:r>
      <w:r w:rsidR="000B1DA8" w:rsidRPr="000B1DA8">
        <w:rPr>
          <w:rFonts w:ascii="Times New Roman" w:hAnsi="Times New Roman"/>
          <w:color w:val="000000"/>
          <w:lang w:val="en-US" w:eastAsia="en-AU"/>
        </w:rPr>
        <w:t xml:space="preserve">antimycobacterial agent), </w:t>
      </w:r>
      <w:r w:rsidR="002A191C">
        <w:rPr>
          <w:rFonts w:ascii="Times New Roman" w:hAnsi="Times New Roman"/>
          <w:color w:val="000000"/>
          <w:lang w:val="en-US" w:eastAsia="en-AU"/>
        </w:rPr>
        <w:t>c</w:t>
      </w:r>
      <w:r w:rsidR="000B1DA8" w:rsidRPr="000B1DA8">
        <w:rPr>
          <w:rFonts w:ascii="Times New Roman" w:hAnsi="Times New Roman"/>
          <w:color w:val="000000"/>
          <w:lang w:val="en-US" w:eastAsia="en-AU"/>
        </w:rPr>
        <w:t>yclosporin (immunosuppressant) and gemfibrozil (lipid lowering agent).</w:t>
      </w:r>
    </w:p>
    <w:p w:rsidR="00E61859" w:rsidRPr="000F5D7F" w:rsidRDefault="00E61859" w:rsidP="00E61859">
      <w:pPr>
        <w:spacing w:after="120" w:line="240" w:lineRule="auto"/>
        <w:ind w:left="1080"/>
        <w:jc w:val="both"/>
        <w:rPr>
          <w:rFonts w:ascii="Times New Roman" w:hAnsi="Times New Roman"/>
          <w:i/>
          <w:color w:val="000000"/>
          <w:lang w:val="en-US" w:eastAsia="en-AU"/>
        </w:rPr>
      </w:pP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precautions</w:t>
      </w:r>
    </w:p>
    <w:p w:rsidR="00954716" w:rsidRPr="008D28D2" w:rsidRDefault="00954716" w:rsidP="00E61859">
      <w:pPr>
        <w:pStyle w:val="A-Heading2"/>
        <w:spacing w:before="0" w:line="240" w:lineRule="auto"/>
        <w:rPr>
          <w:rFonts w:ascii="Times New Roman" w:hAnsi="Times New Roman"/>
        </w:rPr>
      </w:pPr>
      <w:r w:rsidRPr="008D28D2">
        <w:rPr>
          <w:rFonts w:ascii="Times New Roman" w:hAnsi="Times New Roman"/>
        </w:rPr>
        <w:t>General</w:t>
      </w:r>
    </w:p>
    <w:p w:rsidR="000F5D7F" w:rsidRDefault="003B59ED" w:rsidP="00E61859">
      <w:pPr>
        <w:spacing w:after="120" w:line="240" w:lineRule="auto"/>
        <w:jc w:val="both"/>
        <w:rPr>
          <w:rFonts w:ascii="Times New Roman" w:hAnsi="Times New Roman"/>
        </w:rPr>
      </w:pPr>
      <w:r>
        <w:rPr>
          <w:rFonts w:ascii="Times New Roman" w:hAnsi="Times New Roman"/>
        </w:rPr>
        <w:t>SUNVEPRA</w:t>
      </w:r>
      <w:r w:rsidRPr="003B59ED">
        <w:rPr>
          <w:rFonts w:ascii="Times New Roman" w:hAnsi="Times New Roman"/>
        </w:rPr>
        <w:t xml:space="preserve"> </w:t>
      </w:r>
      <w:r w:rsidRPr="00BC0F48">
        <w:rPr>
          <w:rFonts w:ascii="Times New Roman" w:hAnsi="Times New Roman"/>
        </w:rPr>
        <w:t>must not</w:t>
      </w:r>
      <w:r w:rsidRPr="003B59ED">
        <w:rPr>
          <w:rFonts w:ascii="Times New Roman" w:hAnsi="Times New Roman"/>
        </w:rPr>
        <w:t xml:space="preserve"> be administered as monotherapy </w:t>
      </w:r>
      <w:r w:rsidRPr="00BC57D1">
        <w:rPr>
          <w:rFonts w:ascii="Times New Roman" w:hAnsi="Times New Roman"/>
        </w:rPr>
        <w:t>[see</w:t>
      </w:r>
      <w:r w:rsidRPr="00BC57D1">
        <w:rPr>
          <w:rFonts w:ascii="Times New Roman" w:hAnsi="Times New Roman"/>
          <w:i/>
        </w:rPr>
        <w:t xml:space="preserve"> </w:t>
      </w:r>
      <w:r w:rsidR="00BC57D1" w:rsidRPr="00BC57D1">
        <w:rPr>
          <w:rFonts w:ascii="Times New Roman" w:hAnsi="Times New Roman"/>
        </w:rPr>
        <w:t>INDICATIONS</w:t>
      </w:r>
      <w:r w:rsidRPr="00BC57D1">
        <w:rPr>
          <w:rFonts w:ascii="Times New Roman" w:hAnsi="Times New Roman"/>
          <w:i/>
        </w:rPr>
        <w:t xml:space="preserve"> </w:t>
      </w:r>
      <w:r w:rsidRPr="00BC57D1">
        <w:rPr>
          <w:rFonts w:ascii="Times New Roman" w:hAnsi="Times New Roman"/>
        </w:rPr>
        <w:t xml:space="preserve">and </w:t>
      </w:r>
      <w:r w:rsidR="00BC57D1" w:rsidRPr="00BC57D1">
        <w:rPr>
          <w:rFonts w:ascii="Times New Roman" w:hAnsi="Times New Roman"/>
        </w:rPr>
        <w:t>DOSAGE AND ADMINISTRATION</w:t>
      </w:r>
      <w:r w:rsidRPr="00BC57D1">
        <w:rPr>
          <w:rFonts w:ascii="Times New Roman" w:hAnsi="Times New Roman"/>
        </w:rPr>
        <w:t>].</w:t>
      </w:r>
      <w:r w:rsidRPr="003B59ED">
        <w:rPr>
          <w:rFonts w:ascii="Times New Roman" w:hAnsi="Times New Roman"/>
        </w:rPr>
        <w:t xml:space="preserve"> Warnings and precautions for </w:t>
      </w:r>
      <w:r w:rsidR="00644782">
        <w:rPr>
          <w:rFonts w:ascii="Times New Roman" w:hAnsi="Times New Roman"/>
        </w:rPr>
        <w:t>DAKLINZA</w:t>
      </w:r>
      <w:r w:rsidRPr="003B59ED">
        <w:rPr>
          <w:rFonts w:ascii="Times New Roman" w:hAnsi="Times New Roman"/>
        </w:rPr>
        <w:t xml:space="preserve">, peginterferon alfa, and ribavirin also apply when coadministered with </w:t>
      </w:r>
      <w:r>
        <w:rPr>
          <w:rFonts w:ascii="Times New Roman" w:hAnsi="Times New Roman"/>
        </w:rPr>
        <w:t>SUNVEPRA</w:t>
      </w:r>
      <w:r w:rsidRPr="003B59ED">
        <w:rPr>
          <w:rFonts w:ascii="Times New Roman" w:hAnsi="Times New Roman"/>
        </w:rPr>
        <w:t>.</w:t>
      </w:r>
    </w:p>
    <w:p w:rsidR="00821FDD" w:rsidRDefault="00721BD1" w:rsidP="00821FDD">
      <w:pPr>
        <w:spacing w:after="120" w:line="240" w:lineRule="auto"/>
        <w:jc w:val="both"/>
        <w:rPr>
          <w:rFonts w:ascii="Times New Roman" w:hAnsi="Times New Roman"/>
          <w:b/>
        </w:rPr>
      </w:pPr>
      <w:r>
        <w:rPr>
          <w:rFonts w:ascii="Times New Roman" w:hAnsi="Times New Roman"/>
          <w:b/>
        </w:rPr>
        <w:t>Potential for H</w:t>
      </w:r>
      <w:r w:rsidR="00821FDD">
        <w:rPr>
          <w:rFonts w:ascii="Times New Roman" w:hAnsi="Times New Roman"/>
          <w:b/>
        </w:rPr>
        <w:t>epatotoxicity</w:t>
      </w:r>
    </w:p>
    <w:p w:rsidR="00821FDD" w:rsidRDefault="00821FDD" w:rsidP="00821FDD">
      <w:pPr>
        <w:autoSpaceDE w:val="0"/>
        <w:autoSpaceDN w:val="0"/>
        <w:adjustRightInd w:val="0"/>
        <w:spacing w:after="120" w:line="240" w:lineRule="auto"/>
        <w:jc w:val="both"/>
        <w:rPr>
          <w:rFonts w:ascii="Times New Roman" w:hAnsi="Times New Roman"/>
        </w:rPr>
      </w:pPr>
      <w:r w:rsidRPr="00805C99">
        <w:rPr>
          <w:rFonts w:ascii="Times New Roman" w:hAnsi="Times New Roman"/>
          <w:b/>
          <w:u w:val="single"/>
        </w:rPr>
        <w:t>For patients receiving SUNVEPRA-containing regimens, liver enzymes</w:t>
      </w:r>
      <w:r w:rsidR="00AF5A8D">
        <w:rPr>
          <w:rFonts w:ascii="Times New Roman" w:hAnsi="Times New Roman"/>
          <w:b/>
          <w:u w:val="single"/>
        </w:rPr>
        <w:t xml:space="preserve"> (ALT, AST) and bilirubin</w:t>
      </w:r>
      <w:r w:rsidR="00DD4FA2">
        <w:rPr>
          <w:rFonts w:ascii="Times New Roman" w:hAnsi="Times New Roman"/>
          <w:b/>
          <w:u w:val="single"/>
        </w:rPr>
        <w:t xml:space="preserve"> levels</w:t>
      </w:r>
      <w:r w:rsidRPr="00805C99">
        <w:rPr>
          <w:rFonts w:ascii="Times New Roman" w:hAnsi="Times New Roman"/>
          <w:b/>
          <w:u w:val="single"/>
        </w:rPr>
        <w:t xml:space="preserve"> should be monitored at least once every 2 weeks for the initial 12 weeks of treatment, and every 4 weeks thereafter until completion of therapy.</w:t>
      </w:r>
      <w:r w:rsidRPr="00E93802">
        <w:rPr>
          <w:rFonts w:ascii="Times New Roman" w:hAnsi="Times New Roman"/>
        </w:rPr>
        <w:t xml:space="preserve"> </w:t>
      </w:r>
    </w:p>
    <w:p w:rsidR="00DD4FA2" w:rsidRDefault="00821FDD" w:rsidP="00821FDD">
      <w:pPr>
        <w:autoSpaceDE w:val="0"/>
        <w:autoSpaceDN w:val="0"/>
        <w:adjustRightInd w:val="0"/>
        <w:spacing w:after="120" w:line="240" w:lineRule="auto"/>
        <w:jc w:val="both"/>
        <w:rPr>
          <w:rFonts w:ascii="Times New Roman" w:hAnsi="Times New Roman"/>
        </w:rPr>
      </w:pPr>
      <w:r w:rsidRPr="00E93802">
        <w:rPr>
          <w:rFonts w:ascii="Times New Roman" w:hAnsi="Times New Roman"/>
        </w:rPr>
        <w:t xml:space="preserve">Any upward trend in ALT or AST levels warrants more frequent monitoring. </w:t>
      </w:r>
      <w:r w:rsidR="00DD4FA2">
        <w:rPr>
          <w:rFonts w:ascii="Times New Roman" w:hAnsi="Times New Roman"/>
        </w:rPr>
        <w:t>T</w:t>
      </w:r>
      <w:r w:rsidRPr="00E93802">
        <w:rPr>
          <w:rFonts w:ascii="Times New Roman" w:hAnsi="Times New Roman"/>
        </w:rPr>
        <w:t>reatment should be discontinued immediately and not be resumed</w:t>
      </w:r>
      <w:r w:rsidR="0021366A">
        <w:rPr>
          <w:rFonts w:ascii="Times New Roman" w:hAnsi="Times New Roman"/>
        </w:rPr>
        <w:t xml:space="preserve"> in patients who experience</w:t>
      </w:r>
      <w:r w:rsidR="00DD4FA2">
        <w:rPr>
          <w:rFonts w:ascii="Times New Roman" w:hAnsi="Times New Roman"/>
        </w:rPr>
        <w:t>:</w:t>
      </w:r>
      <w:r w:rsidRPr="00E93802">
        <w:rPr>
          <w:rFonts w:ascii="Times New Roman" w:hAnsi="Times New Roman"/>
        </w:rPr>
        <w:t xml:space="preserve"> </w:t>
      </w:r>
    </w:p>
    <w:p w:rsidR="0021366A" w:rsidRPr="00571A3A" w:rsidRDefault="00EE7484" w:rsidP="00DD4FA2">
      <w:pPr>
        <w:numPr>
          <w:ilvl w:val="0"/>
          <w:numId w:val="27"/>
        </w:numPr>
        <w:autoSpaceDE w:val="0"/>
        <w:autoSpaceDN w:val="0"/>
        <w:adjustRightInd w:val="0"/>
        <w:spacing w:after="120" w:line="240" w:lineRule="auto"/>
        <w:jc w:val="both"/>
        <w:rPr>
          <w:rFonts w:ascii="Times New Roman" w:hAnsi="Times New Roman"/>
        </w:rPr>
      </w:pPr>
      <w:r>
        <w:rPr>
          <w:rFonts w:ascii="Times New Roman" w:hAnsi="Times New Roman"/>
        </w:rPr>
        <w:lastRenderedPageBreak/>
        <w:t xml:space="preserve">on-treatment </w:t>
      </w:r>
      <w:r w:rsidR="00CD2742">
        <w:rPr>
          <w:rFonts w:ascii="Times New Roman" w:hAnsi="Times New Roman"/>
        </w:rPr>
        <w:t xml:space="preserve">elevations in </w:t>
      </w:r>
      <w:r w:rsidR="0021366A">
        <w:rPr>
          <w:rFonts w:ascii="Times New Roman" w:hAnsi="Times New Roman"/>
        </w:rPr>
        <w:t>ALT levels 10 times ULN or greater</w:t>
      </w:r>
      <w:r w:rsidR="00614B1E">
        <w:rPr>
          <w:rFonts w:ascii="Times New Roman" w:hAnsi="Times New Roman"/>
        </w:rPr>
        <w:t xml:space="preserve">, </w:t>
      </w:r>
      <w:r w:rsidR="00614B1E" w:rsidRPr="00571A3A">
        <w:rPr>
          <w:rFonts w:ascii="Times New Roman" w:hAnsi="Times New Roman"/>
        </w:rPr>
        <w:t>or</w:t>
      </w:r>
    </w:p>
    <w:p w:rsidR="00E162C0" w:rsidRPr="00571A3A" w:rsidRDefault="00EE7484" w:rsidP="00DD4FA2">
      <w:pPr>
        <w:numPr>
          <w:ilvl w:val="0"/>
          <w:numId w:val="27"/>
        </w:numPr>
        <w:autoSpaceDE w:val="0"/>
        <w:autoSpaceDN w:val="0"/>
        <w:adjustRightInd w:val="0"/>
        <w:spacing w:after="120" w:line="240" w:lineRule="auto"/>
        <w:jc w:val="both"/>
        <w:rPr>
          <w:rFonts w:ascii="Times New Roman" w:hAnsi="Times New Roman"/>
        </w:rPr>
      </w:pPr>
      <w:r w:rsidRPr="00571A3A">
        <w:rPr>
          <w:rFonts w:ascii="Times New Roman" w:hAnsi="Times New Roman"/>
        </w:rPr>
        <w:t xml:space="preserve">on-treatment </w:t>
      </w:r>
      <w:r w:rsidR="00CD2742" w:rsidRPr="00571A3A">
        <w:rPr>
          <w:rFonts w:ascii="Times New Roman" w:hAnsi="Times New Roman"/>
        </w:rPr>
        <w:t xml:space="preserve">elevations </w:t>
      </w:r>
      <w:r w:rsidR="00E162C0" w:rsidRPr="00571A3A">
        <w:rPr>
          <w:rFonts w:ascii="Times New Roman" w:hAnsi="Times New Roman"/>
        </w:rPr>
        <w:t xml:space="preserve">in both </w:t>
      </w:r>
      <w:r w:rsidR="00AF5A8D" w:rsidRPr="00571A3A">
        <w:rPr>
          <w:rFonts w:ascii="Times New Roman" w:hAnsi="Times New Roman"/>
        </w:rPr>
        <w:t xml:space="preserve">ALT </w:t>
      </w:r>
      <w:r w:rsidR="0021366A" w:rsidRPr="00571A3A">
        <w:rPr>
          <w:rFonts w:ascii="Times New Roman" w:hAnsi="Times New Roman"/>
        </w:rPr>
        <w:t xml:space="preserve">levels greater than </w:t>
      </w:r>
      <w:r w:rsidR="00AF5A8D" w:rsidRPr="00571A3A">
        <w:rPr>
          <w:rFonts w:ascii="Times New Roman" w:hAnsi="Times New Roman"/>
        </w:rPr>
        <w:t xml:space="preserve">5 </w:t>
      </w:r>
      <w:r w:rsidR="0021366A" w:rsidRPr="00571A3A">
        <w:rPr>
          <w:rFonts w:ascii="Times New Roman" w:hAnsi="Times New Roman"/>
        </w:rPr>
        <w:t>times</w:t>
      </w:r>
      <w:r w:rsidR="00AF5A8D" w:rsidRPr="00571A3A">
        <w:rPr>
          <w:rFonts w:ascii="Times New Roman" w:hAnsi="Times New Roman"/>
        </w:rPr>
        <w:t xml:space="preserve"> ULN and total bilirubin </w:t>
      </w:r>
      <w:r w:rsidR="0021366A" w:rsidRPr="00571A3A">
        <w:rPr>
          <w:rFonts w:ascii="Times New Roman" w:hAnsi="Times New Roman"/>
        </w:rPr>
        <w:t>greater than</w:t>
      </w:r>
      <w:r w:rsidR="00AF5A8D" w:rsidRPr="00571A3A">
        <w:rPr>
          <w:rFonts w:ascii="Times New Roman" w:hAnsi="Times New Roman"/>
        </w:rPr>
        <w:t xml:space="preserve"> 2 </w:t>
      </w:r>
      <w:r w:rsidR="0021366A" w:rsidRPr="00571A3A">
        <w:rPr>
          <w:rFonts w:ascii="Times New Roman" w:hAnsi="Times New Roman"/>
        </w:rPr>
        <w:t>times</w:t>
      </w:r>
      <w:r w:rsidR="00AF5A8D" w:rsidRPr="00571A3A">
        <w:rPr>
          <w:rFonts w:ascii="Times New Roman" w:hAnsi="Times New Roman"/>
        </w:rPr>
        <w:t xml:space="preserve"> ULN</w:t>
      </w:r>
      <w:r w:rsidR="00D75018">
        <w:rPr>
          <w:rFonts w:ascii="Times New Roman" w:hAnsi="Times New Roman"/>
        </w:rPr>
        <w:t>.</w:t>
      </w:r>
    </w:p>
    <w:p w:rsidR="00821FDD" w:rsidRDefault="00821FDD" w:rsidP="00821FDD">
      <w:pPr>
        <w:autoSpaceDE w:val="0"/>
        <w:autoSpaceDN w:val="0"/>
        <w:adjustRightInd w:val="0"/>
        <w:spacing w:after="120" w:line="240" w:lineRule="auto"/>
        <w:jc w:val="both"/>
        <w:rPr>
          <w:rFonts w:ascii="Times New Roman" w:hAnsi="Times New Roman"/>
        </w:rPr>
      </w:pPr>
      <w:r w:rsidRPr="00571A3A">
        <w:rPr>
          <w:rFonts w:ascii="Times New Roman" w:hAnsi="Times New Roman"/>
        </w:rPr>
        <w:t>ALT and AST elevations were observed in phase 2 and 3 clinical trials of SUNVEPRA-containing regimens. In some cases, ALT/AST elevations were accompanied by hepatic dysfunction</w:t>
      </w:r>
      <w:r w:rsidR="00E162C0" w:rsidRPr="00571A3A">
        <w:rPr>
          <w:rFonts w:ascii="Times New Roman" w:hAnsi="Times New Roman"/>
        </w:rPr>
        <w:t xml:space="preserve"> </w:t>
      </w:r>
      <w:r w:rsidR="00A84FDC" w:rsidRPr="00571A3A">
        <w:rPr>
          <w:rFonts w:ascii="Times New Roman" w:hAnsi="Times New Roman"/>
        </w:rPr>
        <w:t>(</w:t>
      </w:r>
      <w:r w:rsidR="00E162C0" w:rsidRPr="00571A3A">
        <w:rPr>
          <w:rFonts w:ascii="Times New Roman" w:hAnsi="Times New Roman"/>
        </w:rPr>
        <w:t>suggested by concurrent</w:t>
      </w:r>
      <w:r w:rsidRPr="00571A3A">
        <w:rPr>
          <w:rFonts w:ascii="Times New Roman" w:hAnsi="Times New Roman"/>
        </w:rPr>
        <w:t xml:space="preserve"> </w:t>
      </w:r>
      <w:r w:rsidR="0021366A" w:rsidRPr="00571A3A">
        <w:rPr>
          <w:rFonts w:ascii="Times New Roman" w:hAnsi="Times New Roman"/>
        </w:rPr>
        <w:t>elevations in total bilirubin</w:t>
      </w:r>
      <w:r w:rsidR="00A84FDC" w:rsidRPr="00571A3A">
        <w:rPr>
          <w:rFonts w:ascii="Times New Roman" w:hAnsi="Times New Roman"/>
        </w:rPr>
        <w:t>)</w:t>
      </w:r>
      <w:r w:rsidR="0021366A" w:rsidRPr="00571A3A">
        <w:rPr>
          <w:rFonts w:ascii="Times New Roman" w:hAnsi="Times New Roman"/>
        </w:rPr>
        <w:t>,</w:t>
      </w:r>
      <w:r w:rsidR="00AC15E4" w:rsidRPr="00571A3A">
        <w:rPr>
          <w:rFonts w:ascii="Times New Roman" w:hAnsi="Times New Roman"/>
        </w:rPr>
        <w:t xml:space="preserve"> with or without </w:t>
      </w:r>
      <w:r w:rsidR="00E162C0" w:rsidRPr="00571A3A">
        <w:rPr>
          <w:rFonts w:ascii="Times New Roman" w:hAnsi="Times New Roman"/>
        </w:rPr>
        <w:t xml:space="preserve"> </w:t>
      </w:r>
      <w:r w:rsidRPr="00571A3A">
        <w:rPr>
          <w:rFonts w:ascii="Times New Roman" w:hAnsi="Times New Roman"/>
        </w:rPr>
        <w:t>pyrexia o</w:t>
      </w:r>
      <w:r w:rsidRPr="00E93802">
        <w:rPr>
          <w:rFonts w:ascii="Times New Roman" w:hAnsi="Times New Roman"/>
        </w:rPr>
        <w:t xml:space="preserve">r eosinophilia. Severe drug-induced liver injury may occur with </w:t>
      </w:r>
      <w:r>
        <w:rPr>
          <w:rFonts w:ascii="Times New Roman" w:hAnsi="Times New Roman"/>
        </w:rPr>
        <w:t>SUNVEPRA</w:t>
      </w:r>
      <w:r w:rsidRPr="00E93802">
        <w:rPr>
          <w:rFonts w:ascii="Times New Roman" w:hAnsi="Times New Roman"/>
        </w:rPr>
        <w:t>-containing regimens, as was observed in a patient with cirrhosis at week 6 of therapy in a clinical trial of asunaprevir and daclatasvir combined with an investigational non-nucleoside HCV NS5B inhibitor.</w:t>
      </w:r>
    </w:p>
    <w:p w:rsidR="00821FDD" w:rsidRDefault="00821FDD" w:rsidP="00821FDD">
      <w:pPr>
        <w:autoSpaceDE w:val="0"/>
        <w:autoSpaceDN w:val="0"/>
        <w:adjustRightInd w:val="0"/>
        <w:spacing w:after="120" w:line="240" w:lineRule="auto"/>
        <w:jc w:val="both"/>
        <w:rPr>
          <w:rFonts w:ascii="Times New Roman" w:hAnsi="Times New Roman"/>
        </w:rPr>
      </w:pPr>
      <w:r w:rsidRPr="00795D69">
        <w:rPr>
          <w:rFonts w:ascii="Times New Roman" w:hAnsi="Times New Roman"/>
        </w:rPr>
        <w:t xml:space="preserve">In clinical trials of </w:t>
      </w:r>
      <w:r>
        <w:rPr>
          <w:rFonts w:ascii="Times New Roman" w:hAnsi="Times New Roman"/>
        </w:rPr>
        <w:t>SUNVEPRA</w:t>
      </w:r>
      <w:r w:rsidRPr="00795D69">
        <w:rPr>
          <w:rFonts w:ascii="Times New Roman" w:hAnsi="Times New Roman"/>
        </w:rPr>
        <w:t xml:space="preserve"> combined with </w:t>
      </w:r>
      <w:r>
        <w:rPr>
          <w:rFonts w:ascii="Times New Roman" w:hAnsi="Times New Roman"/>
        </w:rPr>
        <w:t xml:space="preserve">DAKLINZA </w:t>
      </w:r>
      <w:r w:rsidRPr="002A191C">
        <w:rPr>
          <w:rFonts w:ascii="Times New Roman" w:hAnsi="Times New Roman"/>
        </w:rPr>
        <w:t xml:space="preserve">or with </w:t>
      </w:r>
      <w:r>
        <w:rPr>
          <w:rFonts w:ascii="Times New Roman" w:hAnsi="Times New Roman"/>
        </w:rPr>
        <w:t>DAKLINZA</w:t>
      </w:r>
      <w:r w:rsidRPr="002A191C">
        <w:rPr>
          <w:rFonts w:ascii="Times New Roman" w:hAnsi="Times New Roman"/>
        </w:rPr>
        <w:t>, peg</w:t>
      </w:r>
      <w:r>
        <w:rPr>
          <w:rFonts w:ascii="Times New Roman" w:hAnsi="Times New Roman"/>
        </w:rPr>
        <w:t>interferon alfa, and ribavirin,</w:t>
      </w:r>
      <w:r w:rsidRPr="00795D69">
        <w:rPr>
          <w:rFonts w:ascii="Times New Roman" w:hAnsi="Times New Roman"/>
        </w:rPr>
        <w:t xml:space="preserve"> the frequency of ALT and AST </w:t>
      </w:r>
      <w:r w:rsidRPr="002A191C">
        <w:rPr>
          <w:rFonts w:ascii="Times New Roman" w:hAnsi="Times New Roman"/>
        </w:rPr>
        <w:t xml:space="preserve">elevations at least 5 </w:t>
      </w:r>
      <w:r w:rsidRPr="001B00EA">
        <w:rPr>
          <w:rFonts w:ascii="Times New Roman" w:hAnsi="Times New Roman"/>
          <w:color w:val="000000"/>
        </w:rPr>
        <w:t>times upper limit of normal (ULN) was 3</w:t>
      </w:r>
      <w:r>
        <w:rPr>
          <w:rFonts w:ascii="Times New Roman" w:hAnsi="Times New Roman"/>
          <w:color w:val="000000"/>
        </w:rPr>
        <w:t xml:space="preserve"> </w:t>
      </w:r>
      <w:r w:rsidRPr="001B00EA">
        <w:rPr>
          <w:rFonts w:ascii="Times New Roman" w:hAnsi="Times New Roman"/>
          <w:color w:val="000000"/>
        </w:rPr>
        <w:t xml:space="preserve">to 4%, and the frequency of bilirubin elevations at least 2.6 times ULN was 1%. </w:t>
      </w:r>
      <w:r w:rsidRPr="00E93802">
        <w:rPr>
          <w:rFonts w:ascii="Times New Roman" w:hAnsi="Times New Roman"/>
          <w:color w:val="000000"/>
        </w:rPr>
        <w:t xml:space="preserve">Frequencies of ALT/AST elevations were higher in trials of </w:t>
      </w:r>
      <w:r>
        <w:rPr>
          <w:rFonts w:ascii="Times New Roman" w:hAnsi="Times New Roman"/>
        </w:rPr>
        <w:t>SUNVEPRA</w:t>
      </w:r>
      <w:r w:rsidRPr="00795D69">
        <w:rPr>
          <w:rFonts w:ascii="Times New Roman" w:hAnsi="Times New Roman"/>
        </w:rPr>
        <w:t xml:space="preserve"> </w:t>
      </w:r>
      <w:r w:rsidRPr="00E93802">
        <w:rPr>
          <w:rFonts w:ascii="Times New Roman" w:hAnsi="Times New Roman"/>
          <w:color w:val="000000"/>
        </w:rPr>
        <w:t xml:space="preserve">plus </w:t>
      </w:r>
      <w:r>
        <w:rPr>
          <w:rFonts w:ascii="Times New Roman" w:hAnsi="Times New Roman"/>
        </w:rPr>
        <w:t>DAKLINZA</w:t>
      </w:r>
      <w:r w:rsidRPr="00E93802">
        <w:rPr>
          <w:rFonts w:ascii="Times New Roman" w:hAnsi="Times New Roman"/>
          <w:color w:val="000000"/>
        </w:rPr>
        <w:t xml:space="preserve"> conducted in Japan than in global trials of this regimen. In HALLMARK NIPPON, conducted in Japan, 7% of </w:t>
      </w:r>
      <w:r>
        <w:rPr>
          <w:rFonts w:ascii="Times New Roman" w:hAnsi="Times New Roman"/>
          <w:color w:val="000000"/>
        </w:rPr>
        <w:t>subjects</w:t>
      </w:r>
      <w:r w:rsidRPr="00E93802">
        <w:rPr>
          <w:rFonts w:ascii="Times New Roman" w:hAnsi="Times New Roman"/>
          <w:color w:val="000000"/>
        </w:rPr>
        <w:t xml:space="preserve"> had ALT greater than 5 times ULN while 2% of </w:t>
      </w:r>
      <w:r>
        <w:rPr>
          <w:rFonts w:ascii="Times New Roman" w:hAnsi="Times New Roman"/>
          <w:color w:val="000000"/>
        </w:rPr>
        <w:t>subjects</w:t>
      </w:r>
      <w:r w:rsidRPr="00E93802">
        <w:rPr>
          <w:rFonts w:ascii="Times New Roman" w:hAnsi="Times New Roman"/>
          <w:color w:val="000000"/>
        </w:rPr>
        <w:t xml:space="preserve"> in the global study HALLMARK DUAL had ALT greater than 5 times ULN.</w:t>
      </w:r>
      <w:r>
        <w:rPr>
          <w:rFonts w:ascii="Times New Roman" w:hAnsi="Times New Roman"/>
          <w:color w:val="000000"/>
        </w:rPr>
        <w:t xml:space="preserve"> </w:t>
      </w:r>
      <w:r w:rsidRPr="001B00EA">
        <w:rPr>
          <w:rFonts w:ascii="Times New Roman" w:hAnsi="Times New Roman"/>
          <w:color w:val="000000"/>
        </w:rPr>
        <w:t xml:space="preserve">ALT/AST elevations </w:t>
      </w:r>
      <w:r>
        <w:rPr>
          <w:rFonts w:ascii="Times New Roman" w:hAnsi="Times New Roman"/>
          <w:color w:val="000000"/>
        </w:rPr>
        <w:t>in trials of SUNVEPRA and DAKLINZA had a median time to onset of</w:t>
      </w:r>
      <w:r w:rsidRPr="001B00EA">
        <w:rPr>
          <w:rFonts w:ascii="Times New Roman" w:hAnsi="Times New Roman"/>
          <w:color w:val="000000"/>
        </w:rPr>
        <w:t xml:space="preserve"> 13 weeks</w:t>
      </w:r>
      <w:r w:rsidRPr="002A191C">
        <w:rPr>
          <w:rFonts w:ascii="Times New Roman" w:hAnsi="Times New Roman"/>
        </w:rPr>
        <w:t xml:space="preserve"> </w:t>
      </w:r>
      <w:r>
        <w:rPr>
          <w:rFonts w:ascii="Times New Roman" w:hAnsi="Times New Roman"/>
        </w:rPr>
        <w:t xml:space="preserve">after initiation </w:t>
      </w:r>
      <w:r w:rsidRPr="002A191C">
        <w:rPr>
          <w:rFonts w:ascii="Times New Roman" w:hAnsi="Times New Roman"/>
        </w:rPr>
        <w:t>of therapy (range: 4 to 24 weeks) and in most cases returned to normal limits despite continued therapy. These liver enzyme elevations were also reversible in subjects who discontinued therapy.</w:t>
      </w:r>
      <w:r w:rsidRPr="00146B6C">
        <w:t xml:space="preserve"> </w:t>
      </w:r>
      <w:r w:rsidRPr="00286756">
        <w:rPr>
          <w:rFonts w:ascii="Times New Roman" w:hAnsi="Times New Roman"/>
          <w:szCs w:val="24"/>
          <w:lang w:eastAsia="en-AU"/>
        </w:rPr>
        <w:t xml:space="preserve">Of 19 subjects </w:t>
      </w:r>
      <w:r>
        <w:rPr>
          <w:rFonts w:ascii="Times New Roman" w:hAnsi="Times New Roman"/>
          <w:szCs w:val="24"/>
          <w:lang w:eastAsia="en-AU"/>
        </w:rPr>
        <w:t xml:space="preserve">treated with SUNVEPRA and DAKLINZA </w:t>
      </w:r>
      <w:r w:rsidRPr="00286756">
        <w:rPr>
          <w:rFonts w:ascii="Times New Roman" w:hAnsi="Times New Roman"/>
          <w:szCs w:val="24"/>
          <w:lang w:eastAsia="en-AU"/>
        </w:rPr>
        <w:t>who discontinued study therapy due to elevated transaminases,</w:t>
      </w:r>
      <w:r>
        <w:rPr>
          <w:rFonts w:ascii="Times New Roman" w:hAnsi="Times New Roman"/>
          <w:szCs w:val="24"/>
          <w:lang w:eastAsia="en-AU"/>
        </w:rPr>
        <w:t xml:space="preserve"> </w:t>
      </w:r>
      <w:r w:rsidRPr="00286756">
        <w:rPr>
          <w:rFonts w:ascii="Times New Roman" w:hAnsi="Times New Roman"/>
          <w:szCs w:val="24"/>
          <w:lang w:eastAsia="en-AU"/>
        </w:rPr>
        <w:t>16 subjects achieved SVR</w:t>
      </w:r>
      <w:r w:rsidRPr="00F96CD9">
        <w:rPr>
          <w:rFonts w:ascii="Times New Roman" w:hAnsi="Times New Roman"/>
          <w:szCs w:val="24"/>
          <w:lang w:eastAsia="en-AU"/>
        </w:rPr>
        <w:t xml:space="preserve">. </w:t>
      </w:r>
    </w:p>
    <w:p w:rsidR="00795D69" w:rsidRDefault="00795D69" w:rsidP="00167BB8">
      <w:pPr>
        <w:keepNext/>
        <w:spacing w:after="120" w:line="240" w:lineRule="auto"/>
        <w:jc w:val="both"/>
        <w:rPr>
          <w:rFonts w:ascii="Times New Roman" w:hAnsi="Times New Roman"/>
          <w:b/>
        </w:rPr>
      </w:pPr>
      <w:r w:rsidRPr="00795D69">
        <w:rPr>
          <w:rFonts w:ascii="Times New Roman" w:hAnsi="Times New Roman"/>
          <w:b/>
        </w:rPr>
        <w:t>Hepatic Impairment</w:t>
      </w:r>
      <w:r w:rsidR="00FE3193">
        <w:rPr>
          <w:rFonts w:ascii="Times New Roman" w:hAnsi="Times New Roman"/>
          <w:b/>
        </w:rPr>
        <w:t xml:space="preserve"> and Cirrhosis</w:t>
      </w:r>
    </w:p>
    <w:p w:rsidR="00795D69" w:rsidRDefault="00FE3193" w:rsidP="00E61859">
      <w:pPr>
        <w:spacing w:after="120" w:line="240" w:lineRule="auto"/>
        <w:jc w:val="both"/>
        <w:rPr>
          <w:rFonts w:ascii="Times New Roman" w:hAnsi="Times New Roman"/>
        </w:rPr>
      </w:pPr>
      <w:r w:rsidRPr="00795D69">
        <w:rPr>
          <w:rFonts w:ascii="Times New Roman" w:hAnsi="Times New Roman"/>
        </w:rPr>
        <w:t xml:space="preserve">No dose adjustment of </w:t>
      </w:r>
      <w:r>
        <w:rPr>
          <w:rFonts w:ascii="Times New Roman" w:hAnsi="Times New Roman"/>
        </w:rPr>
        <w:t>SUNVEPRA</w:t>
      </w:r>
      <w:r w:rsidRPr="00795D69">
        <w:rPr>
          <w:rFonts w:ascii="Times New Roman" w:hAnsi="Times New Roman"/>
        </w:rPr>
        <w:t xml:space="preserve"> is required for patients with mild hepatic impairment</w:t>
      </w:r>
      <w:r>
        <w:rPr>
          <w:rFonts w:ascii="Times New Roman" w:hAnsi="Times New Roman"/>
        </w:rPr>
        <w:t>.</w:t>
      </w:r>
      <w:r w:rsidRPr="00795D69">
        <w:rPr>
          <w:rFonts w:ascii="Times New Roman" w:hAnsi="Times New Roman"/>
        </w:rPr>
        <w:t xml:space="preserve"> </w:t>
      </w:r>
      <w:r w:rsidR="00795D69" w:rsidRPr="00795D69">
        <w:rPr>
          <w:rFonts w:ascii="Times New Roman" w:hAnsi="Times New Roman"/>
        </w:rPr>
        <w:t>In a pharmacokinetic study in non-HCV infected subjects with mild (Child-Pugh A), moderate (Child-Pugh B), and severe (Child-Pugh C) hepatic impairment, asunaprevir steady state exposures were markedly higher in subjects with moderate or severe hepatic impairment</w:t>
      </w:r>
      <w:r>
        <w:rPr>
          <w:rFonts w:ascii="Times New Roman" w:hAnsi="Times New Roman"/>
        </w:rPr>
        <w:t xml:space="preserve"> </w:t>
      </w:r>
      <w:r w:rsidRPr="00795D69">
        <w:rPr>
          <w:rFonts w:ascii="Times New Roman" w:hAnsi="Times New Roman"/>
        </w:rPr>
        <w:t>[</w:t>
      </w:r>
      <w:r w:rsidRPr="00BC57D1">
        <w:rPr>
          <w:rFonts w:ascii="Times New Roman" w:hAnsi="Times New Roman"/>
        </w:rPr>
        <w:t>see</w:t>
      </w:r>
      <w:r w:rsidRPr="00BC57D1">
        <w:rPr>
          <w:rFonts w:ascii="Times New Roman" w:hAnsi="Times New Roman"/>
          <w:i/>
        </w:rPr>
        <w:t xml:space="preserve"> </w:t>
      </w:r>
      <w:r w:rsidRPr="00BC57D1">
        <w:rPr>
          <w:rFonts w:ascii="Times New Roman" w:hAnsi="Times New Roman"/>
        </w:rPr>
        <w:t>PHARMACOLOGY - Special Populations]</w:t>
      </w:r>
      <w:r w:rsidR="00795D69" w:rsidRPr="00795D69">
        <w:rPr>
          <w:rFonts w:ascii="Times New Roman" w:hAnsi="Times New Roman"/>
        </w:rPr>
        <w:t xml:space="preserve">. </w:t>
      </w:r>
      <w:r w:rsidR="00795D69">
        <w:rPr>
          <w:rFonts w:ascii="Times New Roman" w:hAnsi="Times New Roman"/>
        </w:rPr>
        <w:t>SUNVEPRA</w:t>
      </w:r>
      <w:r w:rsidR="00795D69" w:rsidRPr="00795D69">
        <w:rPr>
          <w:rFonts w:ascii="Times New Roman" w:hAnsi="Times New Roman"/>
        </w:rPr>
        <w:t xml:space="preserve"> is contraindicated for patients with moderate or severe hepatic impairment since an appropriate dose has not been established </w:t>
      </w:r>
      <w:r w:rsidR="00795D69" w:rsidRPr="00BC57D1">
        <w:rPr>
          <w:rFonts w:ascii="Times New Roman" w:hAnsi="Times New Roman"/>
        </w:rPr>
        <w:t xml:space="preserve">[see </w:t>
      </w:r>
      <w:r w:rsidR="00BC57D1" w:rsidRPr="00BC57D1">
        <w:rPr>
          <w:rFonts w:ascii="Times New Roman" w:hAnsi="Times New Roman"/>
        </w:rPr>
        <w:t>CONTRAINDICATIONS</w:t>
      </w:r>
      <w:r w:rsidR="00795D69" w:rsidRPr="00BC57D1">
        <w:rPr>
          <w:rFonts w:ascii="Times New Roman" w:hAnsi="Times New Roman"/>
        </w:rPr>
        <w:t>].</w:t>
      </w:r>
      <w:r w:rsidR="00795D69" w:rsidRPr="00795D69">
        <w:rPr>
          <w:rFonts w:ascii="Times New Roman" w:hAnsi="Times New Roman"/>
        </w:rPr>
        <w:t xml:space="preserve"> </w:t>
      </w:r>
    </w:p>
    <w:p w:rsidR="000C5F3D" w:rsidRDefault="00FE3193" w:rsidP="00E61859">
      <w:pPr>
        <w:autoSpaceDE w:val="0"/>
        <w:autoSpaceDN w:val="0"/>
        <w:adjustRightInd w:val="0"/>
        <w:spacing w:after="120" w:line="240" w:lineRule="auto"/>
        <w:jc w:val="both"/>
        <w:rPr>
          <w:rFonts w:ascii="Times New Roman" w:hAnsi="Times New Roman"/>
          <w:szCs w:val="24"/>
          <w:lang w:eastAsia="en-AU"/>
        </w:rPr>
      </w:pPr>
      <w:r w:rsidRPr="001B00EA">
        <w:rPr>
          <w:rFonts w:ascii="Times New Roman" w:hAnsi="Times New Roman"/>
          <w:szCs w:val="24"/>
          <w:lang w:eastAsia="en-AU"/>
        </w:rPr>
        <w:t xml:space="preserve">Of more than 1300 subjects in </w:t>
      </w:r>
      <w:r w:rsidR="003668A9" w:rsidRPr="001B00EA">
        <w:rPr>
          <w:rFonts w:ascii="Times New Roman" w:hAnsi="Times New Roman"/>
          <w:szCs w:val="24"/>
          <w:lang w:eastAsia="en-AU"/>
        </w:rPr>
        <w:t xml:space="preserve">five </w:t>
      </w:r>
      <w:r w:rsidRPr="001B00EA">
        <w:rPr>
          <w:rFonts w:ascii="Times New Roman" w:hAnsi="Times New Roman"/>
          <w:szCs w:val="24"/>
          <w:lang w:eastAsia="en-AU"/>
        </w:rPr>
        <w:t xml:space="preserve">clinical studies of SUNVEPRA combination therapy, </w:t>
      </w:r>
      <w:r w:rsidR="003668A9" w:rsidRPr="001B00EA">
        <w:rPr>
          <w:rFonts w:ascii="Times New Roman" w:hAnsi="Times New Roman"/>
          <w:szCs w:val="24"/>
          <w:lang w:eastAsia="en-AU"/>
        </w:rPr>
        <w:t xml:space="preserve">322 </w:t>
      </w:r>
      <w:r w:rsidRPr="001B00EA">
        <w:rPr>
          <w:rFonts w:ascii="Times New Roman" w:hAnsi="Times New Roman"/>
          <w:szCs w:val="24"/>
          <w:lang w:eastAsia="en-AU"/>
        </w:rPr>
        <w:t>subjects had compensated cirrhosis (Child-Pugh A). No overall differences in safety or</w:t>
      </w:r>
      <w:r w:rsidR="003668A9" w:rsidRPr="001B00EA">
        <w:rPr>
          <w:rFonts w:ascii="Times New Roman" w:hAnsi="Times New Roman"/>
          <w:szCs w:val="24"/>
          <w:lang w:eastAsia="en-AU"/>
        </w:rPr>
        <w:t xml:space="preserve"> </w:t>
      </w:r>
      <w:r w:rsidRPr="001B00EA">
        <w:rPr>
          <w:rFonts w:ascii="Times New Roman" w:hAnsi="Times New Roman"/>
          <w:szCs w:val="24"/>
          <w:lang w:eastAsia="en-AU"/>
        </w:rPr>
        <w:t>effectiveness were observed between subjects with compensated cirrhosis and subjects</w:t>
      </w:r>
      <w:r w:rsidRPr="00FE3193">
        <w:rPr>
          <w:rFonts w:ascii="Times New Roman" w:hAnsi="Times New Roman"/>
          <w:szCs w:val="24"/>
          <w:lang w:eastAsia="en-AU"/>
        </w:rPr>
        <w:t xml:space="preserve"> without</w:t>
      </w:r>
      <w:r>
        <w:rPr>
          <w:rFonts w:ascii="Times New Roman" w:hAnsi="Times New Roman"/>
          <w:szCs w:val="24"/>
          <w:lang w:eastAsia="en-AU"/>
        </w:rPr>
        <w:t xml:space="preserve"> </w:t>
      </w:r>
      <w:r w:rsidRPr="00FE3193">
        <w:rPr>
          <w:rFonts w:ascii="Times New Roman" w:hAnsi="Times New Roman"/>
          <w:szCs w:val="24"/>
          <w:lang w:eastAsia="en-AU"/>
        </w:rPr>
        <w:t xml:space="preserve">cirrhosis. </w:t>
      </w:r>
      <w:r>
        <w:rPr>
          <w:rFonts w:ascii="Times New Roman" w:hAnsi="Times New Roman"/>
          <w:szCs w:val="24"/>
          <w:lang w:eastAsia="en-AU"/>
        </w:rPr>
        <w:t>SUNVEPRA</w:t>
      </w:r>
      <w:r w:rsidRPr="00FE3193">
        <w:rPr>
          <w:rFonts w:ascii="Times New Roman" w:hAnsi="Times New Roman"/>
          <w:szCs w:val="24"/>
          <w:lang w:eastAsia="en-AU"/>
        </w:rPr>
        <w:t xml:space="preserve"> is contraindicated for patients with decompensated cirrhosis.</w:t>
      </w:r>
    </w:p>
    <w:p w:rsidR="000C5F3D" w:rsidRPr="000C5F3D" w:rsidRDefault="000C5F3D" w:rsidP="00E61859">
      <w:pPr>
        <w:autoSpaceDE w:val="0"/>
        <w:autoSpaceDN w:val="0"/>
        <w:adjustRightInd w:val="0"/>
        <w:spacing w:after="120" w:line="240" w:lineRule="auto"/>
        <w:rPr>
          <w:rFonts w:ascii="Times New Roman" w:hAnsi="Times New Roman"/>
          <w:b/>
          <w:bCs/>
          <w:szCs w:val="24"/>
          <w:lang w:eastAsia="en-AU"/>
        </w:rPr>
      </w:pPr>
      <w:r w:rsidRPr="00F96CD9">
        <w:rPr>
          <w:rFonts w:ascii="Times New Roman" w:hAnsi="Times New Roman"/>
          <w:b/>
          <w:bCs/>
          <w:szCs w:val="24"/>
          <w:lang w:eastAsia="en-AU"/>
        </w:rPr>
        <w:t>Liver Transplant Patients</w:t>
      </w:r>
    </w:p>
    <w:p w:rsidR="00AF705C" w:rsidRDefault="000C5F3D" w:rsidP="00167BB8">
      <w:pPr>
        <w:autoSpaceDE w:val="0"/>
        <w:autoSpaceDN w:val="0"/>
        <w:adjustRightInd w:val="0"/>
        <w:spacing w:after="120" w:line="240" w:lineRule="auto"/>
        <w:jc w:val="both"/>
        <w:rPr>
          <w:rFonts w:ascii="Times New Roman" w:hAnsi="Times New Roman"/>
        </w:rPr>
      </w:pPr>
      <w:r w:rsidRPr="00C93B80">
        <w:rPr>
          <w:rFonts w:ascii="Times New Roman" w:hAnsi="Times New Roman"/>
          <w:szCs w:val="24"/>
          <w:lang w:eastAsia="en-AU"/>
        </w:rPr>
        <w:t xml:space="preserve">The safety and efficacy of SUNVEPRA combination therapy </w:t>
      </w:r>
      <w:r w:rsidR="008917C7" w:rsidRPr="00C93B80">
        <w:rPr>
          <w:rFonts w:ascii="Times New Roman" w:hAnsi="Times New Roman"/>
          <w:szCs w:val="24"/>
          <w:lang w:eastAsia="en-AU"/>
        </w:rPr>
        <w:t>in the treatment of patients who are pre-, peri-, or post-liver transplant</w:t>
      </w:r>
      <w:r w:rsidR="00E93802" w:rsidRPr="00C93B80">
        <w:rPr>
          <w:rFonts w:ascii="Times New Roman" w:hAnsi="Times New Roman"/>
          <w:szCs w:val="24"/>
          <w:lang w:eastAsia="en-AU"/>
        </w:rPr>
        <w:t xml:space="preserve"> </w:t>
      </w:r>
      <w:r w:rsidRPr="00C93B80">
        <w:rPr>
          <w:rFonts w:ascii="Times New Roman" w:hAnsi="Times New Roman"/>
          <w:szCs w:val="24"/>
          <w:lang w:eastAsia="en-AU"/>
        </w:rPr>
        <w:t>have not been established.</w:t>
      </w:r>
    </w:p>
    <w:p w:rsidR="00EB4117" w:rsidRPr="000A48B1" w:rsidRDefault="004E7E34" w:rsidP="00E61859">
      <w:pPr>
        <w:autoSpaceDE w:val="0"/>
        <w:autoSpaceDN w:val="0"/>
        <w:adjustRightInd w:val="0"/>
        <w:spacing w:after="120" w:line="240" w:lineRule="auto"/>
        <w:jc w:val="both"/>
        <w:rPr>
          <w:rFonts w:ascii="Times New Roman" w:hAnsi="Times New Roman"/>
          <w:b/>
          <w:szCs w:val="24"/>
          <w:lang w:eastAsia="en-AU"/>
        </w:rPr>
      </w:pPr>
      <w:r w:rsidRPr="004E7E34">
        <w:rPr>
          <w:rFonts w:ascii="Times New Roman" w:hAnsi="Times New Roman"/>
          <w:b/>
          <w:szCs w:val="24"/>
          <w:lang w:eastAsia="en-AU"/>
        </w:rPr>
        <w:t>Co-infection with Human Immunodeficiency Virus (HIV) or Hepatitis B Virus (HBV)</w:t>
      </w:r>
    </w:p>
    <w:p w:rsidR="00AF705C" w:rsidRPr="00E61859" w:rsidRDefault="004E7E34" w:rsidP="00E61859">
      <w:pPr>
        <w:autoSpaceDE w:val="0"/>
        <w:autoSpaceDN w:val="0"/>
        <w:adjustRightInd w:val="0"/>
        <w:spacing w:after="120" w:line="240" w:lineRule="auto"/>
        <w:jc w:val="both"/>
        <w:rPr>
          <w:rFonts w:ascii="Times New Roman" w:hAnsi="Times New Roman"/>
          <w:szCs w:val="24"/>
          <w:lang w:eastAsia="en-AU"/>
        </w:rPr>
      </w:pPr>
      <w:r w:rsidRPr="004E7E34">
        <w:rPr>
          <w:rFonts w:ascii="Times New Roman" w:hAnsi="Times New Roman"/>
          <w:szCs w:val="24"/>
          <w:lang w:eastAsia="en-AU"/>
        </w:rPr>
        <w:t>The safety and efficacy of SUNVEPRA in the treatment of chronic HCV infection in patients who are co-infected with HIV or HBV have not been established.</w:t>
      </w:r>
    </w:p>
    <w:p w:rsidR="00795D69" w:rsidRDefault="00795D69" w:rsidP="00167BB8">
      <w:pPr>
        <w:keepNext/>
        <w:spacing w:after="120" w:line="240" w:lineRule="auto"/>
        <w:jc w:val="both"/>
        <w:rPr>
          <w:rFonts w:ascii="Times New Roman" w:hAnsi="Times New Roman"/>
          <w:b/>
          <w:lang w:val="en-US"/>
        </w:rPr>
      </w:pPr>
      <w:bookmarkStart w:id="14" w:name="_Toc375140188"/>
      <w:r>
        <w:rPr>
          <w:rFonts w:ascii="Times New Roman" w:hAnsi="Times New Roman"/>
          <w:b/>
          <w:lang w:val="en-US"/>
        </w:rPr>
        <w:lastRenderedPageBreak/>
        <w:t xml:space="preserve">Renal Impairment </w:t>
      </w:r>
    </w:p>
    <w:p w:rsidR="000F5D7F" w:rsidRDefault="00D177FA" w:rsidP="00E61859">
      <w:pPr>
        <w:spacing w:after="120" w:line="240" w:lineRule="auto"/>
        <w:jc w:val="both"/>
        <w:rPr>
          <w:rFonts w:ascii="Times New Roman" w:hAnsi="Times New Roman"/>
        </w:rPr>
      </w:pPr>
      <w:r>
        <w:rPr>
          <w:rFonts w:ascii="Times New Roman" w:hAnsi="Times New Roman"/>
        </w:rPr>
        <w:t>Dosage adjustment of SUNVEPRA to 100 mg once-daily is recommended f</w:t>
      </w:r>
      <w:r w:rsidRPr="00D177FA">
        <w:rPr>
          <w:rFonts w:ascii="Times New Roman" w:hAnsi="Times New Roman"/>
        </w:rPr>
        <w:t>or patients with severe renal impairment [creatinine clearance (CrCl) less than 30 mL/min] who are not receiving hemodialysis</w:t>
      </w:r>
      <w:r>
        <w:rPr>
          <w:rFonts w:ascii="Times New Roman" w:hAnsi="Times New Roman"/>
        </w:rPr>
        <w:t>.  No dosage adjus</w:t>
      </w:r>
      <w:r w:rsidRPr="00D177FA">
        <w:rPr>
          <w:rFonts w:ascii="Times New Roman" w:hAnsi="Times New Roman"/>
        </w:rPr>
        <w:t xml:space="preserve">tment of </w:t>
      </w:r>
      <w:r>
        <w:rPr>
          <w:rFonts w:ascii="Times New Roman" w:hAnsi="Times New Roman"/>
        </w:rPr>
        <w:t>SUNVEPRA</w:t>
      </w:r>
      <w:r w:rsidRPr="00D177FA">
        <w:rPr>
          <w:rFonts w:ascii="Times New Roman" w:hAnsi="Times New Roman"/>
        </w:rPr>
        <w:t xml:space="preserve"> is required for the majority of renally impaired patients including those receiving hemodialysis or those with mild or moderate renal impairment (CrCl 30 mL/min or greater) </w:t>
      </w:r>
      <w:r w:rsidR="00795D69" w:rsidRPr="00BC57D1">
        <w:rPr>
          <w:rFonts w:ascii="Times New Roman" w:hAnsi="Times New Roman"/>
        </w:rPr>
        <w:t>[see</w:t>
      </w:r>
      <w:r w:rsidR="00795D69" w:rsidRPr="00BC57D1">
        <w:rPr>
          <w:rFonts w:ascii="Times New Roman" w:hAnsi="Times New Roman"/>
          <w:i/>
        </w:rPr>
        <w:t xml:space="preserve"> </w:t>
      </w:r>
      <w:r>
        <w:rPr>
          <w:rFonts w:ascii="Times New Roman" w:hAnsi="Times New Roman"/>
        </w:rPr>
        <w:t xml:space="preserve">DOSAGE AND ADMINISTRATION and </w:t>
      </w:r>
      <w:r w:rsidR="00BC57D1" w:rsidRPr="00BC57D1">
        <w:rPr>
          <w:rFonts w:ascii="Times New Roman" w:hAnsi="Times New Roman"/>
        </w:rPr>
        <w:t>PHARMACOLOGY - Special Populations</w:t>
      </w:r>
      <w:r w:rsidR="00795D69" w:rsidRPr="00BC57D1">
        <w:rPr>
          <w:rFonts w:ascii="Times New Roman" w:hAnsi="Times New Roman"/>
        </w:rPr>
        <w:t>].</w:t>
      </w:r>
    </w:p>
    <w:p w:rsidR="00A34F45" w:rsidRDefault="00A34F45" w:rsidP="00E61859">
      <w:pPr>
        <w:spacing w:after="120" w:line="240" w:lineRule="auto"/>
        <w:jc w:val="both"/>
        <w:rPr>
          <w:rFonts w:ascii="Times New Roman" w:hAnsi="Times New Roman"/>
          <w:b/>
        </w:rPr>
      </w:pPr>
      <w:r>
        <w:rPr>
          <w:rFonts w:ascii="Times New Roman" w:hAnsi="Times New Roman"/>
          <w:b/>
        </w:rPr>
        <w:t>Retreatment with SUNVEPRA</w:t>
      </w:r>
    </w:p>
    <w:p w:rsidR="00A34F45" w:rsidRPr="00A34F45" w:rsidRDefault="00A34F45" w:rsidP="00E61859">
      <w:pPr>
        <w:spacing w:after="120" w:line="240" w:lineRule="auto"/>
        <w:jc w:val="both"/>
        <w:rPr>
          <w:rFonts w:ascii="Times New Roman" w:hAnsi="Times New Roman"/>
        </w:rPr>
      </w:pPr>
      <w:r>
        <w:rPr>
          <w:rFonts w:ascii="Times New Roman" w:hAnsi="Times New Roman"/>
        </w:rPr>
        <w:t>SUNVEPRA has not been studied in patients who have previously failed therapy with a treatment regimen that includes SUNVEPRA or other HCV NS3/4A protease inhibitors.</w:t>
      </w:r>
    </w:p>
    <w:p w:rsidR="001A1D9A" w:rsidRDefault="001D16CE" w:rsidP="00E61859">
      <w:pPr>
        <w:spacing w:after="120" w:line="240" w:lineRule="auto"/>
        <w:jc w:val="both"/>
        <w:rPr>
          <w:rFonts w:ascii="Times New Roman" w:hAnsi="Times New Roman"/>
          <w:b/>
        </w:rPr>
      </w:pPr>
      <w:r w:rsidRPr="001D16CE">
        <w:rPr>
          <w:rFonts w:ascii="Times New Roman" w:hAnsi="Times New Roman"/>
          <w:b/>
        </w:rPr>
        <w:t>Oral Contraceptives</w:t>
      </w:r>
    </w:p>
    <w:p w:rsidR="001A1D9A" w:rsidRPr="00E61859" w:rsidRDefault="001D16CE" w:rsidP="00E61859">
      <w:pPr>
        <w:spacing w:after="120" w:line="240" w:lineRule="auto"/>
        <w:jc w:val="both"/>
        <w:rPr>
          <w:rFonts w:ascii="Times New Roman" w:hAnsi="Times New Roman"/>
          <w:vertAlign w:val="subscript"/>
        </w:rPr>
      </w:pPr>
      <w:r w:rsidRPr="00863E6B">
        <w:rPr>
          <w:rFonts w:ascii="Times New Roman" w:hAnsi="Times New Roman"/>
        </w:rPr>
        <w:t>For patients using oral contraception, a high-dose oral contraceptive (containing at least 30 µg of ethinyl estradiol combined with norethindrone acetate/norethindrone) is recommended [see INTERACTIONS WITH OTHER MEDICINES].</w:t>
      </w:r>
    </w:p>
    <w:p w:rsidR="00153B12" w:rsidRPr="002D7E79" w:rsidRDefault="00153B12" w:rsidP="00E61859">
      <w:pPr>
        <w:spacing w:after="120" w:line="240" w:lineRule="auto"/>
        <w:jc w:val="both"/>
        <w:rPr>
          <w:rFonts w:ascii="Times New Roman" w:hAnsi="Times New Roman"/>
          <w:b/>
        </w:rPr>
      </w:pPr>
      <w:r w:rsidRPr="00153B12">
        <w:rPr>
          <w:rFonts w:ascii="Times New Roman" w:hAnsi="Times New Roman"/>
          <w:b/>
        </w:rPr>
        <w:t>Effects on Fertility</w:t>
      </w:r>
    </w:p>
    <w:p w:rsidR="00153B12" w:rsidRDefault="00153B12" w:rsidP="00E61859">
      <w:pPr>
        <w:spacing w:after="120" w:line="240" w:lineRule="auto"/>
        <w:jc w:val="both"/>
        <w:rPr>
          <w:rFonts w:ascii="Times New Roman" w:hAnsi="Times New Roman"/>
        </w:rPr>
      </w:pPr>
      <w:r w:rsidRPr="00153B12">
        <w:rPr>
          <w:rFonts w:ascii="Times New Roman" w:hAnsi="Times New Roman"/>
        </w:rPr>
        <w:t>SUNVEPRA alone had no effects on fertility in male or female rats at any dose tested. The highest AUC values in unaffected males and females were 386- and 373-fold, respectively, the RHD AUC.</w:t>
      </w:r>
    </w:p>
    <w:p w:rsidR="00106751" w:rsidRDefault="00106751" w:rsidP="00E61859">
      <w:pPr>
        <w:spacing w:after="120" w:line="240" w:lineRule="auto"/>
        <w:jc w:val="both"/>
        <w:rPr>
          <w:rFonts w:ascii="Times New Roman" w:hAnsi="Times New Roman"/>
        </w:rPr>
      </w:pPr>
      <w:r w:rsidRPr="00106751">
        <w:rPr>
          <w:rFonts w:ascii="Times New Roman" w:hAnsi="Times New Roman"/>
          <w:b/>
          <w:i/>
        </w:rPr>
        <w:t>Use with DAKLINZA</w:t>
      </w:r>
      <w:r w:rsidRPr="00153B12">
        <w:rPr>
          <w:rFonts w:ascii="Times New Roman" w:hAnsi="Times New Roman"/>
        </w:rPr>
        <w:t>: DAKLINZA alone had no effects on fertility in male or female rats</w:t>
      </w:r>
      <w:r>
        <w:rPr>
          <w:rFonts w:ascii="Times New Roman" w:hAnsi="Times New Roman"/>
        </w:rPr>
        <w:t>;</w:t>
      </w:r>
      <w:r w:rsidRPr="00153B12">
        <w:rPr>
          <w:rFonts w:ascii="Times New Roman" w:hAnsi="Times New Roman"/>
        </w:rPr>
        <w:t xml:space="preserve"> reduced prostate/seminal vesicles weights, and minimally dysmorphic sperm were observed in males, but fertility was unaffected. Please refer to DAKLINZA Product Information.</w:t>
      </w:r>
    </w:p>
    <w:p w:rsidR="00153B12" w:rsidRPr="00795D69" w:rsidRDefault="00106751" w:rsidP="00E61859">
      <w:pPr>
        <w:spacing w:after="120" w:line="240" w:lineRule="auto"/>
        <w:jc w:val="both"/>
        <w:rPr>
          <w:rFonts w:ascii="Times New Roman" w:hAnsi="Times New Roman"/>
        </w:rPr>
      </w:pPr>
      <w:r w:rsidRPr="00A24B66">
        <w:rPr>
          <w:rFonts w:ascii="Times New Roman" w:hAnsi="Times New Roman"/>
          <w:b/>
          <w:bCs/>
          <w:i/>
          <w:iCs/>
          <w:szCs w:val="24"/>
        </w:rPr>
        <w:t>Use with ribavirin and Peginterferon alfa</w:t>
      </w:r>
      <w:r w:rsidRPr="00A24B66">
        <w:rPr>
          <w:rFonts w:ascii="Times New Roman" w:hAnsi="Times New Roman"/>
          <w:szCs w:val="24"/>
        </w:rPr>
        <w:t>: Ribavirin caused reversible testicular toxicity in animals; while peginterferon alfa may impair fertility in females.</w:t>
      </w:r>
      <w:r>
        <w:rPr>
          <w:rFonts w:ascii="Times New Roman" w:hAnsi="Times New Roman"/>
          <w:szCs w:val="24"/>
        </w:rPr>
        <w:t xml:space="preserve"> </w:t>
      </w:r>
      <w:r w:rsidRPr="00A24B66">
        <w:rPr>
          <w:rFonts w:ascii="Times New Roman" w:hAnsi="Times New Roman"/>
          <w:szCs w:val="24"/>
        </w:rPr>
        <w:t>Please refer to Product Information for ribavirin and peginterferon alfa for additional information.</w:t>
      </w:r>
    </w:p>
    <w:p w:rsidR="00863E6B" w:rsidRDefault="00A84151" w:rsidP="00E61859">
      <w:pPr>
        <w:spacing w:after="120" w:line="240" w:lineRule="auto"/>
        <w:jc w:val="both"/>
        <w:rPr>
          <w:rFonts w:ascii="Times New Roman" w:hAnsi="Times New Roman"/>
          <w:b/>
          <w:lang w:val="en-US"/>
        </w:rPr>
      </w:pPr>
      <w:r w:rsidRPr="00221A5D">
        <w:rPr>
          <w:rFonts w:ascii="Times New Roman" w:hAnsi="Times New Roman"/>
          <w:b/>
          <w:lang w:val="en-US"/>
        </w:rPr>
        <w:t xml:space="preserve">Use in </w:t>
      </w:r>
      <w:r w:rsidR="00F40637" w:rsidRPr="00221A5D">
        <w:rPr>
          <w:rFonts w:ascii="Times New Roman" w:hAnsi="Times New Roman"/>
          <w:b/>
          <w:lang w:val="en-US"/>
        </w:rPr>
        <w:t>Pr</w:t>
      </w:r>
      <w:r w:rsidRPr="00221A5D">
        <w:rPr>
          <w:rFonts w:ascii="Times New Roman" w:hAnsi="Times New Roman"/>
          <w:b/>
          <w:lang w:val="en-US"/>
        </w:rPr>
        <w:t>egnancy</w:t>
      </w:r>
    </w:p>
    <w:p w:rsidR="00D177FA" w:rsidRDefault="00D177FA" w:rsidP="00E61859">
      <w:pPr>
        <w:spacing w:after="120" w:line="240" w:lineRule="auto"/>
        <w:jc w:val="both"/>
        <w:rPr>
          <w:rFonts w:ascii="Times New Roman" w:hAnsi="Times New Roman"/>
          <w:b/>
          <w:lang w:val="en-US"/>
        </w:rPr>
      </w:pPr>
      <w:r w:rsidRPr="000426FC">
        <w:rPr>
          <w:rFonts w:ascii="Times New Roman" w:hAnsi="Times New Roman"/>
          <w:b/>
          <w:lang w:val="en-US"/>
        </w:rPr>
        <w:t xml:space="preserve">Use of </w:t>
      </w:r>
      <w:r>
        <w:rPr>
          <w:rFonts w:ascii="Times New Roman" w:hAnsi="Times New Roman"/>
          <w:b/>
          <w:lang w:val="en-US"/>
        </w:rPr>
        <w:t xml:space="preserve">SUNVEPRA with </w:t>
      </w:r>
      <w:r w:rsidRPr="000426FC">
        <w:rPr>
          <w:rFonts w:ascii="Times New Roman" w:hAnsi="Times New Roman"/>
          <w:b/>
          <w:lang w:val="en-US"/>
        </w:rPr>
        <w:t xml:space="preserve">Peginterferon Alfa and Ribavirin </w:t>
      </w:r>
      <w:r w:rsidR="00A97B06">
        <w:rPr>
          <w:rFonts w:ascii="Times New Roman" w:hAnsi="Times New Roman"/>
          <w:b/>
          <w:lang w:val="en-US"/>
        </w:rPr>
        <w:t>(</w:t>
      </w:r>
      <w:r w:rsidR="00A97B06" w:rsidRPr="000426FC">
        <w:rPr>
          <w:rFonts w:ascii="Times New Roman" w:hAnsi="Times New Roman"/>
          <w:b/>
          <w:lang w:val="en-US"/>
        </w:rPr>
        <w:t>Pregnancy Category X</w:t>
      </w:r>
      <w:r w:rsidR="00A97B06">
        <w:rPr>
          <w:rFonts w:ascii="Times New Roman" w:hAnsi="Times New Roman"/>
          <w:b/>
          <w:lang w:val="en-US"/>
        </w:rPr>
        <w:t>)</w:t>
      </w:r>
      <w:r w:rsidR="00A97B06" w:rsidRPr="000426FC">
        <w:rPr>
          <w:rFonts w:ascii="Times New Roman" w:hAnsi="Times New Roman"/>
          <w:b/>
          <w:lang w:val="en-US"/>
        </w:rPr>
        <w:t>:</w:t>
      </w:r>
    </w:p>
    <w:p w:rsidR="00D756A4" w:rsidRDefault="00D177FA" w:rsidP="00E61859">
      <w:pPr>
        <w:spacing w:after="120" w:line="240" w:lineRule="auto"/>
        <w:jc w:val="both"/>
        <w:rPr>
          <w:rFonts w:ascii="Times New Roman" w:hAnsi="Times New Roman"/>
        </w:rPr>
      </w:pPr>
      <w:r w:rsidRPr="003B59ED">
        <w:rPr>
          <w:rFonts w:ascii="Times New Roman" w:hAnsi="Times New Roman"/>
        </w:rPr>
        <w:t>Ribavirin may cause birth defects and/or death of the exposed fetus, and animal studies have shown that interferons have abortifacient effects</w:t>
      </w:r>
      <w:r w:rsidRPr="00BC57D1">
        <w:rPr>
          <w:rFonts w:ascii="Times New Roman" w:hAnsi="Times New Roman"/>
        </w:rPr>
        <w:t>.</w:t>
      </w:r>
      <w:r w:rsidR="00D756A4" w:rsidRPr="00D756A4">
        <w:rPr>
          <w:rFonts w:ascii="Times New Roman" w:hAnsi="Times New Roman"/>
          <w:lang w:val="en-US"/>
        </w:rPr>
        <w:t xml:space="preserve"> </w:t>
      </w:r>
      <w:r w:rsidR="00D756A4" w:rsidRPr="00EF40BC">
        <w:rPr>
          <w:rFonts w:ascii="Times New Roman" w:hAnsi="Times New Roman"/>
          <w:lang w:val="en-US"/>
        </w:rPr>
        <w:t>Significant teratogenic and/or embryocidal effects have been demonstrated in all animal species exposed to ribavirin; and therefore ribavirin is contraindicated in women who are pregnant and in the male par</w:t>
      </w:r>
      <w:r w:rsidR="002D7E79">
        <w:rPr>
          <w:rFonts w:ascii="Times New Roman" w:hAnsi="Times New Roman"/>
          <w:lang w:val="en-US"/>
        </w:rPr>
        <w:t>tners of women who are pregnant</w:t>
      </w:r>
      <w:r w:rsidR="00D756A4">
        <w:rPr>
          <w:rFonts w:ascii="Times New Roman" w:hAnsi="Times New Roman"/>
          <w:lang w:val="en-US"/>
        </w:rPr>
        <w:t xml:space="preserve"> </w:t>
      </w:r>
      <w:r w:rsidR="00D756A4" w:rsidRPr="00EF40BC">
        <w:rPr>
          <w:rFonts w:ascii="Times New Roman" w:hAnsi="Times New Roman"/>
          <w:lang w:val="en-US"/>
        </w:rPr>
        <w:t>[see CONTRAINDICATIONS</w:t>
      </w:r>
      <w:r w:rsidR="00D756A4" w:rsidRPr="00EF40BC">
        <w:rPr>
          <w:rFonts w:ascii="Times New Roman" w:hAnsi="Times New Roman"/>
          <w:i/>
          <w:lang w:val="en-US"/>
        </w:rPr>
        <w:t xml:space="preserve"> </w:t>
      </w:r>
      <w:r w:rsidR="00D756A4" w:rsidRPr="00EF40BC">
        <w:rPr>
          <w:rFonts w:ascii="Times New Roman" w:hAnsi="Times New Roman"/>
          <w:lang w:val="en-US"/>
        </w:rPr>
        <w:t>and</w:t>
      </w:r>
      <w:r w:rsidR="00D756A4" w:rsidRPr="00EF40BC">
        <w:rPr>
          <w:rFonts w:ascii="Times New Roman" w:hAnsi="Times New Roman"/>
          <w:i/>
          <w:lang w:val="en-US"/>
        </w:rPr>
        <w:t xml:space="preserve"> </w:t>
      </w:r>
      <w:r w:rsidR="00D756A4" w:rsidRPr="00EF40BC">
        <w:rPr>
          <w:rFonts w:ascii="Times New Roman" w:hAnsi="Times New Roman"/>
          <w:lang w:val="en-US"/>
        </w:rPr>
        <w:t>PRECAUTIONS</w:t>
      </w:r>
      <w:r w:rsidR="00D756A4" w:rsidRPr="00EF40BC">
        <w:rPr>
          <w:rFonts w:ascii="Times New Roman" w:hAnsi="Times New Roman"/>
          <w:i/>
          <w:lang w:val="en-US"/>
        </w:rPr>
        <w:t xml:space="preserve">, </w:t>
      </w:r>
      <w:r w:rsidR="00D756A4" w:rsidRPr="00EF40BC">
        <w:rPr>
          <w:rFonts w:ascii="Times New Roman" w:hAnsi="Times New Roman"/>
          <w:lang w:val="en-US"/>
        </w:rPr>
        <w:t>and ribavirin prescribing information]. Interferons have abortifacient effects in animals and should be assumed to have abortifacient potential in humans.</w:t>
      </w:r>
      <w:r w:rsidR="00D756A4" w:rsidRPr="00645424">
        <w:rPr>
          <w:rFonts w:ascii="Times New Roman" w:hAnsi="Times New Roman"/>
        </w:rPr>
        <w:t xml:space="preserve"> </w:t>
      </w:r>
      <w:r w:rsidR="00D756A4" w:rsidRPr="00EF40BC">
        <w:rPr>
          <w:rFonts w:ascii="Times New Roman" w:hAnsi="Times New Roman"/>
        </w:rPr>
        <w:t xml:space="preserve">Refer also to the </w:t>
      </w:r>
      <w:r w:rsidR="00D756A4">
        <w:rPr>
          <w:rFonts w:ascii="Times New Roman" w:hAnsi="Times New Roman"/>
        </w:rPr>
        <w:t xml:space="preserve">product </w:t>
      </w:r>
      <w:r w:rsidR="00D756A4" w:rsidRPr="00EF40BC">
        <w:rPr>
          <w:rFonts w:ascii="Times New Roman" w:hAnsi="Times New Roman"/>
        </w:rPr>
        <w:t>information for peginterferon alfa and ribavirin.</w:t>
      </w:r>
    </w:p>
    <w:p w:rsidR="00D177FA" w:rsidRPr="003B59ED" w:rsidRDefault="00D177FA" w:rsidP="00E61859">
      <w:pPr>
        <w:spacing w:after="120" w:line="240" w:lineRule="auto"/>
        <w:jc w:val="both"/>
        <w:rPr>
          <w:rFonts w:ascii="Times New Roman" w:hAnsi="Times New Roman"/>
        </w:rPr>
      </w:pPr>
      <w:r>
        <w:rPr>
          <w:rFonts w:ascii="Times New Roman" w:hAnsi="Times New Roman"/>
        </w:rPr>
        <w:t xml:space="preserve">Extreme </w:t>
      </w:r>
      <w:r w:rsidR="00D756A4">
        <w:rPr>
          <w:rFonts w:ascii="Times New Roman" w:hAnsi="Times New Roman"/>
        </w:rPr>
        <w:t xml:space="preserve">care </w:t>
      </w:r>
      <w:r w:rsidRPr="003B59ED">
        <w:rPr>
          <w:rFonts w:ascii="Times New Roman" w:hAnsi="Times New Roman"/>
        </w:rPr>
        <w:t xml:space="preserve">must be taken to avoid pregnancy in female patients and in female partners of male patients. Ribavirin therapy should not be started unless a report of a negative pregnancy test has been obtained immediately before initiation of therapy. </w:t>
      </w:r>
    </w:p>
    <w:p w:rsidR="00D177FA" w:rsidRPr="00221A5D" w:rsidRDefault="00D177FA" w:rsidP="00E61859">
      <w:pPr>
        <w:spacing w:after="120" w:line="240" w:lineRule="auto"/>
        <w:jc w:val="both"/>
        <w:rPr>
          <w:rFonts w:ascii="Times New Roman" w:hAnsi="Times New Roman"/>
        </w:rPr>
      </w:pPr>
      <w:r w:rsidRPr="003B59ED">
        <w:rPr>
          <w:rFonts w:ascii="Times New Roman" w:hAnsi="Times New Roman"/>
        </w:rPr>
        <w:t xml:space="preserve">When </w:t>
      </w:r>
      <w:r>
        <w:rPr>
          <w:rFonts w:ascii="Times New Roman" w:hAnsi="Times New Roman"/>
        </w:rPr>
        <w:t>SUNVEPRA</w:t>
      </w:r>
      <w:r w:rsidRPr="003B59ED">
        <w:rPr>
          <w:rFonts w:ascii="Times New Roman" w:hAnsi="Times New Roman"/>
        </w:rPr>
        <w:t xml:space="preserve"> is used in combination with </w:t>
      </w:r>
      <w:r>
        <w:rPr>
          <w:rFonts w:ascii="Times New Roman" w:hAnsi="Times New Roman"/>
        </w:rPr>
        <w:t>DAKLINZA</w:t>
      </w:r>
      <w:r w:rsidRPr="003B59ED">
        <w:rPr>
          <w:rFonts w:ascii="Times New Roman" w:hAnsi="Times New Roman"/>
        </w:rPr>
        <w:t>, peginterferon alfa, and ribavirin, women of childbearing potential and their male partners must use two forms of effective contraception during treatment and for at least 6 months after treatment has concluded. If oral contraception is one of the forms of contraception, a high-dose oral contraceptive (containing at least 30 µg of</w:t>
      </w:r>
      <w:r w:rsidRPr="00474345">
        <w:rPr>
          <w:b/>
        </w:rPr>
        <w:t xml:space="preserve"> </w:t>
      </w:r>
      <w:r w:rsidRPr="00474345">
        <w:rPr>
          <w:rFonts w:ascii="Times New Roman" w:hAnsi="Times New Roman"/>
        </w:rPr>
        <w:t>ethinyloestradiol with norethisterone</w:t>
      </w:r>
      <w:r>
        <w:rPr>
          <w:rFonts w:ascii="Times New Roman" w:hAnsi="Times New Roman"/>
        </w:rPr>
        <w:t>)</w:t>
      </w:r>
      <w:r w:rsidRPr="00BC57D1">
        <w:rPr>
          <w:rFonts w:ascii="Times New Roman" w:hAnsi="Times New Roman"/>
        </w:rPr>
        <w:t xml:space="preserve"> is recommended. </w:t>
      </w:r>
    </w:p>
    <w:p w:rsidR="00863E6B" w:rsidRPr="00C83C8A" w:rsidRDefault="00A97B06" w:rsidP="00167BB8">
      <w:pPr>
        <w:keepNext/>
        <w:spacing w:after="120" w:line="240" w:lineRule="auto"/>
        <w:jc w:val="both"/>
        <w:rPr>
          <w:rFonts w:ascii="Times New Roman" w:hAnsi="Times New Roman"/>
          <w:b/>
        </w:rPr>
      </w:pPr>
      <w:r w:rsidRPr="00221A5D">
        <w:rPr>
          <w:rFonts w:ascii="Times New Roman" w:hAnsi="Times New Roman"/>
          <w:b/>
        </w:rPr>
        <w:lastRenderedPageBreak/>
        <w:t>SUNVEPRA and DAKLINZA (</w:t>
      </w:r>
      <w:r w:rsidR="00BC57D1" w:rsidRPr="00221A5D">
        <w:rPr>
          <w:rFonts w:ascii="Times New Roman" w:hAnsi="Times New Roman"/>
          <w:b/>
        </w:rPr>
        <w:t>Pregnancy Category B</w:t>
      </w:r>
      <w:r w:rsidRPr="00221A5D">
        <w:rPr>
          <w:rFonts w:ascii="Times New Roman" w:hAnsi="Times New Roman"/>
          <w:b/>
        </w:rPr>
        <w:t>3)</w:t>
      </w:r>
      <w:r w:rsidR="00BC57D1" w:rsidRPr="00221A5D">
        <w:rPr>
          <w:rFonts w:ascii="Times New Roman" w:hAnsi="Times New Roman"/>
          <w:b/>
        </w:rPr>
        <w:t>:</w:t>
      </w:r>
      <w:r w:rsidR="00BC57D1" w:rsidRPr="00C83C8A">
        <w:rPr>
          <w:rFonts w:ascii="Times New Roman" w:hAnsi="Times New Roman"/>
          <w:b/>
        </w:rPr>
        <w:t xml:space="preserve"> </w:t>
      </w:r>
    </w:p>
    <w:p w:rsidR="00A97B06" w:rsidRDefault="00A97B06" w:rsidP="00E61859">
      <w:pPr>
        <w:spacing w:after="120" w:line="240" w:lineRule="auto"/>
        <w:jc w:val="both"/>
        <w:rPr>
          <w:rFonts w:ascii="Times New Roman" w:hAnsi="Times New Roman"/>
        </w:rPr>
      </w:pPr>
      <w:r w:rsidRPr="00A97B06">
        <w:rPr>
          <w:rFonts w:ascii="Times New Roman" w:hAnsi="Times New Roman"/>
        </w:rPr>
        <w:t xml:space="preserve">Studies of daclatasvir in animals have shown both maternal and embryofetal developmental toxicity at AUC levels above the recommended human dose (RHD). SUNVEPRA </w:t>
      </w:r>
      <w:r>
        <w:rPr>
          <w:rFonts w:ascii="Times New Roman" w:hAnsi="Times New Roman"/>
        </w:rPr>
        <w:t>in combination with DAKLINZA should not be used</w:t>
      </w:r>
      <w:r w:rsidRPr="00A97B06">
        <w:rPr>
          <w:rFonts w:ascii="Times New Roman" w:hAnsi="Times New Roman"/>
        </w:rPr>
        <w:t xml:space="preserve"> during pregnancy or in women of childbearing potential not using contraception (refer to the prescribing information for DAKLINZA). For patients using oral contraception, a high-dose oral contraceptive (containing at least 30 μg of ethinyl estradiol combined with norethindrone acetate/norethindrone) is recommended [see INTERACTIONS WITH OTHER MEDICINES].</w:t>
      </w:r>
    </w:p>
    <w:p w:rsidR="00A97B06" w:rsidRDefault="00A97B06" w:rsidP="00E61859">
      <w:pPr>
        <w:spacing w:after="120" w:line="240" w:lineRule="auto"/>
        <w:jc w:val="both"/>
        <w:rPr>
          <w:rFonts w:ascii="Times New Roman" w:hAnsi="Times New Roman"/>
          <w:b/>
        </w:rPr>
      </w:pPr>
      <w:r w:rsidRPr="00A97B06">
        <w:rPr>
          <w:rFonts w:ascii="Times New Roman" w:hAnsi="Times New Roman"/>
          <w:b/>
        </w:rPr>
        <w:t>SUNVEPRA (Pregnancy Category B</w:t>
      </w:r>
      <w:r w:rsidR="001265DD">
        <w:rPr>
          <w:rFonts w:ascii="Times New Roman" w:hAnsi="Times New Roman"/>
          <w:b/>
        </w:rPr>
        <w:t>1</w:t>
      </w:r>
      <w:r w:rsidRPr="00A97B06">
        <w:rPr>
          <w:rFonts w:ascii="Times New Roman" w:hAnsi="Times New Roman"/>
          <w:b/>
        </w:rPr>
        <w:t xml:space="preserve">): </w:t>
      </w:r>
    </w:p>
    <w:p w:rsidR="00863E6B" w:rsidRPr="00863E6B" w:rsidRDefault="00BC57D1" w:rsidP="00E61859">
      <w:pPr>
        <w:spacing w:after="120" w:line="240" w:lineRule="auto"/>
        <w:jc w:val="both"/>
        <w:rPr>
          <w:rFonts w:ascii="Times New Roman" w:hAnsi="Times New Roman"/>
        </w:rPr>
      </w:pPr>
      <w:r w:rsidRPr="00863E6B">
        <w:rPr>
          <w:rFonts w:ascii="Times New Roman" w:hAnsi="Times New Roman"/>
        </w:rPr>
        <w:t xml:space="preserve">Animal studies of asunaprevir </w:t>
      </w:r>
      <w:r w:rsidR="00A97B06">
        <w:rPr>
          <w:rFonts w:ascii="Times New Roman" w:hAnsi="Times New Roman"/>
        </w:rPr>
        <w:t xml:space="preserve">alone </w:t>
      </w:r>
      <w:r w:rsidRPr="00863E6B">
        <w:rPr>
          <w:rFonts w:ascii="Times New Roman" w:hAnsi="Times New Roman"/>
        </w:rPr>
        <w:t xml:space="preserve">do not indicate harmful effects with respect to reproductive toxicity; however, animal reproduction studies are not always predictive of human response. There are no adequate and well-controlled studies in pregnant women. </w:t>
      </w:r>
    </w:p>
    <w:p w:rsidR="00863E6B" w:rsidRPr="00863E6B" w:rsidRDefault="00BC57D1" w:rsidP="00E61859">
      <w:pPr>
        <w:spacing w:after="120" w:line="240" w:lineRule="auto"/>
        <w:jc w:val="both"/>
        <w:rPr>
          <w:rFonts w:ascii="Times New Roman" w:hAnsi="Times New Roman"/>
        </w:rPr>
      </w:pPr>
      <w:r w:rsidRPr="00863E6B">
        <w:rPr>
          <w:rFonts w:ascii="Times New Roman" w:hAnsi="Times New Roman"/>
        </w:rPr>
        <w:t xml:space="preserve">Asunaprevir </w:t>
      </w:r>
      <w:r w:rsidR="00A97B06">
        <w:rPr>
          <w:rFonts w:ascii="Times New Roman" w:hAnsi="Times New Roman"/>
        </w:rPr>
        <w:t xml:space="preserve">alone </w:t>
      </w:r>
      <w:r w:rsidRPr="00863E6B">
        <w:rPr>
          <w:rFonts w:ascii="Times New Roman" w:hAnsi="Times New Roman"/>
        </w:rPr>
        <w:t>was not a selective developmental toxicant when administered to pregnant mice or rabbits during organogenesis at maternal doses associated with AUC values 472-fold (mouse) and 1.2-fold (rabbit) the AUC at the recommended human dose (RHD). Maternal toxicity was observed in one mouse at the highest dose. No maternal toxicities were evident in rabbits at any dose tested.</w:t>
      </w:r>
    </w:p>
    <w:p w:rsidR="00BC57D1" w:rsidRPr="001B00EA" w:rsidRDefault="00273296" w:rsidP="00E61859">
      <w:pPr>
        <w:spacing w:after="120" w:line="240" w:lineRule="auto"/>
        <w:jc w:val="both"/>
        <w:rPr>
          <w:rFonts w:ascii="Times New Roman" w:hAnsi="Times New Roman"/>
          <w:b/>
          <w:color w:val="000000"/>
          <w:lang w:val="en-US"/>
        </w:rPr>
      </w:pPr>
      <w:r w:rsidRPr="001B00EA">
        <w:rPr>
          <w:rFonts w:ascii="Times New Roman" w:hAnsi="Times New Roman"/>
          <w:color w:val="000000"/>
        </w:rPr>
        <w:t>In a study of prenatal</w:t>
      </w:r>
      <w:r w:rsidR="00BC57D1" w:rsidRPr="001B00EA">
        <w:rPr>
          <w:rFonts w:ascii="Times New Roman" w:hAnsi="Times New Roman"/>
          <w:color w:val="000000"/>
        </w:rPr>
        <w:t xml:space="preserve"> and postnatal development</w:t>
      </w:r>
      <w:r w:rsidR="00A97B06">
        <w:rPr>
          <w:rFonts w:ascii="Times New Roman" w:hAnsi="Times New Roman"/>
          <w:color w:val="000000"/>
        </w:rPr>
        <w:t xml:space="preserve"> with asunaprevir alone</w:t>
      </w:r>
      <w:r w:rsidR="00BC57D1" w:rsidRPr="001B00EA">
        <w:rPr>
          <w:rFonts w:ascii="Times New Roman" w:hAnsi="Times New Roman"/>
          <w:color w:val="000000"/>
        </w:rPr>
        <w:t xml:space="preserve"> in rats, developmental </w:t>
      </w:r>
      <w:r w:rsidRPr="001B00EA">
        <w:rPr>
          <w:rFonts w:ascii="Times New Roman" w:hAnsi="Times New Roman"/>
          <w:color w:val="000000"/>
        </w:rPr>
        <w:t xml:space="preserve">toxicity was not observed </w:t>
      </w:r>
      <w:r w:rsidR="00BC57D1" w:rsidRPr="001B00EA">
        <w:rPr>
          <w:rFonts w:ascii="Times New Roman" w:hAnsi="Times New Roman"/>
          <w:color w:val="000000"/>
        </w:rPr>
        <w:t>at</w:t>
      </w:r>
      <w:r w:rsidR="00BC57D1" w:rsidRPr="00863E6B">
        <w:rPr>
          <w:rFonts w:ascii="Times New Roman" w:hAnsi="Times New Roman"/>
        </w:rPr>
        <w:t xml:space="preserve"> doses up to 125 mg/kg/day, with AUC values 76</w:t>
      </w:r>
      <w:r w:rsidR="00BC57D1" w:rsidRPr="00863E6B">
        <w:rPr>
          <w:rFonts w:ascii="Times New Roman" w:hAnsi="Times New Roman"/>
        </w:rPr>
        <w:noBreakHyphen/>
        <w:t xml:space="preserve">fold the RHD AUC. At the </w:t>
      </w:r>
      <w:r w:rsidR="00BC57D1" w:rsidRPr="001B00EA">
        <w:rPr>
          <w:rFonts w:ascii="Times New Roman" w:hAnsi="Times New Roman"/>
          <w:color w:val="000000"/>
        </w:rPr>
        <w:t xml:space="preserve">highest dose </w:t>
      </w:r>
      <w:r w:rsidRPr="001B00EA">
        <w:rPr>
          <w:rFonts w:ascii="Times New Roman" w:hAnsi="Times New Roman"/>
          <w:color w:val="000000"/>
        </w:rPr>
        <w:t xml:space="preserve">evaluated </w:t>
      </w:r>
      <w:r w:rsidR="00BC57D1" w:rsidRPr="001B00EA">
        <w:rPr>
          <w:rFonts w:ascii="Times New Roman" w:hAnsi="Times New Roman"/>
          <w:color w:val="000000"/>
        </w:rPr>
        <w:t xml:space="preserve">(400 mg/kg/day), </w:t>
      </w:r>
      <w:r w:rsidRPr="001B00EA">
        <w:rPr>
          <w:rFonts w:ascii="Times New Roman" w:hAnsi="Times New Roman"/>
          <w:color w:val="000000"/>
        </w:rPr>
        <w:t xml:space="preserve">both maternal and </w:t>
      </w:r>
      <w:r w:rsidR="00BC57D1" w:rsidRPr="001B00EA">
        <w:rPr>
          <w:rFonts w:ascii="Times New Roman" w:hAnsi="Times New Roman"/>
          <w:color w:val="000000"/>
        </w:rPr>
        <w:t xml:space="preserve">developmental toxicity </w:t>
      </w:r>
      <w:r w:rsidRPr="001B00EA">
        <w:rPr>
          <w:rFonts w:ascii="Times New Roman" w:hAnsi="Times New Roman"/>
          <w:color w:val="000000"/>
        </w:rPr>
        <w:t xml:space="preserve">were observed. Manifestations of developmental toxicity </w:t>
      </w:r>
      <w:r w:rsidR="00BC57D1" w:rsidRPr="001B00EA">
        <w:rPr>
          <w:rFonts w:ascii="Times New Roman" w:hAnsi="Times New Roman"/>
          <w:color w:val="000000"/>
        </w:rPr>
        <w:t xml:space="preserve">included reduced survival food consumption. The AUC value associated with this dose is 193-fold the RHD AUC. </w:t>
      </w:r>
    </w:p>
    <w:bookmarkEnd w:id="14"/>
    <w:p w:rsidR="00954716" w:rsidRDefault="00954716" w:rsidP="00E61859">
      <w:pPr>
        <w:pStyle w:val="A-Heading2"/>
        <w:spacing w:before="0" w:line="240" w:lineRule="auto"/>
        <w:rPr>
          <w:rFonts w:ascii="Times New Roman" w:hAnsi="Times New Roman"/>
        </w:rPr>
      </w:pPr>
      <w:r w:rsidRPr="008D28D2">
        <w:rPr>
          <w:rFonts w:ascii="Times New Roman" w:hAnsi="Times New Roman"/>
        </w:rPr>
        <w:t>Use in lactation</w:t>
      </w:r>
    </w:p>
    <w:p w:rsidR="00795D69" w:rsidRPr="00795D69" w:rsidRDefault="00E60F24" w:rsidP="00E61859">
      <w:pPr>
        <w:pStyle w:val="A-Guided"/>
        <w:spacing w:before="0" w:after="120" w:line="240" w:lineRule="auto"/>
        <w:jc w:val="both"/>
        <w:rPr>
          <w:rFonts w:ascii="Times New Roman" w:hAnsi="Times New Roman"/>
        </w:rPr>
      </w:pPr>
      <w:r w:rsidRPr="00795D69">
        <w:rPr>
          <w:rFonts w:ascii="Times New Roman" w:hAnsi="Times New Roman"/>
        </w:rPr>
        <w:t xml:space="preserve">It is not known whether asunaprevir is excreted in human milk. </w:t>
      </w:r>
      <w:r w:rsidR="00795D69" w:rsidRPr="00795D69">
        <w:rPr>
          <w:rFonts w:ascii="Times New Roman" w:hAnsi="Times New Roman"/>
        </w:rPr>
        <w:t xml:space="preserve">Pharmacokinetic data in animals have shown excretion of asunaprevir/metabolites in milk. Mothers should be instructed not to breastfeed if they are taking </w:t>
      </w:r>
      <w:r w:rsidR="00795D69">
        <w:rPr>
          <w:rFonts w:ascii="Times New Roman" w:hAnsi="Times New Roman"/>
        </w:rPr>
        <w:t>SUNVEPRA</w:t>
      </w:r>
      <w:r w:rsidR="00795D69" w:rsidRPr="00795D69">
        <w:rPr>
          <w:rFonts w:ascii="Times New Roman" w:hAnsi="Times New Roman"/>
        </w:rPr>
        <w:t>.</w:t>
      </w:r>
      <w:r w:rsidR="00EC4F60">
        <w:rPr>
          <w:rFonts w:ascii="Times New Roman" w:hAnsi="Times New Roman"/>
        </w:rPr>
        <w:t xml:space="preserve"> </w:t>
      </w:r>
      <w:r w:rsidR="00EC4F60">
        <w:rPr>
          <w:rFonts w:ascii="Times New Roman" w:hAnsi="Times New Roman"/>
          <w:lang w:val="en-AU"/>
        </w:rPr>
        <w:t>See also the product information for DAKLINZA, ribavirin and peginterferon alfa.</w:t>
      </w:r>
    </w:p>
    <w:p w:rsidR="00272C6E" w:rsidRDefault="00954716" w:rsidP="00E61859">
      <w:pPr>
        <w:pStyle w:val="A-Guided"/>
        <w:spacing w:before="0" w:after="120" w:line="240" w:lineRule="auto"/>
        <w:rPr>
          <w:rFonts w:ascii="Times New Roman" w:hAnsi="Times New Roman"/>
          <w:b/>
        </w:rPr>
      </w:pPr>
      <w:r w:rsidRPr="00C63D49">
        <w:rPr>
          <w:rFonts w:ascii="Times New Roman" w:hAnsi="Times New Roman"/>
          <w:b/>
        </w:rPr>
        <w:t>Paediatric use</w:t>
      </w:r>
    </w:p>
    <w:p w:rsidR="00272C6E" w:rsidRDefault="00795D69" w:rsidP="00E61859">
      <w:pPr>
        <w:pStyle w:val="A-Guided"/>
        <w:spacing w:before="0" w:after="120" w:line="240" w:lineRule="auto"/>
        <w:jc w:val="both"/>
        <w:rPr>
          <w:rFonts w:ascii="Times New Roman" w:hAnsi="Times New Roman"/>
        </w:rPr>
      </w:pPr>
      <w:r w:rsidRPr="00272C6E">
        <w:rPr>
          <w:rFonts w:ascii="Times New Roman" w:hAnsi="Times New Roman"/>
        </w:rPr>
        <w:t xml:space="preserve">Safety and effectiveness of SUNVEPRA in paediatric patients </w:t>
      </w:r>
      <w:r w:rsidR="001C12DA" w:rsidRPr="00272C6E">
        <w:rPr>
          <w:rFonts w:ascii="Times New Roman" w:hAnsi="Times New Roman"/>
          <w:color w:val="000000"/>
        </w:rPr>
        <w:t xml:space="preserve">younger </w:t>
      </w:r>
      <w:r w:rsidRPr="00272C6E">
        <w:rPr>
          <w:rFonts w:ascii="Times New Roman" w:hAnsi="Times New Roman"/>
          <w:color w:val="000000"/>
        </w:rPr>
        <w:t>t</w:t>
      </w:r>
      <w:r w:rsidRPr="00272C6E">
        <w:rPr>
          <w:rFonts w:ascii="Times New Roman" w:hAnsi="Times New Roman"/>
        </w:rPr>
        <w:t>han 18 years of age have not been established.</w:t>
      </w:r>
    </w:p>
    <w:p w:rsidR="00272C6E" w:rsidRDefault="00954716" w:rsidP="00E61859">
      <w:pPr>
        <w:pStyle w:val="A-Guided"/>
        <w:spacing w:before="0" w:after="120" w:line="240" w:lineRule="auto"/>
        <w:rPr>
          <w:rFonts w:ascii="Times New Roman" w:hAnsi="Times New Roman"/>
          <w:b/>
        </w:rPr>
      </w:pPr>
      <w:r w:rsidRPr="00272C6E">
        <w:rPr>
          <w:rFonts w:ascii="Times New Roman" w:hAnsi="Times New Roman"/>
          <w:b/>
        </w:rPr>
        <w:t>Use in elderly</w:t>
      </w:r>
    </w:p>
    <w:p w:rsidR="00795D69" w:rsidRPr="00272C6E" w:rsidRDefault="00795D69" w:rsidP="00E61859">
      <w:pPr>
        <w:pStyle w:val="A-Guided"/>
        <w:spacing w:before="0" w:after="120" w:line="240" w:lineRule="auto"/>
        <w:jc w:val="both"/>
        <w:rPr>
          <w:rFonts w:ascii="Times New Roman" w:hAnsi="Times New Roman"/>
        </w:rPr>
      </w:pPr>
      <w:r w:rsidRPr="00272C6E">
        <w:rPr>
          <w:rFonts w:ascii="Times New Roman" w:hAnsi="Times New Roman"/>
        </w:rPr>
        <w:t xml:space="preserve">Of the </w:t>
      </w:r>
      <w:r w:rsidR="00E60F24" w:rsidRPr="00272C6E">
        <w:rPr>
          <w:rFonts w:ascii="Times New Roman" w:hAnsi="Times New Roman"/>
        </w:rPr>
        <w:t xml:space="preserve">1300 </w:t>
      </w:r>
      <w:r w:rsidRPr="00272C6E">
        <w:rPr>
          <w:rFonts w:ascii="Times New Roman" w:hAnsi="Times New Roman"/>
        </w:rPr>
        <w:t xml:space="preserve">subjects in </w:t>
      </w:r>
      <w:r w:rsidR="001C12DA" w:rsidRPr="00272C6E">
        <w:rPr>
          <w:rFonts w:ascii="Times New Roman" w:hAnsi="Times New Roman"/>
          <w:color w:val="000000"/>
        </w:rPr>
        <w:t xml:space="preserve">five </w:t>
      </w:r>
      <w:r w:rsidRPr="00272C6E">
        <w:rPr>
          <w:rFonts w:ascii="Times New Roman" w:hAnsi="Times New Roman"/>
        </w:rPr>
        <w:t>clinical studies of SUNVEPRA</w:t>
      </w:r>
      <w:r w:rsidR="001C12DA" w:rsidRPr="00272C6E">
        <w:rPr>
          <w:rFonts w:ascii="Times New Roman" w:hAnsi="Times New Roman"/>
        </w:rPr>
        <w:t xml:space="preserve"> </w:t>
      </w:r>
      <w:r w:rsidR="00E60F24" w:rsidRPr="00272C6E">
        <w:rPr>
          <w:rFonts w:ascii="Times New Roman" w:hAnsi="Times New Roman"/>
        </w:rPr>
        <w:t>combination therapy</w:t>
      </w:r>
      <w:r w:rsidRPr="00272C6E">
        <w:rPr>
          <w:rFonts w:ascii="Times New Roman" w:hAnsi="Times New Roman"/>
        </w:rPr>
        <w:t xml:space="preserve">, </w:t>
      </w:r>
      <w:r w:rsidR="00E60F24" w:rsidRPr="00272C6E">
        <w:rPr>
          <w:rFonts w:ascii="Times New Roman" w:hAnsi="Times New Roman"/>
        </w:rPr>
        <w:t>275</w:t>
      </w:r>
      <w:r w:rsidRPr="00272C6E">
        <w:rPr>
          <w:rFonts w:ascii="Times New Roman" w:hAnsi="Times New Roman"/>
        </w:rPr>
        <w:t xml:space="preserve"> were 65 years and over</w:t>
      </w:r>
      <w:r w:rsidR="00E60F24" w:rsidRPr="00272C6E">
        <w:rPr>
          <w:rFonts w:ascii="Times New Roman" w:hAnsi="Times New Roman"/>
        </w:rPr>
        <w:t xml:space="preserve"> and 20 </w:t>
      </w:r>
      <w:r w:rsidRPr="00272C6E">
        <w:rPr>
          <w:rFonts w:ascii="Times New Roman" w:hAnsi="Times New Roman"/>
        </w:rPr>
        <w:t>were 75 years and over. No overall differences in safety or effectiveness were observed between these subjects and younger</w:t>
      </w:r>
      <w:r w:rsidR="00E60F24" w:rsidRPr="00272C6E">
        <w:rPr>
          <w:rFonts w:ascii="Times New Roman" w:hAnsi="Times New Roman"/>
        </w:rPr>
        <w:t xml:space="preserve"> patients</w:t>
      </w:r>
      <w:r w:rsidRPr="00272C6E">
        <w:rPr>
          <w:rFonts w:ascii="Times New Roman" w:hAnsi="Times New Roman"/>
        </w:rPr>
        <w:t>.</w:t>
      </w:r>
      <w:r w:rsidR="00E60F24" w:rsidRPr="00272C6E">
        <w:rPr>
          <w:rFonts w:ascii="Times New Roman" w:hAnsi="Times New Roman"/>
        </w:rPr>
        <w:t xml:space="preserve"> No dose adjustment of SUNVEPRA is required for elderly patients.</w:t>
      </w:r>
      <w:r w:rsidRPr="00272C6E" w:rsidDel="0089423A">
        <w:rPr>
          <w:rFonts w:ascii="Times New Roman" w:hAnsi="Times New Roman"/>
          <w:vertAlign w:val="superscript"/>
        </w:rPr>
        <w:t xml:space="preserve"> </w:t>
      </w:r>
    </w:p>
    <w:p w:rsidR="00621A5B" w:rsidRPr="00621A5B" w:rsidRDefault="00621A5B" w:rsidP="00E61859">
      <w:pPr>
        <w:spacing w:after="120" w:line="240" w:lineRule="auto"/>
        <w:rPr>
          <w:rFonts w:ascii="Times New Roman" w:hAnsi="Times New Roman"/>
          <w:b/>
          <w:lang w:val="en-GB"/>
        </w:rPr>
      </w:pPr>
      <w:r w:rsidRPr="00221A5D">
        <w:rPr>
          <w:rFonts w:ascii="Times New Roman" w:hAnsi="Times New Roman"/>
          <w:b/>
          <w:lang w:val="en-GB"/>
        </w:rPr>
        <w:t>Genotoxicity</w:t>
      </w:r>
    </w:p>
    <w:p w:rsidR="00621A5B" w:rsidRDefault="00621A5B" w:rsidP="00E61859">
      <w:pPr>
        <w:autoSpaceDE w:val="0"/>
        <w:autoSpaceDN w:val="0"/>
        <w:adjustRightInd w:val="0"/>
        <w:spacing w:after="120" w:line="240" w:lineRule="auto"/>
        <w:jc w:val="both"/>
        <w:rPr>
          <w:rFonts w:ascii="Times New Roman" w:hAnsi="Times New Roman"/>
          <w:color w:val="000000"/>
          <w:szCs w:val="24"/>
          <w:lang w:val="en-US" w:eastAsia="en-AU"/>
        </w:rPr>
      </w:pPr>
      <w:r w:rsidRPr="00621A5B">
        <w:rPr>
          <w:rFonts w:ascii="Times New Roman" w:hAnsi="Times New Roman"/>
          <w:color w:val="000000"/>
          <w:szCs w:val="24"/>
          <w:lang w:val="en-US" w:eastAsia="en-AU"/>
        </w:rPr>
        <w:t xml:space="preserve">No evidence of asunaprevir mutagenic or clastogenic activity was observed in </w:t>
      </w:r>
      <w:r w:rsidRPr="00621A5B">
        <w:rPr>
          <w:rFonts w:ascii="Times New Roman" w:hAnsi="Times New Roman"/>
          <w:i/>
          <w:iCs/>
          <w:color w:val="000000"/>
          <w:szCs w:val="24"/>
          <w:lang w:val="en-US" w:eastAsia="en-AU"/>
        </w:rPr>
        <w:t xml:space="preserve">in vitro </w:t>
      </w:r>
      <w:r w:rsidRPr="00621A5B">
        <w:rPr>
          <w:rFonts w:ascii="Times New Roman" w:hAnsi="Times New Roman"/>
          <w:color w:val="000000"/>
          <w:szCs w:val="24"/>
          <w:lang w:val="en-US" w:eastAsia="en-AU"/>
        </w:rPr>
        <w:t xml:space="preserve">mutagenesis (Ames) tests, mammalian mutation assays in Chinese hamster ovary cells, or in an </w:t>
      </w:r>
      <w:r w:rsidRPr="008B4CC4">
        <w:rPr>
          <w:rFonts w:ascii="Times New Roman" w:hAnsi="Times New Roman"/>
          <w:i/>
          <w:color w:val="000000"/>
          <w:szCs w:val="24"/>
          <w:lang w:val="en-US" w:eastAsia="en-AU"/>
        </w:rPr>
        <w:t>in vivo</w:t>
      </w:r>
      <w:r w:rsidRPr="00621A5B">
        <w:rPr>
          <w:rFonts w:ascii="Times New Roman" w:hAnsi="Times New Roman"/>
          <w:color w:val="000000"/>
          <w:szCs w:val="24"/>
          <w:lang w:val="en-US" w:eastAsia="en-AU"/>
        </w:rPr>
        <w:t xml:space="preserve"> oral micronucleus study in rats. </w:t>
      </w:r>
    </w:p>
    <w:p w:rsidR="00CE46BE" w:rsidRPr="00CE46BE" w:rsidRDefault="00CE46BE" w:rsidP="00E61859">
      <w:pPr>
        <w:autoSpaceDE w:val="0"/>
        <w:autoSpaceDN w:val="0"/>
        <w:adjustRightInd w:val="0"/>
        <w:spacing w:after="120" w:line="240" w:lineRule="auto"/>
        <w:jc w:val="both"/>
        <w:rPr>
          <w:rFonts w:ascii="Times New Roman" w:hAnsi="Times New Roman"/>
          <w:color w:val="000000"/>
          <w:szCs w:val="24"/>
          <w:lang w:val="en-US" w:eastAsia="en-AU"/>
        </w:rPr>
      </w:pPr>
      <w:r w:rsidRPr="00CE46BE">
        <w:rPr>
          <w:rFonts w:ascii="Times New Roman" w:hAnsi="Times New Roman"/>
          <w:color w:val="000000"/>
          <w:szCs w:val="24"/>
          <w:lang w:val="en-US" w:eastAsia="en-AU"/>
        </w:rPr>
        <w:t>See also the product information for ribavirin</w:t>
      </w:r>
      <w:r>
        <w:rPr>
          <w:rFonts w:ascii="Times New Roman" w:hAnsi="Times New Roman"/>
          <w:color w:val="000000"/>
          <w:szCs w:val="24"/>
          <w:lang w:val="en-US" w:eastAsia="en-AU"/>
        </w:rPr>
        <w:t>,</w:t>
      </w:r>
      <w:r w:rsidRPr="00CE46BE">
        <w:rPr>
          <w:rFonts w:ascii="Times New Roman" w:hAnsi="Times New Roman"/>
          <w:color w:val="000000"/>
          <w:szCs w:val="24"/>
          <w:lang w:val="en-US" w:eastAsia="en-AU"/>
        </w:rPr>
        <w:t xml:space="preserve"> peginterferon alfa</w:t>
      </w:r>
      <w:r>
        <w:rPr>
          <w:rFonts w:ascii="Times New Roman" w:hAnsi="Times New Roman"/>
          <w:color w:val="000000"/>
          <w:szCs w:val="24"/>
          <w:lang w:val="en-US" w:eastAsia="en-AU"/>
        </w:rPr>
        <w:t>, and daclatasvir</w:t>
      </w:r>
      <w:r w:rsidRPr="00CE46BE">
        <w:rPr>
          <w:rFonts w:ascii="Times New Roman" w:hAnsi="Times New Roman"/>
          <w:color w:val="000000"/>
          <w:szCs w:val="24"/>
          <w:lang w:val="en-US" w:eastAsia="en-AU"/>
        </w:rPr>
        <w:t>.</w:t>
      </w:r>
    </w:p>
    <w:p w:rsidR="00D14B55" w:rsidRDefault="00954716" w:rsidP="00E61859">
      <w:pPr>
        <w:pStyle w:val="A-Heading2"/>
        <w:spacing w:before="0" w:line="240" w:lineRule="auto"/>
        <w:jc w:val="both"/>
        <w:rPr>
          <w:rFonts w:ascii="Times New Roman" w:hAnsi="Times New Roman"/>
        </w:rPr>
      </w:pPr>
      <w:r w:rsidRPr="00221A5D">
        <w:rPr>
          <w:rFonts w:ascii="Times New Roman" w:hAnsi="Times New Roman"/>
        </w:rPr>
        <w:lastRenderedPageBreak/>
        <w:t>Carcinogenicit</w:t>
      </w:r>
      <w:r w:rsidR="00D14B55" w:rsidRPr="00221A5D">
        <w:rPr>
          <w:rFonts w:ascii="Times New Roman" w:hAnsi="Times New Roman"/>
        </w:rPr>
        <w:t>y</w:t>
      </w:r>
    </w:p>
    <w:p w:rsidR="00621A5B" w:rsidRDefault="00621A5B" w:rsidP="00E61859">
      <w:pPr>
        <w:spacing w:after="120" w:line="240" w:lineRule="auto"/>
        <w:jc w:val="both"/>
        <w:rPr>
          <w:rFonts w:ascii="Times New Roman" w:hAnsi="Times New Roman"/>
        </w:rPr>
      </w:pPr>
      <w:r w:rsidRPr="00621A5B">
        <w:rPr>
          <w:rFonts w:ascii="Times New Roman" w:hAnsi="Times New Roman"/>
        </w:rPr>
        <w:t>Asunaprevir was not carcinogenic in mice or rats given oral doses corresponding to approximately 350- and 5</w:t>
      </w:r>
      <w:r>
        <w:rPr>
          <w:rFonts w:ascii="Times New Roman" w:hAnsi="Times New Roman"/>
        </w:rPr>
        <w:t>4</w:t>
      </w:r>
      <w:r w:rsidRPr="00621A5B">
        <w:rPr>
          <w:rFonts w:ascii="Times New Roman" w:hAnsi="Times New Roman"/>
        </w:rPr>
        <w:t>-times the human exposure (plasma AUC) at the MRHD of 200 mg/day, respectively.</w:t>
      </w:r>
    </w:p>
    <w:p w:rsidR="000F5D7F" w:rsidRDefault="008E0055" w:rsidP="00E61859">
      <w:pPr>
        <w:autoSpaceDE w:val="0"/>
        <w:autoSpaceDN w:val="0"/>
        <w:adjustRightInd w:val="0"/>
        <w:spacing w:after="120" w:line="240" w:lineRule="auto"/>
        <w:jc w:val="both"/>
        <w:rPr>
          <w:rFonts w:ascii="Times New Roman" w:hAnsi="Times New Roman"/>
          <w:color w:val="000000"/>
          <w:szCs w:val="24"/>
          <w:lang w:val="en-US" w:eastAsia="en-AU"/>
        </w:rPr>
      </w:pPr>
      <w:r w:rsidRPr="00CE46BE">
        <w:rPr>
          <w:rFonts w:ascii="Times New Roman" w:hAnsi="Times New Roman"/>
          <w:color w:val="000000"/>
          <w:szCs w:val="24"/>
          <w:lang w:val="en-US" w:eastAsia="en-AU"/>
        </w:rPr>
        <w:t>See also the product information for ribavirin</w:t>
      </w:r>
      <w:r>
        <w:rPr>
          <w:rFonts w:ascii="Times New Roman" w:hAnsi="Times New Roman"/>
          <w:color w:val="000000"/>
          <w:szCs w:val="24"/>
          <w:lang w:val="en-US" w:eastAsia="en-AU"/>
        </w:rPr>
        <w:t>,</w:t>
      </w:r>
      <w:r w:rsidRPr="00CE46BE">
        <w:rPr>
          <w:rFonts w:ascii="Times New Roman" w:hAnsi="Times New Roman"/>
          <w:color w:val="000000"/>
          <w:szCs w:val="24"/>
          <w:lang w:val="en-US" w:eastAsia="en-AU"/>
        </w:rPr>
        <w:t xml:space="preserve"> peginterferon alfa</w:t>
      </w:r>
      <w:r>
        <w:rPr>
          <w:rFonts w:ascii="Times New Roman" w:hAnsi="Times New Roman"/>
          <w:color w:val="000000"/>
          <w:szCs w:val="24"/>
          <w:lang w:val="en-US" w:eastAsia="en-AU"/>
        </w:rPr>
        <w:t>, and daclatasvir</w:t>
      </w:r>
      <w:r w:rsidRPr="00CE46BE">
        <w:rPr>
          <w:rFonts w:ascii="Times New Roman" w:hAnsi="Times New Roman"/>
          <w:color w:val="000000"/>
          <w:szCs w:val="24"/>
          <w:lang w:val="en-US" w:eastAsia="en-AU"/>
        </w:rPr>
        <w:t>.</w:t>
      </w:r>
    </w:p>
    <w:p w:rsidR="00E61859" w:rsidRPr="002D7E79" w:rsidRDefault="00E61859" w:rsidP="00E61859">
      <w:pPr>
        <w:autoSpaceDE w:val="0"/>
        <w:autoSpaceDN w:val="0"/>
        <w:adjustRightInd w:val="0"/>
        <w:spacing w:after="120" w:line="240" w:lineRule="auto"/>
        <w:jc w:val="both"/>
        <w:rPr>
          <w:rFonts w:ascii="Times New Roman" w:hAnsi="Times New Roman"/>
          <w:color w:val="000000"/>
          <w:szCs w:val="24"/>
          <w:lang w:val="en-US" w:eastAsia="en-AU"/>
        </w:rPr>
      </w:pPr>
    </w:p>
    <w:p w:rsidR="00954716" w:rsidRDefault="00954716" w:rsidP="00E61859">
      <w:pPr>
        <w:pStyle w:val="A-Heading1"/>
        <w:spacing w:before="0" w:line="240" w:lineRule="auto"/>
        <w:jc w:val="both"/>
        <w:rPr>
          <w:rFonts w:ascii="Times New Roman" w:hAnsi="Times New Roman"/>
        </w:rPr>
      </w:pPr>
      <w:r w:rsidRPr="008D28D2">
        <w:rPr>
          <w:rFonts w:ascii="Times New Roman" w:hAnsi="Times New Roman"/>
        </w:rPr>
        <w:t>Interactions with other medicines</w:t>
      </w:r>
    </w:p>
    <w:p w:rsidR="00917CDE" w:rsidRPr="00917CDE" w:rsidRDefault="00917CDE" w:rsidP="00E61859">
      <w:pPr>
        <w:keepNext/>
        <w:keepLines/>
        <w:spacing w:after="120" w:line="240" w:lineRule="auto"/>
        <w:outlineLvl w:val="1"/>
        <w:rPr>
          <w:rFonts w:ascii="Times New Roman" w:hAnsi="Times New Roman"/>
          <w:b/>
          <w:color w:val="000000"/>
          <w:lang w:val="en-US"/>
        </w:rPr>
      </w:pPr>
      <w:bookmarkStart w:id="15" w:name="_Toc353292271"/>
      <w:bookmarkStart w:id="16" w:name="_Toc361652636"/>
      <w:bookmarkStart w:id="17" w:name="_Toc375124722"/>
      <w:r w:rsidRPr="00917CDE">
        <w:rPr>
          <w:rFonts w:ascii="Times New Roman" w:hAnsi="Times New Roman"/>
          <w:b/>
          <w:color w:val="000000"/>
          <w:lang w:val="en-US"/>
        </w:rPr>
        <w:t xml:space="preserve">Potential for Other Drugs to Affect </w:t>
      </w:r>
      <w:bookmarkEnd w:id="15"/>
      <w:bookmarkEnd w:id="16"/>
      <w:bookmarkEnd w:id="17"/>
      <w:r w:rsidRPr="00917CDE">
        <w:rPr>
          <w:rFonts w:ascii="Times New Roman" w:hAnsi="Times New Roman"/>
          <w:b/>
          <w:color w:val="000000"/>
          <w:lang w:val="en-US"/>
        </w:rPr>
        <w:t>SUNVEPRA</w:t>
      </w:r>
    </w:p>
    <w:p w:rsidR="001B00EA" w:rsidRDefault="00917CDE" w:rsidP="00E61859">
      <w:pPr>
        <w:spacing w:after="120" w:line="240" w:lineRule="auto"/>
        <w:jc w:val="both"/>
        <w:rPr>
          <w:rFonts w:ascii="Times New Roman" w:hAnsi="Times New Roman"/>
          <w:noProof/>
          <w:color w:val="000000"/>
          <w:lang w:eastAsia="en-AU"/>
        </w:rPr>
      </w:pPr>
      <w:bookmarkStart w:id="18" w:name="_Toc1971386"/>
      <w:bookmarkStart w:id="19" w:name="_Toc2059774"/>
      <w:bookmarkStart w:id="20" w:name="_Toc2060983"/>
      <w:bookmarkStart w:id="21" w:name="_Toc2061090"/>
      <w:bookmarkStart w:id="22" w:name="_Toc2061601"/>
      <w:bookmarkStart w:id="23" w:name="_Toc2061665"/>
      <w:bookmarkStart w:id="24" w:name="_Toc2061730"/>
      <w:bookmarkStart w:id="25" w:name="_Toc2062046"/>
      <w:r w:rsidRPr="00917CDE">
        <w:rPr>
          <w:rFonts w:ascii="Times New Roman" w:hAnsi="Times New Roman"/>
          <w:noProof/>
          <w:color w:val="000000"/>
          <w:lang w:eastAsia="en-AU"/>
        </w:rPr>
        <w:t xml:space="preserve">CYP3A is involved in the elimination of asunaprevir. Therefore, moderate or strong inducers of CYP3A may decrease the plasma levels of </w:t>
      </w:r>
      <w:r w:rsidRPr="00917CDE">
        <w:rPr>
          <w:rFonts w:ascii="Times New Roman" w:hAnsi="Times New Roman"/>
          <w:iCs/>
          <w:noProof/>
          <w:color w:val="000000"/>
          <w:lang w:eastAsia="en-AU"/>
        </w:rPr>
        <w:t>asunaprevir, and moderate or strong</w:t>
      </w:r>
      <w:r w:rsidRPr="00917CDE">
        <w:rPr>
          <w:rFonts w:ascii="Times New Roman" w:hAnsi="Times New Roman"/>
          <w:noProof/>
          <w:color w:val="000000"/>
          <w:lang w:eastAsia="en-AU"/>
        </w:rPr>
        <w:t xml:space="preserve"> inhibitors of CYP3A may increase the plasma levels of </w:t>
      </w:r>
      <w:r w:rsidRPr="00917CDE">
        <w:rPr>
          <w:rFonts w:ascii="Times New Roman" w:hAnsi="Times New Roman"/>
          <w:iCs/>
          <w:noProof/>
          <w:color w:val="000000"/>
          <w:lang w:eastAsia="en-AU"/>
        </w:rPr>
        <w:t>asunaprevir</w:t>
      </w:r>
      <w:r w:rsidR="001B00EA">
        <w:rPr>
          <w:rFonts w:ascii="Times New Roman" w:hAnsi="Times New Roman"/>
          <w:iCs/>
          <w:noProof/>
          <w:color w:val="000000"/>
          <w:lang w:eastAsia="en-AU"/>
        </w:rPr>
        <w:t>.</w:t>
      </w:r>
      <w:r w:rsidRPr="00917CDE">
        <w:rPr>
          <w:rFonts w:ascii="Times New Roman" w:hAnsi="Times New Roman"/>
          <w:noProof/>
          <w:color w:val="000000"/>
          <w:lang w:eastAsia="en-AU"/>
        </w:rPr>
        <w:t xml:space="preserve"> </w:t>
      </w:r>
    </w:p>
    <w:p w:rsidR="001C12DA" w:rsidRPr="00071C50" w:rsidRDefault="00071C50" w:rsidP="00E61859">
      <w:pPr>
        <w:spacing w:after="120" w:line="240" w:lineRule="auto"/>
        <w:jc w:val="both"/>
        <w:rPr>
          <w:rFonts w:ascii="Times New Roman" w:hAnsi="Times New Roman"/>
          <w:noProof/>
          <w:color w:val="000000"/>
          <w:lang w:eastAsia="en-AU"/>
        </w:rPr>
      </w:pPr>
      <w:r w:rsidRPr="001B00EA">
        <w:rPr>
          <w:rFonts w:ascii="Times New Roman" w:hAnsi="Times New Roman"/>
          <w:noProof/>
        </w:rPr>
        <w:t>Asunaprevir is also a substrate of P-gp, but coadministration of agents that modify P-gp activities alone (without concurrent effect on CYP3A) is unlikely to have a clinically meaningful effect on asunaprevir exposure.</w:t>
      </w:r>
    </w:p>
    <w:p w:rsidR="001C12DA" w:rsidRDefault="00917CDE" w:rsidP="00E61859">
      <w:pPr>
        <w:spacing w:after="120" w:line="240" w:lineRule="auto"/>
        <w:jc w:val="both"/>
        <w:rPr>
          <w:rFonts w:ascii="Times New Roman" w:hAnsi="Times New Roman"/>
          <w:noProof/>
          <w:color w:val="000000"/>
          <w:lang w:eastAsia="en-AU"/>
        </w:rPr>
      </w:pPr>
      <w:r w:rsidRPr="00917CDE">
        <w:rPr>
          <w:rFonts w:ascii="Times New Roman" w:hAnsi="Times New Roman"/>
          <w:noProof/>
          <w:color w:val="000000"/>
          <w:lang w:eastAsia="en-AU"/>
        </w:rPr>
        <w:t>OATP 1B1 and</w:t>
      </w:r>
      <w:r w:rsidR="00AA463A">
        <w:rPr>
          <w:rFonts w:ascii="Times New Roman" w:hAnsi="Times New Roman"/>
          <w:noProof/>
          <w:color w:val="000000"/>
          <w:lang w:eastAsia="en-AU"/>
        </w:rPr>
        <w:t>, to a lesser extent,</w:t>
      </w:r>
      <w:r w:rsidRPr="00917CDE">
        <w:rPr>
          <w:rFonts w:ascii="Times New Roman" w:hAnsi="Times New Roman"/>
          <w:noProof/>
          <w:color w:val="000000"/>
          <w:lang w:eastAsia="en-AU"/>
        </w:rPr>
        <w:t xml:space="preserve"> 2B1 are involved in the liver distribution of asunaprevir. Therefore, strong inhibitors of OATP-mediated transport may increase the plasma concentrations of asunaprevir and decrease its therapeutic effect by reducing distribution to the liver. </w:t>
      </w:r>
    </w:p>
    <w:p w:rsidR="00917CDE" w:rsidRPr="00917CDE" w:rsidRDefault="00917CDE" w:rsidP="00E61859">
      <w:pPr>
        <w:spacing w:after="120" w:line="240" w:lineRule="auto"/>
        <w:jc w:val="both"/>
        <w:rPr>
          <w:rFonts w:ascii="Times New Roman" w:hAnsi="Times New Roman"/>
          <w:noProof/>
          <w:color w:val="000000"/>
          <w:lang w:eastAsia="en-AU"/>
        </w:rPr>
      </w:pPr>
      <w:r w:rsidRPr="00917CDE">
        <w:rPr>
          <w:rFonts w:ascii="Times New Roman" w:hAnsi="Times New Roman"/>
          <w:noProof/>
          <w:color w:val="000000"/>
          <w:lang w:eastAsia="en-AU"/>
        </w:rPr>
        <w:t xml:space="preserve">See </w:t>
      </w:r>
      <w:r w:rsidR="00BC57D1" w:rsidRPr="00BC57D1">
        <w:rPr>
          <w:rFonts w:ascii="Times New Roman" w:hAnsi="Times New Roman"/>
          <w:noProof/>
          <w:color w:val="000000"/>
          <w:lang w:eastAsia="en-AU"/>
        </w:rPr>
        <w:t>CONTRAINDICATIONS</w:t>
      </w:r>
      <w:r w:rsidRPr="00BC57D1">
        <w:rPr>
          <w:rFonts w:ascii="Times New Roman" w:hAnsi="Times New Roman"/>
          <w:noProof/>
          <w:color w:val="000000"/>
          <w:lang w:eastAsia="en-AU"/>
        </w:rPr>
        <w:t>.</w:t>
      </w:r>
    </w:p>
    <w:p w:rsidR="00917CDE" w:rsidRPr="00917CDE" w:rsidRDefault="00917CDE" w:rsidP="00E61859">
      <w:pPr>
        <w:keepNext/>
        <w:keepLines/>
        <w:spacing w:after="120" w:line="240" w:lineRule="auto"/>
        <w:outlineLvl w:val="1"/>
        <w:rPr>
          <w:rFonts w:ascii="Times New Roman" w:hAnsi="Times New Roman"/>
          <w:b/>
          <w:noProof/>
          <w:color w:val="000000"/>
          <w:lang w:val="en-US"/>
        </w:rPr>
      </w:pPr>
      <w:bookmarkStart w:id="26" w:name="_Toc375124723"/>
      <w:r w:rsidRPr="00917CDE">
        <w:rPr>
          <w:rFonts w:ascii="Times New Roman" w:hAnsi="Times New Roman"/>
          <w:b/>
          <w:color w:val="000000"/>
          <w:lang w:val="en-US"/>
        </w:rPr>
        <w:t>Potential for SUNVEPRA to Affect Other Drugs</w:t>
      </w:r>
      <w:bookmarkEnd w:id="26"/>
      <w:r w:rsidRPr="00917CDE">
        <w:rPr>
          <w:rFonts w:ascii="Times New Roman" w:hAnsi="Times New Roman"/>
          <w:b/>
          <w:noProof/>
          <w:color w:val="000000"/>
          <w:lang w:val="en-US"/>
        </w:rPr>
        <w:t xml:space="preserve"> </w:t>
      </w:r>
    </w:p>
    <w:p w:rsidR="00917CDE" w:rsidRPr="00917CDE" w:rsidRDefault="00917CDE" w:rsidP="00E61859">
      <w:pPr>
        <w:spacing w:after="120" w:line="240" w:lineRule="auto"/>
        <w:jc w:val="both"/>
        <w:rPr>
          <w:rFonts w:ascii="Times New Roman" w:hAnsi="Times New Roman"/>
          <w:color w:val="000000"/>
          <w:lang w:eastAsia="en-AU"/>
        </w:rPr>
      </w:pPr>
      <w:r w:rsidRPr="00917CDE">
        <w:rPr>
          <w:rFonts w:ascii="Times New Roman" w:hAnsi="Times New Roman"/>
          <w:noProof/>
          <w:color w:val="000000"/>
          <w:lang w:eastAsia="en-AU"/>
        </w:rPr>
        <w:t>Asunaprevir is a moderate inhibitor of CYP2D6 [</w:t>
      </w:r>
      <w:r w:rsidRPr="00BC57D1">
        <w:rPr>
          <w:rFonts w:ascii="Times New Roman" w:hAnsi="Times New Roman"/>
          <w:noProof/>
          <w:color w:val="000000"/>
          <w:lang w:eastAsia="en-AU"/>
        </w:rPr>
        <w:t xml:space="preserve">see </w:t>
      </w:r>
      <w:r w:rsidR="00BC57D1" w:rsidRPr="00BC57D1">
        <w:rPr>
          <w:rFonts w:ascii="Times New Roman" w:hAnsi="Times New Roman"/>
          <w:noProof/>
          <w:color w:val="000000"/>
          <w:lang w:eastAsia="en-AU"/>
        </w:rPr>
        <w:t>CONTRAINDICATIONS</w:t>
      </w:r>
      <w:r w:rsidRPr="00BC57D1">
        <w:rPr>
          <w:rFonts w:ascii="Times New Roman" w:hAnsi="Times New Roman"/>
          <w:noProof/>
          <w:color w:val="000000"/>
          <w:lang w:eastAsia="en-AU"/>
        </w:rPr>
        <w:t>],</w:t>
      </w:r>
      <w:r w:rsidRPr="00917CDE">
        <w:rPr>
          <w:rFonts w:ascii="Times New Roman" w:hAnsi="Times New Roman"/>
          <w:noProof/>
          <w:color w:val="000000"/>
          <w:lang w:eastAsia="en-AU"/>
        </w:rPr>
        <w:t xml:space="preserve"> a</w:t>
      </w:r>
      <w:r w:rsidR="00AA463A">
        <w:rPr>
          <w:rFonts w:ascii="Times New Roman" w:hAnsi="Times New Roman"/>
          <w:noProof/>
          <w:color w:val="000000"/>
          <w:lang w:eastAsia="en-AU"/>
        </w:rPr>
        <w:t>n</w:t>
      </w:r>
      <w:r w:rsidRPr="00917CDE">
        <w:rPr>
          <w:rFonts w:ascii="Times New Roman" w:hAnsi="Times New Roman"/>
          <w:noProof/>
          <w:color w:val="000000"/>
          <w:lang w:eastAsia="en-AU"/>
        </w:rPr>
        <w:t xml:space="preserve"> inhibitor of OATP 1B1/1B3- and P-gp-mediated transport, and a weak inducer of CYP3A. Caution should be used when </w:t>
      </w:r>
      <w:r>
        <w:rPr>
          <w:rFonts w:ascii="Times New Roman" w:hAnsi="Times New Roman"/>
          <w:noProof/>
          <w:color w:val="000000"/>
          <w:lang w:eastAsia="en-AU"/>
        </w:rPr>
        <w:t>SUNVEPRA</w:t>
      </w:r>
      <w:r w:rsidRPr="00917CDE">
        <w:rPr>
          <w:rFonts w:ascii="Times New Roman" w:hAnsi="Times New Roman"/>
          <w:noProof/>
          <w:color w:val="000000"/>
          <w:lang w:eastAsia="en-AU"/>
        </w:rPr>
        <w:t xml:space="preserve"> is administered with substrates of these enzymes or transporters, with c</w:t>
      </w:r>
      <w:r w:rsidRPr="00917CDE">
        <w:rPr>
          <w:rFonts w:ascii="Times New Roman" w:hAnsi="Times New Roman"/>
          <w:color w:val="000000"/>
          <w:szCs w:val="22"/>
          <w:lang w:eastAsia="en-AU"/>
        </w:rPr>
        <w:t xml:space="preserve">lose clinical monitoring for both desired therapeutic outcomes and adverse reactions. </w:t>
      </w:r>
    </w:p>
    <w:p w:rsidR="00917CDE" w:rsidRPr="00917CDE" w:rsidRDefault="00917CDE" w:rsidP="00E61859">
      <w:pPr>
        <w:keepNext/>
        <w:keepLines/>
        <w:tabs>
          <w:tab w:val="left" w:pos="1152"/>
        </w:tabs>
        <w:spacing w:after="120" w:line="240" w:lineRule="auto"/>
        <w:outlineLvl w:val="1"/>
        <w:rPr>
          <w:rFonts w:ascii="Times New Roman" w:hAnsi="Times New Roman"/>
          <w:b/>
          <w:color w:val="000000"/>
          <w:lang w:val="en-US"/>
        </w:rPr>
      </w:pPr>
      <w:bookmarkStart w:id="27" w:name="_Toc375124724"/>
      <w:r w:rsidRPr="00917CDE">
        <w:rPr>
          <w:rFonts w:ascii="Times New Roman" w:hAnsi="Times New Roman"/>
          <w:b/>
          <w:color w:val="000000"/>
          <w:lang w:val="en-US"/>
        </w:rPr>
        <w:t>Established and Potentially Significant Drug Interactions</w:t>
      </w:r>
      <w:bookmarkEnd w:id="27"/>
    </w:p>
    <w:p w:rsidR="00917CDE" w:rsidRPr="00917CDE" w:rsidRDefault="00917CDE" w:rsidP="00E61859">
      <w:pPr>
        <w:spacing w:after="120" w:line="240" w:lineRule="auto"/>
        <w:jc w:val="both"/>
        <w:rPr>
          <w:rFonts w:ascii="Times New Roman" w:hAnsi="Times New Roman"/>
          <w:noProof/>
          <w:color w:val="000000"/>
          <w:lang w:eastAsia="en-AU"/>
        </w:rPr>
      </w:pPr>
      <w:r w:rsidRPr="00917CDE">
        <w:rPr>
          <w:rFonts w:ascii="Times New Roman" w:hAnsi="Times New Roman"/>
          <w:noProof/>
          <w:color w:val="000000"/>
          <w:lang w:eastAsia="en-AU"/>
        </w:rPr>
        <w:t xml:space="preserve">Refer to the respective </w:t>
      </w:r>
      <w:r w:rsidR="00F47DBD">
        <w:rPr>
          <w:rFonts w:ascii="Times New Roman" w:hAnsi="Times New Roman"/>
          <w:noProof/>
          <w:color w:val="000000"/>
          <w:lang w:eastAsia="en-AU"/>
        </w:rPr>
        <w:t xml:space="preserve">product </w:t>
      </w:r>
      <w:r w:rsidRPr="00917CDE">
        <w:rPr>
          <w:rFonts w:ascii="Times New Roman" w:hAnsi="Times New Roman"/>
          <w:noProof/>
          <w:color w:val="000000"/>
          <w:lang w:eastAsia="en-AU"/>
        </w:rPr>
        <w:t xml:space="preserve">information of other </w:t>
      </w:r>
      <w:r w:rsidR="00EA08D7">
        <w:rPr>
          <w:rFonts w:ascii="Times New Roman" w:hAnsi="Times New Roman"/>
          <w:noProof/>
          <w:color w:val="000000"/>
          <w:lang w:eastAsia="en-AU"/>
        </w:rPr>
        <w:t xml:space="preserve">medicinal products </w:t>
      </w:r>
      <w:r w:rsidRPr="00917CDE">
        <w:rPr>
          <w:rFonts w:ascii="Times New Roman" w:hAnsi="Times New Roman"/>
          <w:noProof/>
          <w:color w:val="000000"/>
          <w:lang w:eastAsia="en-AU"/>
        </w:rPr>
        <w:t>in the regimen for drug interaction information. The most conservative recommendation should be followed.</w:t>
      </w:r>
    </w:p>
    <w:p w:rsidR="00917CDE" w:rsidRPr="00917CDE" w:rsidRDefault="00917CDE" w:rsidP="00E61859">
      <w:pPr>
        <w:spacing w:after="120" w:line="240" w:lineRule="auto"/>
        <w:jc w:val="both"/>
        <w:rPr>
          <w:rFonts w:ascii="Times New Roman" w:hAnsi="Times New Roman"/>
          <w:noProof/>
          <w:color w:val="000000"/>
          <w:lang w:eastAsia="en-AU"/>
        </w:rPr>
      </w:pPr>
      <w:r w:rsidRPr="00BC57D1">
        <w:rPr>
          <w:rFonts w:ascii="Times New Roman" w:hAnsi="Times New Roman"/>
          <w:noProof/>
          <w:color w:val="000000"/>
          <w:lang w:eastAsia="en-AU"/>
        </w:rPr>
        <w:t xml:space="preserve">Table </w:t>
      </w:r>
      <w:r w:rsidR="00105E4A">
        <w:rPr>
          <w:rFonts w:ascii="Times New Roman" w:hAnsi="Times New Roman"/>
          <w:noProof/>
          <w:color w:val="000000"/>
          <w:lang w:eastAsia="en-AU"/>
        </w:rPr>
        <w:t>5</w:t>
      </w:r>
      <w:r w:rsidRPr="00917CDE">
        <w:rPr>
          <w:rFonts w:ascii="Times New Roman" w:hAnsi="Times New Roman"/>
          <w:noProof/>
          <w:color w:val="000000"/>
          <w:lang w:eastAsia="en-AU"/>
        </w:rPr>
        <w:t xml:space="preserve"> provides clinical recommendations for established or potentially significant drug interactions between </w:t>
      </w:r>
      <w:r>
        <w:rPr>
          <w:rFonts w:ascii="Times New Roman" w:hAnsi="Times New Roman"/>
          <w:noProof/>
          <w:color w:val="000000"/>
          <w:lang w:eastAsia="en-AU"/>
        </w:rPr>
        <w:t>SUNVEPRA</w:t>
      </w:r>
      <w:r w:rsidRPr="00917CDE">
        <w:rPr>
          <w:rFonts w:ascii="Times New Roman" w:hAnsi="Times New Roman"/>
          <w:noProof/>
          <w:color w:val="000000"/>
          <w:lang w:eastAsia="en-AU"/>
        </w:rPr>
        <w:t xml:space="preserve"> and other drugs. Clinically relevant increase in concentration is indicated as “↑” and clinically relevant decrease as “↓”</w:t>
      </w:r>
      <w:r w:rsidRPr="00BC57D1">
        <w:rPr>
          <w:rFonts w:ascii="Times New Roman" w:hAnsi="Times New Roman"/>
          <w:noProof/>
          <w:color w:val="000000"/>
          <w:lang w:eastAsia="en-AU"/>
        </w:rPr>
        <w:t>.</w:t>
      </w:r>
    </w:p>
    <w:tbl>
      <w:tblPr>
        <w:tblW w:w="9576" w:type="dxa"/>
        <w:tblBorders>
          <w:bottom w:val="double" w:sz="6" w:space="0" w:color="auto"/>
        </w:tblBorders>
        <w:tblLayout w:type="fixed"/>
        <w:tblLook w:val="0000" w:firstRow="0" w:lastRow="0" w:firstColumn="0" w:lastColumn="0" w:noHBand="0" w:noVBand="0"/>
      </w:tblPr>
      <w:tblGrid>
        <w:gridCol w:w="2518"/>
        <w:gridCol w:w="2835"/>
        <w:gridCol w:w="4223"/>
      </w:tblGrid>
      <w:tr w:rsidR="00917CDE" w:rsidRPr="00917CDE" w:rsidTr="00BD7F13">
        <w:trPr>
          <w:tblHeader/>
        </w:trPr>
        <w:tc>
          <w:tcPr>
            <w:tcW w:w="9576" w:type="dxa"/>
            <w:gridSpan w:val="3"/>
            <w:tcBorders>
              <w:bottom w:val="double" w:sz="6" w:space="0" w:color="000000"/>
            </w:tcBorders>
            <w:shd w:val="clear" w:color="auto" w:fill="auto"/>
          </w:tcPr>
          <w:p w:rsidR="00917CDE" w:rsidRPr="00917CDE" w:rsidRDefault="00917CDE" w:rsidP="00E61859">
            <w:pPr>
              <w:keepNext/>
              <w:keepLines/>
              <w:tabs>
                <w:tab w:val="left" w:pos="2160"/>
              </w:tabs>
              <w:spacing w:after="120" w:line="240" w:lineRule="auto"/>
              <w:ind w:left="2160" w:hanging="2160"/>
              <w:rPr>
                <w:rFonts w:ascii="Times New Roman" w:hAnsi="Times New Roman"/>
                <w:b/>
                <w:lang w:eastAsia="en-AU"/>
              </w:rPr>
            </w:pPr>
            <w:bookmarkStart w:id="28" w:name="TableXDI_EstablishedandOtherPo"/>
            <w:bookmarkEnd w:id="28"/>
            <w:r w:rsidRPr="00917CDE">
              <w:rPr>
                <w:rFonts w:ascii="Times New Roman" w:hAnsi="Times New Roman"/>
                <w:b/>
                <w:lang w:eastAsia="en-AU"/>
              </w:rPr>
              <w:t>Table</w:t>
            </w:r>
            <w:r w:rsidR="00CA1779">
              <w:rPr>
                <w:rFonts w:ascii="Times New Roman" w:hAnsi="Times New Roman"/>
                <w:b/>
                <w:lang w:eastAsia="en-AU"/>
              </w:rPr>
              <w:t xml:space="preserve"> </w:t>
            </w:r>
            <w:r w:rsidR="00105E4A">
              <w:rPr>
                <w:rFonts w:ascii="Times New Roman" w:hAnsi="Times New Roman"/>
                <w:b/>
                <w:lang w:eastAsia="en-AU"/>
              </w:rPr>
              <w:t>5</w:t>
            </w:r>
            <w:r w:rsidRPr="00917CDE">
              <w:rPr>
                <w:rFonts w:ascii="Times New Roman" w:hAnsi="Times New Roman"/>
                <w:b/>
                <w:lang w:eastAsia="en-AU"/>
              </w:rPr>
              <w:t>:</w:t>
            </w:r>
            <w:r w:rsidRPr="00917CDE">
              <w:rPr>
                <w:rFonts w:ascii="Times New Roman" w:hAnsi="Times New Roman"/>
                <w:b/>
                <w:lang w:eastAsia="en-AU"/>
              </w:rPr>
              <w:tab/>
              <w:t>Established and Other Potentially Significant Drug Interactions</w:t>
            </w:r>
          </w:p>
        </w:tc>
      </w:tr>
      <w:tr w:rsidR="00917CDE" w:rsidRPr="00917CDE" w:rsidTr="001C12DA">
        <w:trPr>
          <w:tblHeader/>
        </w:trPr>
        <w:tc>
          <w:tcPr>
            <w:tcW w:w="2518" w:type="dxa"/>
            <w:tcBorders>
              <w:top w:val="double" w:sz="6" w:space="0" w:color="000000"/>
              <w:bottom w:val="single" w:sz="6" w:space="0" w:color="auto"/>
            </w:tcBorders>
            <w:shd w:val="clear" w:color="auto" w:fill="auto"/>
            <w:vAlign w:val="center"/>
          </w:tcPr>
          <w:p w:rsidR="00917CDE" w:rsidRPr="00917CDE" w:rsidRDefault="00917CDE" w:rsidP="001C12DA">
            <w:pPr>
              <w:autoSpaceDE w:val="0"/>
              <w:autoSpaceDN w:val="0"/>
              <w:adjustRightInd w:val="0"/>
              <w:spacing w:after="0" w:line="240" w:lineRule="auto"/>
              <w:jc w:val="center"/>
              <w:rPr>
                <w:rFonts w:ascii="Times New Roman" w:eastAsia="Calibri" w:hAnsi="Times New Roman"/>
                <w:b/>
                <w:bCs/>
                <w:sz w:val="20"/>
                <w:lang w:val="en-US"/>
              </w:rPr>
            </w:pPr>
            <w:r w:rsidRPr="00917CDE">
              <w:rPr>
                <w:rFonts w:ascii="Times New Roman" w:eastAsia="Calibri" w:hAnsi="Times New Roman"/>
                <w:b/>
                <w:bCs/>
                <w:sz w:val="20"/>
                <w:lang w:val="en-US"/>
              </w:rPr>
              <w:t>Concomitant Drug</w:t>
            </w:r>
            <w:r w:rsidR="001C12DA">
              <w:rPr>
                <w:rFonts w:ascii="Times New Roman" w:eastAsia="Calibri" w:hAnsi="Times New Roman"/>
                <w:b/>
                <w:bCs/>
                <w:sz w:val="20"/>
                <w:lang w:val="en-US"/>
              </w:rPr>
              <w:t xml:space="preserve"> </w:t>
            </w:r>
            <w:r w:rsidRPr="00917CDE">
              <w:rPr>
                <w:rFonts w:ascii="Times New Roman" w:eastAsia="Calibri" w:hAnsi="Times New Roman"/>
                <w:b/>
                <w:bCs/>
                <w:sz w:val="20"/>
                <w:lang w:val="en-US"/>
              </w:rPr>
              <w:t>Class: Drug Name</w:t>
            </w:r>
          </w:p>
        </w:tc>
        <w:tc>
          <w:tcPr>
            <w:tcW w:w="2835" w:type="dxa"/>
            <w:tcBorders>
              <w:top w:val="double" w:sz="6" w:space="0" w:color="000000"/>
              <w:bottom w:val="single" w:sz="6" w:space="0" w:color="auto"/>
            </w:tcBorders>
            <w:shd w:val="clear" w:color="auto" w:fill="auto"/>
            <w:vAlign w:val="center"/>
          </w:tcPr>
          <w:p w:rsidR="00917CDE" w:rsidRPr="00917CDE" w:rsidRDefault="00917CDE" w:rsidP="00917CDE">
            <w:pPr>
              <w:tabs>
                <w:tab w:val="left" w:pos="360"/>
              </w:tabs>
              <w:spacing w:before="60" w:after="60" w:line="240" w:lineRule="auto"/>
              <w:jc w:val="center"/>
              <w:rPr>
                <w:rFonts w:ascii="Times New Roman" w:eastAsia="Calibri" w:hAnsi="Times New Roman"/>
                <w:b/>
                <w:bCs/>
                <w:sz w:val="20"/>
              </w:rPr>
            </w:pPr>
            <w:r w:rsidRPr="00917CDE">
              <w:rPr>
                <w:rFonts w:ascii="Times New Roman" w:eastAsia="Calibri" w:hAnsi="Times New Roman"/>
                <w:b/>
                <w:sz w:val="20"/>
              </w:rPr>
              <w:t xml:space="preserve">Effect on Concentration </w:t>
            </w:r>
          </w:p>
        </w:tc>
        <w:tc>
          <w:tcPr>
            <w:tcW w:w="4223" w:type="dxa"/>
            <w:tcBorders>
              <w:top w:val="double" w:sz="6" w:space="0" w:color="000000"/>
              <w:bottom w:val="single" w:sz="6" w:space="0" w:color="auto"/>
            </w:tcBorders>
            <w:shd w:val="clear" w:color="auto" w:fill="auto"/>
            <w:vAlign w:val="center"/>
          </w:tcPr>
          <w:p w:rsidR="00917CDE" w:rsidRPr="00917CDE" w:rsidRDefault="00917CDE" w:rsidP="00917CDE">
            <w:pPr>
              <w:tabs>
                <w:tab w:val="left" w:pos="360"/>
              </w:tabs>
              <w:spacing w:before="60" w:after="60" w:line="240" w:lineRule="auto"/>
              <w:jc w:val="center"/>
              <w:rPr>
                <w:rFonts w:ascii="Times New Roman" w:eastAsia="Calibri" w:hAnsi="Times New Roman"/>
                <w:b/>
                <w:bCs/>
                <w:sz w:val="20"/>
                <w:lang w:val="en-US"/>
              </w:rPr>
            </w:pPr>
            <w:r w:rsidRPr="00917CDE">
              <w:rPr>
                <w:rFonts w:ascii="Times New Roman" w:eastAsia="Calibri" w:hAnsi="Times New Roman"/>
                <w:b/>
                <w:bCs/>
                <w:sz w:val="20"/>
                <w:lang w:val="en-US"/>
              </w:rPr>
              <w:t>Clinical Comment</w:t>
            </w:r>
          </w:p>
        </w:tc>
      </w:tr>
      <w:tr w:rsidR="00E82905" w:rsidRPr="00917CDE" w:rsidTr="005077D5">
        <w:tc>
          <w:tcPr>
            <w:tcW w:w="9576" w:type="dxa"/>
            <w:gridSpan w:val="3"/>
            <w:tcBorders>
              <w:top w:val="single" w:sz="6" w:space="0" w:color="auto"/>
              <w:bottom w:val="single" w:sz="6" w:space="0" w:color="auto"/>
            </w:tcBorders>
            <w:shd w:val="clear" w:color="auto" w:fill="auto"/>
            <w:vAlign w:val="center"/>
          </w:tcPr>
          <w:p w:rsidR="00E82905" w:rsidRPr="00B22B82" w:rsidRDefault="00E82905" w:rsidP="00E82905">
            <w:pPr>
              <w:keepNext/>
              <w:tabs>
                <w:tab w:val="left" w:pos="360"/>
              </w:tabs>
              <w:spacing w:before="60" w:after="60" w:line="240" w:lineRule="auto"/>
              <w:rPr>
                <w:rFonts w:ascii="Times New Roman" w:hAnsi="Times New Roman"/>
                <w:i/>
                <w:noProof/>
                <w:sz w:val="20"/>
                <w:lang w:val="en-US"/>
              </w:rPr>
            </w:pPr>
            <w:r w:rsidRPr="00B22B82">
              <w:rPr>
                <w:rFonts w:ascii="Times New Roman" w:hAnsi="Times New Roman"/>
                <w:i/>
                <w:sz w:val="20"/>
                <w:lang w:val="en-US"/>
              </w:rPr>
              <w:t>Anticoagulant</w:t>
            </w:r>
          </w:p>
        </w:tc>
      </w:tr>
      <w:tr w:rsidR="00E82905" w:rsidRPr="00917CDE" w:rsidTr="005077D5">
        <w:tc>
          <w:tcPr>
            <w:tcW w:w="2518" w:type="dxa"/>
            <w:tcBorders>
              <w:top w:val="single" w:sz="6" w:space="0" w:color="auto"/>
              <w:bottom w:val="single" w:sz="6" w:space="0" w:color="auto"/>
            </w:tcBorders>
            <w:shd w:val="clear" w:color="auto" w:fill="auto"/>
            <w:vAlign w:val="center"/>
          </w:tcPr>
          <w:p w:rsidR="00E82905" w:rsidRPr="00B22B82" w:rsidRDefault="00E82905" w:rsidP="00E82905">
            <w:pPr>
              <w:tabs>
                <w:tab w:val="left" w:pos="360"/>
              </w:tabs>
              <w:spacing w:before="60" w:after="60" w:line="240" w:lineRule="auto"/>
              <w:rPr>
                <w:rFonts w:ascii="Times New Roman" w:hAnsi="Times New Roman"/>
                <w:noProof/>
                <w:sz w:val="20"/>
                <w:lang w:val="en-US"/>
              </w:rPr>
            </w:pPr>
            <w:r w:rsidRPr="00B22B82">
              <w:rPr>
                <w:rFonts w:ascii="Times New Roman" w:hAnsi="Times New Roman"/>
                <w:sz w:val="20"/>
                <w:lang w:val="en-US"/>
              </w:rPr>
              <w:t>Dabigatran etexilate</w:t>
            </w:r>
          </w:p>
        </w:tc>
        <w:tc>
          <w:tcPr>
            <w:tcW w:w="2835" w:type="dxa"/>
            <w:tcBorders>
              <w:top w:val="single" w:sz="6" w:space="0" w:color="auto"/>
              <w:bottom w:val="single" w:sz="6" w:space="0" w:color="auto"/>
            </w:tcBorders>
            <w:shd w:val="clear" w:color="auto" w:fill="auto"/>
            <w:vAlign w:val="center"/>
          </w:tcPr>
          <w:p w:rsidR="00E82905" w:rsidRPr="00B22B82" w:rsidRDefault="00E82905" w:rsidP="00E82905">
            <w:pPr>
              <w:spacing w:after="0" w:line="240" w:lineRule="auto"/>
              <w:jc w:val="center"/>
              <w:rPr>
                <w:rFonts w:ascii="Times New Roman" w:hAnsi="Times New Roman"/>
                <w:noProof/>
                <w:sz w:val="20"/>
                <w:vertAlign w:val="superscript"/>
                <w:lang w:val="en-US"/>
              </w:rPr>
            </w:pPr>
            <w:r w:rsidRPr="00B22B82">
              <w:rPr>
                <w:rFonts w:ascii="Times New Roman" w:hAnsi="Times New Roman"/>
                <w:sz w:val="20"/>
                <w:lang w:val="en-US"/>
              </w:rPr>
              <w:t>↑ Dabigatran etexilate</w:t>
            </w:r>
          </w:p>
        </w:tc>
        <w:tc>
          <w:tcPr>
            <w:tcW w:w="4223" w:type="dxa"/>
            <w:tcBorders>
              <w:top w:val="single" w:sz="6" w:space="0" w:color="auto"/>
              <w:bottom w:val="single" w:sz="6" w:space="0" w:color="auto"/>
            </w:tcBorders>
            <w:shd w:val="clear" w:color="auto" w:fill="auto"/>
            <w:vAlign w:val="center"/>
          </w:tcPr>
          <w:p w:rsidR="00E82905" w:rsidRPr="00B22B82" w:rsidRDefault="00E82905" w:rsidP="00E82905">
            <w:pPr>
              <w:tabs>
                <w:tab w:val="left" w:pos="360"/>
              </w:tabs>
              <w:spacing w:before="60" w:after="60" w:line="240" w:lineRule="auto"/>
              <w:rPr>
                <w:rFonts w:ascii="Times New Roman" w:hAnsi="Times New Roman"/>
                <w:noProof/>
                <w:sz w:val="20"/>
                <w:lang w:val="en-US"/>
              </w:rPr>
            </w:pPr>
            <w:r w:rsidRPr="00B22B82">
              <w:rPr>
                <w:rFonts w:ascii="Times New Roman" w:hAnsi="Times New Roman"/>
                <w:sz w:val="20"/>
                <w:lang w:val="en-US"/>
              </w:rPr>
              <w:t>Close clinical monitoring is recommended when initiating therapy with SUNVEPRA in patients receiving dabigatran etexilate or other intestinal P-gp substrates that have a narrow therapeutic range.</w:t>
            </w:r>
          </w:p>
        </w:tc>
      </w:tr>
      <w:tr w:rsidR="00F6304F" w:rsidRPr="00917CDE" w:rsidTr="005077D5">
        <w:tc>
          <w:tcPr>
            <w:tcW w:w="9576" w:type="dxa"/>
            <w:gridSpan w:val="3"/>
            <w:tcBorders>
              <w:top w:val="single" w:sz="6" w:space="0" w:color="auto"/>
              <w:bottom w:val="single" w:sz="6" w:space="0" w:color="auto"/>
            </w:tcBorders>
            <w:shd w:val="clear" w:color="auto" w:fill="auto"/>
            <w:vAlign w:val="center"/>
          </w:tcPr>
          <w:p w:rsidR="00F6304F" w:rsidRPr="00B22B82" w:rsidRDefault="00F6304F" w:rsidP="00F6304F">
            <w:pPr>
              <w:keepNext/>
              <w:tabs>
                <w:tab w:val="left" w:pos="360"/>
              </w:tabs>
              <w:spacing w:before="60" w:after="60" w:line="240" w:lineRule="auto"/>
              <w:rPr>
                <w:rFonts w:ascii="Times New Roman" w:hAnsi="Times New Roman"/>
                <w:i/>
                <w:noProof/>
                <w:sz w:val="20"/>
                <w:lang w:val="en-US"/>
              </w:rPr>
            </w:pPr>
            <w:r w:rsidRPr="00B22B82">
              <w:rPr>
                <w:rFonts w:ascii="Times New Roman" w:hAnsi="Times New Roman"/>
                <w:i/>
                <w:sz w:val="20"/>
                <w:lang w:val="en-US"/>
              </w:rPr>
              <w:t>Antidepressants, tricyclics</w:t>
            </w:r>
          </w:p>
        </w:tc>
      </w:tr>
      <w:tr w:rsidR="00B22B82" w:rsidRPr="00917CDE" w:rsidTr="005077D5">
        <w:tc>
          <w:tcPr>
            <w:tcW w:w="2518" w:type="dxa"/>
            <w:tcBorders>
              <w:top w:val="single" w:sz="6" w:space="0" w:color="auto"/>
              <w:bottom w:val="single" w:sz="6" w:space="0" w:color="auto"/>
            </w:tcBorders>
            <w:shd w:val="clear" w:color="auto" w:fill="auto"/>
            <w:vAlign w:val="center"/>
          </w:tcPr>
          <w:p w:rsidR="00B22B82" w:rsidRPr="00B22B82" w:rsidRDefault="00B22B82" w:rsidP="005077D5">
            <w:pPr>
              <w:tabs>
                <w:tab w:val="left" w:pos="360"/>
              </w:tabs>
              <w:spacing w:before="60" w:after="60" w:line="240" w:lineRule="auto"/>
              <w:rPr>
                <w:rFonts w:ascii="Times New Roman" w:hAnsi="Times New Roman"/>
                <w:noProof/>
                <w:sz w:val="20"/>
                <w:lang w:val="en-US"/>
              </w:rPr>
            </w:pPr>
            <w:r w:rsidRPr="00B22B82">
              <w:rPr>
                <w:rFonts w:ascii="Times New Roman" w:hAnsi="Times New Roman"/>
                <w:sz w:val="20"/>
              </w:rPr>
              <w:t>Amitriptyline</w:t>
            </w:r>
            <w:r w:rsidRPr="00B22B82">
              <w:rPr>
                <w:rFonts w:ascii="Times New Roman" w:hAnsi="Times New Roman"/>
                <w:sz w:val="20"/>
              </w:rPr>
              <w:br/>
            </w:r>
            <w:r w:rsidRPr="00B22B82">
              <w:rPr>
                <w:rFonts w:ascii="Times New Roman" w:hAnsi="Times New Roman"/>
                <w:sz w:val="20"/>
              </w:rPr>
              <w:lastRenderedPageBreak/>
              <w:t>Imipramine</w:t>
            </w:r>
            <w:r w:rsidRPr="00B22B82">
              <w:rPr>
                <w:rFonts w:ascii="Times New Roman" w:hAnsi="Times New Roman"/>
                <w:sz w:val="20"/>
              </w:rPr>
              <w:br/>
              <w:t>Nortriptyline</w:t>
            </w:r>
            <w:r w:rsidRPr="00B22B82">
              <w:rPr>
                <w:rFonts w:ascii="Times New Roman" w:hAnsi="Times New Roman"/>
                <w:sz w:val="20"/>
              </w:rPr>
              <w:br/>
            </w:r>
          </w:p>
        </w:tc>
        <w:tc>
          <w:tcPr>
            <w:tcW w:w="2835" w:type="dxa"/>
            <w:tcBorders>
              <w:top w:val="single" w:sz="6" w:space="0" w:color="auto"/>
              <w:bottom w:val="single" w:sz="6" w:space="0" w:color="auto"/>
            </w:tcBorders>
            <w:shd w:val="clear" w:color="auto" w:fill="auto"/>
            <w:vAlign w:val="center"/>
          </w:tcPr>
          <w:p w:rsidR="00B22B82" w:rsidRPr="00B22B82" w:rsidRDefault="00B22B82" w:rsidP="00B22B82">
            <w:pPr>
              <w:pStyle w:val="BMSTableText"/>
              <w:tabs>
                <w:tab w:val="clear" w:pos="360"/>
              </w:tabs>
              <w:spacing w:before="40" w:after="40"/>
              <w:ind w:left="55" w:hanging="55"/>
            </w:pPr>
            <w:r w:rsidRPr="00B22B82">
              <w:lastRenderedPageBreak/>
              <w:t>↑ Amitriptyline</w:t>
            </w:r>
          </w:p>
          <w:p w:rsidR="00B22B82" w:rsidRPr="00B22B82" w:rsidRDefault="00B22B82" w:rsidP="00B22B82">
            <w:pPr>
              <w:pStyle w:val="BMSTableText"/>
              <w:spacing w:before="40" w:after="40"/>
              <w:ind w:left="342" w:hanging="342"/>
            </w:pPr>
            <w:r w:rsidRPr="00B22B82">
              <w:lastRenderedPageBreak/>
              <w:t>↑ Imipramine</w:t>
            </w:r>
          </w:p>
          <w:p w:rsidR="00B22B82" w:rsidRPr="00B22B82" w:rsidRDefault="00B22B82" w:rsidP="00B22B82">
            <w:pPr>
              <w:pStyle w:val="BMSTableText"/>
              <w:spacing w:before="40" w:after="40"/>
              <w:ind w:left="342" w:hanging="342"/>
            </w:pPr>
            <w:r w:rsidRPr="00B22B82">
              <w:t>↑ Nortriptyline</w:t>
            </w:r>
          </w:p>
          <w:p w:rsidR="00B22B82" w:rsidRPr="00B22B82" w:rsidRDefault="00B22B82" w:rsidP="00B22B82">
            <w:pPr>
              <w:spacing w:after="0" w:line="240" w:lineRule="auto"/>
              <w:jc w:val="center"/>
              <w:rPr>
                <w:rFonts w:ascii="Times New Roman" w:hAnsi="Times New Roman"/>
                <w:noProof/>
                <w:sz w:val="20"/>
                <w:vertAlign w:val="superscript"/>
                <w:lang w:val="en-US"/>
              </w:rPr>
            </w:pPr>
          </w:p>
        </w:tc>
        <w:tc>
          <w:tcPr>
            <w:tcW w:w="4223" w:type="dxa"/>
            <w:tcBorders>
              <w:top w:val="single" w:sz="6" w:space="0" w:color="auto"/>
              <w:bottom w:val="single" w:sz="6" w:space="0" w:color="auto"/>
            </w:tcBorders>
            <w:shd w:val="clear" w:color="auto" w:fill="auto"/>
          </w:tcPr>
          <w:p w:rsidR="00B22B82" w:rsidRPr="00B22B82" w:rsidRDefault="00B22B82" w:rsidP="00B22B82">
            <w:pPr>
              <w:tabs>
                <w:tab w:val="left" w:pos="360"/>
              </w:tabs>
              <w:spacing w:before="60" w:after="60" w:line="240" w:lineRule="auto"/>
              <w:rPr>
                <w:rFonts w:ascii="Times New Roman" w:hAnsi="Times New Roman"/>
                <w:noProof/>
                <w:sz w:val="20"/>
                <w:lang w:val="en-US"/>
              </w:rPr>
            </w:pPr>
            <w:r w:rsidRPr="002D7E79">
              <w:rPr>
                <w:rFonts w:ascii="Times New Roman" w:hAnsi="Times New Roman"/>
                <w:sz w:val="20"/>
                <w:lang w:val="en-US"/>
              </w:rPr>
              <w:lastRenderedPageBreak/>
              <w:t xml:space="preserve">Close clinical monitoring is recommended when  </w:t>
            </w:r>
            <w:r w:rsidRPr="002D7E79">
              <w:rPr>
                <w:rFonts w:ascii="Times New Roman" w:hAnsi="Times New Roman"/>
                <w:sz w:val="20"/>
                <w:lang w:val="en-US"/>
              </w:rPr>
              <w:lastRenderedPageBreak/>
              <w:t>sensitive substrates of CYP2D6 with a narrow therapeutic range, including certain tricyclic antidepressants (TCA), are administered with SUNVEPRA</w:t>
            </w:r>
            <w:r w:rsidR="00410820" w:rsidRPr="002D7E79">
              <w:rPr>
                <w:rFonts w:ascii="Times New Roman" w:hAnsi="Times New Roman"/>
                <w:sz w:val="20"/>
                <w:lang w:val="en-US"/>
              </w:rPr>
              <w:t>.</w:t>
            </w:r>
            <w:r w:rsidRPr="002D7E79">
              <w:rPr>
                <w:rFonts w:ascii="Times New Roman" w:hAnsi="Times New Roman"/>
                <w:sz w:val="20"/>
                <w:lang w:val="en-US"/>
              </w:rPr>
              <w:t xml:space="preserve"> Plasma concentrations of the TCA may need to be monitored and the dose of the TCA reduced [see CONTRAINDICATIONS]</w:t>
            </w:r>
            <w:r w:rsidR="00410820" w:rsidRPr="002D7E79">
              <w:rPr>
                <w:rFonts w:ascii="Times New Roman" w:hAnsi="Times New Roman"/>
                <w:sz w:val="20"/>
                <w:lang w:val="en-US"/>
              </w:rPr>
              <w:t>.</w:t>
            </w:r>
          </w:p>
        </w:tc>
      </w:tr>
      <w:tr w:rsidR="00B22B82" w:rsidRPr="00917CDE" w:rsidTr="00BD7F13">
        <w:tc>
          <w:tcPr>
            <w:tcW w:w="9576" w:type="dxa"/>
            <w:gridSpan w:val="3"/>
            <w:tcBorders>
              <w:top w:val="single" w:sz="6" w:space="0" w:color="auto"/>
              <w:bottom w:val="single" w:sz="6" w:space="0" w:color="auto"/>
            </w:tcBorders>
            <w:shd w:val="clear" w:color="auto" w:fill="auto"/>
            <w:vAlign w:val="center"/>
          </w:tcPr>
          <w:p w:rsidR="00B22B82" w:rsidRPr="00917CDE" w:rsidRDefault="00B22B82" w:rsidP="00917CDE">
            <w:pPr>
              <w:keepNext/>
              <w:tabs>
                <w:tab w:val="left" w:pos="360"/>
              </w:tabs>
              <w:spacing w:before="60" w:after="60" w:line="240" w:lineRule="auto"/>
              <w:rPr>
                <w:rFonts w:ascii="Times New Roman" w:hAnsi="Times New Roman"/>
                <w:i/>
                <w:noProof/>
                <w:sz w:val="20"/>
                <w:lang w:val="en-US"/>
              </w:rPr>
            </w:pPr>
            <w:r w:rsidRPr="00917CDE">
              <w:rPr>
                <w:rFonts w:ascii="Times New Roman" w:hAnsi="Times New Roman"/>
                <w:i/>
                <w:sz w:val="20"/>
                <w:lang w:val="en-US"/>
              </w:rPr>
              <w:lastRenderedPageBreak/>
              <w:t>Antitussives</w:t>
            </w:r>
          </w:p>
        </w:tc>
      </w:tr>
      <w:tr w:rsidR="00B22B82" w:rsidRPr="00917CDE" w:rsidTr="001C12DA">
        <w:tc>
          <w:tcPr>
            <w:tcW w:w="2518" w:type="dxa"/>
            <w:tcBorders>
              <w:top w:val="single" w:sz="6" w:space="0" w:color="auto"/>
              <w:bottom w:val="single" w:sz="6" w:space="0" w:color="auto"/>
            </w:tcBorders>
            <w:shd w:val="clear" w:color="auto" w:fill="auto"/>
            <w:vAlign w:val="center"/>
          </w:tcPr>
          <w:p w:rsidR="00B22B82" w:rsidRPr="00917CDE" w:rsidRDefault="00B22B82" w:rsidP="00917CDE">
            <w:pPr>
              <w:tabs>
                <w:tab w:val="left" w:pos="360"/>
              </w:tabs>
              <w:spacing w:before="60" w:after="60" w:line="240" w:lineRule="auto"/>
              <w:rPr>
                <w:rFonts w:ascii="Times New Roman" w:hAnsi="Times New Roman"/>
                <w:noProof/>
                <w:sz w:val="20"/>
                <w:lang w:val="en-US"/>
              </w:rPr>
            </w:pPr>
            <w:r w:rsidRPr="00917CDE">
              <w:rPr>
                <w:rFonts w:ascii="Times New Roman" w:hAnsi="Times New Roman"/>
                <w:sz w:val="20"/>
                <w:lang w:val="en-US"/>
              </w:rPr>
              <w:t>Dextromethorphan</w:t>
            </w:r>
          </w:p>
        </w:tc>
        <w:tc>
          <w:tcPr>
            <w:tcW w:w="2835" w:type="dxa"/>
            <w:tcBorders>
              <w:top w:val="single" w:sz="6" w:space="0" w:color="auto"/>
              <w:bottom w:val="single" w:sz="6" w:space="0" w:color="auto"/>
            </w:tcBorders>
            <w:shd w:val="clear" w:color="auto" w:fill="auto"/>
            <w:vAlign w:val="center"/>
          </w:tcPr>
          <w:p w:rsidR="00B22B82" w:rsidRPr="002C65E1" w:rsidRDefault="00B22B82" w:rsidP="00286756">
            <w:pPr>
              <w:spacing w:after="0" w:line="240" w:lineRule="auto"/>
              <w:jc w:val="center"/>
              <w:rPr>
                <w:rFonts w:ascii="Times New Roman" w:hAnsi="Times New Roman"/>
                <w:noProof/>
                <w:sz w:val="20"/>
                <w:vertAlign w:val="superscript"/>
                <w:lang w:val="en-US"/>
              </w:rPr>
            </w:pPr>
            <w:r w:rsidRPr="002C65E1">
              <w:rPr>
                <w:rFonts w:ascii="Times New Roman" w:hAnsi="Times New Roman"/>
                <w:sz w:val="20"/>
                <w:lang w:val="en-US"/>
              </w:rPr>
              <w:t>↑ Dextromethorphan</w:t>
            </w:r>
            <w:r w:rsidRPr="002C65E1">
              <w:rPr>
                <w:rFonts w:ascii="Times New Roman" w:hAnsi="Times New Roman"/>
                <w:sz w:val="20"/>
                <w:vertAlign w:val="superscript"/>
                <w:lang w:val="en-US"/>
              </w:rPr>
              <w:t>a</w:t>
            </w:r>
          </w:p>
        </w:tc>
        <w:tc>
          <w:tcPr>
            <w:tcW w:w="4223" w:type="dxa"/>
            <w:tcBorders>
              <w:top w:val="single" w:sz="6" w:space="0" w:color="auto"/>
              <w:bottom w:val="single" w:sz="6" w:space="0" w:color="auto"/>
            </w:tcBorders>
            <w:shd w:val="clear" w:color="auto" w:fill="auto"/>
            <w:vAlign w:val="center"/>
          </w:tcPr>
          <w:p w:rsidR="00B22B82" w:rsidRPr="002C65E1" w:rsidRDefault="00B22B82" w:rsidP="00F47DBD">
            <w:pPr>
              <w:tabs>
                <w:tab w:val="left" w:pos="360"/>
              </w:tabs>
              <w:spacing w:before="60" w:after="60" w:line="240" w:lineRule="auto"/>
              <w:rPr>
                <w:rFonts w:ascii="Times New Roman" w:hAnsi="Times New Roman"/>
                <w:noProof/>
                <w:sz w:val="20"/>
                <w:lang w:val="en-US"/>
              </w:rPr>
            </w:pPr>
            <w:r w:rsidRPr="002D7E79">
              <w:rPr>
                <w:rFonts w:ascii="Times New Roman" w:hAnsi="Times New Roman"/>
                <w:sz w:val="20"/>
                <w:lang w:val="en-US"/>
              </w:rPr>
              <w:t>Coadministration of SUNVEPRA, an inhibitor of CYP2D6, with dextromethorphan resulted in a   4-fold increase in the AUC of dextromethorphan.</w:t>
            </w:r>
            <w:r w:rsidRPr="002C65E1">
              <w:rPr>
                <w:rFonts w:ascii="Times New Roman" w:hAnsi="Times New Roman"/>
                <w:color w:val="1F497D"/>
                <w:sz w:val="20"/>
              </w:rPr>
              <w:t xml:space="preserve"> </w:t>
            </w:r>
            <w:r w:rsidRPr="002C65E1">
              <w:rPr>
                <w:rFonts w:ascii="Times New Roman" w:hAnsi="Times New Roman"/>
                <w:sz w:val="20"/>
                <w:lang w:val="en-US"/>
              </w:rPr>
              <w:t>Close clinical monitoring is recommended when dextromethorphan or other sensitive substrates of CYP2D6 are administered with SUNVEPRA. Dose reduction of sensitive CYP2D6 substrates should be considered [see</w:t>
            </w:r>
            <w:r w:rsidRPr="002C65E1">
              <w:rPr>
                <w:rFonts w:ascii="Times New Roman" w:hAnsi="Times New Roman"/>
                <w:i/>
                <w:sz w:val="20"/>
                <w:lang w:val="en-US"/>
              </w:rPr>
              <w:t xml:space="preserve"> </w:t>
            </w:r>
            <w:r w:rsidRPr="002C65E1">
              <w:rPr>
                <w:rFonts w:ascii="Times New Roman" w:hAnsi="Times New Roman"/>
                <w:sz w:val="20"/>
                <w:lang w:val="en-US"/>
              </w:rPr>
              <w:t>CONTRAINDICATIONS].</w:t>
            </w:r>
          </w:p>
        </w:tc>
      </w:tr>
      <w:tr w:rsidR="00B22B82" w:rsidRPr="00917CDE" w:rsidTr="00BD7F13">
        <w:tc>
          <w:tcPr>
            <w:tcW w:w="9576" w:type="dxa"/>
            <w:gridSpan w:val="3"/>
            <w:tcBorders>
              <w:top w:val="single" w:sz="6" w:space="0" w:color="auto"/>
              <w:bottom w:val="single" w:sz="6" w:space="0" w:color="auto"/>
            </w:tcBorders>
            <w:shd w:val="clear" w:color="auto" w:fill="auto"/>
            <w:vAlign w:val="center"/>
          </w:tcPr>
          <w:p w:rsidR="00B22B82" w:rsidRPr="00917CDE" w:rsidRDefault="00B22B82" w:rsidP="00917CDE">
            <w:pPr>
              <w:keepNext/>
              <w:tabs>
                <w:tab w:val="left" w:pos="360"/>
              </w:tabs>
              <w:spacing w:before="60" w:after="60" w:line="240" w:lineRule="auto"/>
              <w:rPr>
                <w:rFonts w:ascii="Times New Roman" w:hAnsi="Times New Roman"/>
                <w:i/>
                <w:noProof/>
                <w:sz w:val="20"/>
                <w:lang w:val="en-US"/>
              </w:rPr>
            </w:pPr>
            <w:r w:rsidRPr="00917CDE">
              <w:rPr>
                <w:rFonts w:ascii="Times New Roman" w:hAnsi="Times New Roman"/>
                <w:i/>
                <w:sz w:val="20"/>
                <w:lang w:val="en-US"/>
              </w:rPr>
              <w:t>Cardiovascular agents</w:t>
            </w:r>
          </w:p>
        </w:tc>
      </w:tr>
      <w:tr w:rsidR="00B22B82" w:rsidRPr="00917CDE" w:rsidTr="001C12DA">
        <w:trPr>
          <w:cantSplit/>
        </w:trPr>
        <w:tc>
          <w:tcPr>
            <w:tcW w:w="2518" w:type="dxa"/>
            <w:tcBorders>
              <w:top w:val="single" w:sz="6" w:space="0" w:color="auto"/>
            </w:tcBorders>
            <w:shd w:val="clear" w:color="auto" w:fill="auto"/>
            <w:vAlign w:val="center"/>
          </w:tcPr>
          <w:p w:rsidR="00B22B82" w:rsidRPr="00917CDE" w:rsidRDefault="00B22B82" w:rsidP="00917CDE">
            <w:pPr>
              <w:tabs>
                <w:tab w:val="left" w:pos="360"/>
              </w:tabs>
              <w:spacing w:before="60" w:after="60" w:line="240" w:lineRule="auto"/>
              <w:rPr>
                <w:rFonts w:ascii="Times New Roman" w:hAnsi="Times New Roman"/>
                <w:noProof/>
                <w:sz w:val="20"/>
                <w:lang w:val="en-US"/>
              </w:rPr>
            </w:pPr>
            <w:r w:rsidRPr="00917CDE">
              <w:rPr>
                <w:rFonts w:ascii="Times New Roman" w:hAnsi="Times New Roman"/>
                <w:noProof/>
                <w:sz w:val="20"/>
                <w:lang w:val="en-US"/>
              </w:rPr>
              <w:t>Antiarrhythmic:</w:t>
            </w:r>
            <w:r w:rsidRPr="00917CDE">
              <w:rPr>
                <w:rFonts w:ascii="Times New Roman" w:hAnsi="Times New Roman"/>
                <w:noProof/>
                <w:sz w:val="20"/>
                <w:lang w:val="en-US"/>
              </w:rPr>
              <w:br/>
            </w:r>
            <w:r w:rsidRPr="00917CDE">
              <w:rPr>
                <w:rFonts w:ascii="Times New Roman" w:hAnsi="Times New Roman"/>
                <w:noProof/>
                <w:sz w:val="20"/>
                <w:lang w:val="en-US"/>
              </w:rPr>
              <w:tab/>
              <w:t>Digoxin</w:t>
            </w:r>
          </w:p>
        </w:tc>
        <w:tc>
          <w:tcPr>
            <w:tcW w:w="2835" w:type="dxa"/>
            <w:tcBorders>
              <w:top w:val="single" w:sz="6" w:space="0" w:color="auto"/>
            </w:tcBorders>
            <w:shd w:val="clear" w:color="auto" w:fill="auto"/>
            <w:vAlign w:val="center"/>
          </w:tcPr>
          <w:p w:rsidR="00B22B82" w:rsidRPr="00286756" w:rsidRDefault="00B22B82" w:rsidP="00286756">
            <w:pPr>
              <w:tabs>
                <w:tab w:val="left" w:pos="360"/>
              </w:tabs>
              <w:spacing w:before="60" w:after="60" w:line="240" w:lineRule="auto"/>
              <w:jc w:val="center"/>
              <w:rPr>
                <w:rFonts w:ascii="Times New Roman" w:hAnsi="Times New Roman"/>
                <w:noProof/>
                <w:sz w:val="20"/>
                <w:vertAlign w:val="superscript"/>
                <w:lang w:val="en-US"/>
              </w:rPr>
            </w:pPr>
            <w:r w:rsidRPr="00917CDE">
              <w:rPr>
                <w:rFonts w:ascii="Times New Roman" w:hAnsi="Times New Roman"/>
                <w:sz w:val="20"/>
                <w:lang w:val="en-US"/>
              </w:rPr>
              <w:t>↑ Digoxin</w:t>
            </w:r>
            <w:r>
              <w:rPr>
                <w:rFonts w:ascii="Times New Roman" w:hAnsi="Times New Roman"/>
                <w:sz w:val="20"/>
                <w:vertAlign w:val="superscript"/>
                <w:lang w:val="en-US"/>
              </w:rPr>
              <w:t>a</w:t>
            </w:r>
          </w:p>
        </w:tc>
        <w:tc>
          <w:tcPr>
            <w:tcW w:w="4223" w:type="dxa"/>
            <w:tcBorders>
              <w:top w:val="single" w:sz="6" w:space="0" w:color="auto"/>
            </w:tcBorders>
            <w:shd w:val="clear" w:color="auto" w:fill="auto"/>
            <w:vAlign w:val="center"/>
          </w:tcPr>
          <w:p w:rsidR="00B22B82" w:rsidRPr="00917CDE" w:rsidRDefault="00B22B82" w:rsidP="00917CDE">
            <w:pPr>
              <w:tabs>
                <w:tab w:val="left" w:pos="360"/>
              </w:tabs>
              <w:spacing w:before="60" w:after="60" w:line="240" w:lineRule="auto"/>
              <w:rPr>
                <w:rFonts w:ascii="Times New Roman" w:hAnsi="Times New Roman"/>
                <w:noProof/>
                <w:sz w:val="20"/>
                <w:lang w:val="en-US"/>
              </w:rPr>
            </w:pPr>
            <w:r w:rsidRPr="00917CDE">
              <w:rPr>
                <w:rFonts w:ascii="Times New Roman" w:hAnsi="Times New Roman"/>
                <w:sz w:val="20"/>
                <w:lang w:val="en-US"/>
              </w:rPr>
              <w:t xml:space="preserve">Digoxin and other P-gp substrates with a narrow therapeutic range should be used with caution when administered with </w:t>
            </w:r>
            <w:r>
              <w:rPr>
                <w:rFonts w:ascii="Times New Roman" w:hAnsi="Times New Roman"/>
                <w:sz w:val="20"/>
                <w:lang w:val="en-US"/>
              </w:rPr>
              <w:t>SUNVEPRA</w:t>
            </w:r>
            <w:r w:rsidRPr="00917CDE">
              <w:rPr>
                <w:rFonts w:ascii="Times New Roman" w:hAnsi="Times New Roman"/>
                <w:sz w:val="20"/>
                <w:lang w:val="en-US"/>
              </w:rPr>
              <w:t>. The lowest dose of digoxin should be initially prescribed. The serum digoxin concentrations should be monitored and used for titration of digoxin dose to obtain the desired clinical effect.</w:t>
            </w:r>
          </w:p>
        </w:tc>
      </w:tr>
      <w:tr w:rsidR="00B22B82" w:rsidRPr="00EF63C2" w:rsidTr="00C93B80">
        <w:trPr>
          <w:cantSplit/>
        </w:trPr>
        <w:tc>
          <w:tcPr>
            <w:tcW w:w="2518" w:type="dxa"/>
            <w:tcBorders>
              <w:top w:val="single" w:sz="6" w:space="0" w:color="auto"/>
            </w:tcBorders>
            <w:shd w:val="clear" w:color="auto" w:fill="auto"/>
          </w:tcPr>
          <w:p w:rsidR="00B22B82" w:rsidRPr="002D7E79" w:rsidRDefault="00B22B82" w:rsidP="002D7E79">
            <w:pPr>
              <w:spacing w:after="0" w:line="240" w:lineRule="auto"/>
              <w:rPr>
                <w:rFonts w:ascii="Times New Roman" w:hAnsi="Times New Roman"/>
                <w:sz w:val="20"/>
              </w:rPr>
            </w:pPr>
            <w:r w:rsidRPr="002D7E79">
              <w:rPr>
                <w:rFonts w:ascii="Times New Roman" w:hAnsi="Times New Roman"/>
                <w:sz w:val="20"/>
              </w:rPr>
              <w:t>Flecainide</w:t>
            </w:r>
          </w:p>
          <w:p w:rsidR="00B22B82" w:rsidRPr="002D7E79" w:rsidRDefault="00B22B82" w:rsidP="002D7E79">
            <w:pPr>
              <w:spacing w:before="60" w:after="0" w:line="240" w:lineRule="auto"/>
              <w:rPr>
                <w:rFonts w:ascii="Times New Roman" w:hAnsi="Times New Roman"/>
                <w:sz w:val="20"/>
              </w:rPr>
            </w:pPr>
          </w:p>
        </w:tc>
        <w:tc>
          <w:tcPr>
            <w:tcW w:w="2835" w:type="dxa"/>
            <w:tcBorders>
              <w:top w:val="single" w:sz="6" w:space="0" w:color="auto"/>
            </w:tcBorders>
            <w:shd w:val="clear" w:color="auto" w:fill="auto"/>
          </w:tcPr>
          <w:p w:rsidR="00B22B82" w:rsidRPr="002D7E79" w:rsidRDefault="00B22B82" w:rsidP="002D7E79">
            <w:pPr>
              <w:spacing w:after="0" w:line="240" w:lineRule="auto"/>
              <w:jc w:val="center"/>
              <w:rPr>
                <w:rFonts w:ascii="Times New Roman" w:hAnsi="Times New Roman"/>
                <w:sz w:val="20"/>
              </w:rPr>
            </w:pPr>
            <w:r w:rsidRPr="002D7E79">
              <w:rPr>
                <w:rFonts w:ascii="Times New Roman" w:hAnsi="Times New Roman"/>
                <w:sz w:val="20"/>
              </w:rPr>
              <w:t>↑ Flecainide</w:t>
            </w:r>
            <w:r w:rsidRPr="002D7E79">
              <w:rPr>
                <w:rFonts w:ascii="Times New Roman" w:hAnsi="Times New Roman"/>
                <w:sz w:val="20"/>
              </w:rPr>
              <w:br/>
            </w:r>
          </w:p>
        </w:tc>
        <w:tc>
          <w:tcPr>
            <w:tcW w:w="4223" w:type="dxa"/>
            <w:tcBorders>
              <w:top w:val="single" w:sz="6" w:space="0" w:color="auto"/>
            </w:tcBorders>
            <w:shd w:val="clear" w:color="auto" w:fill="auto"/>
          </w:tcPr>
          <w:p w:rsidR="00B22B82" w:rsidRPr="00EF63C2" w:rsidRDefault="00B22B82" w:rsidP="00E82905">
            <w:pPr>
              <w:tabs>
                <w:tab w:val="left" w:pos="360"/>
              </w:tabs>
              <w:spacing w:before="60" w:after="60" w:line="240" w:lineRule="auto"/>
              <w:rPr>
                <w:rFonts w:ascii="Times New Roman" w:hAnsi="Times New Roman"/>
                <w:sz w:val="20"/>
                <w:lang w:val="en-US"/>
              </w:rPr>
            </w:pPr>
            <w:r w:rsidRPr="002D7E79">
              <w:rPr>
                <w:rFonts w:ascii="Times New Roman" w:hAnsi="Times New Roman"/>
                <w:color w:val="000000"/>
                <w:sz w:val="20"/>
                <w:lang w:val="en-US"/>
              </w:rPr>
              <w:t>Close clinical monitoring is recommended when sensitive substrates of CYP2D6 with a narrow therapeutic range, such as flecainide or propafenone, are administered with SUNVEPRA. Dose reduction of sensitive CYP2D6 substrates should be considered [see CONTRAINDICATIONS].</w:t>
            </w:r>
          </w:p>
        </w:tc>
      </w:tr>
      <w:tr w:rsidR="00B22B82" w:rsidRPr="00917CDE" w:rsidTr="00BD7F13">
        <w:tc>
          <w:tcPr>
            <w:tcW w:w="9576" w:type="dxa"/>
            <w:gridSpan w:val="3"/>
            <w:tcBorders>
              <w:top w:val="single" w:sz="6" w:space="0" w:color="auto"/>
              <w:bottom w:val="single" w:sz="6" w:space="0" w:color="auto"/>
            </w:tcBorders>
            <w:shd w:val="clear" w:color="auto" w:fill="auto"/>
          </w:tcPr>
          <w:p w:rsidR="00B22B82" w:rsidRPr="00917CDE" w:rsidRDefault="00B22B82" w:rsidP="00917CDE">
            <w:pPr>
              <w:keepNext/>
              <w:spacing w:after="0" w:line="240" w:lineRule="auto"/>
              <w:rPr>
                <w:rFonts w:ascii="Times New Roman" w:hAnsi="Times New Roman"/>
                <w:i/>
                <w:sz w:val="20"/>
                <w:lang w:val="en-US"/>
              </w:rPr>
            </w:pPr>
            <w:r w:rsidRPr="00917CDE">
              <w:rPr>
                <w:rFonts w:ascii="Times New Roman" w:hAnsi="Times New Roman"/>
                <w:i/>
                <w:sz w:val="20"/>
                <w:lang w:val="en-GB"/>
              </w:rPr>
              <w:t>Hormonal contraceptives</w:t>
            </w:r>
          </w:p>
        </w:tc>
      </w:tr>
      <w:tr w:rsidR="00B22B82" w:rsidRPr="00917CDE" w:rsidTr="001C12DA">
        <w:tc>
          <w:tcPr>
            <w:tcW w:w="2518" w:type="dxa"/>
            <w:shd w:val="clear" w:color="auto" w:fill="auto"/>
            <w:vAlign w:val="center"/>
          </w:tcPr>
          <w:p w:rsidR="00B22B82" w:rsidRDefault="00B22B82" w:rsidP="00917CDE">
            <w:pPr>
              <w:tabs>
                <w:tab w:val="left" w:pos="360"/>
              </w:tabs>
              <w:spacing w:before="60" w:after="60" w:line="240" w:lineRule="auto"/>
              <w:rPr>
                <w:rFonts w:ascii="Times New Roman" w:hAnsi="Times New Roman"/>
                <w:iCs/>
                <w:sz w:val="20"/>
                <w:lang w:val="en-US"/>
              </w:rPr>
            </w:pPr>
            <w:r>
              <w:rPr>
                <w:rFonts w:ascii="Times New Roman" w:hAnsi="Times New Roman"/>
                <w:iCs/>
                <w:sz w:val="20"/>
                <w:lang w:val="en-US"/>
              </w:rPr>
              <w:t>Ethinyloestradiol +</w:t>
            </w:r>
            <w:r w:rsidRPr="00474345">
              <w:rPr>
                <w:rFonts w:ascii="Times New Roman" w:hAnsi="Times New Roman"/>
                <w:iCs/>
                <w:sz w:val="20"/>
                <w:lang w:val="en-US"/>
              </w:rPr>
              <w:t xml:space="preserve"> levonorgestrel</w:t>
            </w:r>
          </w:p>
          <w:p w:rsidR="00B22B82" w:rsidRPr="00917CDE" w:rsidRDefault="00B22B82" w:rsidP="00917CDE">
            <w:pPr>
              <w:tabs>
                <w:tab w:val="left" w:pos="360"/>
              </w:tabs>
              <w:spacing w:before="60" w:after="60" w:line="240" w:lineRule="auto"/>
              <w:rPr>
                <w:rFonts w:ascii="Times New Roman" w:hAnsi="Times New Roman"/>
                <w:noProof/>
                <w:sz w:val="20"/>
                <w:lang w:val="en-US"/>
              </w:rPr>
            </w:pPr>
            <w:r>
              <w:rPr>
                <w:b/>
              </w:rPr>
              <w:t xml:space="preserve"> </w:t>
            </w:r>
            <w:r w:rsidRPr="00474345">
              <w:rPr>
                <w:rFonts w:ascii="Times New Roman" w:hAnsi="Times New Roman"/>
                <w:sz w:val="20"/>
              </w:rPr>
              <w:t>Ethinyloestradiol + norethisterone</w:t>
            </w:r>
          </w:p>
        </w:tc>
        <w:tc>
          <w:tcPr>
            <w:tcW w:w="2835" w:type="dxa"/>
            <w:shd w:val="clear" w:color="auto" w:fill="auto"/>
            <w:vAlign w:val="center"/>
          </w:tcPr>
          <w:p w:rsidR="00B22B82" w:rsidRPr="00286756" w:rsidRDefault="00B22B82" w:rsidP="00917CDE">
            <w:pPr>
              <w:spacing w:after="0" w:line="240" w:lineRule="auto"/>
              <w:jc w:val="center"/>
              <w:rPr>
                <w:rFonts w:ascii="Times New Roman" w:hAnsi="Times New Roman"/>
                <w:sz w:val="20"/>
                <w:vertAlign w:val="superscript"/>
                <w:lang w:val="en-GB"/>
              </w:rPr>
            </w:pPr>
            <w:r w:rsidRPr="00917CDE">
              <w:rPr>
                <w:rFonts w:ascii="Times New Roman" w:hAnsi="Times New Roman"/>
                <w:sz w:val="20"/>
                <w:lang w:val="en-GB"/>
              </w:rPr>
              <w:t xml:space="preserve">↓ </w:t>
            </w:r>
            <w:r w:rsidRPr="00474345">
              <w:rPr>
                <w:rFonts w:ascii="Times New Roman" w:hAnsi="Times New Roman"/>
                <w:sz w:val="20"/>
              </w:rPr>
              <w:t xml:space="preserve"> Ethinyloestradiol</w:t>
            </w:r>
            <w:r>
              <w:rPr>
                <w:rFonts w:ascii="Times New Roman" w:hAnsi="Times New Roman"/>
                <w:sz w:val="20"/>
                <w:vertAlign w:val="superscript"/>
                <w:lang w:val="en-GB"/>
              </w:rPr>
              <w:t xml:space="preserve"> a</w:t>
            </w:r>
          </w:p>
          <w:p w:rsidR="00B22B82" w:rsidRPr="00917CDE" w:rsidRDefault="00B22B82" w:rsidP="00474345">
            <w:pPr>
              <w:spacing w:after="0" w:line="240" w:lineRule="auto"/>
              <w:jc w:val="center"/>
              <w:rPr>
                <w:rFonts w:ascii="Times New Roman" w:hAnsi="Times New Roman"/>
                <w:noProof/>
                <w:sz w:val="22"/>
                <w:lang w:val="en-GB"/>
              </w:rPr>
            </w:pPr>
            <w:r w:rsidRPr="00917CDE">
              <w:rPr>
                <w:rFonts w:ascii="Times New Roman" w:hAnsi="Times New Roman"/>
                <w:sz w:val="20"/>
                <w:lang w:val="en-GB"/>
              </w:rPr>
              <w:t xml:space="preserve">↓ </w:t>
            </w:r>
            <w:r w:rsidRPr="00474345">
              <w:rPr>
                <w:rFonts w:ascii="Times New Roman" w:hAnsi="Times New Roman"/>
                <w:iCs/>
                <w:sz w:val="20"/>
                <w:lang w:val="en-US"/>
              </w:rPr>
              <w:t xml:space="preserve"> levonorgestrel</w:t>
            </w:r>
            <w:r w:rsidRPr="00286756">
              <w:rPr>
                <w:rFonts w:ascii="Times New Roman" w:hAnsi="Times New Roman"/>
                <w:sz w:val="20"/>
                <w:vertAlign w:val="superscript"/>
                <w:lang w:val="en-GB"/>
              </w:rPr>
              <w:t xml:space="preserve"> a</w:t>
            </w:r>
          </w:p>
        </w:tc>
        <w:tc>
          <w:tcPr>
            <w:tcW w:w="4223" w:type="dxa"/>
            <w:shd w:val="clear" w:color="auto" w:fill="auto"/>
            <w:vAlign w:val="center"/>
          </w:tcPr>
          <w:p w:rsidR="00B22B82" w:rsidRPr="00917CDE" w:rsidRDefault="00B22B82" w:rsidP="00474345">
            <w:pPr>
              <w:tabs>
                <w:tab w:val="left" w:pos="360"/>
              </w:tabs>
              <w:spacing w:before="60" w:after="60" w:line="240" w:lineRule="auto"/>
              <w:rPr>
                <w:rFonts w:ascii="Times New Roman" w:hAnsi="Times New Roman"/>
                <w:noProof/>
                <w:sz w:val="20"/>
                <w:lang w:val="en-US"/>
              </w:rPr>
            </w:pPr>
            <w:r w:rsidRPr="00917CDE">
              <w:rPr>
                <w:rFonts w:ascii="Times New Roman" w:hAnsi="Times New Roman"/>
                <w:color w:val="000000"/>
                <w:sz w:val="20"/>
                <w:lang w:val="en-US"/>
              </w:rPr>
              <w:t>For patients using oral contraception, a</w:t>
            </w:r>
            <w:r w:rsidRPr="00917CDE">
              <w:rPr>
                <w:rFonts w:ascii="Times New Roman" w:hAnsi="Times New Roman"/>
                <w:sz w:val="20"/>
                <w:lang w:val="en-US"/>
              </w:rPr>
              <w:t xml:space="preserve"> high-dose oral contraceptive (containing at least 30 µg of</w:t>
            </w:r>
            <w:r>
              <w:rPr>
                <w:b/>
              </w:rPr>
              <w:t xml:space="preserve"> </w:t>
            </w:r>
            <w:r w:rsidRPr="00474345">
              <w:rPr>
                <w:rFonts w:ascii="Times New Roman" w:hAnsi="Times New Roman"/>
                <w:sz w:val="20"/>
              </w:rPr>
              <w:t>ethinyloestradiol with norethisterone</w:t>
            </w:r>
            <w:r w:rsidRPr="00917CDE">
              <w:rPr>
                <w:rFonts w:ascii="Times New Roman" w:hAnsi="Times New Roman"/>
                <w:sz w:val="20"/>
                <w:lang w:val="en-US"/>
              </w:rPr>
              <w:t xml:space="preserve">) is recommended during treatment with </w:t>
            </w:r>
            <w:r>
              <w:rPr>
                <w:rFonts w:ascii="Times New Roman" w:hAnsi="Times New Roman"/>
                <w:sz w:val="20"/>
                <w:lang w:val="en-US"/>
              </w:rPr>
              <w:t>SUNVEPRA</w:t>
            </w:r>
            <w:r w:rsidRPr="00917CDE">
              <w:rPr>
                <w:rFonts w:ascii="Times New Roman" w:hAnsi="Times New Roman"/>
                <w:sz w:val="20"/>
                <w:lang w:val="en-US"/>
              </w:rPr>
              <w:t>.</w:t>
            </w:r>
          </w:p>
        </w:tc>
      </w:tr>
      <w:tr w:rsidR="00B22B82" w:rsidRPr="00917CDE" w:rsidTr="00BD7F13">
        <w:tc>
          <w:tcPr>
            <w:tcW w:w="9576" w:type="dxa"/>
            <w:gridSpan w:val="3"/>
            <w:tcBorders>
              <w:top w:val="single" w:sz="6" w:space="0" w:color="auto"/>
              <w:bottom w:val="single" w:sz="6" w:space="0" w:color="auto"/>
            </w:tcBorders>
            <w:shd w:val="clear" w:color="auto" w:fill="auto"/>
            <w:vAlign w:val="center"/>
          </w:tcPr>
          <w:p w:rsidR="00B22B82" w:rsidRPr="00917CDE" w:rsidRDefault="00B22B82" w:rsidP="00917CDE">
            <w:pPr>
              <w:keepNext/>
              <w:tabs>
                <w:tab w:val="left" w:pos="360"/>
              </w:tabs>
              <w:spacing w:before="60" w:after="60" w:line="240" w:lineRule="auto"/>
              <w:rPr>
                <w:rFonts w:ascii="Times New Roman" w:hAnsi="Times New Roman"/>
                <w:i/>
                <w:noProof/>
                <w:sz w:val="20"/>
                <w:lang w:val="en-US"/>
              </w:rPr>
            </w:pPr>
            <w:r w:rsidRPr="00917CDE">
              <w:rPr>
                <w:rFonts w:ascii="Times New Roman" w:hAnsi="Times New Roman"/>
                <w:i/>
                <w:sz w:val="20"/>
                <w:lang w:val="en-US"/>
              </w:rPr>
              <w:t>Lipid lowering agents</w:t>
            </w:r>
          </w:p>
        </w:tc>
      </w:tr>
      <w:tr w:rsidR="00B22B82" w:rsidRPr="00917CDE" w:rsidTr="001C12DA">
        <w:tc>
          <w:tcPr>
            <w:tcW w:w="2518" w:type="dxa"/>
            <w:tcBorders>
              <w:bottom w:val="single" w:sz="6" w:space="0" w:color="auto"/>
            </w:tcBorders>
            <w:shd w:val="clear" w:color="auto" w:fill="auto"/>
            <w:vAlign w:val="center"/>
          </w:tcPr>
          <w:p w:rsidR="00B22B82" w:rsidRDefault="00B22B82" w:rsidP="00917CDE">
            <w:pPr>
              <w:tabs>
                <w:tab w:val="left" w:pos="360"/>
              </w:tabs>
              <w:spacing w:before="60" w:after="60" w:line="240" w:lineRule="auto"/>
              <w:rPr>
                <w:rFonts w:ascii="Times New Roman" w:hAnsi="Times New Roman"/>
                <w:sz w:val="20"/>
                <w:lang w:val="en-US"/>
              </w:rPr>
            </w:pPr>
            <w:r w:rsidRPr="00917CDE">
              <w:rPr>
                <w:rFonts w:ascii="Times New Roman" w:hAnsi="Times New Roman"/>
                <w:sz w:val="20"/>
                <w:lang w:val="en-US"/>
              </w:rPr>
              <w:t>HMG</w:t>
            </w:r>
            <w:r w:rsidRPr="00917CDE">
              <w:rPr>
                <w:rFonts w:ascii="Times New Roman" w:hAnsi="Times New Roman"/>
                <w:sz w:val="20"/>
                <w:lang w:val="en-US"/>
              </w:rPr>
              <w:noBreakHyphen/>
              <w:t>CoA reductase inhibitor:</w:t>
            </w:r>
            <w:r w:rsidRPr="00917CDE">
              <w:rPr>
                <w:rFonts w:ascii="Times New Roman" w:hAnsi="Times New Roman"/>
                <w:sz w:val="20"/>
                <w:lang w:val="en-US"/>
              </w:rPr>
              <w:br/>
            </w:r>
            <w:r w:rsidRPr="00917CDE">
              <w:rPr>
                <w:rFonts w:ascii="Times New Roman" w:hAnsi="Times New Roman"/>
                <w:sz w:val="20"/>
                <w:lang w:val="en-US"/>
              </w:rPr>
              <w:tab/>
              <w:t>Rosuvastatin</w:t>
            </w:r>
          </w:p>
          <w:p w:rsidR="00EF63C2" w:rsidRPr="002D7E79" w:rsidRDefault="00EF63C2" w:rsidP="002D7E79">
            <w:pPr>
              <w:tabs>
                <w:tab w:val="left" w:pos="357"/>
              </w:tabs>
              <w:spacing w:before="60" w:after="60" w:line="240" w:lineRule="auto"/>
              <w:rPr>
                <w:rFonts w:ascii="Times New Roman" w:hAnsi="Times New Roman"/>
                <w:sz w:val="20"/>
                <w:lang w:val="en-US"/>
              </w:rPr>
            </w:pPr>
            <w:r w:rsidRPr="002D7E79">
              <w:rPr>
                <w:rFonts w:ascii="Times New Roman" w:hAnsi="Times New Roman"/>
                <w:sz w:val="20"/>
                <w:lang w:val="en-US"/>
              </w:rPr>
              <w:tab/>
              <w:t>Atorvastatin</w:t>
            </w:r>
          </w:p>
          <w:p w:rsidR="00EF63C2" w:rsidRPr="002D7E79" w:rsidRDefault="00EF63C2" w:rsidP="002D7E79">
            <w:pPr>
              <w:tabs>
                <w:tab w:val="left" w:pos="369"/>
              </w:tabs>
              <w:spacing w:before="60" w:after="60" w:line="240" w:lineRule="auto"/>
              <w:rPr>
                <w:rFonts w:ascii="Times New Roman" w:hAnsi="Times New Roman"/>
                <w:sz w:val="20"/>
                <w:lang w:val="en-US"/>
              </w:rPr>
            </w:pPr>
            <w:r w:rsidRPr="002D7E79">
              <w:rPr>
                <w:rFonts w:ascii="Times New Roman" w:hAnsi="Times New Roman"/>
                <w:sz w:val="20"/>
                <w:lang w:val="en-US"/>
              </w:rPr>
              <w:tab/>
              <w:t>Fluvastatin</w:t>
            </w:r>
          </w:p>
          <w:p w:rsidR="00EF63C2" w:rsidRPr="002D7E79" w:rsidRDefault="00EF63C2" w:rsidP="002D7E79">
            <w:pPr>
              <w:tabs>
                <w:tab w:val="left" w:pos="369"/>
              </w:tabs>
              <w:spacing w:before="60" w:after="60" w:line="240" w:lineRule="auto"/>
              <w:rPr>
                <w:rFonts w:ascii="Times New Roman" w:hAnsi="Times New Roman"/>
                <w:sz w:val="20"/>
                <w:lang w:val="en-US"/>
              </w:rPr>
            </w:pPr>
            <w:r w:rsidRPr="002D7E79">
              <w:rPr>
                <w:rFonts w:ascii="Times New Roman" w:hAnsi="Times New Roman"/>
                <w:sz w:val="20"/>
                <w:lang w:val="en-US"/>
              </w:rPr>
              <w:tab/>
              <w:t>Simvastatin</w:t>
            </w:r>
          </w:p>
          <w:p w:rsidR="00EF63C2" w:rsidRPr="002D7E79" w:rsidRDefault="00EF63C2" w:rsidP="002D7E79">
            <w:pPr>
              <w:tabs>
                <w:tab w:val="left" w:pos="369"/>
              </w:tabs>
              <w:spacing w:before="60" w:after="60" w:line="240" w:lineRule="auto"/>
              <w:rPr>
                <w:rFonts w:ascii="Times New Roman" w:hAnsi="Times New Roman"/>
                <w:sz w:val="20"/>
                <w:lang w:val="en-US"/>
              </w:rPr>
            </w:pPr>
            <w:r w:rsidRPr="002D7E79">
              <w:rPr>
                <w:rFonts w:ascii="Times New Roman" w:hAnsi="Times New Roman"/>
                <w:sz w:val="20"/>
                <w:lang w:val="en-US"/>
              </w:rPr>
              <w:tab/>
              <w:t>Pitavastatin</w:t>
            </w:r>
          </w:p>
          <w:p w:rsidR="00EF63C2" w:rsidRPr="00917CDE" w:rsidRDefault="00EF63C2" w:rsidP="002D7E79">
            <w:pPr>
              <w:tabs>
                <w:tab w:val="left" w:pos="369"/>
              </w:tabs>
              <w:spacing w:before="60" w:after="60" w:line="240" w:lineRule="auto"/>
              <w:rPr>
                <w:rFonts w:ascii="Times New Roman" w:hAnsi="Times New Roman"/>
                <w:noProof/>
                <w:sz w:val="20"/>
                <w:lang w:val="en-US"/>
              </w:rPr>
            </w:pPr>
            <w:r w:rsidRPr="002D7E79">
              <w:rPr>
                <w:rFonts w:ascii="Times New Roman" w:hAnsi="Times New Roman"/>
                <w:sz w:val="20"/>
                <w:lang w:val="en-US"/>
              </w:rPr>
              <w:tab/>
              <w:t>Pravastatin</w:t>
            </w:r>
          </w:p>
        </w:tc>
        <w:tc>
          <w:tcPr>
            <w:tcW w:w="2835" w:type="dxa"/>
            <w:tcBorders>
              <w:bottom w:val="single" w:sz="6" w:space="0" w:color="auto"/>
            </w:tcBorders>
            <w:shd w:val="clear" w:color="auto" w:fill="auto"/>
            <w:vAlign w:val="center"/>
          </w:tcPr>
          <w:p w:rsidR="00EF63C2" w:rsidRDefault="00EF63C2" w:rsidP="00EF63C2">
            <w:pPr>
              <w:tabs>
                <w:tab w:val="left" w:pos="360"/>
              </w:tabs>
              <w:spacing w:before="60" w:after="60" w:line="240" w:lineRule="auto"/>
              <w:jc w:val="center"/>
              <w:rPr>
                <w:rFonts w:ascii="Times New Roman" w:hAnsi="Times New Roman"/>
                <w:sz w:val="20"/>
                <w:lang w:val="en-US"/>
              </w:rPr>
            </w:pPr>
          </w:p>
          <w:p w:rsidR="00B22B82" w:rsidRDefault="00B22B82" w:rsidP="00EF63C2">
            <w:pPr>
              <w:tabs>
                <w:tab w:val="left" w:pos="360"/>
              </w:tabs>
              <w:spacing w:before="60" w:after="60" w:line="240" w:lineRule="auto"/>
              <w:jc w:val="center"/>
              <w:rPr>
                <w:rFonts w:ascii="Times New Roman" w:hAnsi="Times New Roman"/>
                <w:sz w:val="20"/>
                <w:vertAlign w:val="superscript"/>
                <w:lang w:val="en-US"/>
              </w:rPr>
            </w:pPr>
            <w:r w:rsidRPr="00917CDE">
              <w:rPr>
                <w:rFonts w:ascii="Times New Roman" w:hAnsi="Times New Roman"/>
                <w:sz w:val="20"/>
                <w:lang w:val="en-US"/>
              </w:rPr>
              <w:t>↑ Rosuvastatin</w:t>
            </w:r>
            <w:r w:rsidRPr="00286756">
              <w:rPr>
                <w:rFonts w:ascii="Times New Roman" w:hAnsi="Times New Roman"/>
                <w:sz w:val="20"/>
                <w:vertAlign w:val="superscript"/>
                <w:lang w:val="en-US"/>
              </w:rPr>
              <w:t>a</w:t>
            </w:r>
          </w:p>
          <w:p w:rsidR="00EF63C2" w:rsidRPr="002D7E79" w:rsidRDefault="00EF63C2" w:rsidP="002D7E79">
            <w:pPr>
              <w:tabs>
                <w:tab w:val="left" w:pos="357"/>
              </w:tabs>
              <w:spacing w:before="60" w:after="60" w:line="240" w:lineRule="auto"/>
              <w:jc w:val="center"/>
              <w:rPr>
                <w:rFonts w:ascii="Times New Roman" w:hAnsi="Times New Roman"/>
                <w:sz w:val="20"/>
                <w:lang w:val="en-US"/>
              </w:rPr>
            </w:pPr>
            <w:r w:rsidRPr="00917CDE">
              <w:rPr>
                <w:rFonts w:ascii="Times New Roman" w:hAnsi="Times New Roman"/>
                <w:sz w:val="20"/>
                <w:lang w:val="en-US"/>
              </w:rPr>
              <w:t xml:space="preserve">↑ </w:t>
            </w:r>
            <w:r w:rsidRPr="002D7E79">
              <w:rPr>
                <w:rFonts w:ascii="Times New Roman" w:hAnsi="Times New Roman"/>
                <w:sz w:val="20"/>
                <w:lang w:val="en-US"/>
              </w:rPr>
              <w:t>Atorvastatin</w:t>
            </w:r>
          </w:p>
          <w:p w:rsidR="00EF63C2" w:rsidRPr="002D7E79" w:rsidRDefault="00EF63C2" w:rsidP="002D7E79">
            <w:pPr>
              <w:tabs>
                <w:tab w:val="left" w:pos="369"/>
              </w:tabs>
              <w:spacing w:before="60" w:after="60" w:line="240" w:lineRule="auto"/>
              <w:jc w:val="center"/>
              <w:rPr>
                <w:rFonts w:ascii="Times New Roman" w:hAnsi="Times New Roman"/>
                <w:sz w:val="20"/>
                <w:lang w:val="en-US"/>
              </w:rPr>
            </w:pPr>
            <w:r w:rsidRPr="00917CDE">
              <w:rPr>
                <w:rFonts w:ascii="Times New Roman" w:hAnsi="Times New Roman"/>
                <w:sz w:val="20"/>
                <w:lang w:val="en-US"/>
              </w:rPr>
              <w:t xml:space="preserve">↑ </w:t>
            </w:r>
            <w:r w:rsidRPr="002D7E79">
              <w:rPr>
                <w:rFonts w:ascii="Times New Roman" w:hAnsi="Times New Roman"/>
                <w:sz w:val="20"/>
                <w:lang w:val="en-US"/>
              </w:rPr>
              <w:t>Fluvastatin</w:t>
            </w:r>
          </w:p>
          <w:p w:rsidR="00EF63C2" w:rsidRPr="002D7E79" w:rsidRDefault="00EF63C2" w:rsidP="002D7E79">
            <w:pPr>
              <w:tabs>
                <w:tab w:val="left" w:pos="369"/>
              </w:tabs>
              <w:spacing w:before="60" w:after="60" w:line="240" w:lineRule="auto"/>
              <w:jc w:val="center"/>
              <w:rPr>
                <w:rFonts w:ascii="Times New Roman" w:hAnsi="Times New Roman"/>
                <w:sz w:val="20"/>
                <w:lang w:val="en-US"/>
              </w:rPr>
            </w:pPr>
            <w:r w:rsidRPr="00917CDE">
              <w:rPr>
                <w:rFonts w:ascii="Times New Roman" w:hAnsi="Times New Roman"/>
                <w:sz w:val="20"/>
                <w:lang w:val="en-US"/>
              </w:rPr>
              <w:t xml:space="preserve">↑ </w:t>
            </w:r>
            <w:r w:rsidRPr="002D7E79">
              <w:rPr>
                <w:rFonts w:ascii="Times New Roman" w:hAnsi="Times New Roman"/>
                <w:sz w:val="20"/>
                <w:lang w:val="en-US"/>
              </w:rPr>
              <w:t>Simvastatin</w:t>
            </w:r>
          </w:p>
          <w:p w:rsidR="00EF63C2" w:rsidRPr="002D7E79" w:rsidRDefault="00EF63C2" w:rsidP="002D7E79">
            <w:pPr>
              <w:tabs>
                <w:tab w:val="left" w:pos="369"/>
              </w:tabs>
              <w:spacing w:before="60" w:after="60" w:line="240" w:lineRule="auto"/>
              <w:jc w:val="center"/>
              <w:rPr>
                <w:rFonts w:ascii="Times New Roman" w:hAnsi="Times New Roman"/>
                <w:sz w:val="20"/>
                <w:lang w:val="en-US"/>
              </w:rPr>
            </w:pPr>
            <w:r w:rsidRPr="00917CDE">
              <w:rPr>
                <w:rFonts w:ascii="Times New Roman" w:hAnsi="Times New Roman"/>
                <w:sz w:val="20"/>
                <w:lang w:val="en-US"/>
              </w:rPr>
              <w:t xml:space="preserve">↑ </w:t>
            </w:r>
            <w:r w:rsidRPr="002D7E79">
              <w:rPr>
                <w:rFonts w:ascii="Times New Roman" w:hAnsi="Times New Roman"/>
                <w:sz w:val="20"/>
                <w:lang w:val="en-US"/>
              </w:rPr>
              <w:t>Pitavastatin</w:t>
            </w:r>
          </w:p>
          <w:p w:rsidR="00EF63C2" w:rsidRPr="00917CDE" w:rsidRDefault="00EF63C2" w:rsidP="00EF63C2">
            <w:pPr>
              <w:tabs>
                <w:tab w:val="left" w:pos="360"/>
              </w:tabs>
              <w:spacing w:before="60" w:after="60" w:line="240" w:lineRule="auto"/>
              <w:jc w:val="center"/>
              <w:rPr>
                <w:rFonts w:ascii="Times New Roman" w:hAnsi="Times New Roman"/>
                <w:noProof/>
                <w:sz w:val="20"/>
                <w:lang w:val="en-US"/>
              </w:rPr>
            </w:pPr>
            <w:r w:rsidRPr="00917CDE">
              <w:rPr>
                <w:rFonts w:ascii="Times New Roman" w:hAnsi="Times New Roman"/>
                <w:sz w:val="20"/>
                <w:lang w:val="en-US"/>
              </w:rPr>
              <w:t xml:space="preserve">↑ </w:t>
            </w:r>
            <w:r w:rsidRPr="002D7E79">
              <w:rPr>
                <w:rFonts w:ascii="Times New Roman" w:hAnsi="Times New Roman"/>
                <w:sz w:val="20"/>
                <w:lang w:val="en-US"/>
              </w:rPr>
              <w:t>Pravastatin</w:t>
            </w:r>
          </w:p>
        </w:tc>
        <w:tc>
          <w:tcPr>
            <w:tcW w:w="4223" w:type="dxa"/>
            <w:tcBorders>
              <w:bottom w:val="single" w:sz="6" w:space="0" w:color="auto"/>
            </w:tcBorders>
            <w:shd w:val="clear" w:color="auto" w:fill="auto"/>
            <w:vAlign w:val="center"/>
          </w:tcPr>
          <w:p w:rsidR="00B22B82" w:rsidRPr="00917CDE" w:rsidRDefault="00B22B82" w:rsidP="00917CDE">
            <w:pPr>
              <w:tabs>
                <w:tab w:val="left" w:pos="360"/>
              </w:tabs>
              <w:spacing w:before="60" w:after="60" w:line="240" w:lineRule="auto"/>
              <w:rPr>
                <w:rFonts w:ascii="Times New Roman" w:hAnsi="Times New Roman"/>
                <w:sz w:val="20"/>
                <w:lang w:val="en-US"/>
              </w:rPr>
            </w:pPr>
            <w:r w:rsidRPr="00917CDE">
              <w:rPr>
                <w:rFonts w:ascii="Times New Roman" w:hAnsi="Times New Roman"/>
                <w:sz w:val="20"/>
                <w:lang w:val="en-US"/>
              </w:rPr>
              <w:t xml:space="preserve">Treatment with rosuvastatin and other OATP1B1/1B3 substrates can be initiated at the recommended dose when coadministered with </w:t>
            </w:r>
            <w:r>
              <w:rPr>
                <w:rFonts w:ascii="Times New Roman" w:hAnsi="Times New Roman"/>
                <w:sz w:val="20"/>
                <w:lang w:val="en-US"/>
              </w:rPr>
              <w:t>SUNVEPRA</w:t>
            </w:r>
            <w:r w:rsidRPr="00917CDE">
              <w:rPr>
                <w:rFonts w:ascii="Times New Roman" w:hAnsi="Times New Roman"/>
                <w:sz w:val="20"/>
                <w:lang w:val="en-US"/>
              </w:rPr>
              <w:t xml:space="preserve">. Close clinical monitoring for both desired therapeutic outcomes and side effects of the OATP1B1/1B3 substrate is recommended. </w:t>
            </w:r>
          </w:p>
        </w:tc>
      </w:tr>
      <w:tr w:rsidR="00B22B82" w:rsidRPr="00917CDE" w:rsidTr="00BD7F13">
        <w:tc>
          <w:tcPr>
            <w:tcW w:w="9576" w:type="dxa"/>
            <w:gridSpan w:val="3"/>
            <w:tcBorders>
              <w:bottom w:val="single" w:sz="6" w:space="0" w:color="auto"/>
            </w:tcBorders>
            <w:shd w:val="clear" w:color="auto" w:fill="auto"/>
          </w:tcPr>
          <w:p w:rsidR="00B22B82" w:rsidRPr="00917CDE" w:rsidRDefault="00B22B82" w:rsidP="00917CDE">
            <w:pPr>
              <w:keepNext/>
              <w:tabs>
                <w:tab w:val="left" w:pos="360"/>
                <w:tab w:val="left" w:pos="1154"/>
              </w:tabs>
              <w:spacing w:before="60" w:after="60" w:line="240" w:lineRule="auto"/>
              <w:rPr>
                <w:rFonts w:ascii="Times New Roman" w:hAnsi="Times New Roman"/>
                <w:i/>
                <w:noProof/>
                <w:sz w:val="20"/>
                <w:lang w:val="en-US"/>
              </w:rPr>
            </w:pPr>
            <w:r w:rsidRPr="00917CDE">
              <w:rPr>
                <w:rFonts w:ascii="Times New Roman" w:hAnsi="Times New Roman"/>
                <w:i/>
                <w:noProof/>
                <w:sz w:val="20"/>
                <w:lang w:val="en-US"/>
              </w:rPr>
              <w:lastRenderedPageBreak/>
              <w:t>Sedatives</w:t>
            </w:r>
          </w:p>
        </w:tc>
      </w:tr>
      <w:tr w:rsidR="00B22B82" w:rsidRPr="00917CDE" w:rsidTr="001C12DA">
        <w:trPr>
          <w:cantSplit/>
        </w:trPr>
        <w:tc>
          <w:tcPr>
            <w:tcW w:w="2518" w:type="dxa"/>
            <w:tcBorders>
              <w:top w:val="single" w:sz="6" w:space="0" w:color="auto"/>
            </w:tcBorders>
            <w:shd w:val="clear" w:color="auto" w:fill="auto"/>
            <w:vAlign w:val="center"/>
          </w:tcPr>
          <w:p w:rsidR="00B22B82" w:rsidRPr="00917CDE" w:rsidRDefault="00B22B82" w:rsidP="00917CDE">
            <w:pPr>
              <w:tabs>
                <w:tab w:val="left" w:pos="360"/>
              </w:tabs>
              <w:spacing w:before="60" w:after="60" w:line="240" w:lineRule="auto"/>
              <w:rPr>
                <w:rFonts w:ascii="Times New Roman" w:hAnsi="Times New Roman"/>
                <w:noProof/>
                <w:sz w:val="20"/>
                <w:lang w:val="en-US"/>
              </w:rPr>
            </w:pPr>
            <w:r w:rsidRPr="00917CDE">
              <w:rPr>
                <w:rFonts w:ascii="Times New Roman" w:hAnsi="Times New Roman"/>
                <w:noProof/>
                <w:sz w:val="20"/>
                <w:lang w:val="en-US"/>
              </w:rPr>
              <w:t>Benzodiazepine:</w:t>
            </w:r>
            <w:r w:rsidRPr="00917CDE">
              <w:rPr>
                <w:rFonts w:ascii="Times New Roman" w:hAnsi="Times New Roman"/>
                <w:noProof/>
                <w:sz w:val="20"/>
                <w:lang w:val="en-US"/>
              </w:rPr>
              <w:br/>
            </w:r>
            <w:r w:rsidRPr="00917CDE">
              <w:rPr>
                <w:rFonts w:ascii="Times New Roman" w:hAnsi="Times New Roman"/>
                <w:noProof/>
                <w:sz w:val="20"/>
                <w:lang w:val="en-US"/>
              </w:rPr>
              <w:tab/>
            </w:r>
            <w:r w:rsidRPr="00917CDE">
              <w:rPr>
                <w:rFonts w:ascii="Times New Roman" w:hAnsi="Times New Roman"/>
                <w:iCs/>
                <w:sz w:val="20"/>
                <w:lang w:val="en-US"/>
              </w:rPr>
              <w:t>Midazolam</w:t>
            </w:r>
          </w:p>
        </w:tc>
        <w:tc>
          <w:tcPr>
            <w:tcW w:w="2835" w:type="dxa"/>
            <w:tcBorders>
              <w:top w:val="single" w:sz="6" w:space="0" w:color="auto"/>
            </w:tcBorders>
            <w:shd w:val="clear" w:color="auto" w:fill="auto"/>
            <w:vAlign w:val="center"/>
          </w:tcPr>
          <w:p w:rsidR="00B22B82" w:rsidRPr="00917CDE" w:rsidRDefault="00B22B82" w:rsidP="00286756">
            <w:pPr>
              <w:spacing w:after="0" w:line="240" w:lineRule="auto"/>
              <w:jc w:val="center"/>
              <w:rPr>
                <w:rFonts w:ascii="Times New Roman" w:hAnsi="Times New Roman"/>
                <w:noProof/>
                <w:sz w:val="22"/>
                <w:lang w:val="en-GB"/>
              </w:rPr>
            </w:pPr>
            <w:r w:rsidRPr="00917CDE">
              <w:rPr>
                <w:rFonts w:ascii="Times New Roman" w:hAnsi="Times New Roman"/>
                <w:sz w:val="20"/>
                <w:lang w:val="en-GB"/>
              </w:rPr>
              <w:t>↓ Midazolam</w:t>
            </w:r>
            <w:r w:rsidRPr="00286756">
              <w:rPr>
                <w:rFonts w:ascii="Times New Roman" w:hAnsi="Times New Roman"/>
                <w:sz w:val="20"/>
                <w:vertAlign w:val="superscript"/>
                <w:lang w:val="en-GB"/>
              </w:rPr>
              <w:t>a</w:t>
            </w:r>
          </w:p>
        </w:tc>
        <w:tc>
          <w:tcPr>
            <w:tcW w:w="4223" w:type="dxa"/>
            <w:tcBorders>
              <w:top w:val="single" w:sz="6" w:space="0" w:color="auto"/>
            </w:tcBorders>
            <w:shd w:val="clear" w:color="auto" w:fill="auto"/>
            <w:vAlign w:val="center"/>
          </w:tcPr>
          <w:p w:rsidR="00B22B82" w:rsidRPr="00917CDE" w:rsidRDefault="00B22B82" w:rsidP="00917CDE">
            <w:pPr>
              <w:tabs>
                <w:tab w:val="left" w:pos="360"/>
              </w:tabs>
              <w:spacing w:before="60" w:after="60" w:line="240" w:lineRule="auto"/>
              <w:rPr>
                <w:rFonts w:ascii="Times New Roman" w:hAnsi="Times New Roman"/>
                <w:noProof/>
                <w:sz w:val="20"/>
                <w:lang w:val="en-US"/>
              </w:rPr>
            </w:pPr>
            <w:r w:rsidRPr="00917CDE">
              <w:rPr>
                <w:rFonts w:ascii="Times New Roman" w:hAnsi="Times New Roman"/>
                <w:sz w:val="20"/>
                <w:lang w:val="en-US"/>
              </w:rPr>
              <w:t xml:space="preserve">Coadministration of </w:t>
            </w:r>
            <w:r>
              <w:rPr>
                <w:rFonts w:ascii="Times New Roman" w:hAnsi="Times New Roman"/>
                <w:sz w:val="20"/>
                <w:lang w:val="en-US"/>
              </w:rPr>
              <w:t>SUNVEPRA</w:t>
            </w:r>
            <w:r w:rsidRPr="00917CDE">
              <w:rPr>
                <w:rFonts w:ascii="Times New Roman" w:hAnsi="Times New Roman"/>
                <w:sz w:val="20"/>
                <w:lang w:val="en-US"/>
              </w:rPr>
              <w:t xml:space="preserve"> with midazolam and other </w:t>
            </w:r>
            <w:r w:rsidRPr="00917CDE">
              <w:rPr>
                <w:rFonts w:ascii="Times New Roman" w:hAnsi="Times New Roman"/>
                <w:noProof/>
                <w:sz w:val="20"/>
                <w:lang w:val="en-US"/>
              </w:rPr>
              <w:t xml:space="preserve">medicinal products </w:t>
            </w:r>
            <w:r w:rsidRPr="00917CDE">
              <w:rPr>
                <w:rFonts w:ascii="Times New Roman" w:hAnsi="Times New Roman"/>
                <w:sz w:val="20"/>
                <w:lang w:val="en-US"/>
              </w:rPr>
              <w:t>that are highly dependent on CYP3A for elimination and for which reduced plasma concentrations may be associated with reduced therapeutic effect should be approached with caution.</w:t>
            </w:r>
          </w:p>
        </w:tc>
      </w:tr>
    </w:tbl>
    <w:p w:rsidR="00917CDE" w:rsidRPr="00917CDE" w:rsidRDefault="00286756" w:rsidP="00917CDE">
      <w:pPr>
        <w:autoSpaceDE w:val="0"/>
        <w:autoSpaceDN w:val="0"/>
        <w:adjustRightInd w:val="0"/>
        <w:spacing w:after="0" w:line="240" w:lineRule="auto"/>
        <w:jc w:val="both"/>
        <w:rPr>
          <w:rFonts w:ascii="Times New Roman" w:hAnsi="Times New Roman"/>
          <w:color w:val="000000"/>
          <w:sz w:val="16"/>
          <w:szCs w:val="16"/>
          <w:lang w:val="en-US"/>
        </w:rPr>
      </w:pPr>
      <w:r w:rsidRPr="00286756">
        <w:rPr>
          <w:rFonts w:ascii="Times New Roman" w:eastAsia="Calibri" w:hAnsi="Times New Roman"/>
          <w:noProof/>
          <w:color w:val="000000"/>
          <w:szCs w:val="24"/>
          <w:vertAlign w:val="superscript"/>
          <w:lang w:val="fr-BE"/>
        </w:rPr>
        <w:t>a</w:t>
      </w:r>
      <w:r w:rsidR="00917CDE" w:rsidRPr="00917CDE">
        <w:rPr>
          <w:rFonts w:ascii="Times New Roman" w:hAnsi="Times New Roman"/>
          <w:color w:val="000000"/>
          <w:sz w:val="16"/>
          <w:szCs w:val="16"/>
          <w:lang w:val="en-US"/>
        </w:rPr>
        <w:t xml:space="preserve">These interactions have been studied. </w:t>
      </w:r>
    </w:p>
    <w:p w:rsidR="00917CDE" w:rsidRPr="00917CDE" w:rsidRDefault="00917CDE" w:rsidP="00917CDE">
      <w:pPr>
        <w:spacing w:after="120" w:line="264" w:lineRule="auto"/>
        <w:jc w:val="both"/>
        <w:rPr>
          <w:rFonts w:ascii="Times New Roman" w:hAnsi="Times New Roman"/>
          <w:color w:val="000000"/>
          <w:sz w:val="16"/>
          <w:szCs w:val="16"/>
          <w:lang w:eastAsia="en-AU"/>
        </w:rPr>
      </w:pPr>
      <w:r w:rsidRPr="00917CDE">
        <w:rPr>
          <w:rFonts w:ascii="Times New Roman" w:hAnsi="Times New Roman"/>
          <w:color w:val="000000"/>
          <w:sz w:val="16"/>
          <w:szCs w:val="16"/>
          <w:lang w:eastAsia="en-AU"/>
        </w:rPr>
        <w:t xml:space="preserve">The direction of the arrow (↑ </w:t>
      </w:r>
      <w:r w:rsidRPr="00917CDE">
        <w:rPr>
          <w:rFonts w:ascii="Times New Roman" w:hAnsi="Times New Roman"/>
          <w:i/>
          <w:iCs/>
          <w:color w:val="000000"/>
          <w:sz w:val="16"/>
          <w:szCs w:val="16"/>
          <w:lang w:eastAsia="en-AU"/>
        </w:rPr>
        <w:t xml:space="preserve">= increase, </w:t>
      </w:r>
      <w:r w:rsidRPr="00917CDE">
        <w:rPr>
          <w:rFonts w:ascii="Times New Roman" w:hAnsi="Times New Roman"/>
          <w:color w:val="000000"/>
          <w:sz w:val="16"/>
          <w:szCs w:val="16"/>
          <w:lang w:eastAsia="en-AU"/>
        </w:rPr>
        <w:t xml:space="preserve">↓ </w:t>
      </w:r>
      <w:r w:rsidRPr="00917CDE">
        <w:rPr>
          <w:rFonts w:ascii="Times New Roman" w:hAnsi="Times New Roman"/>
          <w:i/>
          <w:iCs/>
          <w:color w:val="000000"/>
          <w:sz w:val="16"/>
          <w:szCs w:val="16"/>
          <w:lang w:eastAsia="en-AU"/>
        </w:rPr>
        <w:t>= decrease</w:t>
      </w:r>
      <w:r w:rsidRPr="00917CDE">
        <w:rPr>
          <w:rFonts w:ascii="Times New Roman" w:hAnsi="Times New Roman"/>
          <w:color w:val="000000"/>
          <w:sz w:val="16"/>
          <w:szCs w:val="16"/>
          <w:lang w:eastAsia="en-AU"/>
        </w:rPr>
        <w:t xml:space="preserve">) indicates the direction of the change in pharmacokinetic parameters. </w:t>
      </w:r>
    </w:p>
    <w:p w:rsidR="000F5D7F" w:rsidRDefault="000F5D7F" w:rsidP="00E61859">
      <w:pPr>
        <w:keepNext/>
        <w:keepLines/>
        <w:spacing w:after="120" w:line="240" w:lineRule="auto"/>
        <w:outlineLvl w:val="1"/>
        <w:rPr>
          <w:rFonts w:ascii="Times New Roman" w:hAnsi="Times New Roman"/>
          <w:b/>
          <w:color w:val="000000"/>
          <w:lang w:val="en-US"/>
        </w:rPr>
      </w:pPr>
      <w:bookmarkStart w:id="29" w:name="_Toc375124725"/>
    </w:p>
    <w:p w:rsidR="00917CDE" w:rsidRPr="00917CDE" w:rsidRDefault="00917CDE" w:rsidP="00E61859">
      <w:pPr>
        <w:keepNext/>
        <w:keepLines/>
        <w:spacing w:after="120" w:line="240" w:lineRule="auto"/>
        <w:outlineLvl w:val="1"/>
        <w:rPr>
          <w:rFonts w:ascii="Times New Roman" w:hAnsi="Times New Roman"/>
          <w:b/>
          <w:color w:val="000000"/>
          <w:lang w:val="en-US"/>
        </w:rPr>
      </w:pPr>
      <w:r w:rsidRPr="00917CDE">
        <w:rPr>
          <w:rFonts w:ascii="Times New Roman" w:hAnsi="Times New Roman"/>
          <w:b/>
          <w:color w:val="000000"/>
          <w:lang w:val="en-US"/>
        </w:rPr>
        <w:t>Other Drugs</w:t>
      </w:r>
      <w:bookmarkEnd w:id="29"/>
    </w:p>
    <w:p w:rsidR="006E2326" w:rsidRDefault="00917CDE" w:rsidP="00E61859">
      <w:pPr>
        <w:spacing w:after="120" w:line="240" w:lineRule="auto"/>
        <w:jc w:val="both"/>
        <w:rPr>
          <w:rFonts w:ascii="Times New Roman" w:hAnsi="Times New Roman"/>
          <w:color w:val="000000"/>
          <w:lang w:eastAsia="en-AU"/>
        </w:rPr>
      </w:pPr>
      <w:r w:rsidRPr="00917CDE">
        <w:rPr>
          <w:rFonts w:ascii="Times New Roman" w:hAnsi="Times New Roman"/>
          <w:color w:val="000000"/>
          <w:lang w:eastAsia="en-AU"/>
        </w:rPr>
        <w:t xml:space="preserve">Based on the results of drug interaction </w:t>
      </w:r>
      <w:r w:rsidRPr="00BC57D1">
        <w:rPr>
          <w:rFonts w:ascii="Times New Roman" w:hAnsi="Times New Roman"/>
          <w:color w:val="000000"/>
          <w:lang w:eastAsia="en-AU"/>
        </w:rPr>
        <w:t>studies,</w:t>
      </w:r>
      <w:r w:rsidRPr="00917CDE">
        <w:rPr>
          <w:rFonts w:ascii="Times New Roman" w:hAnsi="Times New Roman"/>
          <w:color w:val="000000"/>
          <w:lang w:eastAsia="en-AU"/>
        </w:rPr>
        <w:t xml:space="preserve"> no dose adjustment is recommended when </w:t>
      </w:r>
      <w:r>
        <w:rPr>
          <w:rFonts w:ascii="Times New Roman" w:hAnsi="Times New Roman"/>
          <w:color w:val="000000"/>
          <w:lang w:eastAsia="en-AU"/>
        </w:rPr>
        <w:t>SUNVEPRA</w:t>
      </w:r>
      <w:r w:rsidRPr="00917CDE">
        <w:rPr>
          <w:rFonts w:ascii="Times New Roman" w:hAnsi="Times New Roman"/>
          <w:color w:val="000000"/>
          <w:lang w:eastAsia="en-AU"/>
        </w:rPr>
        <w:t xml:space="preserve"> is given with </w:t>
      </w:r>
      <w:r w:rsidR="00644782">
        <w:rPr>
          <w:rFonts w:ascii="Times New Roman" w:hAnsi="Times New Roman"/>
          <w:color w:val="000000"/>
          <w:lang w:eastAsia="en-AU"/>
        </w:rPr>
        <w:t>DAKLINZA</w:t>
      </w:r>
      <w:r w:rsidRPr="00917CDE">
        <w:rPr>
          <w:rFonts w:ascii="Times New Roman" w:hAnsi="Times New Roman"/>
          <w:color w:val="000000"/>
          <w:lang w:eastAsia="en-AU"/>
        </w:rPr>
        <w:t xml:space="preserve">, escitalopram, </w:t>
      </w:r>
      <w:r w:rsidR="00EF63C2">
        <w:rPr>
          <w:rFonts w:ascii="Times New Roman" w:hAnsi="Times New Roman"/>
          <w:color w:val="000000"/>
          <w:lang w:eastAsia="en-AU"/>
        </w:rPr>
        <w:t xml:space="preserve">buprenorphine/naloxone, </w:t>
      </w:r>
      <w:r w:rsidRPr="00917CDE">
        <w:rPr>
          <w:rFonts w:ascii="Times New Roman" w:hAnsi="Times New Roman"/>
          <w:color w:val="000000"/>
          <w:lang w:eastAsia="en-AU"/>
        </w:rPr>
        <w:t xml:space="preserve">methadone, peginterferon alfa, ribavirin, sertraline, or caffeine and other CYP1A2 substrates, losartan and other CYP2C9 substrates, or omeprazole and other CYP2C19 substrates. </w:t>
      </w:r>
      <w:bookmarkEnd w:id="18"/>
      <w:bookmarkEnd w:id="19"/>
      <w:bookmarkEnd w:id="20"/>
      <w:bookmarkEnd w:id="21"/>
      <w:bookmarkEnd w:id="22"/>
      <w:bookmarkEnd w:id="23"/>
      <w:bookmarkEnd w:id="24"/>
      <w:bookmarkEnd w:id="25"/>
    </w:p>
    <w:p w:rsidR="00853E53" w:rsidRDefault="00853E53" w:rsidP="00E61859">
      <w:pPr>
        <w:spacing w:after="120" w:line="240" w:lineRule="auto"/>
        <w:jc w:val="both"/>
        <w:rPr>
          <w:rFonts w:ascii="Times New Roman" w:hAnsi="Times New Roman"/>
        </w:rPr>
      </w:pPr>
      <w:r w:rsidRPr="00853E53">
        <w:rPr>
          <w:rFonts w:ascii="Times New Roman" w:hAnsi="Times New Roman"/>
        </w:rPr>
        <w:t>No clinically relevant interaction is anticipated for asunaprevir or the following concomitant</w:t>
      </w:r>
      <w:r>
        <w:rPr>
          <w:rFonts w:ascii="Times New Roman" w:hAnsi="Times New Roman"/>
        </w:rPr>
        <w:t xml:space="preserve"> </w:t>
      </w:r>
      <w:r w:rsidRPr="00853E53">
        <w:rPr>
          <w:rFonts w:ascii="Times New Roman" w:hAnsi="Times New Roman"/>
        </w:rPr>
        <w:t>medications: nucleoside/nucleotide reverse transcriptase inhibitors (NRTIs, eg, tenofovir,</w:t>
      </w:r>
      <w:r w:rsidRPr="00853E53">
        <w:rPr>
          <w:rFonts w:ascii="TimesNewRoman" w:eastAsia="TimesNewRoman" w:hAnsi="Times New Roman" w:cs="TimesNewRoman"/>
          <w:szCs w:val="24"/>
          <w:lang w:eastAsia="en-AU"/>
        </w:rPr>
        <w:t xml:space="preserve"> </w:t>
      </w:r>
      <w:r w:rsidRPr="00853E53">
        <w:rPr>
          <w:rFonts w:ascii="Times New Roman" w:hAnsi="Times New Roman"/>
        </w:rPr>
        <w:t>lamivudine), rilpivirine, raltegravir, dolutegravir, enfuvirtide, maraviroc,</w:t>
      </w:r>
      <w:r>
        <w:rPr>
          <w:rFonts w:ascii="Times New Roman" w:hAnsi="Times New Roman"/>
        </w:rPr>
        <w:t xml:space="preserve"> </w:t>
      </w:r>
      <w:r w:rsidRPr="00853E53">
        <w:rPr>
          <w:rFonts w:ascii="Times New Roman" w:hAnsi="Times New Roman"/>
        </w:rPr>
        <w:t>azithromycin, warfarin, phosphodiesterase type 5 (PDE-5) inhibitors (eg, sildenafil),</w:t>
      </w:r>
      <w:r>
        <w:rPr>
          <w:rFonts w:ascii="Times New Roman" w:hAnsi="Times New Roman"/>
        </w:rPr>
        <w:t xml:space="preserve"> </w:t>
      </w:r>
      <w:r w:rsidRPr="00853E53">
        <w:rPr>
          <w:rFonts w:ascii="Times New Roman" w:hAnsi="Times New Roman"/>
        </w:rPr>
        <w:t>angiotensin-converting enzyme (ACE) inhibitors (eg, enalapril), amiodarone,</w:t>
      </w:r>
      <w:r>
        <w:rPr>
          <w:rFonts w:ascii="Times New Roman" w:hAnsi="Times New Roman"/>
        </w:rPr>
        <w:t xml:space="preserve"> </w:t>
      </w:r>
      <w:r w:rsidRPr="00853E53">
        <w:rPr>
          <w:rFonts w:ascii="Times New Roman" w:hAnsi="Times New Roman"/>
        </w:rPr>
        <w:t>disopyramide, quinidine, famotidine, or antacids.</w:t>
      </w:r>
    </w:p>
    <w:p w:rsidR="00E61859" w:rsidRDefault="00E61859" w:rsidP="00E61859">
      <w:pPr>
        <w:spacing w:after="120" w:line="240" w:lineRule="auto"/>
        <w:jc w:val="both"/>
        <w:rPr>
          <w:rFonts w:ascii="Times New Roman" w:hAnsi="Times New Roman"/>
        </w:rPr>
      </w:pP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ADVERSE EFFECTS</w:t>
      </w:r>
    </w:p>
    <w:p w:rsidR="00635740" w:rsidRPr="00635740" w:rsidRDefault="00635740" w:rsidP="00E61859">
      <w:pPr>
        <w:spacing w:after="120" w:line="240" w:lineRule="auto"/>
        <w:jc w:val="both"/>
        <w:rPr>
          <w:rFonts w:ascii="Times New Roman" w:hAnsi="Times New Roman"/>
          <w:color w:val="000000"/>
          <w:lang w:eastAsia="en-AU"/>
        </w:rPr>
      </w:pPr>
      <w:r w:rsidRPr="00635740">
        <w:rPr>
          <w:rFonts w:ascii="Times New Roman" w:hAnsi="Times New Roman"/>
          <w:color w:val="000000"/>
          <w:lang w:eastAsia="en-AU"/>
        </w:rPr>
        <w:t xml:space="preserve">Refer to the full </w:t>
      </w:r>
      <w:r w:rsidR="00F47DBD">
        <w:rPr>
          <w:rFonts w:ascii="Times New Roman" w:hAnsi="Times New Roman"/>
          <w:color w:val="000000"/>
          <w:lang w:eastAsia="en-AU"/>
        </w:rPr>
        <w:t xml:space="preserve">product </w:t>
      </w:r>
      <w:r w:rsidRPr="00635740">
        <w:rPr>
          <w:rFonts w:ascii="Times New Roman" w:hAnsi="Times New Roman"/>
          <w:color w:val="000000"/>
          <w:lang w:eastAsia="en-AU"/>
        </w:rPr>
        <w:t xml:space="preserve">information for </w:t>
      </w:r>
      <w:r w:rsidR="00644782">
        <w:rPr>
          <w:rFonts w:ascii="Times New Roman" w:hAnsi="Times New Roman"/>
          <w:color w:val="000000"/>
          <w:lang w:eastAsia="en-AU"/>
        </w:rPr>
        <w:t>DAKLINZA</w:t>
      </w:r>
      <w:r w:rsidRPr="00635740">
        <w:rPr>
          <w:rFonts w:ascii="Times New Roman" w:hAnsi="Times New Roman"/>
          <w:color w:val="000000"/>
          <w:lang w:eastAsia="en-AU"/>
        </w:rPr>
        <w:t>, peginterferon alfa, and ribavirin for their associated adverse reactions.</w:t>
      </w:r>
    </w:p>
    <w:p w:rsidR="00635740" w:rsidRPr="00286756" w:rsidRDefault="00635740" w:rsidP="00E61859">
      <w:pPr>
        <w:keepNext/>
        <w:keepLines/>
        <w:tabs>
          <w:tab w:val="left" w:pos="1152"/>
        </w:tabs>
        <w:spacing w:after="120" w:line="240" w:lineRule="auto"/>
        <w:outlineLvl w:val="1"/>
        <w:rPr>
          <w:rFonts w:ascii="Times New Roman" w:hAnsi="Times New Roman"/>
          <w:b/>
          <w:color w:val="000000"/>
          <w:lang w:val="en-US"/>
        </w:rPr>
      </w:pPr>
      <w:bookmarkStart w:id="30" w:name="_Toc361652639"/>
      <w:bookmarkStart w:id="31" w:name="_Toc375124720"/>
      <w:bookmarkStart w:id="32" w:name="_Toc522071756"/>
      <w:r w:rsidRPr="00635740">
        <w:rPr>
          <w:rFonts w:ascii="Times New Roman" w:hAnsi="Times New Roman"/>
          <w:b/>
          <w:color w:val="000000"/>
          <w:lang w:val="en-US"/>
        </w:rPr>
        <w:t>Clinical Experience</w:t>
      </w:r>
      <w:bookmarkEnd w:id="30"/>
      <w:bookmarkEnd w:id="31"/>
    </w:p>
    <w:p w:rsidR="00635740" w:rsidRDefault="00635740" w:rsidP="00E61859">
      <w:pPr>
        <w:spacing w:after="120" w:line="240" w:lineRule="auto"/>
        <w:jc w:val="both"/>
        <w:rPr>
          <w:rFonts w:ascii="Times New Roman" w:hAnsi="Times New Roman"/>
          <w:color w:val="000000"/>
          <w:lang w:eastAsia="en-AU"/>
        </w:rPr>
      </w:pPr>
      <w:r w:rsidRPr="00635740">
        <w:rPr>
          <w:rFonts w:ascii="Times New Roman" w:hAnsi="Times New Roman"/>
          <w:color w:val="000000"/>
          <w:lang w:eastAsia="en-AU"/>
        </w:rPr>
        <w:t xml:space="preserve">The safety assessment of </w:t>
      </w:r>
      <w:r>
        <w:rPr>
          <w:rFonts w:ascii="Times New Roman" w:hAnsi="Times New Roman"/>
          <w:color w:val="000000"/>
          <w:lang w:eastAsia="en-AU"/>
        </w:rPr>
        <w:t>SUNVEPRA</w:t>
      </w:r>
      <w:r w:rsidRPr="00635740">
        <w:rPr>
          <w:rFonts w:ascii="Times New Roman" w:hAnsi="Times New Roman"/>
          <w:color w:val="000000"/>
          <w:lang w:eastAsia="en-AU"/>
        </w:rPr>
        <w:t xml:space="preserve"> is based on data from </w:t>
      </w:r>
      <w:r w:rsidR="00F47DBD">
        <w:rPr>
          <w:rFonts w:ascii="Times New Roman" w:hAnsi="Times New Roman"/>
          <w:color w:val="000000"/>
          <w:lang w:eastAsia="en-AU"/>
        </w:rPr>
        <w:t xml:space="preserve">1316 </w:t>
      </w:r>
      <w:r w:rsidRPr="00635740">
        <w:rPr>
          <w:rFonts w:ascii="Times New Roman" w:hAnsi="Times New Roman"/>
          <w:color w:val="000000"/>
          <w:lang w:eastAsia="en-AU"/>
        </w:rPr>
        <w:t xml:space="preserve">subjects with chronic HCV infection who received </w:t>
      </w:r>
      <w:r>
        <w:rPr>
          <w:rFonts w:ascii="Times New Roman" w:hAnsi="Times New Roman"/>
          <w:color w:val="000000"/>
          <w:lang w:eastAsia="en-AU"/>
        </w:rPr>
        <w:t>SUNVEPRA</w:t>
      </w:r>
      <w:r w:rsidRPr="00635740">
        <w:rPr>
          <w:rFonts w:ascii="Times New Roman" w:hAnsi="Times New Roman"/>
          <w:color w:val="000000"/>
          <w:lang w:eastAsia="en-AU"/>
        </w:rPr>
        <w:t xml:space="preserve"> 100 mg twice daily in combination with </w:t>
      </w:r>
      <w:r w:rsidR="00644782">
        <w:rPr>
          <w:rFonts w:ascii="Times New Roman" w:hAnsi="Times New Roman"/>
          <w:color w:val="000000"/>
          <w:lang w:eastAsia="en-AU"/>
        </w:rPr>
        <w:t>DAKLINZA</w:t>
      </w:r>
      <w:r w:rsidRPr="00635740">
        <w:rPr>
          <w:rFonts w:ascii="Times New Roman" w:hAnsi="Times New Roman"/>
          <w:color w:val="000000"/>
          <w:lang w:eastAsia="en-AU"/>
        </w:rPr>
        <w:t xml:space="preserve"> or in combination with </w:t>
      </w:r>
      <w:r w:rsidR="00644782">
        <w:rPr>
          <w:rFonts w:ascii="Times New Roman" w:hAnsi="Times New Roman"/>
          <w:color w:val="000000"/>
          <w:lang w:eastAsia="en-AU"/>
        </w:rPr>
        <w:t>DAKLINZA</w:t>
      </w:r>
      <w:r w:rsidRPr="00635740">
        <w:rPr>
          <w:rFonts w:ascii="Times New Roman" w:hAnsi="Times New Roman"/>
          <w:color w:val="000000"/>
          <w:lang w:eastAsia="en-AU"/>
        </w:rPr>
        <w:t xml:space="preserve">, peginterferon alfa, and ribavirin in </w:t>
      </w:r>
      <w:r w:rsidR="00F47DBD">
        <w:rPr>
          <w:rFonts w:ascii="Times New Roman" w:hAnsi="Times New Roman"/>
          <w:color w:val="000000"/>
          <w:lang w:eastAsia="en-AU"/>
        </w:rPr>
        <w:t xml:space="preserve">five </w:t>
      </w:r>
      <w:r w:rsidRPr="00635740">
        <w:rPr>
          <w:rFonts w:ascii="Times New Roman" w:hAnsi="Times New Roman"/>
          <w:color w:val="000000"/>
          <w:lang w:eastAsia="en-AU"/>
        </w:rPr>
        <w:t>clinical trials. The safety experience is presented by regimen.</w:t>
      </w:r>
    </w:p>
    <w:p w:rsidR="00A65862" w:rsidRPr="00635740" w:rsidRDefault="00A65862" w:rsidP="00E61859">
      <w:pPr>
        <w:keepNext/>
        <w:keepLines/>
        <w:spacing w:after="120" w:line="240" w:lineRule="auto"/>
        <w:ind w:left="1152" w:hanging="1152"/>
        <w:outlineLvl w:val="2"/>
        <w:rPr>
          <w:rFonts w:ascii="Times New Roman" w:hAnsi="Times New Roman"/>
          <w:b/>
          <w:color w:val="000000"/>
          <w:lang w:val="en-US"/>
        </w:rPr>
      </w:pPr>
      <w:r>
        <w:rPr>
          <w:rFonts w:ascii="Times New Roman" w:hAnsi="Times New Roman"/>
          <w:b/>
          <w:color w:val="000000"/>
          <w:lang w:val="en-US"/>
        </w:rPr>
        <w:t>SUNVEPRA</w:t>
      </w:r>
      <w:r w:rsidRPr="00635740">
        <w:rPr>
          <w:rFonts w:ascii="Times New Roman" w:hAnsi="Times New Roman"/>
          <w:b/>
          <w:color w:val="000000"/>
          <w:lang w:val="en-US"/>
        </w:rPr>
        <w:t xml:space="preserve"> in Combination with </w:t>
      </w:r>
      <w:r>
        <w:rPr>
          <w:rFonts w:ascii="Times New Roman" w:hAnsi="Times New Roman"/>
          <w:b/>
          <w:color w:val="000000"/>
          <w:lang w:val="en-US"/>
        </w:rPr>
        <w:t>DAKLINZA</w:t>
      </w:r>
    </w:p>
    <w:p w:rsidR="009A3B02" w:rsidRDefault="00A65862" w:rsidP="00E61859">
      <w:pPr>
        <w:autoSpaceDE w:val="0"/>
        <w:autoSpaceDN w:val="0"/>
        <w:adjustRightInd w:val="0"/>
        <w:spacing w:after="120" w:line="240" w:lineRule="auto"/>
        <w:jc w:val="both"/>
        <w:rPr>
          <w:rFonts w:ascii="Times New Roman" w:hAnsi="Times New Roman"/>
          <w:color w:val="000000"/>
          <w:lang w:eastAsia="en-AU"/>
        </w:rPr>
      </w:pPr>
      <w:r w:rsidRPr="00635740">
        <w:rPr>
          <w:rFonts w:ascii="Times New Roman" w:hAnsi="Times New Roman"/>
          <w:color w:val="000000"/>
          <w:lang w:eastAsia="en-AU"/>
        </w:rPr>
        <w:t xml:space="preserve">The safety of </w:t>
      </w:r>
      <w:r>
        <w:rPr>
          <w:rFonts w:ascii="Times New Roman" w:hAnsi="Times New Roman"/>
          <w:color w:val="000000"/>
          <w:lang w:eastAsia="en-AU"/>
        </w:rPr>
        <w:t>SUNVEPRA</w:t>
      </w:r>
      <w:r w:rsidRPr="00635740">
        <w:rPr>
          <w:rFonts w:ascii="Times New Roman" w:hAnsi="Times New Roman"/>
          <w:color w:val="000000"/>
          <w:lang w:eastAsia="en-AU"/>
        </w:rPr>
        <w:t xml:space="preserve"> 100 mg twice daily in combination with </w:t>
      </w:r>
      <w:r>
        <w:rPr>
          <w:rFonts w:ascii="Times New Roman" w:hAnsi="Times New Roman"/>
          <w:color w:val="000000"/>
          <w:lang w:eastAsia="en-AU"/>
        </w:rPr>
        <w:t>DAKLINZA</w:t>
      </w:r>
      <w:r w:rsidRPr="00635740">
        <w:rPr>
          <w:rFonts w:ascii="Times New Roman" w:hAnsi="Times New Roman"/>
          <w:color w:val="000000"/>
          <w:lang w:eastAsia="en-AU"/>
        </w:rPr>
        <w:t xml:space="preserve"> was assessed in </w:t>
      </w:r>
      <w:r>
        <w:rPr>
          <w:rFonts w:ascii="Times New Roman" w:hAnsi="Times New Roman"/>
          <w:color w:val="000000"/>
          <w:lang w:eastAsia="en-AU"/>
        </w:rPr>
        <w:t xml:space="preserve">918 </w:t>
      </w:r>
      <w:r w:rsidRPr="00635740">
        <w:rPr>
          <w:rFonts w:ascii="Times New Roman" w:hAnsi="Times New Roman"/>
          <w:color w:val="000000"/>
          <w:lang w:eastAsia="en-AU"/>
        </w:rPr>
        <w:t xml:space="preserve">subjects with chronic HCV infection in four open-label clinical trials [HALLMARK DUAL (AI447028), </w:t>
      </w:r>
      <w:r>
        <w:rPr>
          <w:rFonts w:ascii="Times New Roman" w:hAnsi="Times New Roman"/>
          <w:color w:val="000000"/>
          <w:lang w:eastAsia="en-AU"/>
        </w:rPr>
        <w:t>HALLMARK NIPPON (</w:t>
      </w:r>
      <w:r w:rsidRPr="00635740">
        <w:rPr>
          <w:rFonts w:ascii="Times New Roman" w:hAnsi="Times New Roman"/>
          <w:color w:val="000000"/>
          <w:lang w:eastAsia="en-AU"/>
        </w:rPr>
        <w:t>AI447026</w:t>
      </w:r>
      <w:r>
        <w:rPr>
          <w:rFonts w:ascii="Times New Roman" w:hAnsi="Times New Roman"/>
          <w:color w:val="000000"/>
          <w:lang w:eastAsia="en-AU"/>
        </w:rPr>
        <w:t>)</w:t>
      </w:r>
      <w:r w:rsidRPr="00635740">
        <w:rPr>
          <w:rFonts w:ascii="Times New Roman" w:hAnsi="Times New Roman"/>
          <w:color w:val="000000"/>
          <w:lang w:eastAsia="en-AU"/>
        </w:rPr>
        <w:t xml:space="preserve">, AI447017, AI447011]. </w:t>
      </w:r>
      <w:r w:rsidRPr="00D64D21">
        <w:rPr>
          <w:rFonts w:ascii="Times New Roman" w:hAnsi="Times New Roman"/>
          <w:color w:val="000000"/>
          <w:lang w:eastAsia="en-AU"/>
        </w:rPr>
        <w:t xml:space="preserve">Median duration of study therapy was up to 24 weeks. </w:t>
      </w:r>
    </w:p>
    <w:p w:rsidR="00A65862" w:rsidRPr="007A0F05" w:rsidRDefault="00A65862" w:rsidP="00E61859">
      <w:pPr>
        <w:autoSpaceDE w:val="0"/>
        <w:autoSpaceDN w:val="0"/>
        <w:adjustRightInd w:val="0"/>
        <w:spacing w:after="120" w:line="240" w:lineRule="auto"/>
        <w:jc w:val="both"/>
        <w:rPr>
          <w:rFonts w:ascii="Times New Roman" w:hAnsi="Times New Roman"/>
          <w:color w:val="000000"/>
          <w:szCs w:val="24"/>
          <w:lang w:eastAsia="en-AU"/>
        </w:rPr>
      </w:pPr>
      <w:r w:rsidRPr="00490005">
        <w:rPr>
          <w:rFonts w:ascii="Times New Roman" w:hAnsi="Times New Roman"/>
          <w:color w:val="000000"/>
          <w:lang w:eastAsia="en-AU"/>
        </w:rPr>
        <w:t>The most common adverse events (frequency of 10% or greater</w:t>
      </w:r>
      <w:r w:rsidRPr="007A0F05">
        <w:rPr>
          <w:rFonts w:ascii="Times New Roman" w:hAnsi="Times New Roman"/>
          <w:color w:val="000000"/>
          <w:lang w:eastAsia="en-AU"/>
        </w:rPr>
        <w:t xml:space="preserve">) </w:t>
      </w:r>
      <w:r w:rsidRPr="007A0F05">
        <w:rPr>
          <w:rFonts w:ascii="Times New Roman" w:hAnsi="Times New Roman"/>
          <w:color w:val="000000"/>
          <w:szCs w:val="24"/>
          <w:lang w:eastAsia="en-AU"/>
        </w:rPr>
        <w:t>were headache (23%), fatigue (17%), diarrhoea (15%), nasopharyngitis (14%), and nausea (10%).</w:t>
      </w:r>
      <w:r w:rsidRPr="007A0F05">
        <w:rPr>
          <w:rFonts w:ascii="Times New Roman" w:hAnsi="Times New Roman"/>
          <w:color w:val="0000FF"/>
          <w:sz w:val="18"/>
          <w:szCs w:val="18"/>
          <w:lang w:eastAsia="en-AU"/>
        </w:rPr>
        <w:t xml:space="preserve"> </w:t>
      </w:r>
      <w:r w:rsidRPr="007A0F05">
        <w:rPr>
          <w:rFonts w:ascii="Times New Roman" w:hAnsi="Times New Roman"/>
          <w:color w:val="000000"/>
          <w:szCs w:val="24"/>
          <w:lang w:eastAsia="en-AU"/>
        </w:rPr>
        <w:t xml:space="preserve">Most adverse events were mild to moderate in severity. </w:t>
      </w:r>
    </w:p>
    <w:p w:rsidR="00A65862" w:rsidRPr="007A0F05" w:rsidRDefault="00A65862" w:rsidP="00E61859">
      <w:pPr>
        <w:autoSpaceDE w:val="0"/>
        <w:autoSpaceDN w:val="0"/>
        <w:adjustRightInd w:val="0"/>
        <w:spacing w:after="120" w:line="240" w:lineRule="auto"/>
        <w:jc w:val="both"/>
        <w:rPr>
          <w:rFonts w:ascii="Times New Roman" w:hAnsi="Times New Roman"/>
          <w:color w:val="0000FF"/>
          <w:sz w:val="18"/>
          <w:szCs w:val="18"/>
          <w:lang w:eastAsia="en-AU"/>
        </w:rPr>
      </w:pPr>
      <w:r w:rsidRPr="007A0F05">
        <w:rPr>
          <w:rFonts w:ascii="Times New Roman" w:hAnsi="Times New Roman"/>
          <w:color w:val="000000"/>
          <w:szCs w:val="24"/>
          <w:lang w:eastAsia="en-AU"/>
        </w:rPr>
        <w:lastRenderedPageBreak/>
        <w:t>Six percent of subjects experienced a serious adverse event (SAE).</w:t>
      </w:r>
      <w:r w:rsidRPr="007A0F05">
        <w:rPr>
          <w:rFonts w:ascii="Times New Roman" w:hAnsi="Times New Roman"/>
          <w:color w:val="0000FF"/>
          <w:sz w:val="18"/>
          <w:szCs w:val="18"/>
          <w:lang w:eastAsia="en-AU"/>
        </w:rPr>
        <w:t xml:space="preserve"> </w:t>
      </w:r>
      <w:r w:rsidRPr="007A0F05">
        <w:rPr>
          <w:rFonts w:ascii="Times New Roman" w:hAnsi="Times New Roman"/>
          <w:color w:val="000000"/>
          <w:szCs w:val="24"/>
          <w:lang w:eastAsia="en-AU"/>
        </w:rPr>
        <w:t>Three percent of subjects discontinued for adverse events; the most common adverse events leading to discontinuation were increased ALT and increased AST.</w:t>
      </w:r>
      <w:r w:rsidRPr="007A0F05">
        <w:rPr>
          <w:rFonts w:ascii="Times New Roman" w:hAnsi="Times New Roman"/>
          <w:color w:val="0000FF"/>
          <w:sz w:val="18"/>
          <w:szCs w:val="18"/>
          <w:lang w:eastAsia="en-AU"/>
        </w:rPr>
        <w:t xml:space="preserve"> </w:t>
      </w:r>
    </w:p>
    <w:p w:rsidR="00A65862" w:rsidRPr="00E61859" w:rsidRDefault="00A65862" w:rsidP="00E61859">
      <w:pPr>
        <w:autoSpaceDE w:val="0"/>
        <w:autoSpaceDN w:val="0"/>
        <w:adjustRightInd w:val="0"/>
        <w:spacing w:after="120" w:line="240" w:lineRule="auto"/>
        <w:jc w:val="both"/>
        <w:rPr>
          <w:rFonts w:ascii="Times New Roman" w:hAnsi="Times New Roman"/>
          <w:color w:val="000000"/>
          <w:szCs w:val="24"/>
          <w:lang w:eastAsia="en-AU"/>
        </w:rPr>
      </w:pPr>
      <w:r w:rsidRPr="007A0F05">
        <w:rPr>
          <w:rFonts w:ascii="Times New Roman" w:hAnsi="Times New Roman"/>
          <w:color w:val="000000"/>
          <w:szCs w:val="24"/>
          <w:lang w:eastAsia="en-AU"/>
        </w:rPr>
        <w:t>In the HALLMARK DUAL study during the first 12 weeks of treatment, rates of adverse reactions were similar between subjects treated with placebo and subjects treated with SUNVEPRA in combination with DAKLINZA.</w:t>
      </w:r>
    </w:p>
    <w:p w:rsidR="00A65862" w:rsidRPr="00635740" w:rsidRDefault="00A65862" w:rsidP="00E61859">
      <w:pPr>
        <w:keepNext/>
        <w:keepLines/>
        <w:spacing w:after="120" w:line="240" w:lineRule="auto"/>
        <w:outlineLvl w:val="2"/>
        <w:rPr>
          <w:rFonts w:ascii="Times New Roman" w:hAnsi="Times New Roman"/>
          <w:b/>
          <w:color w:val="000000"/>
          <w:lang w:val="en-US"/>
        </w:rPr>
      </w:pPr>
      <w:r>
        <w:rPr>
          <w:rFonts w:ascii="Times New Roman" w:hAnsi="Times New Roman"/>
          <w:b/>
          <w:color w:val="000000"/>
          <w:lang w:val="en-US"/>
        </w:rPr>
        <w:t>SUNVEPRA</w:t>
      </w:r>
      <w:r w:rsidRPr="00635740">
        <w:rPr>
          <w:rFonts w:ascii="Times New Roman" w:hAnsi="Times New Roman"/>
          <w:b/>
          <w:color w:val="000000"/>
          <w:lang w:val="en-US"/>
        </w:rPr>
        <w:t xml:space="preserve"> in Combination with </w:t>
      </w:r>
      <w:r>
        <w:rPr>
          <w:rFonts w:ascii="Times New Roman" w:hAnsi="Times New Roman"/>
          <w:b/>
          <w:color w:val="000000"/>
          <w:lang w:val="en-US"/>
        </w:rPr>
        <w:t>DAKLINZA</w:t>
      </w:r>
      <w:r w:rsidRPr="00635740">
        <w:rPr>
          <w:rFonts w:ascii="Times New Roman" w:hAnsi="Times New Roman"/>
          <w:b/>
          <w:color w:val="000000"/>
          <w:lang w:val="en-US"/>
        </w:rPr>
        <w:t xml:space="preserve">, Peginterferon Alfa, and Ribavirin </w:t>
      </w:r>
    </w:p>
    <w:p w:rsidR="00A65862" w:rsidRDefault="00A65862" w:rsidP="00E61859">
      <w:pPr>
        <w:pStyle w:val="BMSBodyText"/>
        <w:spacing w:before="0" w:line="240" w:lineRule="auto"/>
        <w:rPr>
          <w:lang w:eastAsia="en-AU"/>
        </w:rPr>
      </w:pPr>
      <w:r w:rsidRPr="00D64D21">
        <w:rPr>
          <w:lang w:eastAsia="en-AU"/>
        </w:rPr>
        <w:t xml:space="preserve">The safety of SUNVEPRA 100 mg twice daily in combination with </w:t>
      </w:r>
      <w:r>
        <w:rPr>
          <w:lang w:eastAsia="en-AU"/>
        </w:rPr>
        <w:t>DAKLINZA</w:t>
      </w:r>
      <w:r w:rsidRPr="00D64D21">
        <w:rPr>
          <w:lang w:eastAsia="en-AU"/>
        </w:rPr>
        <w:t xml:space="preserve">, peginterferon alfa, and ribavirin was assessed in 398 subjects with chronic HCV genotype 1 or 4 infection in an open-label clinical trial [HALLMARK QUAD (AI447029)]. </w:t>
      </w:r>
      <w:r w:rsidR="009A3B02">
        <w:rPr>
          <w:lang w:eastAsia="en-AU"/>
        </w:rPr>
        <w:t xml:space="preserve"> </w:t>
      </w:r>
      <w:r w:rsidRPr="00D64D21">
        <w:rPr>
          <w:lang w:eastAsia="en-AU"/>
        </w:rPr>
        <w:t xml:space="preserve">Median duration of study therapy was 24 weeks. </w:t>
      </w:r>
    </w:p>
    <w:p w:rsidR="00A65862" w:rsidRDefault="00A65862" w:rsidP="00E61859">
      <w:pPr>
        <w:pStyle w:val="BMSBodyText"/>
        <w:spacing w:before="0" w:line="240" w:lineRule="auto"/>
        <w:rPr>
          <w:szCs w:val="24"/>
          <w:lang w:eastAsia="en-AU"/>
        </w:rPr>
      </w:pPr>
      <w:r w:rsidRPr="00940B55">
        <w:rPr>
          <w:szCs w:val="24"/>
          <w:lang w:eastAsia="en-AU"/>
        </w:rPr>
        <w:t xml:space="preserve">The most common adverse events (frequency of 15% or greater) were </w:t>
      </w:r>
      <w:r w:rsidRPr="00940B55">
        <w:t xml:space="preserve">fatigue (42%), headache (31%), pruritus (26%), </w:t>
      </w:r>
      <w:r>
        <w:t xml:space="preserve">asthenia </w:t>
      </w:r>
      <w:r w:rsidRPr="00940B55">
        <w:t>(24%), influenza-like illness and insomnia (each in 22%), rash (21%), an</w:t>
      </w:r>
      <w:r>
        <w:t>a</w:t>
      </w:r>
      <w:r w:rsidRPr="00940B55">
        <w:t>emia (19%), cough (18%), dry skin (18%), diarrhoea (18%), nausea (17%), alopecia, irritability, and pyrexia (each in 16%), and myalgia (15%)</w:t>
      </w:r>
      <w:r w:rsidRPr="00940B55">
        <w:rPr>
          <w:szCs w:val="24"/>
          <w:lang w:eastAsia="en-AU"/>
        </w:rPr>
        <w:t xml:space="preserve">. Most adverse events experienced were mild to moderate in severity. </w:t>
      </w:r>
    </w:p>
    <w:p w:rsidR="00EA08D7" w:rsidRPr="00E61859" w:rsidRDefault="00A65862" w:rsidP="00E61859">
      <w:pPr>
        <w:spacing w:after="120" w:line="240" w:lineRule="auto"/>
        <w:jc w:val="both"/>
        <w:rPr>
          <w:rFonts w:ascii="Times New Roman" w:hAnsi="Times New Roman"/>
          <w:color w:val="000000"/>
          <w:lang w:eastAsia="en-AU"/>
        </w:rPr>
      </w:pPr>
      <w:r w:rsidRPr="00A65862">
        <w:rPr>
          <w:rFonts w:ascii="Times New Roman" w:hAnsi="Times New Roman"/>
          <w:szCs w:val="24"/>
          <w:lang w:eastAsia="en-AU"/>
        </w:rPr>
        <w:t>Six percent of subjects in HALLMARK QUAD experienced an SAE. Five percent of subjects discontinued for adverse events. The most common adverse events leading to discontinuation were rash, malaise, vertigo, and neutropenia.</w:t>
      </w:r>
      <w:r w:rsidR="00EA08D7" w:rsidRPr="00ED5B4E">
        <w:rPr>
          <w:rFonts w:ascii="Times New Roman" w:hAnsi="Times New Roman"/>
          <w:color w:val="000000"/>
          <w:lang w:eastAsia="en-AU"/>
        </w:rPr>
        <w:t xml:space="preserve">Adverse events </w:t>
      </w:r>
      <w:r w:rsidR="00EA08D7" w:rsidRPr="00ED5B4E">
        <w:rPr>
          <w:rFonts w:ascii="Times New Roman" w:hAnsi="Times New Roman"/>
          <w:lang w:eastAsia="en-AU"/>
        </w:rPr>
        <w:t xml:space="preserve">occurring at frequency of 5% or greater </w:t>
      </w:r>
      <w:r w:rsidR="00A43C73" w:rsidRPr="00ED5B4E">
        <w:rPr>
          <w:rFonts w:ascii="Times New Roman" w:hAnsi="Times New Roman"/>
          <w:lang w:eastAsia="en-AU"/>
        </w:rPr>
        <w:t xml:space="preserve">in integrated data from 4 studies of SUNVEPRA in combination with DAKLINZA or </w:t>
      </w:r>
      <w:r w:rsidR="00EA08D7" w:rsidRPr="00ED5B4E">
        <w:rPr>
          <w:rFonts w:ascii="Times New Roman" w:hAnsi="Times New Roman"/>
          <w:lang w:eastAsia="en-AU"/>
        </w:rPr>
        <w:t xml:space="preserve">in </w:t>
      </w:r>
      <w:r w:rsidR="00A43C73" w:rsidRPr="00ED5B4E">
        <w:rPr>
          <w:rFonts w:ascii="Times New Roman" w:hAnsi="Times New Roman"/>
          <w:lang w:eastAsia="en-AU"/>
        </w:rPr>
        <w:t>the HALLMARK QUAD study of</w:t>
      </w:r>
      <w:r w:rsidR="00EA08D7" w:rsidRPr="00ED5B4E">
        <w:rPr>
          <w:rFonts w:ascii="Times New Roman" w:hAnsi="Times New Roman"/>
          <w:lang w:eastAsia="en-AU"/>
        </w:rPr>
        <w:t xml:space="preserve"> SUNVEPRA in combination with </w:t>
      </w:r>
      <w:r w:rsidR="00644782" w:rsidRPr="00ED5B4E">
        <w:rPr>
          <w:rFonts w:ascii="Times New Roman" w:hAnsi="Times New Roman"/>
          <w:lang w:eastAsia="en-AU"/>
        </w:rPr>
        <w:t>DAKLINZA</w:t>
      </w:r>
      <w:r w:rsidR="00EA08D7" w:rsidRPr="00ED5B4E">
        <w:rPr>
          <w:rFonts w:ascii="Times New Roman" w:hAnsi="Times New Roman"/>
          <w:lang w:eastAsia="en-AU"/>
        </w:rPr>
        <w:t xml:space="preserve">, peginterferon alfa, and ribavirin </w:t>
      </w:r>
      <w:r w:rsidR="00EA08D7" w:rsidRPr="00ED5B4E">
        <w:rPr>
          <w:rFonts w:ascii="Times New Roman" w:hAnsi="Times New Roman"/>
          <w:color w:val="000000"/>
          <w:lang w:eastAsia="en-AU"/>
        </w:rPr>
        <w:t xml:space="preserve">are </w:t>
      </w:r>
      <w:r w:rsidR="00EA08D7" w:rsidRPr="00ED5B4E">
        <w:rPr>
          <w:rFonts w:ascii="Times New Roman" w:hAnsi="Times New Roman"/>
          <w:lang w:eastAsia="en-AU"/>
        </w:rPr>
        <w:t xml:space="preserve">presented </w:t>
      </w:r>
      <w:r w:rsidR="00EA08D7" w:rsidRPr="00ED5B4E">
        <w:rPr>
          <w:rFonts w:ascii="Times New Roman" w:hAnsi="Times New Roman"/>
          <w:color w:val="000000"/>
          <w:lang w:eastAsia="en-AU"/>
        </w:rPr>
        <w:t>in Table 6.</w:t>
      </w:r>
    </w:p>
    <w:p w:rsidR="00EA08D7" w:rsidRDefault="00EA08D7" w:rsidP="00E61859">
      <w:pPr>
        <w:spacing w:after="120" w:line="240" w:lineRule="auto"/>
        <w:jc w:val="both"/>
        <w:rPr>
          <w:rFonts w:ascii="Times New Roman" w:hAnsi="Times New Roman"/>
          <w:b/>
        </w:rPr>
      </w:pPr>
      <w:r w:rsidRPr="00ED5B4E">
        <w:rPr>
          <w:rFonts w:ascii="Times New Roman" w:hAnsi="Times New Roman"/>
          <w:b/>
        </w:rPr>
        <w:t xml:space="preserve">Table 6:  </w:t>
      </w:r>
      <w:r w:rsidRPr="00ED5B4E">
        <w:rPr>
          <w:rFonts w:ascii="Times New Roman" w:hAnsi="Times New Roman"/>
          <w:b/>
        </w:rPr>
        <w:tab/>
        <w:t xml:space="preserve">Adverse Events Reported in </w:t>
      </w:r>
      <w:r w:rsidRPr="00ED5B4E">
        <w:rPr>
          <w:rFonts w:ascii="Times New Roman" w:hAnsi="Times New Roman"/>
          <w:b/>
        </w:rPr>
        <w:sym w:font="Symbol" w:char="F0B3"/>
      </w:r>
      <w:r w:rsidRPr="00ED5B4E">
        <w:rPr>
          <w:rFonts w:ascii="Times New Roman" w:hAnsi="Times New Roman"/>
          <w:b/>
        </w:rPr>
        <w:t xml:space="preserve">5% of Subjects </w:t>
      </w:r>
      <w:r w:rsidR="00A43C73" w:rsidRPr="00ED5B4E">
        <w:rPr>
          <w:rFonts w:ascii="Times New Roman" w:hAnsi="Times New Roman"/>
          <w:b/>
        </w:rPr>
        <w:t xml:space="preserve">in </w:t>
      </w:r>
      <w:r w:rsidR="00ED5B4E" w:rsidRPr="00ED5B4E">
        <w:rPr>
          <w:rFonts w:ascii="Times New Roman" w:hAnsi="Times New Roman"/>
          <w:b/>
          <w:lang w:eastAsia="en-AU"/>
        </w:rPr>
        <w:t>integrated data from 4</w:t>
      </w:r>
      <w:r w:rsidR="00ED5B4E" w:rsidRPr="00ED5B4E">
        <w:rPr>
          <w:rFonts w:ascii="Times New Roman" w:hAnsi="Times New Roman"/>
          <w:lang w:eastAsia="en-AU"/>
        </w:rPr>
        <w:t xml:space="preserve"> </w:t>
      </w:r>
      <w:r w:rsidR="00A43C73" w:rsidRPr="00ED5B4E">
        <w:rPr>
          <w:rFonts w:ascii="Times New Roman" w:hAnsi="Times New Roman"/>
          <w:b/>
        </w:rPr>
        <w:t>Clinical Trials of</w:t>
      </w:r>
      <w:r w:rsidR="00ED5B4E">
        <w:rPr>
          <w:rFonts w:ascii="Times New Roman" w:hAnsi="Times New Roman"/>
          <w:b/>
        </w:rPr>
        <w:t xml:space="preserve"> </w:t>
      </w:r>
      <w:r w:rsidRPr="00ED5B4E">
        <w:rPr>
          <w:rFonts w:ascii="Times New Roman" w:hAnsi="Times New Roman"/>
          <w:b/>
        </w:rPr>
        <w:t xml:space="preserve">SUNVEPRA in Combination with </w:t>
      </w:r>
      <w:r w:rsidR="00644782" w:rsidRPr="00ED5B4E">
        <w:rPr>
          <w:rFonts w:ascii="Times New Roman" w:hAnsi="Times New Roman"/>
          <w:b/>
        </w:rPr>
        <w:t>DAKLINZA</w:t>
      </w:r>
      <w:r w:rsidRPr="00ED5B4E">
        <w:rPr>
          <w:rFonts w:ascii="Times New Roman" w:hAnsi="Times New Roman"/>
          <w:b/>
        </w:rPr>
        <w:t xml:space="preserve"> </w:t>
      </w:r>
      <w:r w:rsidR="00A43C73" w:rsidRPr="00ED5B4E">
        <w:rPr>
          <w:rFonts w:ascii="Times New Roman" w:hAnsi="Times New Roman"/>
          <w:b/>
        </w:rPr>
        <w:t>or</w:t>
      </w:r>
      <w:r w:rsidRPr="00ED5B4E">
        <w:rPr>
          <w:rFonts w:ascii="Times New Roman" w:hAnsi="Times New Roman"/>
          <w:b/>
        </w:rPr>
        <w:t xml:space="preserve"> </w:t>
      </w:r>
      <w:r w:rsidR="00ED5B4E" w:rsidRPr="00ED5B4E">
        <w:rPr>
          <w:rFonts w:ascii="Times New Roman" w:hAnsi="Times New Roman"/>
          <w:b/>
          <w:lang w:eastAsia="en-AU"/>
        </w:rPr>
        <w:t xml:space="preserve">in the HALLMARK QUAD study of </w:t>
      </w:r>
      <w:r w:rsidRPr="00ED5B4E">
        <w:rPr>
          <w:rFonts w:ascii="Times New Roman" w:hAnsi="Times New Roman"/>
          <w:b/>
        </w:rPr>
        <w:t xml:space="preserve">SUNVEPRA in Combination with </w:t>
      </w:r>
      <w:r w:rsidR="00644782" w:rsidRPr="00ED5B4E">
        <w:rPr>
          <w:rFonts w:ascii="Times New Roman" w:hAnsi="Times New Roman"/>
          <w:b/>
        </w:rPr>
        <w:t>DAKLINZA</w:t>
      </w:r>
      <w:r w:rsidRPr="00ED5B4E">
        <w:rPr>
          <w:rFonts w:ascii="Times New Roman" w:hAnsi="Times New Roman"/>
          <w:b/>
        </w:rPr>
        <w:t>, Peginterferon alfa and</w:t>
      </w:r>
      <w:r>
        <w:rPr>
          <w:rFonts w:ascii="Times New Roman" w:hAnsi="Times New Roman"/>
          <w:b/>
        </w:rPr>
        <w:t xml:space="preserve"> Ribavarin</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410"/>
        <w:gridCol w:w="2268"/>
      </w:tblGrid>
      <w:tr w:rsidR="00EA08D7" w:rsidRPr="00367A7D" w:rsidTr="00EA08D7">
        <w:trPr>
          <w:trHeight w:val="745"/>
          <w:tblHeader/>
        </w:trPr>
        <w:tc>
          <w:tcPr>
            <w:tcW w:w="3686" w:type="dxa"/>
            <w:tcBorders>
              <w:top w:val="double" w:sz="6" w:space="0" w:color="auto"/>
              <w:left w:val="nil"/>
              <w:bottom w:val="single" w:sz="4" w:space="0" w:color="auto"/>
              <w:right w:val="single" w:sz="4" w:space="0" w:color="auto"/>
            </w:tcBorders>
            <w:shd w:val="clear" w:color="auto" w:fill="auto"/>
          </w:tcPr>
          <w:p w:rsidR="00EA08D7" w:rsidRPr="00105E4A" w:rsidRDefault="00EA08D7" w:rsidP="00EA08D7">
            <w:pPr>
              <w:pStyle w:val="BMSTableHeader"/>
              <w:rPr>
                <w:sz w:val="22"/>
                <w:szCs w:val="22"/>
              </w:rPr>
            </w:pPr>
            <w:r w:rsidRPr="00105E4A">
              <w:rPr>
                <w:sz w:val="22"/>
                <w:szCs w:val="22"/>
              </w:rPr>
              <w:t>A</w:t>
            </w:r>
            <w:r>
              <w:rPr>
                <w:sz w:val="22"/>
                <w:szCs w:val="22"/>
              </w:rPr>
              <w:t>dverse Event</w:t>
            </w:r>
          </w:p>
        </w:tc>
        <w:tc>
          <w:tcPr>
            <w:tcW w:w="2410" w:type="dxa"/>
            <w:tcBorders>
              <w:top w:val="double" w:sz="6" w:space="0" w:color="auto"/>
              <w:left w:val="single" w:sz="4" w:space="0" w:color="auto"/>
              <w:bottom w:val="single" w:sz="4" w:space="0" w:color="auto"/>
              <w:right w:val="nil"/>
            </w:tcBorders>
            <w:shd w:val="clear" w:color="auto" w:fill="auto"/>
          </w:tcPr>
          <w:p w:rsidR="00EA08D7" w:rsidRDefault="000F5D7F" w:rsidP="00EA08D7">
            <w:pPr>
              <w:pStyle w:val="BMSTableHeader"/>
              <w:rPr>
                <w:sz w:val="22"/>
                <w:szCs w:val="22"/>
              </w:rPr>
            </w:pPr>
            <w:r>
              <w:rPr>
                <w:sz w:val="22"/>
                <w:szCs w:val="22"/>
              </w:rPr>
              <w:t>SUNVEPRA</w:t>
            </w:r>
            <w:r w:rsidRPr="0095515F">
              <w:rPr>
                <w:sz w:val="22"/>
                <w:szCs w:val="22"/>
              </w:rPr>
              <w:t xml:space="preserve"> in Combination with </w:t>
            </w:r>
            <w:r>
              <w:rPr>
                <w:sz w:val="22"/>
                <w:szCs w:val="22"/>
              </w:rPr>
              <w:t>DAKLINZA</w:t>
            </w:r>
          </w:p>
          <w:p w:rsidR="00EA08D7" w:rsidRPr="00105E4A" w:rsidRDefault="00EA08D7" w:rsidP="00EA08D7">
            <w:pPr>
              <w:pStyle w:val="BMSTableHeader"/>
              <w:rPr>
                <w:sz w:val="22"/>
                <w:szCs w:val="22"/>
              </w:rPr>
            </w:pPr>
            <w:r w:rsidRPr="00D74771">
              <w:t>Percent with Adverse Event</w:t>
            </w:r>
            <w:r w:rsidRPr="00105E4A">
              <w:rPr>
                <w:sz w:val="22"/>
                <w:szCs w:val="22"/>
              </w:rPr>
              <w:t xml:space="preserve"> </w:t>
            </w:r>
            <w:fldSimple w:instr=" SEQ Table_MISC \* alphabetic \* MERGEFORMAT ">
              <w:r w:rsidR="00251935" w:rsidRPr="00251935">
                <w:rPr>
                  <w:rStyle w:val="BMSTableNote"/>
                  <w:noProof/>
                  <w:sz w:val="22"/>
                  <w:szCs w:val="22"/>
                </w:rPr>
                <w:t>a</w:t>
              </w:r>
            </w:fldSimple>
          </w:p>
          <w:p w:rsidR="00EA08D7" w:rsidRPr="00105E4A" w:rsidRDefault="00EA08D7" w:rsidP="00EA08D7">
            <w:pPr>
              <w:pStyle w:val="BMSTableHeader"/>
              <w:rPr>
                <w:sz w:val="22"/>
                <w:szCs w:val="22"/>
              </w:rPr>
            </w:pPr>
            <w:r w:rsidRPr="00105E4A">
              <w:rPr>
                <w:sz w:val="22"/>
                <w:szCs w:val="22"/>
              </w:rPr>
              <w:t>n= 918</w:t>
            </w:r>
          </w:p>
        </w:tc>
        <w:tc>
          <w:tcPr>
            <w:tcW w:w="2268" w:type="dxa"/>
            <w:tcBorders>
              <w:top w:val="double" w:sz="6" w:space="0" w:color="auto"/>
              <w:left w:val="single" w:sz="4" w:space="0" w:color="auto"/>
              <w:bottom w:val="single" w:sz="4" w:space="0" w:color="auto"/>
              <w:right w:val="nil"/>
            </w:tcBorders>
          </w:tcPr>
          <w:p w:rsidR="00EA08D7" w:rsidRDefault="000F5D7F" w:rsidP="000F5D7F">
            <w:pPr>
              <w:pStyle w:val="BMSTableHeader"/>
              <w:spacing w:before="0" w:after="0"/>
              <w:rPr>
                <w:sz w:val="22"/>
                <w:szCs w:val="22"/>
              </w:rPr>
            </w:pPr>
            <w:r>
              <w:rPr>
                <w:sz w:val="22"/>
                <w:szCs w:val="22"/>
              </w:rPr>
              <w:t>SUNVEPRA</w:t>
            </w:r>
            <w:r w:rsidRPr="0095515F">
              <w:rPr>
                <w:sz w:val="22"/>
                <w:szCs w:val="22"/>
              </w:rPr>
              <w:t xml:space="preserve"> in Combination with </w:t>
            </w:r>
            <w:r>
              <w:rPr>
                <w:sz w:val="22"/>
                <w:szCs w:val="22"/>
              </w:rPr>
              <w:t>DAKLINZA</w:t>
            </w:r>
            <w:r w:rsidRPr="0095515F">
              <w:rPr>
                <w:sz w:val="22"/>
                <w:szCs w:val="22"/>
              </w:rPr>
              <w:t>, Peginterferon Alfa, and Ribavirin</w:t>
            </w:r>
          </w:p>
          <w:p w:rsidR="00EA08D7" w:rsidRPr="005D3545" w:rsidRDefault="00EA08D7" w:rsidP="00EA08D7">
            <w:pPr>
              <w:pStyle w:val="BMSTableHeader"/>
              <w:rPr>
                <w:sz w:val="22"/>
                <w:szCs w:val="22"/>
                <w:vertAlign w:val="superscript"/>
              </w:rPr>
            </w:pPr>
            <w:r w:rsidRPr="00D74771">
              <w:t>Percent with Adverse Event</w:t>
            </w:r>
            <w:r>
              <w:rPr>
                <w:sz w:val="22"/>
                <w:szCs w:val="22"/>
                <w:vertAlign w:val="superscript"/>
              </w:rPr>
              <w:t>b</w:t>
            </w:r>
          </w:p>
          <w:p w:rsidR="00EA08D7" w:rsidRPr="005D3545" w:rsidRDefault="00EA08D7" w:rsidP="00EA08D7">
            <w:pPr>
              <w:pStyle w:val="BMSTableHeader"/>
              <w:rPr>
                <w:sz w:val="22"/>
                <w:szCs w:val="22"/>
                <w:vertAlign w:val="superscript"/>
              </w:rPr>
            </w:pPr>
            <w:r w:rsidRPr="00105E4A">
              <w:rPr>
                <w:sz w:val="22"/>
                <w:szCs w:val="22"/>
              </w:rPr>
              <w:t xml:space="preserve">n= </w:t>
            </w:r>
            <w:r>
              <w:rPr>
                <w:sz w:val="22"/>
                <w:szCs w:val="22"/>
              </w:rPr>
              <w:t>398</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Pr="009C6A9D" w:rsidRDefault="00EA08D7" w:rsidP="00EA08D7">
            <w:pPr>
              <w:tabs>
                <w:tab w:val="left" w:pos="176"/>
              </w:tabs>
              <w:spacing w:after="0"/>
              <w:rPr>
                <w:rFonts w:ascii="Times New Roman" w:hAnsi="Times New Roman"/>
                <w:i/>
              </w:rPr>
            </w:pPr>
            <w:r w:rsidRPr="009C6A9D">
              <w:rPr>
                <w:rFonts w:ascii="Times New Roman" w:hAnsi="Times New Roman"/>
                <w:i/>
              </w:rPr>
              <w:t>G</w:t>
            </w:r>
            <w:r>
              <w:rPr>
                <w:rFonts w:ascii="Times New Roman" w:hAnsi="Times New Roman"/>
                <w:i/>
              </w:rPr>
              <w:t>eneral Dis</w:t>
            </w:r>
            <w:r w:rsidRPr="009C6A9D">
              <w:rPr>
                <w:rFonts w:ascii="Times New Roman" w:hAnsi="Times New Roman"/>
                <w:i/>
              </w:rPr>
              <w:t>orders</w:t>
            </w:r>
            <w:r>
              <w:rPr>
                <w:rFonts w:ascii="Times New Roman" w:hAnsi="Times New Roman"/>
                <w:i/>
              </w:rPr>
              <w:t xml:space="preserve"> and Administration Site Conditions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Fatigue</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16.9</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41.5</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rPr>
            </w:pPr>
            <w:r>
              <w:rPr>
                <w:rFonts w:ascii="Times New Roman" w:hAnsi="Times New Roman"/>
              </w:rPr>
              <w:t>Asthenia</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4.9</w:t>
            </w:r>
          </w:p>
        </w:tc>
        <w:tc>
          <w:tcPr>
            <w:tcW w:w="2268" w:type="dxa"/>
            <w:tcBorders>
              <w:top w:val="nil"/>
              <w:left w:val="single" w:sz="4" w:space="0" w:color="auto"/>
              <w:bottom w:val="nil"/>
              <w:right w:val="nil"/>
            </w:tcBorders>
          </w:tcPr>
          <w:p w:rsidR="00EA08D7" w:rsidRDefault="00EA08D7" w:rsidP="00EA08D7">
            <w:pPr>
              <w:spacing w:after="0"/>
              <w:jc w:val="center"/>
              <w:rPr>
                <w:rFonts w:ascii="Times New Roman" w:hAnsi="Times New Roman"/>
              </w:rPr>
            </w:pPr>
            <w:r>
              <w:rPr>
                <w:rFonts w:ascii="Times New Roman" w:hAnsi="Times New Roman"/>
              </w:rPr>
              <w:t>24.1</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rPr>
            </w:pPr>
            <w:r>
              <w:rPr>
                <w:rFonts w:ascii="Times New Roman" w:hAnsi="Times New Roman"/>
              </w:rPr>
              <w:t>Influenza-like Illness</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2.9</w:t>
            </w:r>
          </w:p>
        </w:tc>
        <w:tc>
          <w:tcPr>
            <w:tcW w:w="2268" w:type="dxa"/>
            <w:tcBorders>
              <w:top w:val="nil"/>
              <w:left w:val="single" w:sz="4" w:space="0" w:color="auto"/>
              <w:bottom w:val="nil"/>
              <w:right w:val="nil"/>
            </w:tcBorders>
          </w:tcPr>
          <w:p w:rsidR="00EA08D7" w:rsidRDefault="00EA08D7" w:rsidP="00EA08D7">
            <w:pPr>
              <w:spacing w:after="0"/>
              <w:jc w:val="center"/>
              <w:rPr>
                <w:rFonts w:ascii="Times New Roman" w:hAnsi="Times New Roman"/>
              </w:rPr>
            </w:pPr>
            <w:r>
              <w:rPr>
                <w:rFonts w:ascii="Times New Roman" w:hAnsi="Times New Roman"/>
              </w:rPr>
              <w:t>22.4</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Pyrexia</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6.2</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16.1</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Irritability</w:t>
            </w:r>
          </w:p>
        </w:tc>
        <w:tc>
          <w:tcPr>
            <w:tcW w:w="2410" w:type="dxa"/>
            <w:tcBorders>
              <w:top w:val="nil"/>
              <w:left w:val="single" w:sz="4" w:space="0" w:color="auto"/>
              <w:bottom w:val="nil"/>
              <w:right w:val="nil"/>
            </w:tcBorders>
            <w:shd w:val="clear" w:color="auto" w:fill="auto"/>
          </w:tcPr>
          <w:p w:rsidR="00EA08D7" w:rsidRDefault="00A43C73" w:rsidP="00EA08D7">
            <w:pPr>
              <w:pStyle w:val="EMEABodyText"/>
              <w:jc w:val="center"/>
              <w:rPr>
                <w:szCs w:val="22"/>
                <w:lang w:val="en-US"/>
              </w:rPr>
            </w:pPr>
            <w:r>
              <w:rPr>
                <w:szCs w:val="22"/>
                <w:lang w:val="en-US"/>
              </w:rPr>
              <w:t>1.9</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16.1</w:t>
            </w:r>
          </w:p>
        </w:tc>
      </w:tr>
      <w:tr w:rsidR="00EA08D7" w:rsidRPr="0046158D" w:rsidTr="00EA08D7">
        <w:tc>
          <w:tcPr>
            <w:tcW w:w="3686" w:type="dxa"/>
            <w:tcBorders>
              <w:top w:val="nil"/>
              <w:left w:val="nil"/>
              <w:bottom w:val="nil"/>
              <w:right w:val="single" w:sz="4" w:space="0" w:color="auto"/>
            </w:tcBorders>
            <w:shd w:val="clear" w:color="auto" w:fill="auto"/>
          </w:tcPr>
          <w:p w:rsidR="00EA08D7" w:rsidRPr="00105E4A" w:rsidRDefault="00EA08D7" w:rsidP="00EA08D7">
            <w:pPr>
              <w:tabs>
                <w:tab w:val="left" w:pos="176"/>
              </w:tabs>
              <w:spacing w:after="0"/>
              <w:rPr>
                <w:rFonts w:ascii="Times New Roman" w:hAnsi="Times New Roman"/>
              </w:rPr>
            </w:pPr>
            <w:r>
              <w:rPr>
                <w:rFonts w:ascii="Times New Roman" w:hAnsi="Times New Roman"/>
              </w:rPr>
              <w:t>Pain</w:t>
            </w:r>
          </w:p>
        </w:tc>
        <w:tc>
          <w:tcPr>
            <w:tcW w:w="2410" w:type="dxa"/>
            <w:tcBorders>
              <w:top w:val="nil"/>
              <w:left w:val="single" w:sz="4" w:space="0" w:color="auto"/>
              <w:bottom w:val="nil"/>
              <w:right w:val="nil"/>
            </w:tcBorders>
            <w:shd w:val="clear" w:color="auto" w:fill="auto"/>
          </w:tcPr>
          <w:p w:rsidR="00EA08D7" w:rsidRDefault="00A43C73" w:rsidP="00EA08D7">
            <w:pPr>
              <w:pStyle w:val="EMEABodyText"/>
              <w:jc w:val="center"/>
              <w:rPr>
                <w:szCs w:val="22"/>
                <w:lang w:val="en-US"/>
              </w:rPr>
            </w:pPr>
            <w:r>
              <w:rPr>
                <w:szCs w:val="22"/>
                <w:lang w:val="en-US"/>
              </w:rPr>
              <w:t>0.7</w:t>
            </w:r>
          </w:p>
        </w:tc>
        <w:tc>
          <w:tcPr>
            <w:tcW w:w="2268" w:type="dxa"/>
            <w:tcBorders>
              <w:top w:val="nil"/>
              <w:left w:val="single" w:sz="4" w:space="0" w:color="auto"/>
              <w:bottom w:val="nil"/>
              <w:right w:val="nil"/>
            </w:tcBorders>
          </w:tcPr>
          <w:p w:rsidR="00EA08D7" w:rsidRPr="00105E4A" w:rsidRDefault="00EA08D7" w:rsidP="00EA08D7">
            <w:pPr>
              <w:spacing w:after="0"/>
              <w:jc w:val="center"/>
              <w:rPr>
                <w:rFonts w:ascii="Times New Roman" w:hAnsi="Times New Roman"/>
              </w:rPr>
            </w:pPr>
            <w:r>
              <w:rPr>
                <w:rFonts w:ascii="Times New Roman" w:hAnsi="Times New Roman"/>
              </w:rPr>
              <w:t>5.3</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t>Gastrointestinal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Diarrhoea</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14.5</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17.6</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Nausea</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10.1</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16.6</w:t>
            </w:r>
          </w:p>
        </w:tc>
      </w:tr>
      <w:tr w:rsidR="00EA08D7" w:rsidRPr="0046158D" w:rsidTr="00EA08D7">
        <w:tc>
          <w:tcPr>
            <w:tcW w:w="3686" w:type="dxa"/>
            <w:tcBorders>
              <w:top w:val="nil"/>
              <w:left w:val="nil"/>
              <w:bottom w:val="nil"/>
              <w:right w:val="single" w:sz="4" w:space="0" w:color="auto"/>
            </w:tcBorders>
            <w:shd w:val="clear" w:color="auto" w:fill="auto"/>
          </w:tcPr>
          <w:p w:rsidR="00EA08D7" w:rsidRPr="00105E4A" w:rsidRDefault="00EA08D7" w:rsidP="00EA08D7">
            <w:pPr>
              <w:pStyle w:val="EMEABodyText"/>
              <w:tabs>
                <w:tab w:val="left" w:pos="176"/>
              </w:tabs>
              <w:rPr>
                <w:color w:val="000000"/>
                <w:szCs w:val="22"/>
              </w:rPr>
            </w:pPr>
            <w:r>
              <w:rPr>
                <w:color w:val="000000"/>
                <w:szCs w:val="22"/>
              </w:rPr>
              <w:t>Constipation</w:t>
            </w:r>
          </w:p>
        </w:tc>
        <w:tc>
          <w:tcPr>
            <w:tcW w:w="2410" w:type="dxa"/>
            <w:tcBorders>
              <w:top w:val="nil"/>
              <w:left w:val="single" w:sz="4" w:space="0" w:color="auto"/>
              <w:bottom w:val="nil"/>
              <w:right w:val="nil"/>
            </w:tcBorders>
            <w:shd w:val="clear" w:color="auto" w:fill="auto"/>
          </w:tcPr>
          <w:p w:rsidR="00EA08D7" w:rsidRPr="00105E4A" w:rsidRDefault="00EA08D7" w:rsidP="00EA08D7">
            <w:pPr>
              <w:pStyle w:val="EMEABodyText"/>
              <w:jc w:val="center"/>
              <w:rPr>
                <w:szCs w:val="22"/>
                <w:lang w:val="en-US"/>
              </w:rPr>
            </w:pPr>
            <w:r>
              <w:rPr>
                <w:szCs w:val="22"/>
                <w:lang w:val="en-US"/>
              </w:rPr>
              <w:t>6.8</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3.5</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Abdominal Pain Upper</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5.6</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5.3</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lastRenderedPageBreak/>
              <w:t>Nervous System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Pr="0000107A" w:rsidRDefault="00EA08D7" w:rsidP="00EA08D7">
            <w:pPr>
              <w:tabs>
                <w:tab w:val="left" w:pos="176"/>
              </w:tabs>
              <w:spacing w:after="0"/>
              <w:rPr>
                <w:rFonts w:ascii="Times New Roman" w:hAnsi="Times New Roman"/>
                <w:i/>
              </w:rPr>
            </w:pPr>
            <w:r w:rsidRPr="0000107A">
              <w:rPr>
                <w:rFonts w:ascii="Times New Roman" w:hAnsi="Times New Roman"/>
                <w:color w:val="000000"/>
              </w:rPr>
              <w:t>Headache</w:t>
            </w:r>
          </w:p>
        </w:tc>
        <w:tc>
          <w:tcPr>
            <w:tcW w:w="2410" w:type="dxa"/>
            <w:tcBorders>
              <w:top w:val="nil"/>
              <w:left w:val="single" w:sz="4" w:space="0" w:color="auto"/>
              <w:bottom w:val="nil"/>
              <w:right w:val="nil"/>
            </w:tcBorders>
            <w:shd w:val="clear" w:color="auto" w:fill="auto"/>
          </w:tcPr>
          <w:p w:rsidR="00EA08D7" w:rsidRDefault="006042C7" w:rsidP="00EA08D7">
            <w:pPr>
              <w:spacing w:after="0"/>
              <w:jc w:val="center"/>
              <w:rPr>
                <w:rFonts w:ascii="Times New Roman" w:hAnsi="Times New Roman"/>
              </w:rPr>
            </w:pPr>
            <w:r>
              <w:rPr>
                <w:rFonts w:ascii="Times New Roman" w:hAnsi="Times New Roman"/>
              </w:rPr>
              <w:t>23.2</w:t>
            </w:r>
          </w:p>
        </w:tc>
        <w:tc>
          <w:tcPr>
            <w:tcW w:w="2268" w:type="dxa"/>
            <w:tcBorders>
              <w:top w:val="nil"/>
              <w:left w:val="single" w:sz="4" w:space="0" w:color="auto"/>
              <w:bottom w:val="nil"/>
              <w:right w:val="nil"/>
            </w:tcBorders>
          </w:tcPr>
          <w:p w:rsidR="00EA08D7" w:rsidRDefault="00EA08D7" w:rsidP="00EA08D7">
            <w:pPr>
              <w:spacing w:after="0"/>
              <w:jc w:val="center"/>
              <w:rPr>
                <w:rFonts w:ascii="Times New Roman" w:hAnsi="Times New Roman"/>
              </w:rPr>
            </w:pPr>
            <w:r>
              <w:rPr>
                <w:rFonts w:ascii="Times New Roman" w:hAnsi="Times New Roman"/>
              </w:rPr>
              <w:t>31.2</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Dizziness</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5.9</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8.0</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t>Psychiatric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Pr="00105E4A" w:rsidRDefault="00EA08D7" w:rsidP="00EA08D7">
            <w:pPr>
              <w:pStyle w:val="EMEABodyText"/>
              <w:tabs>
                <w:tab w:val="left" w:pos="176"/>
              </w:tabs>
              <w:rPr>
                <w:color w:val="000000"/>
                <w:szCs w:val="22"/>
              </w:rPr>
            </w:pPr>
            <w:r>
              <w:rPr>
                <w:color w:val="000000"/>
                <w:szCs w:val="22"/>
              </w:rPr>
              <w:t>Insomnia</w:t>
            </w:r>
          </w:p>
        </w:tc>
        <w:tc>
          <w:tcPr>
            <w:tcW w:w="2410" w:type="dxa"/>
            <w:tcBorders>
              <w:top w:val="nil"/>
              <w:left w:val="single" w:sz="4" w:space="0" w:color="auto"/>
              <w:bottom w:val="nil"/>
              <w:right w:val="nil"/>
            </w:tcBorders>
            <w:shd w:val="clear" w:color="auto" w:fill="auto"/>
          </w:tcPr>
          <w:p w:rsidR="00EA08D7" w:rsidRPr="00105E4A" w:rsidRDefault="00EA08D7" w:rsidP="00EA08D7">
            <w:pPr>
              <w:pStyle w:val="EMEABodyText"/>
              <w:jc w:val="center"/>
              <w:rPr>
                <w:szCs w:val="22"/>
                <w:lang w:val="en-US"/>
              </w:rPr>
            </w:pPr>
            <w:r>
              <w:rPr>
                <w:szCs w:val="22"/>
                <w:lang w:val="en-US"/>
              </w:rPr>
              <w:t>6.5</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22.4</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Depression</w:t>
            </w:r>
          </w:p>
        </w:tc>
        <w:tc>
          <w:tcPr>
            <w:tcW w:w="2410" w:type="dxa"/>
            <w:tcBorders>
              <w:top w:val="nil"/>
              <w:left w:val="single" w:sz="4" w:space="0" w:color="auto"/>
              <w:bottom w:val="nil"/>
              <w:right w:val="nil"/>
            </w:tcBorders>
            <w:shd w:val="clear" w:color="auto" w:fill="auto"/>
          </w:tcPr>
          <w:p w:rsidR="00EA08D7" w:rsidRDefault="006042C7" w:rsidP="00EA08D7">
            <w:pPr>
              <w:pStyle w:val="EMEABodyText"/>
              <w:jc w:val="center"/>
              <w:rPr>
                <w:szCs w:val="22"/>
                <w:lang w:val="en-US"/>
              </w:rPr>
            </w:pPr>
            <w:r>
              <w:rPr>
                <w:szCs w:val="22"/>
                <w:lang w:val="en-US"/>
              </w:rPr>
              <w:t>2.3</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8.5</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t>Musculoskeletal and Connective Tissue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Arthralgia</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6.3</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10.1</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 w:val="left" w:pos="1210"/>
              </w:tabs>
              <w:rPr>
                <w:color w:val="000000"/>
                <w:szCs w:val="22"/>
              </w:rPr>
            </w:pPr>
            <w:r>
              <w:rPr>
                <w:color w:val="000000"/>
                <w:szCs w:val="22"/>
              </w:rPr>
              <w:t>Myalgia</w:t>
            </w:r>
            <w:r>
              <w:rPr>
                <w:color w:val="000000"/>
                <w:szCs w:val="22"/>
              </w:rPr>
              <w:tab/>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5.1</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15.3</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 w:val="left" w:pos="1210"/>
              </w:tabs>
              <w:rPr>
                <w:color w:val="000000"/>
                <w:szCs w:val="22"/>
              </w:rPr>
            </w:pPr>
            <w:r>
              <w:rPr>
                <w:color w:val="000000"/>
                <w:szCs w:val="22"/>
              </w:rPr>
              <w:t>Back Pain</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4.7</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7.3</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Pr="009C6A9D" w:rsidRDefault="00EA08D7" w:rsidP="00EA08D7">
            <w:pPr>
              <w:tabs>
                <w:tab w:val="left" w:pos="176"/>
              </w:tabs>
              <w:spacing w:after="0"/>
              <w:rPr>
                <w:rFonts w:ascii="Times New Roman" w:hAnsi="Times New Roman"/>
                <w:i/>
              </w:rPr>
            </w:pPr>
            <w:r>
              <w:rPr>
                <w:rFonts w:ascii="Times New Roman" w:hAnsi="Times New Roman"/>
                <w:i/>
              </w:rPr>
              <w:t>Skin and Subcutaneous Tissue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Pr="00105E4A" w:rsidRDefault="00EA08D7" w:rsidP="00EA08D7">
            <w:pPr>
              <w:pStyle w:val="EMEABodyText"/>
              <w:tabs>
                <w:tab w:val="left" w:pos="176"/>
              </w:tabs>
              <w:rPr>
                <w:szCs w:val="22"/>
              </w:rPr>
            </w:pPr>
            <w:r>
              <w:rPr>
                <w:szCs w:val="22"/>
              </w:rPr>
              <w:t>Pruritis</w:t>
            </w:r>
          </w:p>
        </w:tc>
        <w:tc>
          <w:tcPr>
            <w:tcW w:w="2410" w:type="dxa"/>
            <w:tcBorders>
              <w:top w:val="nil"/>
              <w:left w:val="single" w:sz="4" w:space="0" w:color="auto"/>
              <w:bottom w:val="nil"/>
              <w:right w:val="nil"/>
            </w:tcBorders>
            <w:shd w:val="clear" w:color="auto" w:fill="auto"/>
          </w:tcPr>
          <w:p w:rsidR="00EA08D7" w:rsidRPr="00105E4A" w:rsidRDefault="00EA08D7" w:rsidP="00EA08D7">
            <w:pPr>
              <w:pStyle w:val="EMEABodyText"/>
              <w:jc w:val="center"/>
              <w:rPr>
                <w:szCs w:val="22"/>
                <w:highlight w:val="yellow"/>
              </w:rPr>
            </w:pPr>
            <w:r w:rsidRPr="00DE347B">
              <w:rPr>
                <w:szCs w:val="22"/>
              </w:rPr>
              <w:t>6.0</w:t>
            </w:r>
          </w:p>
        </w:tc>
        <w:tc>
          <w:tcPr>
            <w:tcW w:w="2268" w:type="dxa"/>
            <w:tcBorders>
              <w:top w:val="nil"/>
              <w:left w:val="single" w:sz="4" w:space="0" w:color="auto"/>
              <w:bottom w:val="nil"/>
              <w:right w:val="nil"/>
            </w:tcBorders>
          </w:tcPr>
          <w:p w:rsidR="00EA08D7" w:rsidRPr="00DE347B" w:rsidRDefault="00EA08D7" w:rsidP="00EA08D7">
            <w:pPr>
              <w:pStyle w:val="EMEABodyText"/>
              <w:jc w:val="center"/>
              <w:rPr>
                <w:szCs w:val="22"/>
              </w:rPr>
            </w:pPr>
            <w:r>
              <w:rPr>
                <w:szCs w:val="22"/>
              </w:rPr>
              <w:t>26.1</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szCs w:val="22"/>
              </w:rPr>
            </w:pPr>
            <w:r>
              <w:rPr>
                <w:szCs w:val="22"/>
              </w:rPr>
              <w:t>Rash</w:t>
            </w:r>
          </w:p>
        </w:tc>
        <w:tc>
          <w:tcPr>
            <w:tcW w:w="2410" w:type="dxa"/>
            <w:tcBorders>
              <w:top w:val="nil"/>
              <w:left w:val="single" w:sz="4" w:space="0" w:color="auto"/>
              <w:bottom w:val="nil"/>
              <w:right w:val="nil"/>
            </w:tcBorders>
            <w:shd w:val="clear" w:color="auto" w:fill="auto"/>
          </w:tcPr>
          <w:p w:rsidR="00EA08D7" w:rsidRPr="00DE347B" w:rsidRDefault="006042C7" w:rsidP="00EA08D7">
            <w:pPr>
              <w:pStyle w:val="EMEABodyText"/>
              <w:jc w:val="center"/>
              <w:rPr>
                <w:szCs w:val="22"/>
              </w:rPr>
            </w:pPr>
            <w:r>
              <w:rPr>
                <w:szCs w:val="22"/>
              </w:rPr>
              <w:t>3.8</w:t>
            </w:r>
          </w:p>
        </w:tc>
        <w:tc>
          <w:tcPr>
            <w:tcW w:w="2268" w:type="dxa"/>
            <w:tcBorders>
              <w:top w:val="nil"/>
              <w:left w:val="single" w:sz="4" w:space="0" w:color="auto"/>
              <w:bottom w:val="nil"/>
              <w:right w:val="nil"/>
            </w:tcBorders>
          </w:tcPr>
          <w:p w:rsidR="00EA08D7" w:rsidRPr="00DE347B" w:rsidRDefault="00EA08D7" w:rsidP="00EA08D7">
            <w:pPr>
              <w:pStyle w:val="EMEABodyText"/>
              <w:jc w:val="center"/>
              <w:rPr>
                <w:szCs w:val="22"/>
              </w:rPr>
            </w:pPr>
            <w:r>
              <w:rPr>
                <w:szCs w:val="22"/>
              </w:rPr>
              <w:t>20.6</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szCs w:val="22"/>
              </w:rPr>
            </w:pPr>
            <w:r>
              <w:rPr>
                <w:szCs w:val="22"/>
              </w:rPr>
              <w:t>Dry Skin</w:t>
            </w:r>
          </w:p>
        </w:tc>
        <w:tc>
          <w:tcPr>
            <w:tcW w:w="2410" w:type="dxa"/>
            <w:tcBorders>
              <w:top w:val="nil"/>
              <w:left w:val="single" w:sz="4" w:space="0" w:color="auto"/>
              <w:bottom w:val="nil"/>
              <w:right w:val="nil"/>
            </w:tcBorders>
            <w:shd w:val="clear" w:color="auto" w:fill="auto"/>
          </w:tcPr>
          <w:p w:rsidR="00EA08D7" w:rsidRPr="00DE347B" w:rsidRDefault="006042C7" w:rsidP="00EA08D7">
            <w:pPr>
              <w:pStyle w:val="EMEABodyText"/>
              <w:jc w:val="center"/>
              <w:rPr>
                <w:szCs w:val="22"/>
              </w:rPr>
            </w:pPr>
            <w:r>
              <w:rPr>
                <w:szCs w:val="22"/>
              </w:rPr>
              <w:t>2.6</w:t>
            </w:r>
          </w:p>
        </w:tc>
        <w:tc>
          <w:tcPr>
            <w:tcW w:w="2268" w:type="dxa"/>
            <w:tcBorders>
              <w:top w:val="nil"/>
              <w:left w:val="single" w:sz="4" w:space="0" w:color="auto"/>
              <w:bottom w:val="nil"/>
              <w:right w:val="nil"/>
            </w:tcBorders>
          </w:tcPr>
          <w:p w:rsidR="00EA08D7" w:rsidRPr="00DE347B" w:rsidRDefault="00EA08D7" w:rsidP="00EA08D7">
            <w:pPr>
              <w:pStyle w:val="EMEABodyText"/>
              <w:jc w:val="center"/>
              <w:rPr>
                <w:szCs w:val="22"/>
              </w:rPr>
            </w:pPr>
            <w:r>
              <w:rPr>
                <w:szCs w:val="22"/>
              </w:rPr>
              <w:t>17.8</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szCs w:val="22"/>
              </w:rPr>
            </w:pPr>
            <w:r>
              <w:rPr>
                <w:szCs w:val="22"/>
              </w:rPr>
              <w:t>Alopecia</w:t>
            </w:r>
          </w:p>
        </w:tc>
        <w:tc>
          <w:tcPr>
            <w:tcW w:w="2410" w:type="dxa"/>
            <w:tcBorders>
              <w:top w:val="nil"/>
              <w:left w:val="single" w:sz="4" w:space="0" w:color="auto"/>
              <w:bottom w:val="nil"/>
              <w:right w:val="nil"/>
            </w:tcBorders>
            <w:shd w:val="clear" w:color="auto" w:fill="auto"/>
          </w:tcPr>
          <w:p w:rsidR="00EA08D7" w:rsidRPr="00DE347B" w:rsidRDefault="00EA08D7" w:rsidP="00EA08D7">
            <w:pPr>
              <w:pStyle w:val="EMEABodyText"/>
              <w:jc w:val="center"/>
              <w:rPr>
                <w:szCs w:val="22"/>
              </w:rPr>
            </w:pPr>
            <w:r>
              <w:rPr>
                <w:szCs w:val="22"/>
              </w:rPr>
              <w:t>3.8</w:t>
            </w:r>
          </w:p>
        </w:tc>
        <w:tc>
          <w:tcPr>
            <w:tcW w:w="2268" w:type="dxa"/>
            <w:tcBorders>
              <w:top w:val="nil"/>
              <w:left w:val="single" w:sz="4" w:space="0" w:color="auto"/>
              <w:bottom w:val="nil"/>
              <w:right w:val="nil"/>
            </w:tcBorders>
          </w:tcPr>
          <w:p w:rsidR="00EA08D7" w:rsidRPr="00DE347B" w:rsidRDefault="00EA08D7" w:rsidP="00EA08D7">
            <w:pPr>
              <w:pStyle w:val="EMEABodyText"/>
              <w:jc w:val="center"/>
              <w:rPr>
                <w:szCs w:val="22"/>
              </w:rPr>
            </w:pPr>
            <w:r>
              <w:rPr>
                <w:szCs w:val="22"/>
              </w:rPr>
              <w:t>16.1</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t>Respiratory, Thoracic and Mediastinal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Cough</w:t>
            </w:r>
          </w:p>
        </w:tc>
        <w:tc>
          <w:tcPr>
            <w:tcW w:w="2410" w:type="dxa"/>
            <w:tcBorders>
              <w:top w:val="nil"/>
              <w:left w:val="single" w:sz="4" w:space="0" w:color="auto"/>
              <w:bottom w:val="nil"/>
              <w:right w:val="nil"/>
            </w:tcBorders>
            <w:shd w:val="clear" w:color="auto" w:fill="auto"/>
          </w:tcPr>
          <w:p w:rsidR="00EA08D7" w:rsidRDefault="00EA08D7" w:rsidP="00EA08D7">
            <w:pPr>
              <w:pStyle w:val="EMEABodyText"/>
              <w:jc w:val="center"/>
              <w:rPr>
                <w:szCs w:val="22"/>
                <w:lang w:val="en-US"/>
              </w:rPr>
            </w:pPr>
            <w:r>
              <w:rPr>
                <w:szCs w:val="22"/>
                <w:lang w:val="en-US"/>
              </w:rPr>
              <w:t>6.3</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18.3</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Dyspnoea</w:t>
            </w:r>
          </w:p>
        </w:tc>
        <w:tc>
          <w:tcPr>
            <w:tcW w:w="2410" w:type="dxa"/>
            <w:tcBorders>
              <w:top w:val="nil"/>
              <w:left w:val="single" w:sz="4" w:space="0" w:color="auto"/>
              <w:bottom w:val="nil"/>
              <w:right w:val="nil"/>
            </w:tcBorders>
            <w:shd w:val="clear" w:color="auto" w:fill="auto"/>
          </w:tcPr>
          <w:p w:rsidR="00EA08D7" w:rsidRDefault="006042C7" w:rsidP="00EA08D7">
            <w:pPr>
              <w:pStyle w:val="EMEABodyText"/>
              <w:jc w:val="center"/>
              <w:rPr>
                <w:szCs w:val="22"/>
                <w:lang w:val="en-US"/>
              </w:rPr>
            </w:pPr>
            <w:r>
              <w:rPr>
                <w:szCs w:val="22"/>
                <w:lang w:val="en-US"/>
              </w:rPr>
              <w:t>2.1</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12.3</w:t>
            </w:r>
          </w:p>
        </w:tc>
      </w:tr>
      <w:tr w:rsidR="00EA08D7" w:rsidRPr="0046158D" w:rsidTr="00EA08D7">
        <w:tc>
          <w:tcPr>
            <w:tcW w:w="3686" w:type="dxa"/>
            <w:tcBorders>
              <w:top w:val="nil"/>
              <w:left w:val="nil"/>
              <w:bottom w:val="single" w:sz="4" w:space="0" w:color="auto"/>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Dyspnoea Exertional</w:t>
            </w:r>
          </w:p>
        </w:tc>
        <w:tc>
          <w:tcPr>
            <w:tcW w:w="2410" w:type="dxa"/>
            <w:tcBorders>
              <w:top w:val="nil"/>
              <w:left w:val="single" w:sz="4" w:space="0" w:color="auto"/>
              <w:bottom w:val="single" w:sz="4" w:space="0" w:color="auto"/>
              <w:right w:val="nil"/>
            </w:tcBorders>
            <w:shd w:val="clear" w:color="auto" w:fill="auto"/>
          </w:tcPr>
          <w:p w:rsidR="00EA08D7" w:rsidRDefault="006042C7" w:rsidP="00EA08D7">
            <w:pPr>
              <w:pStyle w:val="EMEABodyText"/>
              <w:jc w:val="center"/>
              <w:rPr>
                <w:szCs w:val="22"/>
                <w:lang w:val="en-US"/>
              </w:rPr>
            </w:pPr>
            <w:r>
              <w:rPr>
                <w:szCs w:val="22"/>
                <w:lang w:val="en-US"/>
              </w:rPr>
              <w:t>0.5</w:t>
            </w:r>
          </w:p>
        </w:tc>
        <w:tc>
          <w:tcPr>
            <w:tcW w:w="2268" w:type="dxa"/>
            <w:tcBorders>
              <w:top w:val="nil"/>
              <w:left w:val="single" w:sz="4" w:space="0" w:color="auto"/>
              <w:bottom w:val="single" w:sz="4" w:space="0" w:color="auto"/>
              <w:right w:val="nil"/>
            </w:tcBorders>
          </w:tcPr>
          <w:p w:rsidR="00EA08D7" w:rsidRDefault="00EA08D7" w:rsidP="00EA08D7">
            <w:pPr>
              <w:pStyle w:val="EMEABodyText"/>
              <w:jc w:val="center"/>
              <w:rPr>
                <w:szCs w:val="22"/>
                <w:lang w:val="en-US"/>
              </w:rPr>
            </w:pPr>
            <w:r>
              <w:rPr>
                <w:szCs w:val="22"/>
                <w:lang w:val="en-US"/>
              </w:rPr>
              <w:t>5.3</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Pr="00FF43C6" w:rsidRDefault="00EA08D7" w:rsidP="00EA08D7">
            <w:pPr>
              <w:pStyle w:val="EMEABodyText"/>
              <w:tabs>
                <w:tab w:val="left" w:pos="176"/>
              </w:tabs>
              <w:rPr>
                <w:i/>
                <w:color w:val="000000"/>
                <w:szCs w:val="22"/>
              </w:rPr>
            </w:pPr>
            <w:r>
              <w:rPr>
                <w:i/>
                <w:color w:val="000000"/>
                <w:szCs w:val="22"/>
              </w:rPr>
              <w:t>Infections and Infestations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pStyle w:val="EMEABodyText"/>
              <w:jc w:val="center"/>
              <w:rPr>
                <w:szCs w:val="22"/>
                <w:lang w:val="en-US"/>
              </w:rPr>
            </w:pPr>
          </w:p>
        </w:tc>
        <w:tc>
          <w:tcPr>
            <w:tcW w:w="2268" w:type="dxa"/>
            <w:tcBorders>
              <w:top w:val="single" w:sz="4" w:space="0" w:color="auto"/>
              <w:left w:val="single" w:sz="4" w:space="0" w:color="auto"/>
              <w:bottom w:val="nil"/>
              <w:right w:val="nil"/>
            </w:tcBorders>
          </w:tcPr>
          <w:p w:rsidR="00EA08D7" w:rsidRDefault="00EA08D7" w:rsidP="00EA08D7">
            <w:pPr>
              <w:pStyle w:val="EMEABodyText"/>
              <w:jc w:val="center"/>
              <w:rPr>
                <w:szCs w:val="22"/>
                <w:lang w:val="en-US"/>
              </w:rPr>
            </w:pP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sidRPr="00523CC7">
              <w:rPr>
                <w:color w:val="000000"/>
                <w:szCs w:val="22"/>
              </w:rPr>
              <w:t>Nasopharyngitis</w:t>
            </w:r>
          </w:p>
        </w:tc>
        <w:tc>
          <w:tcPr>
            <w:tcW w:w="2410" w:type="dxa"/>
            <w:tcBorders>
              <w:top w:val="nil"/>
              <w:left w:val="single" w:sz="4" w:space="0" w:color="auto"/>
              <w:bottom w:val="nil"/>
              <w:right w:val="nil"/>
            </w:tcBorders>
            <w:shd w:val="clear" w:color="auto" w:fill="auto"/>
          </w:tcPr>
          <w:p w:rsidR="00EA08D7" w:rsidRDefault="005B65F9" w:rsidP="00EA08D7">
            <w:pPr>
              <w:pStyle w:val="EMEABodyText"/>
              <w:jc w:val="center"/>
              <w:rPr>
                <w:szCs w:val="22"/>
                <w:lang w:val="en-US"/>
              </w:rPr>
            </w:pPr>
            <w:r>
              <w:rPr>
                <w:szCs w:val="22"/>
                <w:lang w:val="en-US"/>
              </w:rPr>
              <w:t>13.7</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1.5</w:t>
            </w:r>
          </w:p>
        </w:tc>
      </w:tr>
      <w:tr w:rsidR="00EA08D7" w:rsidRPr="0046158D" w:rsidTr="00EA08D7">
        <w:tc>
          <w:tcPr>
            <w:tcW w:w="3686" w:type="dxa"/>
            <w:tcBorders>
              <w:top w:val="nil"/>
              <w:left w:val="nil"/>
              <w:bottom w:val="single" w:sz="4" w:space="0" w:color="auto"/>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Upper Respiratory Tract Infection</w:t>
            </w:r>
          </w:p>
        </w:tc>
        <w:tc>
          <w:tcPr>
            <w:tcW w:w="2410" w:type="dxa"/>
            <w:tcBorders>
              <w:top w:val="nil"/>
              <w:left w:val="single" w:sz="4" w:space="0" w:color="auto"/>
              <w:bottom w:val="single" w:sz="4" w:space="0" w:color="auto"/>
              <w:right w:val="nil"/>
            </w:tcBorders>
            <w:shd w:val="clear" w:color="auto" w:fill="auto"/>
          </w:tcPr>
          <w:p w:rsidR="00EA08D7" w:rsidRDefault="00EA08D7" w:rsidP="00EA08D7">
            <w:pPr>
              <w:pStyle w:val="EMEABodyText"/>
              <w:jc w:val="center"/>
              <w:rPr>
                <w:szCs w:val="22"/>
                <w:lang w:val="en-US"/>
              </w:rPr>
            </w:pPr>
            <w:r>
              <w:rPr>
                <w:szCs w:val="22"/>
                <w:lang w:val="en-US"/>
              </w:rPr>
              <w:t>5.2</w:t>
            </w:r>
          </w:p>
        </w:tc>
        <w:tc>
          <w:tcPr>
            <w:tcW w:w="2268" w:type="dxa"/>
            <w:tcBorders>
              <w:top w:val="nil"/>
              <w:left w:val="single" w:sz="4" w:space="0" w:color="auto"/>
              <w:bottom w:val="single" w:sz="4" w:space="0" w:color="auto"/>
              <w:right w:val="nil"/>
            </w:tcBorders>
          </w:tcPr>
          <w:p w:rsidR="00EA08D7" w:rsidRDefault="00EA08D7" w:rsidP="00EA08D7">
            <w:pPr>
              <w:pStyle w:val="EMEABodyText"/>
              <w:jc w:val="center"/>
              <w:rPr>
                <w:szCs w:val="22"/>
                <w:lang w:val="en-US"/>
              </w:rPr>
            </w:pPr>
            <w:r>
              <w:rPr>
                <w:szCs w:val="22"/>
                <w:lang w:val="en-US"/>
              </w:rPr>
              <w:t>3.0</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Pr="000C681A" w:rsidRDefault="00EA08D7" w:rsidP="00EA08D7">
            <w:pPr>
              <w:pStyle w:val="EMEABodyText"/>
              <w:tabs>
                <w:tab w:val="left" w:pos="176"/>
              </w:tabs>
              <w:rPr>
                <w:i/>
                <w:color w:val="000000"/>
                <w:szCs w:val="22"/>
              </w:rPr>
            </w:pPr>
            <w:r>
              <w:rPr>
                <w:i/>
                <w:color w:val="000000"/>
                <w:szCs w:val="22"/>
              </w:rPr>
              <w:t>Blood and Lymphatic System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pStyle w:val="EMEABodyText"/>
              <w:jc w:val="center"/>
              <w:rPr>
                <w:szCs w:val="22"/>
                <w:lang w:val="en-US"/>
              </w:rPr>
            </w:pPr>
          </w:p>
        </w:tc>
        <w:tc>
          <w:tcPr>
            <w:tcW w:w="2268" w:type="dxa"/>
            <w:tcBorders>
              <w:top w:val="single" w:sz="4" w:space="0" w:color="auto"/>
              <w:left w:val="single" w:sz="4" w:space="0" w:color="auto"/>
              <w:bottom w:val="nil"/>
              <w:right w:val="nil"/>
            </w:tcBorders>
          </w:tcPr>
          <w:p w:rsidR="00EA08D7" w:rsidRDefault="00EA08D7" w:rsidP="00EA08D7">
            <w:pPr>
              <w:pStyle w:val="EMEABodyText"/>
              <w:jc w:val="center"/>
              <w:rPr>
                <w:szCs w:val="22"/>
                <w:lang w:val="en-US"/>
              </w:rPr>
            </w:pP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Anaemia</w:t>
            </w:r>
          </w:p>
        </w:tc>
        <w:tc>
          <w:tcPr>
            <w:tcW w:w="2410" w:type="dxa"/>
            <w:tcBorders>
              <w:top w:val="nil"/>
              <w:left w:val="single" w:sz="4" w:space="0" w:color="auto"/>
              <w:bottom w:val="nil"/>
              <w:right w:val="nil"/>
            </w:tcBorders>
            <w:shd w:val="clear" w:color="auto" w:fill="auto"/>
          </w:tcPr>
          <w:p w:rsidR="00EA08D7" w:rsidRDefault="006042C7" w:rsidP="00EA08D7">
            <w:pPr>
              <w:pStyle w:val="EMEABodyText"/>
              <w:jc w:val="center"/>
              <w:rPr>
                <w:szCs w:val="22"/>
                <w:lang w:val="en-US"/>
              </w:rPr>
            </w:pPr>
            <w:r>
              <w:rPr>
                <w:szCs w:val="22"/>
                <w:lang w:val="en-US"/>
              </w:rPr>
              <w:t>1.1</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19.3</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Neutropenia</w:t>
            </w:r>
          </w:p>
        </w:tc>
        <w:tc>
          <w:tcPr>
            <w:tcW w:w="2410" w:type="dxa"/>
            <w:tcBorders>
              <w:top w:val="nil"/>
              <w:left w:val="single" w:sz="4" w:space="0" w:color="auto"/>
              <w:bottom w:val="nil"/>
              <w:right w:val="nil"/>
            </w:tcBorders>
            <w:shd w:val="clear" w:color="auto" w:fill="auto"/>
          </w:tcPr>
          <w:p w:rsidR="00EA08D7" w:rsidRDefault="006042C7" w:rsidP="00EA08D7">
            <w:pPr>
              <w:pStyle w:val="EMEABodyText"/>
              <w:jc w:val="center"/>
              <w:rPr>
                <w:szCs w:val="22"/>
                <w:lang w:val="en-US"/>
              </w:rPr>
            </w:pPr>
            <w:r>
              <w:rPr>
                <w:szCs w:val="22"/>
                <w:lang w:val="en-US"/>
              </w:rPr>
              <w:t>0.2</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14.8</w:t>
            </w:r>
          </w:p>
        </w:tc>
      </w:tr>
      <w:tr w:rsidR="00EA08D7" w:rsidRPr="0046158D" w:rsidTr="00EA08D7">
        <w:tc>
          <w:tcPr>
            <w:tcW w:w="3686" w:type="dxa"/>
            <w:tcBorders>
              <w:top w:val="nil"/>
              <w:left w:val="nil"/>
              <w:bottom w:val="nil"/>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Thrombocytopenia</w:t>
            </w:r>
          </w:p>
        </w:tc>
        <w:tc>
          <w:tcPr>
            <w:tcW w:w="2410" w:type="dxa"/>
            <w:tcBorders>
              <w:top w:val="nil"/>
              <w:left w:val="single" w:sz="4" w:space="0" w:color="auto"/>
              <w:bottom w:val="nil"/>
              <w:right w:val="nil"/>
            </w:tcBorders>
            <w:shd w:val="clear" w:color="auto" w:fill="auto"/>
          </w:tcPr>
          <w:p w:rsidR="00EA08D7" w:rsidRDefault="006042C7" w:rsidP="00EA08D7">
            <w:pPr>
              <w:pStyle w:val="EMEABodyText"/>
              <w:jc w:val="center"/>
              <w:rPr>
                <w:szCs w:val="22"/>
                <w:lang w:val="en-US"/>
              </w:rPr>
            </w:pPr>
            <w:r>
              <w:rPr>
                <w:szCs w:val="22"/>
                <w:lang w:val="en-US"/>
              </w:rPr>
              <w:t>1.1</w:t>
            </w:r>
          </w:p>
        </w:tc>
        <w:tc>
          <w:tcPr>
            <w:tcW w:w="2268" w:type="dxa"/>
            <w:tcBorders>
              <w:top w:val="nil"/>
              <w:left w:val="single" w:sz="4" w:space="0" w:color="auto"/>
              <w:bottom w:val="nil"/>
              <w:right w:val="nil"/>
            </w:tcBorders>
          </w:tcPr>
          <w:p w:rsidR="00EA08D7" w:rsidRDefault="00EA08D7" w:rsidP="00EA08D7">
            <w:pPr>
              <w:pStyle w:val="EMEABodyText"/>
              <w:jc w:val="center"/>
              <w:rPr>
                <w:szCs w:val="22"/>
                <w:lang w:val="en-US"/>
              </w:rPr>
            </w:pPr>
            <w:r>
              <w:rPr>
                <w:szCs w:val="22"/>
                <w:lang w:val="en-US"/>
              </w:rPr>
              <w:t>6.0</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t>Investigations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nil"/>
              <w:right w:val="single" w:sz="4" w:space="0" w:color="auto"/>
            </w:tcBorders>
            <w:shd w:val="clear" w:color="auto" w:fill="auto"/>
          </w:tcPr>
          <w:p w:rsidR="00EA08D7" w:rsidRPr="00105E4A" w:rsidRDefault="00EA08D7" w:rsidP="00EA08D7">
            <w:pPr>
              <w:tabs>
                <w:tab w:val="left" w:pos="176"/>
              </w:tabs>
              <w:spacing w:after="0"/>
              <w:rPr>
                <w:rFonts w:ascii="Times New Roman" w:hAnsi="Times New Roman"/>
              </w:rPr>
            </w:pPr>
            <w:r>
              <w:rPr>
                <w:rFonts w:ascii="Times New Roman" w:hAnsi="Times New Roman"/>
              </w:rPr>
              <w:t>Increase in ALT</w:t>
            </w:r>
          </w:p>
        </w:tc>
        <w:tc>
          <w:tcPr>
            <w:tcW w:w="2410" w:type="dxa"/>
            <w:tcBorders>
              <w:top w:val="nil"/>
              <w:left w:val="single" w:sz="4" w:space="0" w:color="auto"/>
              <w:bottom w:val="nil"/>
              <w:right w:val="nil"/>
            </w:tcBorders>
            <w:shd w:val="clear" w:color="auto" w:fill="auto"/>
          </w:tcPr>
          <w:p w:rsidR="00EA08D7" w:rsidRPr="00105E4A" w:rsidRDefault="00EA08D7" w:rsidP="00EA08D7">
            <w:pPr>
              <w:spacing w:after="0"/>
              <w:jc w:val="center"/>
              <w:rPr>
                <w:rFonts w:ascii="Times New Roman" w:hAnsi="Times New Roman"/>
              </w:rPr>
            </w:pPr>
            <w:r>
              <w:rPr>
                <w:rFonts w:ascii="Times New Roman" w:hAnsi="Times New Roman"/>
              </w:rPr>
              <w:t>6.9</w:t>
            </w:r>
          </w:p>
        </w:tc>
        <w:tc>
          <w:tcPr>
            <w:tcW w:w="2268" w:type="dxa"/>
            <w:tcBorders>
              <w:top w:val="nil"/>
              <w:left w:val="single" w:sz="4" w:space="0" w:color="auto"/>
              <w:bottom w:val="nil"/>
              <w:right w:val="nil"/>
            </w:tcBorders>
          </w:tcPr>
          <w:p w:rsidR="00EA08D7" w:rsidRDefault="00EA08D7" w:rsidP="00EA08D7">
            <w:pPr>
              <w:spacing w:after="0"/>
              <w:jc w:val="center"/>
              <w:rPr>
                <w:rFonts w:ascii="Times New Roman" w:hAnsi="Times New Roman"/>
              </w:rPr>
            </w:pPr>
            <w:r>
              <w:rPr>
                <w:rFonts w:ascii="Times New Roman" w:hAnsi="Times New Roman"/>
              </w:rPr>
              <w:t>1.3</w:t>
            </w:r>
          </w:p>
        </w:tc>
      </w:tr>
      <w:tr w:rsidR="00EA08D7" w:rsidRPr="0046158D" w:rsidTr="00EA08D7">
        <w:tc>
          <w:tcPr>
            <w:tcW w:w="3686" w:type="dxa"/>
            <w:tcBorders>
              <w:top w:val="nil"/>
              <w:left w:val="nil"/>
              <w:bottom w:val="single" w:sz="4" w:space="0" w:color="auto"/>
              <w:right w:val="single" w:sz="4" w:space="0" w:color="auto"/>
            </w:tcBorders>
            <w:shd w:val="clear" w:color="auto" w:fill="auto"/>
          </w:tcPr>
          <w:p w:rsidR="00EA08D7" w:rsidRDefault="00EA08D7" w:rsidP="00EA08D7">
            <w:pPr>
              <w:tabs>
                <w:tab w:val="left" w:pos="176"/>
              </w:tabs>
              <w:spacing w:after="0"/>
              <w:rPr>
                <w:rFonts w:ascii="Times New Roman" w:hAnsi="Times New Roman"/>
              </w:rPr>
            </w:pPr>
            <w:r>
              <w:rPr>
                <w:rFonts w:ascii="Times New Roman" w:hAnsi="Times New Roman"/>
              </w:rPr>
              <w:t>Weight Decreased</w:t>
            </w:r>
          </w:p>
        </w:tc>
        <w:tc>
          <w:tcPr>
            <w:tcW w:w="2410" w:type="dxa"/>
            <w:tcBorders>
              <w:top w:val="nil"/>
              <w:left w:val="single" w:sz="4" w:space="0" w:color="auto"/>
              <w:bottom w:val="single" w:sz="4" w:space="0" w:color="auto"/>
              <w:right w:val="nil"/>
            </w:tcBorders>
            <w:shd w:val="clear" w:color="auto" w:fill="auto"/>
          </w:tcPr>
          <w:p w:rsidR="00EA08D7" w:rsidRDefault="006042C7" w:rsidP="00EA08D7">
            <w:pPr>
              <w:spacing w:after="0"/>
              <w:jc w:val="center"/>
              <w:rPr>
                <w:rFonts w:ascii="Times New Roman" w:hAnsi="Times New Roman"/>
              </w:rPr>
            </w:pPr>
            <w:r>
              <w:rPr>
                <w:rFonts w:ascii="Times New Roman" w:hAnsi="Times New Roman"/>
              </w:rPr>
              <w:t>0.7</w:t>
            </w:r>
          </w:p>
        </w:tc>
        <w:tc>
          <w:tcPr>
            <w:tcW w:w="2268" w:type="dxa"/>
            <w:tcBorders>
              <w:top w:val="nil"/>
              <w:left w:val="single" w:sz="4" w:space="0" w:color="auto"/>
              <w:bottom w:val="single" w:sz="4" w:space="0" w:color="auto"/>
              <w:right w:val="nil"/>
            </w:tcBorders>
          </w:tcPr>
          <w:p w:rsidR="00EA08D7" w:rsidRDefault="00EA08D7" w:rsidP="00EA08D7">
            <w:pPr>
              <w:spacing w:after="0"/>
              <w:jc w:val="center"/>
              <w:rPr>
                <w:rFonts w:ascii="Times New Roman" w:hAnsi="Times New Roman"/>
              </w:rPr>
            </w:pPr>
            <w:r>
              <w:rPr>
                <w:rFonts w:ascii="Times New Roman" w:hAnsi="Times New Roman"/>
              </w:rPr>
              <w:t>6.5</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t>Metabolic and Nutrition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single" w:sz="4" w:space="0" w:color="auto"/>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Decreased Appetite</w:t>
            </w:r>
          </w:p>
        </w:tc>
        <w:tc>
          <w:tcPr>
            <w:tcW w:w="2410" w:type="dxa"/>
            <w:tcBorders>
              <w:top w:val="nil"/>
              <w:left w:val="single" w:sz="4" w:space="0" w:color="auto"/>
              <w:bottom w:val="single" w:sz="4" w:space="0" w:color="auto"/>
              <w:right w:val="nil"/>
            </w:tcBorders>
            <w:shd w:val="clear" w:color="auto" w:fill="auto"/>
          </w:tcPr>
          <w:p w:rsidR="00EA08D7" w:rsidRDefault="006042C7" w:rsidP="00EA08D7">
            <w:pPr>
              <w:spacing w:after="0"/>
              <w:jc w:val="center"/>
              <w:rPr>
                <w:rFonts w:ascii="Times New Roman" w:hAnsi="Times New Roman"/>
              </w:rPr>
            </w:pPr>
            <w:r>
              <w:rPr>
                <w:rFonts w:ascii="Times New Roman" w:hAnsi="Times New Roman"/>
              </w:rPr>
              <w:t>3.4</w:t>
            </w:r>
          </w:p>
        </w:tc>
        <w:tc>
          <w:tcPr>
            <w:tcW w:w="2268" w:type="dxa"/>
            <w:tcBorders>
              <w:top w:val="nil"/>
              <w:left w:val="single" w:sz="4" w:space="0" w:color="auto"/>
              <w:bottom w:val="single" w:sz="4" w:space="0" w:color="auto"/>
              <w:right w:val="nil"/>
            </w:tcBorders>
          </w:tcPr>
          <w:p w:rsidR="00EA08D7" w:rsidRDefault="00EA08D7" w:rsidP="00EA08D7">
            <w:pPr>
              <w:spacing w:after="0"/>
              <w:jc w:val="center"/>
              <w:rPr>
                <w:rFonts w:ascii="Times New Roman" w:hAnsi="Times New Roman"/>
              </w:rPr>
            </w:pPr>
            <w:r>
              <w:rPr>
                <w:rFonts w:ascii="Times New Roman" w:hAnsi="Times New Roman"/>
              </w:rPr>
              <w:t>11.8</w:t>
            </w:r>
          </w:p>
        </w:tc>
      </w:tr>
      <w:tr w:rsidR="00EA08D7" w:rsidRPr="0046158D" w:rsidTr="00EA08D7">
        <w:tc>
          <w:tcPr>
            <w:tcW w:w="3686" w:type="dxa"/>
            <w:tcBorders>
              <w:top w:val="single" w:sz="4" w:space="0" w:color="auto"/>
              <w:left w:val="nil"/>
              <w:bottom w:val="nil"/>
              <w:right w:val="single" w:sz="4" w:space="0" w:color="auto"/>
            </w:tcBorders>
            <w:shd w:val="clear" w:color="auto" w:fill="auto"/>
          </w:tcPr>
          <w:p w:rsidR="00EA08D7" w:rsidRDefault="00EA08D7" w:rsidP="00EA08D7">
            <w:pPr>
              <w:tabs>
                <w:tab w:val="left" w:pos="176"/>
              </w:tabs>
              <w:spacing w:after="0"/>
              <w:rPr>
                <w:rFonts w:ascii="Times New Roman" w:hAnsi="Times New Roman"/>
                <w:i/>
              </w:rPr>
            </w:pPr>
            <w:r>
              <w:rPr>
                <w:rFonts w:ascii="Times New Roman" w:hAnsi="Times New Roman"/>
                <w:i/>
              </w:rPr>
              <w:t>Eye Disorders</w:t>
            </w:r>
          </w:p>
        </w:tc>
        <w:tc>
          <w:tcPr>
            <w:tcW w:w="2410" w:type="dxa"/>
            <w:tcBorders>
              <w:top w:val="single" w:sz="4" w:space="0" w:color="auto"/>
              <w:left w:val="single" w:sz="4" w:space="0" w:color="auto"/>
              <w:bottom w:val="nil"/>
              <w:right w:val="nil"/>
            </w:tcBorders>
            <w:shd w:val="clear" w:color="auto" w:fill="auto"/>
          </w:tcPr>
          <w:p w:rsidR="00EA08D7" w:rsidRDefault="00EA08D7" w:rsidP="00EA08D7">
            <w:pPr>
              <w:spacing w:after="0"/>
              <w:jc w:val="center"/>
              <w:rPr>
                <w:rFonts w:ascii="Times New Roman" w:hAnsi="Times New Roman"/>
              </w:rPr>
            </w:pPr>
          </w:p>
        </w:tc>
        <w:tc>
          <w:tcPr>
            <w:tcW w:w="2268" w:type="dxa"/>
            <w:tcBorders>
              <w:top w:val="single" w:sz="4" w:space="0" w:color="auto"/>
              <w:left w:val="single" w:sz="4" w:space="0" w:color="auto"/>
              <w:bottom w:val="nil"/>
              <w:right w:val="nil"/>
            </w:tcBorders>
          </w:tcPr>
          <w:p w:rsidR="00EA08D7" w:rsidRDefault="00EA08D7" w:rsidP="00EA08D7">
            <w:pPr>
              <w:spacing w:after="0"/>
              <w:jc w:val="center"/>
              <w:rPr>
                <w:rFonts w:ascii="Times New Roman" w:hAnsi="Times New Roman"/>
              </w:rPr>
            </w:pPr>
          </w:p>
        </w:tc>
      </w:tr>
      <w:tr w:rsidR="00EA08D7" w:rsidRPr="0046158D" w:rsidTr="00EA08D7">
        <w:tc>
          <w:tcPr>
            <w:tcW w:w="3686" w:type="dxa"/>
            <w:tcBorders>
              <w:top w:val="nil"/>
              <w:left w:val="nil"/>
              <w:bottom w:val="double" w:sz="4" w:space="0" w:color="auto"/>
              <w:right w:val="single" w:sz="4" w:space="0" w:color="auto"/>
            </w:tcBorders>
            <w:shd w:val="clear" w:color="auto" w:fill="auto"/>
          </w:tcPr>
          <w:p w:rsidR="00EA08D7" w:rsidRDefault="00EA08D7" w:rsidP="00EA08D7">
            <w:pPr>
              <w:pStyle w:val="EMEABodyText"/>
              <w:tabs>
                <w:tab w:val="left" w:pos="176"/>
              </w:tabs>
              <w:rPr>
                <w:color w:val="000000"/>
                <w:szCs w:val="22"/>
              </w:rPr>
            </w:pPr>
            <w:r>
              <w:rPr>
                <w:color w:val="000000"/>
                <w:szCs w:val="22"/>
              </w:rPr>
              <w:t>Dry Eye</w:t>
            </w:r>
          </w:p>
        </w:tc>
        <w:tc>
          <w:tcPr>
            <w:tcW w:w="2410" w:type="dxa"/>
            <w:tcBorders>
              <w:top w:val="nil"/>
              <w:left w:val="single" w:sz="4" w:space="0" w:color="auto"/>
              <w:bottom w:val="double" w:sz="4" w:space="0" w:color="auto"/>
              <w:right w:val="nil"/>
            </w:tcBorders>
            <w:shd w:val="clear" w:color="auto" w:fill="auto"/>
          </w:tcPr>
          <w:p w:rsidR="00EA08D7" w:rsidRDefault="006042C7" w:rsidP="00EA08D7">
            <w:pPr>
              <w:spacing w:after="0"/>
              <w:jc w:val="center"/>
              <w:rPr>
                <w:rFonts w:ascii="Times New Roman" w:hAnsi="Times New Roman"/>
              </w:rPr>
            </w:pPr>
            <w:r>
              <w:rPr>
                <w:rFonts w:ascii="Times New Roman" w:hAnsi="Times New Roman"/>
              </w:rPr>
              <w:t>0.4</w:t>
            </w:r>
          </w:p>
        </w:tc>
        <w:tc>
          <w:tcPr>
            <w:tcW w:w="2268" w:type="dxa"/>
            <w:tcBorders>
              <w:top w:val="nil"/>
              <w:left w:val="single" w:sz="4" w:space="0" w:color="auto"/>
              <w:bottom w:val="double" w:sz="4" w:space="0" w:color="auto"/>
              <w:right w:val="nil"/>
            </w:tcBorders>
          </w:tcPr>
          <w:p w:rsidR="00EA08D7" w:rsidRDefault="00EA08D7" w:rsidP="00EA08D7">
            <w:pPr>
              <w:spacing w:after="0"/>
              <w:jc w:val="center"/>
              <w:rPr>
                <w:rFonts w:ascii="Times New Roman" w:hAnsi="Times New Roman"/>
              </w:rPr>
            </w:pPr>
            <w:r>
              <w:rPr>
                <w:rFonts w:ascii="Times New Roman" w:hAnsi="Times New Roman"/>
              </w:rPr>
              <w:t>5.3</w:t>
            </w:r>
          </w:p>
        </w:tc>
      </w:tr>
    </w:tbl>
    <w:p w:rsidR="00EA08D7" w:rsidRDefault="00EA08D7" w:rsidP="00EA08D7">
      <w:pPr>
        <w:spacing w:after="0"/>
        <w:rPr>
          <w:rFonts w:ascii="Times New Roman" w:hAnsi="Times New Roman"/>
          <w:sz w:val="20"/>
        </w:rPr>
      </w:pPr>
      <w:r w:rsidRPr="00286756">
        <w:rPr>
          <w:rFonts w:ascii="Times New Roman" w:hAnsi="Times New Roman"/>
          <w:sz w:val="20"/>
          <w:vertAlign w:val="superscript"/>
        </w:rPr>
        <w:t>a</w:t>
      </w:r>
      <w:r>
        <w:rPr>
          <w:rFonts w:ascii="Times New Roman" w:hAnsi="Times New Roman"/>
          <w:sz w:val="20"/>
        </w:rPr>
        <w:t xml:space="preserve"> </w:t>
      </w:r>
      <w:r w:rsidRPr="00105E4A">
        <w:rPr>
          <w:rFonts w:ascii="Times New Roman" w:hAnsi="Times New Roman"/>
          <w:sz w:val="20"/>
        </w:rPr>
        <w:t>Integrated data from studies HALLMARK DUAL, HALLMARK NIPPON, AI447017, and AI447011.</w:t>
      </w:r>
    </w:p>
    <w:p w:rsidR="00EA08D7" w:rsidRDefault="00EA08D7" w:rsidP="00EA08D7">
      <w:pPr>
        <w:spacing w:after="0"/>
        <w:rPr>
          <w:rFonts w:ascii="Times New Roman" w:hAnsi="Times New Roman"/>
          <w:sz w:val="20"/>
        </w:rPr>
      </w:pPr>
      <w:r>
        <w:rPr>
          <w:rFonts w:ascii="Times New Roman" w:hAnsi="Times New Roman"/>
          <w:sz w:val="20"/>
          <w:vertAlign w:val="superscript"/>
        </w:rPr>
        <w:t xml:space="preserve">b </w:t>
      </w:r>
      <w:r w:rsidR="005B65F9">
        <w:rPr>
          <w:rFonts w:ascii="Times New Roman" w:hAnsi="Times New Roman"/>
          <w:sz w:val="20"/>
        </w:rPr>
        <w:t>Study</w:t>
      </w:r>
      <w:r w:rsidRPr="00105E4A">
        <w:rPr>
          <w:rFonts w:ascii="Times New Roman" w:hAnsi="Times New Roman"/>
          <w:sz w:val="20"/>
        </w:rPr>
        <w:t xml:space="preserve"> HALLMARK </w:t>
      </w:r>
      <w:r>
        <w:rPr>
          <w:rFonts w:ascii="Times New Roman" w:hAnsi="Times New Roman"/>
          <w:sz w:val="20"/>
        </w:rPr>
        <w:t>QUAD</w:t>
      </w:r>
    </w:p>
    <w:p w:rsidR="00E76256" w:rsidRDefault="00E76256" w:rsidP="00E76256">
      <w:pPr>
        <w:pStyle w:val="BMSBodyText"/>
        <w:spacing w:before="0" w:after="0" w:line="240" w:lineRule="auto"/>
        <w:rPr>
          <w:b/>
        </w:rPr>
      </w:pPr>
    </w:p>
    <w:p w:rsidR="00E76256" w:rsidRDefault="00E76256" w:rsidP="00E61859">
      <w:pPr>
        <w:pStyle w:val="BMSBodyText"/>
        <w:spacing w:before="0" w:line="240" w:lineRule="auto"/>
      </w:pPr>
      <w:r w:rsidRPr="0012235A">
        <w:rPr>
          <w:b/>
        </w:rPr>
        <w:t>Less Common Adverse Reactions:</w:t>
      </w:r>
      <w:r w:rsidRPr="002F3314">
        <w:t xml:space="preserve">  Additional adverse reactions observed in clinical trials of </w:t>
      </w:r>
      <w:r>
        <w:t>SUNVEPRA</w:t>
      </w:r>
      <w:r w:rsidRPr="009E1E41">
        <w:t xml:space="preserve"> </w:t>
      </w:r>
      <w:r>
        <w:t xml:space="preserve">in </w:t>
      </w:r>
      <w:r w:rsidRPr="009E1E41">
        <w:t xml:space="preserve">combination </w:t>
      </w:r>
      <w:r>
        <w:t xml:space="preserve">DAKLINZA </w:t>
      </w:r>
      <w:r w:rsidRPr="009E1E41">
        <w:t xml:space="preserve">occurring in </w:t>
      </w:r>
      <w:r>
        <w:t>less than 5</w:t>
      </w:r>
      <w:r w:rsidRPr="009E1E41">
        <w:t xml:space="preserve">% of subjects </w:t>
      </w:r>
      <w:r w:rsidRPr="009E1E41">
        <w:lastRenderedPageBreak/>
        <w:t xml:space="preserve">are </w:t>
      </w:r>
      <w:r>
        <w:t>eosinophilia and increase in AST.</w:t>
      </w:r>
      <w:r w:rsidRPr="009E1E41">
        <w:t xml:space="preserve"> These events have been included because of their seriousness or assessment of potential causal relationship</w:t>
      </w:r>
      <w:r>
        <w:t xml:space="preserve"> to the regimen</w:t>
      </w:r>
      <w:r w:rsidRPr="009E1E41">
        <w:t>.</w:t>
      </w:r>
    </w:p>
    <w:p w:rsidR="00EF63C2" w:rsidRPr="00EF63C2" w:rsidRDefault="00EF63C2" w:rsidP="00E61859">
      <w:pPr>
        <w:pStyle w:val="BMSBodyText"/>
        <w:spacing w:before="0" w:line="240" w:lineRule="auto"/>
        <w:rPr>
          <w:b/>
          <w:szCs w:val="24"/>
          <w:lang w:eastAsia="en-AU"/>
        </w:rPr>
      </w:pPr>
      <w:r>
        <w:rPr>
          <w:b/>
          <w:szCs w:val="24"/>
          <w:lang w:eastAsia="en-AU"/>
        </w:rPr>
        <w:t>Potential for H</w:t>
      </w:r>
      <w:r w:rsidRPr="00EF63C2">
        <w:rPr>
          <w:b/>
          <w:szCs w:val="24"/>
          <w:lang w:eastAsia="en-AU"/>
        </w:rPr>
        <w:t>epatotoxicity</w:t>
      </w:r>
    </w:p>
    <w:p w:rsidR="00EA08D7" w:rsidRDefault="00EF63C2" w:rsidP="00E61859">
      <w:pPr>
        <w:pStyle w:val="BMSBodyText"/>
        <w:spacing w:before="0" w:line="240" w:lineRule="auto"/>
        <w:rPr>
          <w:szCs w:val="24"/>
          <w:lang w:eastAsia="en-AU"/>
        </w:rPr>
      </w:pPr>
      <w:r w:rsidRPr="00EF63C2">
        <w:rPr>
          <w:szCs w:val="24"/>
          <w:lang w:eastAsia="en-AU"/>
        </w:rPr>
        <w:t xml:space="preserve">ALT and AST elevations were observed in phase 2 and 3 clinical trials of </w:t>
      </w:r>
      <w:r>
        <w:rPr>
          <w:szCs w:val="24"/>
          <w:lang w:eastAsia="en-AU"/>
        </w:rPr>
        <w:t>SUNVEPRA-</w:t>
      </w:r>
      <w:r w:rsidRPr="00EF63C2">
        <w:rPr>
          <w:szCs w:val="24"/>
          <w:lang w:eastAsia="en-AU"/>
        </w:rPr>
        <w:t xml:space="preserve">containing regimens (see Table </w:t>
      </w:r>
      <w:r>
        <w:rPr>
          <w:szCs w:val="24"/>
          <w:lang w:eastAsia="en-AU"/>
        </w:rPr>
        <w:t>7</w:t>
      </w:r>
      <w:r w:rsidRPr="00EF63C2">
        <w:rPr>
          <w:szCs w:val="24"/>
          <w:lang w:eastAsia="en-AU"/>
        </w:rPr>
        <w:t>). In some cases, ALT/AST elevations were accompanied by hepatic dysfunction</w:t>
      </w:r>
      <w:r w:rsidR="001064CE">
        <w:rPr>
          <w:szCs w:val="24"/>
          <w:lang w:eastAsia="en-AU"/>
        </w:rPr>
        <w:t xml:space="preserve"> </w:t>
      </w:r>
      <w:r w:rsidR="001064CE" w:rsidRPr="00D75018">
        <w:rPr>
          <w:szCs w:val="24"/>
          <w:lang w:eastAsia="en-AU"/>
        </w:rPr>
        <w:t>(suggested by concurrent increases in total bilirubin)</w:t>
      </w:r>
      <w:r w:rsidRPr="00EF63C2">
        <w:rPr>
          <w:szCs w:val="24"/>
          <w:lang w:eastAsia="en-AU"/>
        </w:rPr>
        <w:t xml:space="preserve">, with or without pyrexia or eosinophilia. Severe drug-induced liver injury may occur with </w:t>
      </w:r>
      <w:r>
        <w:rPr>
          <w:szCs w:val="24"/>
          <w:lang w:eastAsia="en-AU"/>
        </w:rPr>
        <w:t>SUNVEPRA</w:t>
      </w:r>
      <w:r w:rsidRPr="00EF63C2">
        <w:rPr>
          <w:szCs w:val="24"/>
          <w:lang w:eastAsia="en-AU"/>
        </w:rPr>
        <w:t>-containing regimens, as was observed in a patient with cirrhosis at week 6 of therapy in a clinical trial of asunaprevir and daclatasvir combined with an investigational non-nucleoside HCV NS5B inhibitor</w:t>
      </w:r>
      <w:r w:rsidR="00AF5A8D">
        <w:rPr>
          <w:szCs w:val="24"/>
          <w:lang w:eastAsia="en-AU"/>
        </w:rPr>
        <w:t xml:space="preserve"> in whom Grade 4 increase in ALT and increase in bilirubin was associated with hepatic encephalopathy</w:t>
      </w:r>
      <w:r w:rsidRPr="00EF63C2">
        <w:rPr>
          <w:szCs w:val="24"/>
          <w:lang w:eastAsia="en-AU"/>
        </w:rPr>
        <w:t xml:space="preserve"> </w:t>
      </w:r>
      <w:r>
        <w:rPr>
          <w:szCs w:val="24"/>
          <w:lang w:eastAsia="en-AU"/>
        </w:rPr>
        <w:t>[</w:t>
      </w:r>
      <w:r w:rsidRPr="00EF63C2">
        <w:rPr>
          <w:szCs w:val="24"/>
          <w:lang w:eastAsia="en-AU"/>
        </w:rPr>
        <w:t>see PRECAUTIONS</w:t>
      </w:r>
      <w:r>
        <w:rPr>
          <w:szCs w:val="24"/>
          <w:lang w:eastAsia="en-AU"/>
        </w:rPr>
        <w:t>]</w:t>
      </w:r>
      <w:r w:rsidRPr="00EF63C2">
        <w:rPr>
          <w:szCs w:val="24"/>
          <w:lang w:eastAsia="en-AU"/>
        </w:rPr>
        <w:t>.</w:t>
      </w:r>
    </w:p>
    <w:p w:rsidR="00635740" w:rsidRPr="00635740" w:rsidRDefault="00635740" w:rsidP="00E61859">
      <w:pPr>
        <w:keepNext/>
        <w:keepLines/>
        <w:spacing w:after="120" w:line="240" w:lineRule="auto"/>
        <w:ind w:left="1152" w:hanging="1152"/>
        <w:outlineLvl w:val="2"/>
        <w:rPr>
          <w:rFonts w:ascii="Times New Roman" w:hAnsi="Times New Roman"/>
          <w:b/>
          <w:color w:val="000000"/>
          <w:shd w:val="clear" w:color="000000" w:fill="FFFFFF"/>
          <w:lang w:val="en-US"/>
        </w:rPr>
      </w:pPr>
      <w:bookmarkStart w:id="33" w:name="_Toc1971389"/>
      <w:bookmarkStart w:id="34" w:name="_Toc2059777"/>
      <w:bookmarkStart w:id="35" w:name="_Toc2060986"/>
      <w:bookmarkStart w:id="36" w:name="_Toc2061093"/>
      <w:bookmarkStart w:id="37" w:name="_Toc2061604"/>
      <w:bookmarkStart w:id="38" w:name="_Toc2061668"/>
      <w:bookmarkStart w:id="39" w:name="_Toc2061733"/>
      <w:bookmarkStart w:id="40" w:name="_Toc2062049"/>
      <w:bookmarkStart w:id="41" w:name="_Toc361652641"/>
      <w:r w:rsidRPr="00635740">
        <w:rPr>
          <w:rFonts w:ascii="Times New Roman" w:hAnsi="Times New Roman"/>
          <w:b/>
          <w:color w:val="000000"/>
          <w:shd w:val="clear" w:color="000000" w:fill="FFFFFF"/>
          <w:lang w:val="en-US"/>
        </w:rPr>
        <w:t>Laboratory Findings</w:t>
      </w:r>
      <w:bookmarkEnd w:id="33"/>
      <w:bookmarkEnd w:id="34"/>
      <w:bookmarkEnd w:id="35"/>
      <w:bookmarkEnd w:id="36"/>
      <w:bookmarkEnd w:id="37"/>
      <w:bookmarkEnd w:id="38"/>
      <w:bookmarkEnd w:id="39"/>
      <w:bookmarkEnd w:id="40"/>
      <w:bookmarkEnd w:id="41"/>
    </w:p>
    <w:p w:rsidR="000F5D7F" w:rsidRDefault="00635740" w:rsidP="00E61859">
      <w:pPr>
        <w:spacing w:after="120" w:line="240" w:lineRule="auto"/>
        <w:jc w:val="both"/>
        <w:rPr>
          <w:rFonts w:ascii="Times New Roman" w:hAnsi="Times New Roman"/>
          <w:color w:val="000000"/>
          <w:lang w:eastAsia="en-AU"/>
        </w:rPr>
      </w:pPr>
      <w:r w:rsidRPr="00635740">
        <w:rPr>
          <w:rFonts w:ascii="Times New Roman" w:hAnsi="Times New Roman"/>
          <w:color w:val="000000"/>
          <w:lang w:eastAsia="en-AU"/>
        </w:rPr>
        <w:t xml:space="preserve">Selected grade 3-4 laboratory abnormalities observed in HCV-infected subjects treated with </w:t>
      </w:r>
      <w:r>
        <w:rPr>
          <w:rFonts w:ascii="Times New Roman" w:hAnsi="Times New Roman"/>
          <w:color w:val="000000"/>
          <w:lang w:eastAsia="en-AU"/>
        </w:rPr>
        <w:t>SUNVEPRA</w:t>
      </w:r>
      <w:r w:rsidRPr="00635740">
        <w:rPr>
          <w:rFonts w:ascii="Times New Roman" w:hAnsi="Times New Roman"/>
          <w:color w:val="000000"/>
          <w:lang w:eastAsia="en-AU"/>
        </w:rPr>
        <w:t xml:space="preserve"> combination therapy are presented in </w:t>
      </w:r>
      <w:r w:rsidRPr="00BC57D1">
        <w:rPr>
          <w:rFonts w:ascii="Times New Roman" w:hAnsi="Times New Roman"/>
          <w:color w:val="000000"/>
          <w:lang w:eastAsia="en-AU"/>
        </w:rPr>
        <w:t xml:space="preserve">Table </w:t>
      </w:r>
      <w:r w:rsidR="00EA08D7">
        <w:rPr>
          <w:rFonts w:ascii="Times New Roman" w:hAnsi="Times New Roman"/>
          <w:color w:val="000000"/>
          <w:lang w:eastAsia="en-AU"/>
        </w:rPr>
        <w:t>7</w:t>
      </w:r>
      <w:r w:rsidRPr="00BC57D1">
        <w:rPr>
          <w:rFonts w:ascii="Times New Roman" w:hAnsi="Times New Roman"/>
          <w:color w:val="000000"/>
          <w:lang w:eastAsia="en-AU"/>
        </w:rPr>
        <w:t xml:space="preserve"> [see</w:t>
      </w:r>
      <w:r w:rsidRPr="00BC57D1">
        <w:rPr>
          <w:rFonts w:ascii="Times New Roman" w:hAnsi="Times New Roman"/>
          <w:i/>
          <w:color w:val="000000"/>
          <w:lang w:eastAsia="en-AU"/>
        </w:rPr>
        <w:t xml:space="preserve"> </w:t>
      </w:r>
      <w:r w:rsidR="00BC57D1" w:rsidRPr="00BC57D1">
        <w:rPr>
          <w:rFonts w:ascii="Times New Roman" w:hAnsi="Times New Roman"/>
          <w:color w:val="000000"/>
          <w:lang w:eastAsia="en-AU"/>
        </w:rPr>
        <w:t>PRECAUTIONS</w:t>
      </w:r>
      <w:r w:rsidRPr="00BC57D1">
        <w:rPr>
          <w:rFonts w:ascii="Times New Roman" w:hAnsi="Times New Roman"/>
          <w:color w:val="000000"/>
          <w:lang w:eastAsia="en-AU"/>
        </w:rPr>
        <w:t>].</w:t>
      </w:r>
      <w:r w:rsidRPr="00635740">
        <w:rPr>
          <w:rFonts w:ascii="Times New Roman" w:hAnsi="Times New Roman"/>
          <w:color w:val="000000"/>
          <w:lang w:eastAsia="en-AU"/>
        </w:rPr>
        <w:t xml:space="preserve"> </w:t>
      </w:r>
    </w:p>
    <w:p w:rsidR="0095515F" w:rsidRPr="000F5D7F" w:rsidRDefault="0095515F" w:rsidP="00E61859">
      <w:pPr>
        <w:spacing w:after="120" w:line="240" w:lineRule="auto"/>
        <w:jc w:val="both"/>
        <w:rPr>
          <w:rFonts w:ascii="Times New Roman" w:hAnsi="Times New Roman"/>
          <w:b/>
          <w:szCs w:val="24"/>
        </w:rPr>
      </w:pPr>
      <w:r w:rsidRPr="000F5D7F">
        <w:rPr>
          <w:rFonts w:ascii="Times New Roman" w:hAnsi="Times New Roman"/>
          <w:b/>
          <w:szCs w:val="24"/>
        </w:rPr>
        <w:t xml:space="preserve">Table </w:t>
      </w:r>
      <w:r w:rsidR="00EA08D7" w:rsidRPr="000F5D7F">
        <w:rPr>
          <w:rFonts w:ascii="Times New Roman" w:hAnsi="Times New Roman"/>
          <w:b/>
          <w:szCs w:val="24"/>
        </w:rPr>
        <w:t>7</w:t>
      </w:r>
      <w:r w:rsidRPr="000F5D7F">
        <w:rPr>
          <w:rFonts w:ascii="Times New Roman" w:hAnsi="Times New Roman"/>
          <w:b/>
          <w:szCs w:val="24"/>
        </w:rPr>
        <w:t>:</w:t>
      </w:r>
      <w:r w:rsidRPr="000F5D7F">
        <w:rPr>
          <w:rFonts w:ascii="Times New Roman" w:hAnsi="Times New Roman"/>
          <w:b/>
          <w:szCs w:val="24"/>
        </w:rPr>
        <w:tab/>
        <w:t xml:space="preserve">Selected Grade 3-4 Laboratory Abnormalities in Clinical Trials of SUNVEPRA in Combination with </w:t>
      </w:r>
      <w:r w:rsidR="00644782" w:rsidRPr="000F5D7F">
        <w:rPr>
          <w:rFonts w:ascii="Times New Roman" w:hAnsi="Times New Roman"/>
          <w:b/>
          <w:szCs w:val="24"/>
        </w:rPr>
        <w:t>DAKLINZA</w:t>
      </w:r>
      <w:r w:rsidRPr="000F5D7F">
        <w:rPr>
          <w:rFonts w:ascii="Times New Roman" w:hAnsi="Times New Roman"/>
          <w:b/>
          <w:szCs w:val="24"/>
        </w:rPr>
        <w:t>, with and without Peginterferon Alfa and Ribavirin</w:t>
      </w:r>
    </w:p>
    <w:tbl>
      <w:tblPr>
        <w:tblW w:w="9322" w:type="dxa"/>
        <w:tblBorders>
          <w:bottom w:val="double" w:sz="6" w:space="0" w:color="auto"/>
        </w:tblBorders>
        <w:tblLayout w:type="fixed"/>
        <w:tblLook w:val="0000" w:firstRow="0" w:lastRow="0" w:firstColumn="0" w:lastColumn="0" w:noHBand="0" w:noVBand="0"/>
      </w:tblPr>
      <w:tblGrid>
        <w:gridCol w:w="2802"/>
        <w:gridCol w:w="3118"/>
        <w:gridCol w:w="3402"/>
      </w:tblGrid>
      <w:tr w:rsidR="0095515F" w:rsidRPr="0046158D" w:rsidTr="002D7C72">
        <w:trPr>
          <w:tblHeader/>
        </w:trPr>
        <w:tc>
          <w:tcPr>
            <w:tcW w:w="2802" w:type="dxa"/>
            <w:vMerge w:val="restart"/>
            <w:tcBorders>
              <w:top w:val="double" w:sz="6" w:space="0" w:color="auto"/>
            </w:tcBorders>
            <w:shd w:val="clear" w:color="auto" w:fill="auto"/>
            <w:vAlign w:val="bottom"/>
          </w:tcPr>
          <w:p w:rsidR="0095515F" w:rsidRPr="0095515F" w:rsidRDefault="0095515F" w:rsidP="002D7C72">
            <w:pPr>
              <w:pStyle w:val="BMSTableHeader"/>
              <w:spacing w:before="0" w:after="0"/>
              <w:rPr>
                <w:rStyle w:val="BMSSuperscript"/>
                <w:sz w:val="22"/>
                <w:szCs w:val="22"/>
              </w:rPr>
            </w:pPr>
            <w:r w:rsidRPr="0095515F">
              <w:rPr>
                <w:sz w:val="22"/>
                <w:szCs w:val="22"/>
              </w:rPr>
              <w:t>Parameter</w:t>
            </w:r>
            <w:r w:rsidRPr="0095515F">
              <w:rPr>
                <w:rStyle w:val="BMSSuperscript"/>
                <w:sz w:val="22"/>
                <w:szCs w:val="22"/>
              </w:rPr>
              <w:t>a</w:t>
            </w:r>
          </w:p>
        </w:tc>
        <w:tc>
          <w:tcPr>
            <w:tcW w:w="6520" w:type="dxa"/>
            <w:gridSpan w:val="2"/>
            <w:tcBorders>
              <w:top w:val="double" w:sz="6" w:space="0" w:color="auto"/>
              <w:bottom w:val="single" w:sz="4" w:space="0" w:color="auto"/>
            </w:tcBorders>
            <w:shd w:val="clear" w:color="auto" w:fill="auto"/>
          </w:tcPr>
          <w:p w:rsidR="0095515F" w:rsidRPr="0095515F" w:rsidRDefault="0095515F" w:rsidP="002D7C72">
            <w:pPr>
              <w:pStyle w:val="BMSTableHeader"/>
              <w:spacing w:before="0" w:after="0"/>
              <w:rPr>
                <w:sz w:val="22"/>
                <w:szCs w:val="22"/>
              </w:rPr>
            </w:pPr>
            <w:r w:rsidRPr="0095515F">
              <w:rPr>
                <w:sz w:val="22"/>
                <w:szCs w:val="22"/>
              </w:rPr>
              <w:t>Percent with Abnormality</w:t>
            </w:r>
          </w:p>
        </w:tc>
      </w:tr>
      <w:tr w:rsidR="00A65862" w:rsidRPr="00DE7CD9" w:rsidTr="00A65862">
        <w:trPr>
          <w:tblHeader/>
        </w:trPr>
        <w:tc>
          <w:tcPr>
            <w:tcW w:w="2802" w:type="dxa"/>
            <w:vMerge/>
            <w:tcBorders>
              <w:bottom w:val="single" w:sz="6" w:space="0" w:color="auto"/>
            </w:tcBorders>
            <w:shd w:val="clear" w:color="auto" w:fill="auto"/>
          </w:tcPr>
          <w:p w:rsidR="00A65862" w:rsidRPr="0095515F" w:rsidRDefault="00A65862" w:rsidP="002D7C72">
            <w:pPr>
              <w:pStyle w:val="BMSTableHeader"/>
              <w:spacing w:before="0" w:after="0"/>
              <w:rPr>
                <w:sz w:val="22"/>
                <w:szCs w:val="22"/>
              </w:rPr>
            </w:pPr>
          </w:p>
        </w:tc>
        <w:tc>
          <w:tcPr>
            <w:tcW w:w="3118" w:type="dxa"/>
            <w:tcBorders>
              <w:top w:val="single" w:sz="4" w:space="0" w:color="auto"/>
              <w:bottom w:val="single" w:sz="6" w:space="0" w:color="auto"/>
            </w:tcBorders>
            <w:shd w:val="clear" w:color="auto" w:fill="auto"/>
            <w:vAlign w:val="center"/>
          </w:tcPr>
          <w:p w:rsidR="00A65862" w:rsidRPr="0095515F" w:rsidRDefault="00A65862" w:rsidP="002D7C72">
            <w:pPr>
              <w:pStyle w:val="BMSTableHeader"/>
              <w:spacing w:before="0" w:after="0"/>
              <w:rPr>
                <w:sz w:val="22"/>
                <w:szCs w:val="22"/>
              </w:rPr>
            </w:pPr>
            <w:r>
              <w:rPr>
                <w:sz w:val="22"/>
                <w:szCs w:val="22"/>
              </w:rPr>
              <w:t>SUNVEPRA</w:t>
            </w:r>
            <w:r w:rsidRPr="0095515F">
              <w:rPr>
                <w:sz w:val="22"/>
                <w:szCs w:val="22"/>
              </w:rPr>
              <w:t xml:space="preserve"> in Combination with </w:t>
            </w:r>
            <w:r>
              <w:rPr>
                <w:sz w:val="22"/>
                <w:szCs w:val="22"/>
              </w:rPr>
              <w:t>DAKLINZA</w:t>
            </w:r>
          </w:p>
          <w:p w:rsidR="00A65862" w:rsidRPr="0095515F" w:rsidRDefault="00A65862" w:rsidP="002D7C72">
            <w:pPr>
              <w:pStyle w:val="BMSTableHeader"/>
              <w:spacing w:before="0" w:after="0"/>
              <w:rPr>
                <w:rStyle w:val="BMSSuperscript"/>
                <w:sz w:val="22"/>
                <w:szCs w:val="22"/>
              </w:rPr>
            </w:pPr>
            <w:r w:rsidRPr="0095515F">
              <w:rPr>
                <w:sz w:val="22"/>
                <w:szCs w:val="22"/>
              </w:rPr>
              <w:t>n = 918</w:t>
            </w:r>
            <w:r w:rsidRPr="0095515F">
              <w:rPr>
                <w:rStyle w:val="BMSSuperscript"/>
                <w:sz w:val="22"/>
                <w:szCs w:val="22"/>
              </w:rPr>
              <w:t>b</w:t>
            </w:r>
          </w:p>
        </w:tc>
        <w:tc>
          <w:tcPr>
            <w:tcW w:w="3402" w:type="dxa"/>
            <w:tcBorders>
              <w:top w:val="single" w:sz="4" w:space="0" w:color="auto"/>
              <w:bottom w:val="single" w:sz="6" w:space="0" w:color="auto"/>
            </w:tcBorders>
            <w:vAlign w:val="center"/>
          </w:tcPr>
          <w:p w:rsidR="00A65862" w:rsidRPr="0095515F" w:rsidRDefault="00A65862" w:rsidP="002D7C72">
            <w:pPr>
              <w:pStyle w:val="BMSTableHeader"/>
              <w:spacing w:before="0" w:after="0"/>
              <w:rPr>
                <w:sz w:val="22"/>
                <w:szCs w:val="22"/>
              </w:rPr>
            </w:pPr>
            <w:r>
              <w:rPr>
                <w:sz w:val="22"/>
                <w:szCs w:val="22"/>
              </w:rPr>
              <w:t>SUNVEPRA</w:t>
            </w:r>
            <w:r w:rsidRPr="0095515F">
              <w:rPr>
                <w:sz w:val="22"/>
                <w:szCs w:val="22"/>
              </w:rPr>
              <w:t xml:space="preserve"> in Combination with </w:t>
            </w:r>
            <w:r>
              <w:rPr>
                <w:sz w:val="22"/>
                <w:szCs w:val="22"/>
              </w:rPr>
              <w:t>DAKLINZA</w:t>
            </w:r>
            <w:r w:rsidRPr="0095515F">
              <w:rPr>
                <w:sz w:val="22"/>
                <w:szCs w:val="22"/>
              </w:rPr>
              <w:t>, Peginterferon Alfa, and Ribavirin</w:t>
            </w:r>
          </w:p>
          <w:p w:rsidR="00A65862" w:rsidRPr="0095515F" w:rsidRDefault="00A65862" w:rsidP="002D7C72">
            <w:pPr>
              <w:pStyle w:val="BMSTableHeader"/>
              <w:spacing w:before="0" w:after="0"/>
              <w:rPr>
                <w:rStyle w:val="BMSSuperscript"/>
                <w:sz w:val="22"/>
                <w:szCs w:val="22"/>
              </w:rPr>
            </w:pPr>
            <w:r w:rsidRPr="0095515F">
              <w:rPr>
                <w:sz w:val="22"/>
                <w:szCs w:val="22"/>
              </w:rPr>
              <w:t>n = 398</w:t>
            </w:r>
            <w:r w:rsidRPr="0095515F">
              <w:rPr>
                <w:rStyle w:val="BMSSuperscript"/>
                <w:sz w:val="22"/>
                <w:szCs w:val="22"/>
              </w:rPr>
              <w:t>c</w:t>
            </w:r>
          </w:p>
        </w:tc>
      </w:tr>
      <w:tr w:rsidR="00A65862" w:rsidTr="00A65862">
        <w:tc>
          <w:tcPr>
            <w:tcW w:w="2802" w:type="dxa"/>
            <w:shd w:val="clear" w:color="auto" w:fill="auto"/>
          </w:tcPr>
          <w:p w:rsidR="00A65862" w:rsidRPr="0095515F" w:rsidRDefault="00A65862" w:rsidP="002D7C72">
            <w:pPr>
              <w:pStyle w:val="BMSTableText"/>
              <w:spacing w:before="0" w:after="0"/>
              <w:jc w:val="left"/>
              <w:rPr>
                <w:i/>
                <w:sz w:val="22"/>
                <w:szCs w:val="22"/>
              </w:rPr>
            </w:pPr>
            <w:r w:rsidRPr="0095515F">
              <w:rPr>
                <w:i/>
                <w:sz w:val="22"/>
                <w:szCs w:val="22"/>
              </w:rPr>
              <w:t>ALT, increased</w:t>
            </w:r>
          </w:p>
          <w:p w:rsidR="00A65862" w:rsidRPr="0095515F" w:rsidRDefault="00A65862" w:rsidP="002D7C72">
            <w:pPr>
              <w:pStyle w:val="BMSTableText"/>
              <w:spacing w:before="0" w:after="0"/>
              <w:jc w:val="left"/>
              <w:rPr>
                <w:sz w:val="22"/>
                <w:szCs w:val="22"/>
              </w:rPr>
            </w:pPr>
            <w:r w:rsidRPr="0095515F">
              <w:rPr>
                <w:sz w:val="22"/>
                <w:szCs w:val="22"/>
              </w:rPr>
              <w:sym w:font="Symbol" w:char="F0B3"/>
            </w:r>
            <w:r w:rsidRPr="0095515F">
              <w:rPr>
                <w:sz w:val="22"/>
                <w:szCs w:val="22"/>
              </w:rPr>
              <w:t>5.1x ULN</w:t>
            </w:r>
          </w:p>
        </w:tc>
        <w:tc>
          <w:tcPr>
            <w:tcW w:w="3118" w:type="dxa"/>
            <w:shd w:val="clear" w:color="auto" w:fill="auto"/>
            <w:vAlign w:val="center"/>
          </w:tcPr>
          <w:p w:rsidR="00A65862" w:rsidRPr="0095515F" w:rsidRDefault="00A65862" w:rsidP="002D7C72">
            <w:pPr>
              <w:pStyle w:val="BMSTableText"/>
              <w:spacing w:before="0" w:after="0"/>
              <w:rPr>
                <w:sz w:val="22"/>
                <w:szCs w:val="22"/>
              </w:rPr>
            </w:pPr>
            <w:r w:rsidRPr="0095515F">
              <w:rPr>
                <w:sz w:val="22"/>
                <w:szCs w:val="22"/>
              </w:rPr>
              <w:t>4%</w:t>
            </w:r>
          </w:p>
        </w:tc>
        <w:tc>
          <w:tcPr>
            <w:tcW w:w="3402" w:type="dxa"/>
            <w:vAlign w:val="center"/>
          </w:tcPr>
          <w:p w:rsidR="00A65862" w:rsidRPr="0095515F" w:rsidRDefault="00A65862" w:rsidP="002D7C72">
            <w:pPr>
              <w:pStyle w:val="BMSTableText"/>
              <w:spacing w:before="0" w:after="0"/>
              <w:rPr>
                <w:sz w:val="22"/>
                <w:szCs w:val="22"/>
              </w:rPr>
            </w:pPr>
            <w:r w:rsidRPr="0095515F">
              <w:rPr>
                <w:noProof/>
                <w:szCs w:val="22"/>
              </w:rPr>
              <w:t>3%</w:t>
            </w:r>
          </w:p>
        </w:tc>
      </w:tr>
      <w:tr w:rsidR="00A65862" w:rsidTr="00A65862">
        <w:tc>
          <w:tcPr>
            <w:tcW w:w="2802" w:type="dxa"/>
            <w:shd w:val="clear" w:color="auto" w:fill="auto"/>
          </w:tcPr>
          <w:p w:rsidR="00A65862" w:rsidRPr="0095515F" w:rsidRDefault="00A65862" w:rsidP="002D7C72">
            <w:pPr>
              <w:pStyle w:val="BMSTableText"/>
              <w:spacing w:before="0" w:after="0"/>
              <w:jc w:val="left"/>
              <w:rPr>
                <w:i/>
                <w:sz w:val="22"/>
                <w:szCs w:val="22"/>
              </w:rPr>
            </w:pPr>
            <w:r w:rsidRPr="0095515F">
              <w:rPr>
                <w:i/>
                <w:sz w:val="22"/>
                <w:szCs w:val="22"/>
              </w:rPr>
              <w:t>AST, increased</w:t>
            </w:r>
          </w:p>
          <w:p w:rsidR="00A65862" w:rsidRPr="0095515F" w:rsidRDefault="00A65862" w:rsidP="002D7C72">
            <w:pPr>
              <w:pStyle w:val="BMSTableText"/>
              <w:spacing w:before="0" w:after="0"/>
              <w:jc w:val="left"/>
              <w:rPr>
                <w:sz w:val="22"/>
                <w:szCs w:val="22"/>
              </w:rPr>
            </w:pPr>
            <w:r w:rsidRPr="0095515F">
              <w:rPr>
                <w:sz w:val="22"/>
                <w:szCs w:val="22"/>
              </w:rPr>
              <w:sym w:font="Symbol" w:char="F0B3"/>
            </w:r>
            <w:r w:rsidRPr="0095515F">
              <w:rPr>
                <w:sz w:val="22"/>
                <w:szCs w:val="22"/>
              </w:rPr>
              <w:t>5.1x ULN</w:t>
            </w:r>
          </w:p>
        </w:tc>
        <w:tc>
          <w:tcPr>
            <w:tcW w:w="3118" w:type="dxa"/>
            <w:shd w:val="clear" w:color="auto" w:fill="auto"/>
            <w:vAlign w:val="center"/>
          </w:tcPr>
          <w:p w:rsidR="00A65862" w:rsidRPr="0095515F" w:rsidRDefault="00A65862" w:rsidP="002D7C72">
            <w:pPr>
              <w:pStyle w:val="BMSTableText"/>
              <w:spacing w:before="0" w:after="0"/>
              <w:rPr>
                <w:sz w:val="22"/>
                <w:szCs w:val="22"/>
              </w:rPr>
            </w:pPr>
            <w:r w:rsidRPr="0095515F">
              <w:rPr>
                <w:sz w:val="22"/>
                <w:szCs w:val="22"/>
              </w:rPr>
              <w:t>3%</w:t>
            </w:r>
          </w:p>
        </w:tc>
        <w:tc>
          <w:tcPr>
            <w:tcW w:w="3402" w:type="dxa"/>
            <w:vAlign w:val="center"/>
          </w:tcPr>
          <w:p w:rsidR="00A65862" w:rsidRPr="0095515F" w:rsidRDefault="00A65862" w:rsidP="002D7C72">
            <w:pPr>
              <w:pStyle w:val="BMSTableText"/>
              <w:spacing w:before="0" w:after="0"/>
              <w:rPr>
                <w:sz w:val="22"/>
                <w:szCs w:val="22"/>
              </w:rPr>
            </w:pPr>
            <w:r w:rsidRPr="0095515F">
              <w:rPr>
                <w:noProof/>
                <w:szCs w:val="22"/>
              </w:rPr>
              <w:t>3%</w:t>
            </w:r>
          </w:p>
        </w:tc>
      </w:tr>
      <w:tr w:rsidR="00A65862" w:rsidTr="00A65862">
        <w:tc>
          <w:tcPr>
            <w:tcW w:w="2802" w:type="dxa"/>
            <w:tcBorders>
              <w:bottom w:val="double" w:sz="6" w:space="0" w:color="auto"/>
            </w:tcBorders>
            <w:shd w:val="clear" w:color="auto" w:fill="auto"/>
          </w:tcPr>
          <w:p w:rsidR="00A65862" w:rsidRPr="0095515F" w:rsidRDefault="00A65862" w:rsidP="002D7C72">
            <w:pPr>
              <w:pStyle w:val="BMSTableText"/>
              <w:spacing w:before="0" w:after="0"/>
              <w:jc w:val="left"/>
              <w:rPr>
                <w:i/>
                <w:sz w:val="22"/>
                <w:szCs w:val="22"/>
              </w:rPr>
            </w:pPr>
            <w:r w:rsidRPr="0095515F">
              <w:rPr>
                <w:i/>
                <w:sz w:val="22"/>
                <w:szCs w:val="22"/>
              </w:rPr>
              <w:t>Total bilirubin, increased</w:t>
            </w:r>
          </w:p>
          <w:p w:rsidR="00A65862" w:rsidRPr="0095515F" w:rsidRDefault="00A65862" w:rsidP="0095515F">
            <w:pPr>
              <w:pStyle w:val="BMSTableText"/>
              <w:spacing w:before="0" w:after="0"/>
              <w:jc w:val="left"/>
              <w:rPr>
                <w:sz w:val="22"/>
                <w:szCs w:val="22"/>
              </w:rPr>
            </w:pPr>
            <w:r w:rsidRPr="0095515F">
              <w:rPr>
                <w:sz w:val="22"/>
                <w:szCs w:val="22"/>
              </w:rPr>
              <w:sym w:font="Symbol" w:char="F0B3"/>
            </w:r>
            <w:r>
              <w:rPr>
                <w:sz w:val="22"/>
                <w:szCs w:val="22"/>
              </w:rPr>
              <w:t>2.6</w:t>
            </w:r>
            <w:r w:rsidRPr="0095515F">
              <w:rPr>
                <w:sz w:val="22"/>
                <w:szCs w:val="22"/>
              </w:rPr>
              <w:t xml:space="preserve"> x ULN</w:t>
            </w:r>
          </w:p>
        </w:tc>
        <w:tc>
          <w:tcPr>
            <w:tcW w:w="3118" w:type="dxa"/>
            <w:tcBorders>
              <w:bottom w:val="double" w:sz="6" w:space="0" w:color="auto"/>
            </w:tcBorders>
            <w:shd w:val="clear" w:color="auto" w:fill="auto"/>
            <w:vAlign w:val="center"/>
          </w:tcPr>
          <w:p w:rsidR="00A65862" w:rsidRPr="0095515F" w:rsidRDefault="00A65862" w:rsidP="002D7C72">
            <w:pPr>
              <w:pStyle w:val="BMSTableText"/>
              <w:spacing w:before="0" w:after="0"/>
              <w:rPr>
                <w:sz w:val="22"/>
                <w:szCs w:val="22"/>
              </w:rPr>
            </w:pPr>
            <w:r w:rsidRPr="0095515F">
              <w:rPr>
                <w:sz w:val="22"/>
                <w:szCs w:val="22"/>
              </w:rPr>
              <w:t>1%</w:t>
            </w:r>
          </w:p>
        </w:tc>
        <w:tc>
          <w:tcPr>
            <w:tcW w:w="3402" w:type="dxa"/>
            <w:tcBorders>
              <w:bottom w:val="double" w:sz="6" w:space="0" w:color="auto"/>
            </w:tcBorders>
            <w:vAlign w:val="center"/>
          </w:tcPr>
          <w:p w:rsidR="00A65862" w:rsidRPr="0095515F" w:rsidRDefault="00A65862" w:rsidP="002D7C72">
            <w:pPr>
              <w:pStyle w:val="BMSTableText"/>
              <w:spacing w:before="0" w:after="0"/>
              <w:rPr>
                <w:sz w:val="22"/>
                <w:szCs w:val="22"/>
              </w:rPr>
            </w:pPr>
            <w:r w:rsidRPr="0095515F">
              <w:rPr>
                <w:noProof/>
                <w:szCs w:val="22"/>
              </w:rPr>
              <w:t>1%</w:t>
            </w:r>
          </w:p>
        </w:tc>
      </w:tr>
    </w:tbl>
    <w:p w:rsidR="0095515F" w:rsidRPr="0095515F" w:rsidRDefault="0095515F" w:rsidP="0095515F">
      <w:pPr>
        <w:pStyle w:val="BMSTableNoteInfo"/>
        <w:tabs>
          <w:tab w:val="clear" w:pos="216"/>
          <w:tab w:val="left" w:pos="284"/>
        </w:tabs>
        <w:spacing w:before="0"/>
        <w:ind w:left="284" w:hanging="284"/>
      </w:pPr>
      <w:r w:rsidRPr="0095515F">
        <w:rPr>
          <w:rStyle w:val="BMSTableNote"/>
          <w:sz w:val="20"/>
          <w:szCs w:val="20"/>
        </w:rPr>
        <w:t>a</w:t>
      </w:r>
      <w:r w:rsidRPr="0095515F">
        <w:tab/>
      </w:r>
      <w:r w:rsidRPr="0095515F">
        <w:rPr>
          <w:noProof/>
        </w:rPr>
        <w:t>Laboratory results were graded using the Division of AIDS (DAIDS) Table for Grading the Severity of Adult and Pediatric Adverse Events, Version 1.0.</w:t>
      </w:r>
    </w:p>
    <w:p w:rsidR="0095515F" w:rsidRPr="0095515F" w:rsidRDefault="0095515F" w:rsidP="0095515F">
      <w:pPr>
        <w:pStyle w:val="BMSTableNoteInfo"/>
        <w:tabs>
          <w:tab w:val="clear" w:pos="216"/>
          <w:tab w:val="left" w:pos="284"/>
        </w:tabs>
        <w:spacing w:before="0"/>
        <w:ind w:left="284" w:hanging="284"/>
      </w:pPr>
      <w:r w:rsidRPr="0095515F">
        <w:rPr>
          <w:rStyle w:val="BMSSuperscript"/>
          <w:sz w:val="20"/>
        </w:rPr>
        <w:t>b</w:t>
      </w:r>
      <w:r w:rsidRPr="0095515F">
        <w:rPr>
          <w:rStyle w:val="BMSSuperscript"/>
          <w:sz w:val="20"/>
        </w:rPr>
        <w:tab/>
      </w:r>
      <w:r w:rsidRPr="0095515F">
        <w:t>Integrated data from studies HALLMARK DUAL, HALLMARK NIPPON, AI447017, and AI447011.</w:t>
      </w:r>
    </w:p>
    <w:p w:rsidR="0095515F" w:rsidRDefault="0095515F" w:rsidP="00E61859">
      <w:pPr>
        <w:pStyle w:val="BMSBodyText"/>
        <w:tabs>
          <w:tab w:val="left" w:pos="284"/>
        </w:tabs>
        <w:spacing w:before="0" w:line="240" w:lineRule="auto"/>
        <w:rPr>
          <w:sz w:val="20"/>
        </w:rPr>
      </w:pPr>
      <w:r w:rsidRPr="0095515F">
        <w:rPr>
          <w:rStyle w:val="BMSSuperscript"/>
          <w:sz w:val="20"/>
        </w:rPr>
        <w:t>c</w:t>
      </w:r>
      <w:r w:rsidRPr="0095515F">
        <w:rPr>
          <w:rStyle w:val="BMSSuperscript"/>
          <w:sz w:val="20"/>
        </w:rPr>
        <w:tab/>
      </w:r>
      <w:r w:rsidRPr="0095515F">
        <w:rPr>
          <w:sz w:val="20"/>
        </w:rPr>
        <w:t>Data from HALLMARK QUAD.</w:t>
      </w:r>
    </w:p>
    <w:p w:rsidR="00E61859" w:rsidRDefault="00E61859" w:rsidP="00E61859">
      <w:pPr>
        <w:pStyle w:val="A-Heading1"/>
        <w:spacing w:before="0" w:after="120" w:line="240" w:lineRule="auto"/>
        <w:rPr>
          <w:rFonts w:ascii="Times New Roman" w:hAnsi="Times New Roman"/>
        </w:rPr>
      </w:pPr>
      <w:bookmarkStart w:id="42" w:name="Table_MISC3"/>
      <w:bookmarkStart w:id="43" w:name="Table_MISC"/>
      <w:bookmarkStart w:id="44" w:name="BKMKTEMP"/>
      <w:bookmarkEnd w:id="32"/>
      <w:bookmarkEnd w:id="42"/>
      <w:bookmarkEnd w:id="43"/>
      <w:bookmarkEnd w:id="44"/>
    </w:p>
    <w:p w:rsidR="00954716" w:rsidRDefault="00954716" w:rsidP="00E61859">
      <w:pPr>
        <w:pStyle w:val="A-Heading1"/>
        <w:spacing w:before="0" w:after="120" w:line="240" w:lineRule="auto"/>
        <w:rPr>
          <w:rFonts w:ascii="Times New Roman" w:hAnsi="Times New Roman"/>
        </w:rPr>
      </w:pPr>
      <w:r w:rsidRPr="008D28D2">
        <w:rPr>
          <w:rFonts w:ascii="Times New Roman" w:hAnsi="Times New Roman"/>
        </w:rPr>
        <w:t>DOSAGE AND ADMINISTRATION</w:t>
      </w:r>
    </w:p>
    <w:p w:rsidR="00205F10" w:rsidRDefault="00205F10" w:rsidP="00E61859">
      <w:pPr>
        <w:pStyle w:val="BMSBodyText"/>
        <w:spacing w:before="0" w:line="240" w:lineRule="auto"/>
      </w:pPr>
      <w:r>
        <w:t>SUNVEPRA</w:t>
      </w:r>
      <w:r w:rsidRPr="00B17471">
        <w:t xml:space="preserve"> is for oral administration and may be taken with or without food.</w:t>
      </w:r>
    </w:p>
    <w:p w:rsidR="00105E4A" w:rsidRDefault="00205F10" w:rsidP="00E61859">
      <w:pPr>
        <w:spacing w:after="120" w:line="240" w:lineRule="auto"/>
        <w:jc w:val="both"/>
        <w:rPr>
          <w:rFonts w:ascii="Times New Roman" w:hAnsi="Times New Roman"/>
          <w:color w:val="000000"/>
          <w:szCs w:val="24"/>
          <w:lang w:eastAsia="en-AU"/>
        </w:rPr>
      </w:pPr>
      <w:r w:rsidRPr="00205F10">
        <w:rPr>
          <w:rFonts w:ascii="Times New Roman" w:hAnsi="Times New Roman"/>
          <w:color w:val="000000"/>
          <w:lang w:eastAsia="en-AU"/>
        </w:rPr>
        <w:t xml:space="preserve">The recommended dose of </w:t>
      </w:r>
      <w:r>
        <w:rPr>
          <w:rFonts w:ascii="Times New Roman" w:hAnsi="Times New Roman"/>
          <w:color w:val="000000"/>
          <w:lang w:eastAsia="en-AU"/>
        </w:rPr>
        <w:t>SUNVEPRA</w:t>
      </w:r>
      <w:r w:rsidRPr="00205F10">
        <w:rPr>
          <w:rFonts w:ascii="Times New Roman" w:hAnsi="Times New Roman"/>
          <w:color w:val="000000"/>
          <w:lang w:eastAsia="en-AU"/>
        </w:rPr>
        <w:t xml:space="preserve"> is 100 mg twice daily. </w:t>
      </w:r>
      <w:r>
        <w:rPr>
          <w:rFonts w:ascii="Times New Roman" w:hAnsi="Times New Roman"/>
          <w:color w:val="000000"/>
          <w:lang w:eastAsia="en-AU"/>
        </w:rPr>
        <w:t>SUNVEPRA</w:t>
      </w:r>
      <w:r w:rsidRPr="00205F10">
        <w:rPr>
          <w:rFonts w:ascii="Times New Roman" w:hAnsi="Times New Roman"/>
          <w:color w:val="000000"/>
          <w:lang w:eastAsia="en-AU"/>
        </w:rPr>
        <w:t xml:space="preserve"> must be administered in combination with </w:t>
      </w:r>
      <w:r w:rsidR="00644782">
        <w:rPr>
          <w:rFonts w:ascii="Times New Roman" w:hAnsi="Times New Roman"/>
          <w:color w:val="000000"/>
          <w:lang w:eastAsia="en-AU"/>
        </w:rPr>
        <w:t>DAKLINZA</w:t>
      </w:r>
      <w:r w:rsidRPr="00205F10">
        <w:rPr>
          <w:rFonts w:ascii="Times New Roman" w:hAnsi="Times New Roman"/>
          <w:lang w:eastAsia="en-AU"/>
        </w:rPr>
        <w:t xml:space="preserve"> or with </w:t>
      </w:r>
      <w:r w:rsidR="00644782">
        <w:rPr>
          <w:rFonts w:ascii="Times New Roman" w:hAnsi="Times New Roman"/>
          <w:lang w:eastAsia="en-AU"/>
        </w:rPr>
        <w:t>DAKLINZA</w:t>
      </w:r>
      <w:r w:rsidRPr="00205F10">
        <w:rPr>
          <w:rFonts w:ascii="Times New Roman" w:hAnsi="Times New Roman"/>
          <w:lang w:eastAsia="en-AU"/>
        </w:rPr>
        <w:t xml:space="preserve">, peginterferon alfa, and </w:t>
      </w:r>
      <w:r w:rsidRPr="00BC57D1">
        <w:rPr>
          <w:rFonts w:ascii="Times New Roman" w:hAnsi="Times New Roman"/>
          <w:lang w:eastAsia="en-AU"/>
        </w:rPr>
        <w:t>ribavirin.</w:t>
      </w:r>
      <w:r w:rsidRPr="00205F10">
        <w:rPr>
          <w:rFonts w:ascii="Times New Roman" w:hAnsi="Times New Roman"/>
          <w:color w:val="000000"/>
          <w:lang w:eastAsia="en-AU"/>
        </w:rPr>
        <w:t xml:space="preserve"> Recommended regimens and treatment duration</w:t>
      </w:r>
      <w:r w:rsidRPr="00205F10">
        <w:rPr>
          <w:rFonts w:ascii="Times New Roman" w:hAnsi="Times New Roman"/>
          <w:lang w:eastAsia="en-AU"/>
        </w:rPr>
        <w:t xml:space="preserve"> are shown in </w:t>
      </w:r>
      <w:r w:rsidRPr="00BC57D1">
        <w:rPr>
          <w:rFonts w:ascii="Times New Roman" w:hAnsi="Times New Roman"/>
          <w:lang w:eastAsia="en-AU"/>
        </w:rPr>
        <w:t xml:space="preserve">Table </w:t>
      </w:r>
      <w:r w:rsidR="001E7781">
        <w:rPr>
          <w:rFonts w:ascii="Times New Roman" w:hAnsi="Times New Roman"/>
          <w:lang w:eastAsia="en-AU"/>
        </w:rPr>
        <w:t>8</w:t>
      </w:r>
      <w:r w:rsidRPr="00BC57D1">
        <w:rPr>
          <w:rFonts w:ascii="Times New Roman" w:hAnsi="Times New Roman"/>
          <w:lang w:eastAsia="en-AU"/>
        </w:rPr>
        <w:t>.</w:t>
      </w:r>
      <w:r w:rsidRPr="00205F10" w:rsidDel="007F55C0">
        <w:rPr>
          <w:rFonts w:ascii="Times New Roman" w:hAnsi="Times New Roman"/>
          <w:lang w:eastAsia="en-AU"/>
        </w:rPr>
        <w:t xml:space="preserve"> </w:t>
      </w:r>
      <w:r w:rsidR="00B15189" w:rsidRPr="00B15189">
        <w:rPr>
          <w:rFonts w:ascii="Times New Roman" w:hAnsi="Times New Roman"/>
          <w:color w:val="000000"/>
          <w:szCs w:val="24"/>
          <w:lang w:eastAsia="en-AU"/>
        </w:rPr>
        <w:t xml:space="preserve">For specific dosage instructions for </w:t>
      </w:r>
      <w:r w:rsidR="00644782">
        <w:rPr>
          <w:rFonts w:ascii="Times New Roman" w:hAnsi="Times New Roman"/>
          <w:color w:val="000000"/>
          <w:szCs w:val="24"/>
          <w:lang w:eastAsia="en-AU"/>
        </w:rPr>
        <w:t>DAKLINZA</w:t>
      </w:r>
      <w:r w:rsidR="00B15189" w:rsidRPr="00B15189">
        <w:rPr>
          <w:rFonts w:ascii="Times New Roman" w:hAnsi="Times New Roman"/>
          <w:color w:val="000000"/>
          <w:szCs w:val="24"/>
          <w:lang w:eastAsia="en-AU"/>
        </w:rPr>
        <w:t xml:space="preserve">, </w:t>
      </w:r>
      <w:r w:rsidR="00B15189" w:rsidRPr="00B15189">
        <w:rPr>
          <w:rFonts w:ascii="Times New Roman" w:hAnsi="Times New Roman"/>
          <w:szCs w:val="24"/>
          <w:lang w:eastAsia="en-AU"/>
        </w:rPr>
        <w:t>peginterferon alfa, and ribavirin, refer to</w:t>
      </w:r>
      <w:r w:rsidR="00B15189" w:rsidRPr="00B15189">
        <w:rPr>
          <w:rFonts w:ascii="Times New Roman" w:hAnsi="Times New Roman"/>
          <w:color w:val="000000"/>
          <w:szCs w:val="24"/>
          <w:lang w:eastAsia="en-AU"/>
        </w:rPr>
        <w:t xml:space="preserve"> the respective </w:t>
      </w:r>
      <w:r w:rsidR="00B15189">
        <w:rPr>
          <w:rFonts w:ascii="Times New Roman" w:hAnsi="Times New Roman"/>
          <w:color w:val="000000"/>
          <w:szCs w:val="24"/>
          <w:lang w:eastAsia="en-AU"/>
        </w:rPr>
        <w:t>product</w:t>
      </w:r>
      <w:r w:rsidR="00B15189" w:rsidRPr="00B15189">
        <w:rPr>
          <w:rFonts w:ascii="Times New Roman" w:hAnsi="Times New Roman"/>
          <w:color w:val="000000"/>
          <w:szCs w:val="24"/>
          <w:lang w:eastAsia="en-AU"/>
        </w:rPr>
        <w:t xml:space="preserve"> information.</w:t>
      </w:r>
    </w:p>
    <w:p w:rsidR="00066DF9" w:rsidRPr="000F5D7F" w:rsidRDefault="00066DF9" w:rsidP="00E61859">
      <w:pPr>
        <w:spacing w:after="120" w:line="240" w:lineRule="auto"/>
        <w:jc w:val="both"/>
        <w:rPr>
          <w:rFonts w:ascii="Times New Roman" w:hAnsi="Times New Roman"/>
          <w:color w:val="000000"/>
          <w:szCs w:val="24"/>
          <w:lang w:eastAsia="en-AU"/>
        </w:rPr>
      </w:pPr>
      <w:r w:rsidRPr="000F5D7F">
        <w:rPr>
          <w:rFonts w:ascii="Times New Roman" w:hAnsi="Times New Roman"/>
          <w:b/>
          <w:szCs w:val="24"/>
        </w:rPr>
        <w:t>Table 8:</w:t>
      </w:r>
      <w:r w:rsidRPr="000F5D7F">
        <w:rPr>
          <w:rFonts w:ascii="Times New Roman" w:hAnsi="Times New Roman"/>
          <w:b/>
          <w:szCs w:val="24"/>
        </w:rPr>
        <w:tab/>
        <w:t>Recommended Regimens for SUNVEPRA 100 mg Twice Daily Combination Therapy</w:t>
      </w:r>
    </w:p>
    <w:tbl>
      <w:tblPr>
        <w:tblW w:w="9018" w:type="dxa"/>
        <w:tblBorders>
          <w:bottom w:val="double" w:sz="6" w:space="0" w:color="auto"/>
        </w:tblBorders>
        <w:tblLayout w:type="fixed"/>
        <w:tblLook w:val="0000" w:firstRow="0" w:lastRow="0" w:firstColumn="0" w:lastColumn="0" w:noHBand="0" w:noVBand="0"/>
      </w:tblPr>
      <w:tblGrid>
        <w:gridCol w:w="1638"/>
        <w:gridCol w:w="2700"/>
        <w:gridCol w:w="2970"/>
        <w:gridCol w:w="1710"/>
      </w:tblGrid>
      <w:tr w:rsidR="00167BB8" w:rsidRPr="00205F10" w:rsidTr="00167BB8">
        <w:trPr>
          <w:tblHeader/>
        </w:trPr>
        <w:tc>
          <w:tcPr>
            <w:tcW w:w="1638" w:type="dxa"/>
            <w:tcBorders>
              <w:top w:val="double" w:sz="6" w:space="0" w:color="auto"/>
              <w:bottom w:val="single" w:sz="6" w:space="0" w:color="auto"/>
            </w:tcBorders>
            <w:shd w:val="clear" w:color="auto" w:fill="auto"/>
          </w:tcPr>
          <w:p w:rsidR="00167BB8" w:rsidRPr="00205F10" w:rsidRDefault="00167BB8" w:rsidP="00167BB8">
            <w:pPr>
              <w:tabs>
                <w:tab w:val="left" w:pos="360"/>
              </w:tabs>
              <w:spacing w:before="60" w:after="60" w:line="240" w:lineRule="auto"/>
              <w:rPr>
                <w:rFonts w:ascii="Times New Roman" w:hAnsi="Times New Roman"/>
                <w:b/>
                <w:sz w:val="20"/>
              </w:rPr>
            </w:pPr>
            <w:bookmarkStart w:id="45" w:name="Table1_DosingRecommendationsfo"/>
            <w:bookmarkEnd w:id="45"/>
            <w:r w:rsidRPr="00205F10">
              <w:rPr>
                <w:rFonts w:ascii="Times New Roman" w:hAnsi="Times New Roman"/>
                <w:b/>
                <w:sz w:val="20"/>
                <w:lang w:val="en-US"/>
              </w:rPr>
              <w:t xml:space="preserve">HCV </w:t>
            </w:r>
            <w:r w:rsidRPr="00205F10">
              <w:rPr>
                <w:rFonts w:ascii="Times New Roman" w:hAnsi="Times New Roman"/>
                <w:b/>
                <w:sz w:val="20"/>
              </w:rPr>
              <w:t xml:space="preserve">Genotype </w:t>
            </w:r>
          </w:p>
        </w:tc>
        <w:tc>
          <w:tcPr>
            <w:tcW w:w="2700" w:type="dxa"/>
            <w:tcBorders>
              <w:top w:val="double" w:sz="6" w:space="0" w:color="auto"/>
              <w:bottom w:val="single" w:sz="6" w:space="0" w:color="auto"/>
            </w:tcBorders>
          </w:tcPr>
          <w:p w:rsidR="00167BB8" w:rsidRPr="00205F10" w:rsidRDefault="00167BB8" w:rsidP="00B15189">
            <w:pPr>
              <w:tabs>
                <w:tab w:val="left" w:pos="360"/>
              </w:tabs>
              <w:spacing w:before="60" w:after="60" w:line="240" w:lineRule="auto"/>
              <w:jc w:val="center"/>
              <w:rPr>
                <w:rFonts w:ascii="Times New Roman" w:hAnsi="Times New Roman"/>
                <w:b/>
                <w:sz w:val="20"/>
                <w:lang w:val="en-US"/>
              </w:rPr>
            </w:pPr>
            <w:r w:rsidRPr="00937364">
              <w:rPr>
                <w:rFonts w:ascii="Times New Roman" w:hAnsi="Times New Roman"/>
                <w:b/>
                <w:sz w:val="20"/>
                <w:lang w:val="en-GB"/>
              </w:rPr>
              <w:t>Prior Treatment</w:t>
            </w:r>
          </w:p>
        </w:tc>
        <w:tc>
          <w:tcPr>
            <w:tcW w:w="2970" w:type="dxa"/>
            <w:tcBorders>
              <w:top w:val="double" w:sz="6" w:space="0" w:color="auto"/>
              <w:bottom w:val="single" w:sz="6" w:space="0" w:color="auto"/>
            </w:tcBorders>
            <w:shd w:val="clear" w:color="auto" w:fill="auto"/>
          </w:tcPr>
          <w:p w:rsidR="00167BB8" w:rsidRPr="00205F10" w:rsidRDefault="00167BB8" w:rsidP="00B15189">
            <w:pPr>
              <w:tabs>
                <w:tab w:val="left" w:pos="360"/>
              </w:tabs>
              <w:spacing w:before="60" w:after="60" w:line="240" w:lineRule="auto"/>
              <w:jc w:val="center"/>
              <w:rPr>
                <w:rFonts w:ascii="Times New Roman" w:hAnsi="Times New Roman"/>
                <w:b/>
                <w:sz w:val="28"/>
                <w:vertAlign w:val="superscript"/>
              </w:rPr>
            </w:pPr>
            <w:r w:rsidRPr="00205F10">
              <w:rPr>
                <w:rFonts w:ascii="Times New Roman" w:hAnsi="Times New Roman"/>
                <w:b/>
                <w:sz w:val="20"/>
                <w:lang w:val="en-US"/>
              </w:rPr>
              <w:t>Treatment</w:t>
            </w:r>
          </w:p>
        </w:tc>
        <w:tc>
          <w:tcPr>
            <w:tcW w:w="1710" w:type="dxa"/>
            <w:tcBorders>
              <w:top w:val="double" w:sz="6" w:space="0" w:color="auto"/>
              <w:bottom w:val="single" w:sz="6" w:space="0" w:color="auto"/>
            </w:tcBorders>
            <w:shd w:val="clear" w:color="auto" w:fill="auto"/>
          </w:tcPr>
          <w:p w:rsidR="00167BB8" w:rsidRPr="00205F10" w:rsidRDefault="00167BB8" w:rsidP="00205F10">
            <w:pPr>
              <w:tabs>
                <w:tab w:val="left" w:pos="360"/>
              </w:tabs>
              <w:spacing w:before="60" w:after="60" w:line="240" w:lineRule="auto"/>
              <w:jc w:val="center"/>
              <w:rPr>
                <w:rFonts w:ascii="Times New Roman" w:hAnsi="Times New Roman"/>
                <w:b/>
                <w:sz w:val="20"/>
              </w:rPr>
            </w:pPr>
            <w:r w:rsidRPr="00205F10">
              <w:rPr>
                <w:rFonts w:ascii="Times New Roman" w:hAnsi="Times New Roman"/>
                <w:b/>
                <w:sz w:val="20"/>
              </w:rPr>
              <w:t>Duration</w:t>
            </w:r>
          </w:p>
        </w:tc>
      </w:tr>
      <w:tr w:rsidR="00167BB8" w:rsidRPr="00205F10" w:rsidTr="00167BB8">
        <w:tc>
          <w:tcPr>
            <w:tcW w:w="1638" w:type="dxa"/>
            <w:tcBorders>
              <w:top w:val="single" w:sz="6" w:space="0" w:color="auto"/>
              <w:bottom w:val="single" w:sz="6" w:space="0" w:color="auto"/>
            </w:tcBorders>
            <w:shd w:val="clear" w:color="auto" w:fill="auto"/>
            <w:vAlign w:val="center"/>
          </w:tcPr>
          <w:p w:rsidR="00167BB8" w:rsidRPr="00205F10" w:rsidRDefault="00167BB8" w:rsidP="00205F10">
            <w:pPr>
              <w:tabs>
                <w:tab w:val="left" w:pos="360"/>
              </w:tabs>
              <w:spacing w:before="60" w:after="60" w:line="240" w:lineRule="auto"/>
              <w:rPr>
                <w:rFonts w:ascii="Times New Roman" w:hAnsi="Times New Roman"/>
                <w:sz w:val="20"/>
                <w:lang w:val="en-US"/>
              </w:rPr>
            </w:pPr>
            <w:r w:rsidRPr="00205F10">
              <w:rPr>
                <w:rFonts w:ascii="Times New Roman" w:hAnsi="Times New Roman"/>
                <w:sz w:val="20"/>
                <w:lang w:val="en-US"/>
              </w:rPr>
              <w:t xml:space="preserve">Genotype 1b </w:t>
            </w:r>
          </w:p>
        </w:tc>
        <w:tc>
          <w:tcPr>
            <w:tcW w:w="2700" w:type="dxa"/>
            <w:tcBorders>
              <w:top w:val="single" w:sz="6" w:space="0" w:color="auto"/>
              <w:bottom w:val="single" w:sz="6" w:space="0" w:color="auto"/>
            </w:tcBorders>
          </w:tcPr>
          <w:p w:rsidR="00167BB8" w:rsidRDefault="00167BB8" w:rsidP="00167BB8">
            <w:pPr>
              <w:autoSpaceDE w:val="0"/>
              <w:autoSpaceDN w:val="0"/>
              <w:adjustRightInd w:val="0"/>
              <w:spacing w:after="0" w:line="240" w:lineRule="auto"/>
              <w:rPr>
                <w:rFonts w:ascii="Times New Roman" w:hAnsi="Times New Roman"/>
                <w:sz w:val="20"/>
                <w:lang w:val="en-US"/>
              </w:rPr>
            </w:pPr>
            <w:r w:rsidRPr="00937364">
              <w:rPr>
                <w:rFonts w:ascii="Times New Roman" w:hAnsi="Times New Roman"/>
                <w:sz w:val="20"/>
              </w:rPr>
              <w:t>None, or failed peginterferon</w:t>
            </w:r>
            <w:r>
              <w:rPr>
                <w:rFonts w:ascii="Times New Roman" w:hAnsi="Times New Roman"/>
                <w:sz w:val="20"/>
              </w:rPr>
              <w:t xml:space="preserve"> </w:t>
            </w:r>
            <w:r w:rsidRPr="00937364">
              <w:rPr>
                <w:rFonts w:ascii="Times New Roman" w:hAnsi="Times New Roman"/>
                <w:sz w:val="20"/>
              </w:rPr>
              <w:t>alfa/ribavirin</w:t>
            </w:r>
          </w:p>
        </w:tc>
        <w:tc>
          <w:tcPr>
            <w:tcW w:w="2970" w:type="dxa"/>
            <w:tcBorders>
              <w:top w:val="single" w:sz="6" w:space="0" w:color="auto"/>
              <w:bottom w:val="single" w:sz="6" w:space="0" w:color="auto"/>
            </w:tcBorders>
            <w:shd w:val="clear" w:color="auto" w:fill="auto"/>
          </w:tcPr>
          <w:p w:rsidR="00167BB8" w:rsidRPr="00205F10" w:rsidRDefault="00167BB8" w:rsidP="00205F10">
            <w:pPr>
              <w:tabs>
                <w:tab w:val="left" w:pos="360"/>
              </w:tabs>
              <w:spacing w:before="60" w:after="60" w:line="240" w:lineRule="auto"/>
              <w:jc w:val="center"/>
              <w:rPr>
                <w:rFonts w:ascii="Times New Roman" w:hAnsi="Times New Roman"/>
                <w:sz w:val="20"/>
                <w:lang w:val="en-US"/>
              </w:rPr>
            </w:pPr>
            <w:r>
              <w:rPr>
                <w:rFonts w:ascii="Times New Roman" w:hAnsi="Times New Roman"/>
                <w:sz w:val="20"/>
                <w:lang w:val="en-US"/>
              </w:rPr>
              <w:t>SUNVEPRA</w:t>
            </w:r>
            <w:r w:rsidRPr="00205F10">
              <w:rPr>
                <w:rFonts w:ascii="Times New Roman" w:hAnsi="Times New Roman"/>
                <w:sz w:val="20"/>
                <w:lang w:val="en-US"/>
              </w:rPr>
              <w:t xml:space="preserve"> and </w:t>
            </w:r>
            <w:r>
              <w:rPr>
                <w:rFonts w:ascii="Times New Roman" w:hAnsi="Times New Roman"/>
                <w:sz w:val="20"/>
                <w:lang w:val="en-US"/>
              </w:rPr>
              <w:t>DAKLINZA</w:t>
            </w:r>
          </w:p>
        </w:tc>
        <w:tc>
          <w:tcPr>
            <w:tcW w:w="1710" w:type="dxa"/>
            <w:tcBorders>
              <w:top w:val="single" w:sz="6" w:space="0" w:color="auto"/>
              <w:bottom w:val="single" w:sz="6" w:space="0" w:color="auto"/>
            </w:tcBorders>
            <w:shd w:val="clear" w:color="auto" w:fill="auto"/>
          </w:tcPr>
          <w:p w:rsidR="00167BB8" w:rsidRPr="00205F10" w:rsidRDefault="00167BB8" w:rsidP="00205F10">
            <w:pPr>
              <w:tabs>
                <w:tab w:val="left" w:pos="360"/>
              </w:tabs>
              <w:spacing w:before="60" w:after="60" w:line="240" w:lineRule="auto"/>
              <w:jc w:val="center"/>
              <w:rPr>
                <w:rFonts w:ascii="Times New Roman" w:hAnsi="Times New Roman"/>
                <w:sz w:val="20"/>
                <w:lang w:val="en-US"/>
              </w:rPr>
            </w:pPr>
            <w:r w:rsidRPr="00205F10">
              <w:rPr>
                <w:rFonts w:ascii="Times New Roman" w:hAnsi="Times New Roman"/>
                <w:sz w:val="20"/>
                <w:lang w:val="en-US"/>
              </w:rPr>
              <w:t>24 weeks</w:t>
            </w:r>
          </w:p>
        </w:tc>
      </w:tr>
      <w:tr w:rsidR="00167BB8" w:rsidRPr="00205F10" w:rsidTr="00167BB8">
        <w:tc>
          <w:tcPr>
            <w:tcW w:w="1638" w:type="dxa"/>
            <w:tcBorders>
              <w:top w:val="single" w:sz="6" w:space="0" w:color="auto"/>
              <w:bottom w:val="double" w:sz="6" w:space="0" w:color="auto"/>
            </w:tcBorders>
            <w:shd w:val="clear" w:color="auto" w:fill="auto"/>
          </w:tcPr>
          <w:p w:rsidR="00167BB8" w:rsidRPr="00205F10" w:rsidRDefault="00167BB8" w:rsidP="00205F10">
            <w:pPr>
              <w:tabs>
                <w:tab w:val="left" w:pos="360"/>
              </w:tabs>
              <w:spacing w:before="60" w:after="60" w:line="240" w:lineRule="auto"/>
              <w:rPr>
                <w:rFonts w:ascii="Times New Roman" w:hAnsi="Times New Roman"/>
                <w:sz w:val="20"/>
                <w:lang w:val="en-US"/>
              </w:rPr>
            </w:pPr>
            <w:r w:rsidRPr="00205F10">
              <w:rPr>
                <w:rFonts w:ascii="Times New Roman" w:hAnsi="Times New Roman"/>
                <w:sz w:val="20"/>
                <w:lang w:val="en-US"/>
              </w:rPr>
              <w:lastRenderedPageBreak/>
              <w:t xml:space="preserve">Genotype 1 or 4 </w:t>
            </w:r>
          </w:p>
        </w:tc>
        <w:tc>
          <w:tcPr>
            <w:tcW w:w="2700" w:type="dxa"/>
            <w:tcBorders>
              <w:top w:val="single" w:sz="6" w:space="0" w:color="auto"/>
              <w:bottom w:val="double" w:sz="6" w:space="0" w:color="auto"/>
            </w:tcBorders>
          </w:tcPr>
          <w:p w:rsidR="00167BB8" w:rsidRDefault="00167BB8" w:rsidP="00167BB8">
            <w:pPr>
              <w:autoSpaceDE w:val="0"/>
              <w:autoSpaceDN w:val="0"/>
              <w:adjustRightInd w:val="0"/>
              <w:spacing w:after="0" w:line="240" w:lineRule="auto"/>
              <w:rPr>
                <w:rFonts w:ascii="Times New Roman" w:hAnsi="Times New Roman"/>
                <w:sz w:val="20"/>
                <w:lang w:val="en-US"/>
              </w:rPr>
            </w:pPr>
            <w:r w:rsidRPr="00937364">
              <w:rPr>
                <w:rFonts w:ascii="Times New Roman" w:hAnsi="Times New Roman"/>
                <w:sz w:val="20"/>
              </w:rPr>
              <w:t>None, or failed peginterferon</w:t>
            </w:r>
            <w:r>
              <w:rPr>
                <w:rFonts w:ascii="Times New Roman" w:hAnsi="Times New Roman"/>
                <w:sz w:val="20"/>
              </w:rPr>
              <w:t xml:space="preserve"> </w:t>
            </w:r>
            <w:r w:rsidRPr="00937364">
              <w:rPr>
                <w:rFonts w:ascii="Times New Roman" w:hAnsi="Times New Roman"/>
                <w:sz w:val="20"/>
              </w:rPr>
              <w:t>alfa/ribavirin</w:t>
            </w:r>
          </w:p>
        </w:tc>
        <w:tc>
          <w:tcPr>
            <w:tcW w:w="2970" w:type="dxa"/>
            <w:tcBorders>
              <w:top w:val="single" w:sz="6" w:space="0" w:color="auto"/>
              <w:bottom w:val="double" w:sz="6" w:space="0" w:color="auto"/>
            </w:tcBorders>
            <w:shd w:val="clear" w:color="auto" w:fill="auto"/>
          </w:tcPr>
          <w:p w:rsidR="00167BB8" w:rsidRPr="00205F10" w:rsidRDefault="00167BB8" w:rsidP="00205F10">
            <w:pPr>
              <w:tabs>
                <w:tab w:val="left" w:pos="360"/>
              </w:tabs>
              <w:spacing w:before="60" w:after="60" w:line="240" w:lineRule="auto"/>
              <w:jc w:val="center"/>
              <w:rPr>
                <w:rFonts w:ascii="Times New Roman" w:hAnsi="Times New Roman"/>
                <w:sz w:val="28"/>
                <w:vertAlign w:val="superscript"/>
                <w:lang w:val="en-US"/>
              </w:rPr>
            </w:pPr>
            <w:r>
              <w:rPr>
                <w:rFonts w:ascii="Times New Roman" w:hAnsi="Times New Roman"/>
                <w:sz w:val="20"/>
                <w:lang w:val="en-US"/>
              </w:rPr>
              <w:t>SUNVEPRA</w:t>
            </w:r>
            <w:r w:rsidRPr="00205F10">
              <w:rPr>
                <w:rFonts w:ascii="Times New Roman" w:hAnsi="Times New Roman"/>
                <w:sz w:val="20"/>
                <w:lang w:val="en-US"/>
              </w:rPr>
              <w:t xml:space="preserve">, </w:t>
            </w:r>
            <w:r>
              <w:rPr>
                <w:rFonts w:ascii="Times New Roman" w:hAnsi="Times New Roman"/>
                <w:sz w:val="20"/>
                <w:lang w:val="en-US"/>
              </w:rPr>
              <w:t>DAKLINZA</w:t>
            </w:r>
            <w:r w:rsidRPr="00205F10">
              <w:rPr>
                <w:rFonts w:ascii="Times New Roman" w:hAnsi="Times New Roman"/>
                <w:sz w:val="20"/>
                <w:lang w:val="en-US"/>
              </w:rPr>
              <w:t>, peginterferon alfa, and ribavirin</w:t>
            </w:r>
          </w:p>
        </w:tc>
        <w:tc>
          <w:tcPr>
            <w:tcW w:w="1710" w:type="dxa"/>
            <w:tcBorders>
              <w:top w:val="single" w:sz="6" w:space="0" w:color="auto"/>
              <w:bottom w:val="double" w:sz="6" w:space="0" w:color="auto"/>
            </w:tcBorders>
            <w:shd w:val="clear" w:color="auto" w:fill="auto"/>
          </w:tcPr>
          <w:p w:rsidR="00167BB8" w:rsidRPr="00205F10" w:rsidRDefault="00167BB8" w:rsidP="00205F10">
            <w:pPr>
              <w:tabs>
                <w:tab w:val="left" w:pos="360"/>
              </w:tabs>
              <w:spacing w:before="60" w:after="60" w:line="240" w:lineRule="auto"/>
              <w:jc w:val="center"/>
              <w:rPr>
                <w:rFonts w:ascii="Times New Roman" w:hAnsi="Times New Roman"/>
                <w:sz w:val="20"/>
                <w:lang w:val="en-US"/>
              </w:rPr>
            </w:pPr>
            <w:r w:rsidRPr="00205F10">
              <w:rPr>
                <w:rFonts w:ascii="Times New Roman" w:hAnsi="Times New Roman"/>
                <w:sz w:val="20"/>
                <w:lang w:val="en-US"/>
              </w:rPr>
              <w:t>24 weeks</w:t>
            </w:r>
          </w:p>
        </w:tc>
      </w:tr>
    </w:tbl>
    <w:p w:rsidR="00205F10" w:rsidRPr="00205F10" w:rsidRDefault="00205F10" w:rsidP="002324D7">
      <w:pPr>
        <w:tabs>
          <w:tab w:val="left" w:pos="284"/>
        </w:tabs>
        <w:spacing w:after="120" w:line="240" w:lineRule="auto"/>
        <w:jc w:val="both"/>
        <w:rPr>
          <w:rFonts w:ascii="Times New Roman" w:hAnsi="Times New Roman"/>
          <w:color w:val="000000"/>
          <w:sz w:val="20"/>
          <w:vertAlign w:val="subscript"/>
          <w:lang w:eastAsia="en-AU"/>
        </w:rPr>
      </w:pPr>
    </w:p>
    <w:p w:rsidR="00205F10" w:rsidRPr="00205F10" w:rsidRDefault="00205F10" w:rsidP="00E61859">
      <w:pPr>
        <w:keepNext/>
        <w:keepLines/>
        <w:tabs>
          <w:tab w:val="left" w:pos="1152"/>
        </w:tabs>
        <w:spacing w:after="120" w:line="240" w:lineRule="auto"/>
        <w:outlineLvl w:val="1"/>
        <w:rPr>
          <w:rFonts w:ascii="Times New Roman" w:hAnsi="Times New Roman"/>
          <w:b/>
          <w:color w:val="000000"/>
          <w:lang w:val="en-US"/>
        </w:rPr>
      </w:pPr>
      <w:bookmarkStart w:id="46" w:name="_Toc375124710"/>
      <w:r w:rsidRPr="00205F10">
        <w:rPr>
          <w:rFonts w:ascii="Times New Roman" w:hAnsi="Times New Roman"/>
          <w:b/>
          <w:color w:val="000000"/>
          <w:lang w:val="en-US"/>
        </w:rPr>
        <w:t>Dose Modification</w:t>
      </w:r>
      <w:r w:rsidR="00EC71FD">
        <w:rPr>
          <w:rFonts w:ascii="Times New Roman" w:hAnsi="Times New Roman"/>
          <w:b/>
          <w:color w:val="000000"/>
          <w:lang w:val="en-US"/>
        </w:rPr>
        <w:t>,</w:t>
      </w:r>
      <w:r w:rsidRPr="00205F10">
        <w:rPr>
          <w:rFonts w:ascii="Times New Roman" w:hAnsi="Times New Roman"/>
          <w:b/>
          <w:color w:val="000000"/>
          <w:lang w:val="en-US"/>
        </w:rPr>
        <w:t xml:space="preserve"> Interruption</w:t>
      </w:r>
      <w:bookmarkEnd w:id="46"/>
      <w:r w:rsidR="00EC71FD">
        <w:rPr>
          <w:rFonts w:ascii="Times New Roman" w:hAnsi="Times New Roman"/>
          <w:b/>
          <w:color w:val="000000"/>
          <w:lang w:val="en-US"/>
        </w:rPr>
        <w:t xml:space="preserve"> and Discontinuation</w:t>
      </w:r>
    </w:p>
    <w:p w:rsidR="00205F10" w:rsidRDefault="00205F10" w:rsidP="00E61859">
      <w:pPr>
        <w:spacing w:after="120" w:line="240" w:lineRule="auto"/>
        <w:jc w:val="both"/>
        <w:rPr>
          <w:rFonts w:ascii="Times New Roman" w:hAnsi="Times New Roman"/>
        </w:rPr>
      </w:pPr>
      <w:r w:rsidRPr="00205F10">
        <w:rPr>
          <w:rFonts w:ascii="Times New Roman" w:hAnsi="Times New Roman"/>
          <w:color w:val="000000"/>
          <w:lang w:eastAsia="en-AU"/>
        </w:rPr>
        <w:t xml:space="preserve">Dose modification of </w:t>
      </w:r>
      <w:r>
        <w:rPr>
          <w:rFonts w:ascii="Times New Roman" w:hAnsi="Times New Roman"/>
          <w:color w:val="000000"/>
          <w:lang w:eastAsia="en-AU"/>
        </w:rPr>
        <w:t>SUNVEPRA</w:t>
      </w:r>
      <w:r w:rsidRPr="00205F10">
        <w:rPr>
          <w:rFonts w:ascii="Times New Roman" w:hAnsi="Times New Roman"/>
          <w:color w:val="000000"/>
          <w:lang w:eastAsia="en-AU"/>
        </w:rPr>
        <w:t xml:space="preserve"> or </w:t>
      </w:r>
      <w:r w:rsidR="00644782">
        <w:rPr>
          <w:rFonts w:ascii="Times New Roman" w:hAnsi="Times New Roman"/>
          <w:color w:val="000000"/>
          <w:lang w:eastAsia="en-AU"/>
        </w:rPr>
        <w:t>DAKLINZA</w:t>
      </w:r>
      <w:r w:rsidRPr="00205F10">
        <w:rPr>
          <w:rFonts w:ascii="Times New Roman" w:hAnsi="Times New Roman"/>
          <w:color w:val="000000"/>
          <w:lang w:eastAsia="en-AU"/>
        </w:rPr>
        <w:t xml:space="preserve"> is not recommended. </w:t>
      </w:r>
      <w:r w:rsidRPr="00205F10">
        <w:rPr>
          <w:rFonts w:ascii="Times New Roman" w:hAnsi="Times New Roman"/>
          <w:lang w:eastAsia="en-AU"/>
        </w:rPr>
        <w:t>Refer to the respective prescribing information for dose modification of peginterferon alfa and ribavirin.</w:t>
      </w:r>
      <w:r w:rsidRPr="00205F10">
        <w:rPr>
          <w:rFonts w:ascii="Times New Roman" w:hAnsi="Times New Roman"/>
          <w:color w:val="000000"/>
          <w:lang w:eastAsia="en-AU"/>
        </w:rPr>
        <w:t xml:space="preserve"> Treatment interruption should be avoided; however, if treatment interruption is necessary because of adverse reactions, </w:t>
      </w:r>
      <w:r w:rsidRPr="00205F10">
        <w:rPr>
          <w:rFonts w:ascii="Times New Roman" w:hAnsi="Times New Roman"/>
          <w:lang w:eastAsia="en-AU"/>
        </w:rPr>
        <w:t xml:space="preserve">neither </w:t>
      </w:r>
      <w:r>
        <w:rPr>
          <w:rFonts w:ascii="Times New Roman" w:hAnsi="Times New Roman"/>
          <w:lang w:eastAsia="en-AU"/>
        </w:rPr>
        <w:t>SUNVEPRA</w:t>
      </w:r>
      <w:r w:rsidRPr="00205F10">
        <w:rPr>
          <w:rFonts w:ascii="Times New Roman" w:hAnsi="Times New Roman"/>
          <w:lang w:eastAsia="en-AU"/>
        </w:rPr>
        <w:t xml:space="preserve"> nor </w:t>
      </w:r>
      <w:r w:rsidR="00644782">
        <w:rPr>
          <w:rFonts w:ascii="Times New Roman" w:hAnsi="Times New Roman"/>
          <w:lang w:eastAsia="en-AU"/>
        </w:rPr>
        <w:t>DAKLINZA</w:t>
      </w:r>
      <w:r w:rsidRPr="00205F10">
        <w:rPr>
          <w:rFonts w:ascii="Times New Roman" w:hAnsi="Times New Roman"/>
          <w:lang w:eastAsia="en-AU"/>
        </w:rPr>
        <w:t xml:space="preserve"> should be given as monotherapy. </w:t>
      </w:r>
      <w:r w:rsidR="00B15189" w:rsidRPr="00B15189">
        <w:rPr>
          <w:rFonts w:ascii="Times New Roman" w:hAnsi="Times New Roman"/>
        </w:rPr>
        <w:t>If resumption of therapy is considered, the risks and benefits should be carefully assessed [see P</w:t>
      </w:r>
      <w:r w:rsidR="00B15189">
        <w:rPr>
          <w:rFonts w:ascii="Times New Roman" w:hAnsi="Times New Roman"/>
        </w:rPr>
        <w:t>RECAUTIONS</w:t>
      </w:r>
      <w:r w:rsidR="00B15189" w:rsidRPr="00B15189">
        <w:rPr>
          <w:rFonts w:ascii="Times New Roman" w:hAnsi="Times New Roman"/>
        </w:rPr>
        <w:t>]. For the SUNVEPRA/</w:t>
      </w:r>
      <w:r w:rsidR="00644782">
        <w:rPr>
          <w:rFonts w:ascii="Times New Roman" w:hAnsi="Times New Roman"/>
        </w:rPr>
        <w:t>DAKLINZA</w:t>
      </w:r>
      <w:r w:rsidR="00B15189" w:rsidRPr="00B15189">
        <w:rPr>
          <w:rFonts w:ascii="Times New Roman" w:hAnsi="Times New Roman"/>
        </w:rPr>
        <w:t xml:space="preserve"> regimen, both drugs must be restarted at the same time.</w:t>
      </w:r>
    </w:p>
    <w:p w:rsidR="00EC71FD" w:rsidRDefault="00EC71FD" w:rsidP="00E61859">
      <w:pPr>
        <w:spacing w:after="120" w:line="240" w:lineRule="auto"/>
        <w:jc w:val="both"/>
        <w:rPr>
          <w:rFonts w:ascii="Times New Roman" w:hAnsi="Times New Roman"/>
          <w:szCs w:val="24"/>
        </w:rPr>
      </w:pPr>
      <w:r w:rsidRPr="00551EA9">
        <w:rPr>
          <w:rFonts w:ascii="Times New Roman" w:hAnsi="Times New Roman"/>
          <w:szCs w:val="24"/>
        </w:rPr>
        <w:t>Discontinuation of</w:t>
      </w:r>
      <w:r w:rsidRPr="00EC71FD">
        <w:rPr>
          <w:rFonts w:ascii="Times New Roman" w:hAnsi="Times New Roman"/>
          <w:szCs w:val="24"/>
        </w:rPr>
        <w:t xml:space="preserve"> </w:t>
      </w:r>
      <w:r>
        <w:rPr>
          <w:rFonts w:ascii="Times New Roman" w:hAnsi="Times New Roman"/>
          <w:szCs w:val="24"/>
        </w:rPr>
        <w:t>therapy</w:t>
      </w:r>
      <w:r w:rsidRPr="00EC71FD">
        <w:rPr>
          <w:rFonts w:ascii="Times New Roman" w:hAnsi="Times New Roman"/>
          <w:szCs w:val="24"/>
        </w:rPr>
        <w:t xml:space="preserve"> is recommended for patients experiencing confirmed virologic breakthrough (greater than 1 log</w:t>
      </w:r>
      <w:r w:rsidRPr="00EC71FD">
        <w:rPr>
          <w:rFonts w:ascii="Times New Roman" w:hAnsi="Times New Roman"/>
          <w:szCs w:val="24"/>
          <w:vertAlign w:val="subscript"/>
        </w:rPr>
        <w:t>10</w:t>
      </w:r>
      <w:r w:rsidRPr="00EC71FD">
        <w:rPr>
          <w:rFonts w:ascii="Times New Roman" w:hAnsi="Times New Roman"/>
          <w:szCs w:val="24"/>
        </w:rPr>
        <w:t xml:space="preserve"> </w:t>
      </w:r>
      <w:r>
        <w:rPr>
          <w:rFonts w:ascii="Times New Roman" w:hAnsi="Times New Roman"/>
          <w:szCs w:val="24"/>
        </w:rPr>
        <w:t xml:space="preserve">IU/mL </w:t>
      </w:r>
      <w:r w:rsidRPr="00EC71FD">
        <w:rPr>
          <w:rFonts w:ascii="Times New Roman" w:hAnsi="Times New Roman"/>
          <w:szCs w:val="24"/>
        </w:rPr>
        <w:t>increase in HCV RNA from nadir).</w:t>
      </w:r>
    </w:p>
    <w:p w:rsidR="00575068" w:rsidRDefault="00575068" w:rsidP="00E61859">
      <w:pPr>
        <w:spacing w:after="120" w:line="240" w:lineRule="auto"/>
        <w:jc w:val="both"/>
        <w:rPr>
          <w:rFonts w:ascii="Times New Roman" w:hAnsi="Times New Roman"/>
          <w:b/>
          <w:szCs w:val="24"/>
        </w:rPr>
      </w:pPr>
      <w:r>
        <w:rPr>
          <w:rFonts w:ascii="Times New Roman" w:hAnsi="Times New Roman"/>
          <w:b/>
          <w:szCs w:val="24"/>
        </w:rPr>
        <w:t>Renal Impairment</w:t>
      </w:r>
    </w:p>
    <w:p w:rsidR="00575068" w:rsidRDefault="00575068" w:rsidP="00E61859">
      <w:pPr>
        <w:spacing w:after="120" w:line="240" w:lineRule="auto"/>
        <w:jc w:val="both"/>
        <w:rPr>
          <w:rFonts w:ascii="Times New Roman" w:hAnsi="Times New Roman"/>
          <w:color w:val="000000"/>
          <w:szCs w:val="24"/>
          <w:lang w:eastAsia="en-AU"/>
        </w:rPr>
      </w:pPr>
      <w:r w:rsidRPr="00575068">
        <w:rPr>
          <w:rFonts w:ascii="Times New Roman" w:hAnsi="Times New Roman"/>
          <w:color w:val="000000"/>
          <w:szCs w:val="24"/>
          <w:lang w:eastAsia="en-AU"/>
        </w:rPr>
        <w:t xml:space="preserve">For patients with severe renal impairment [creatinine clearance (CrCl) less than 30 mL/min] who are not receiving hemodialysis, the recommended dose of </w:t>
      </w:r>
      <w:r>
        <w:rPr>
          <w:rFonts w:ascii="Times New Roman" w:hAnsi="Times New Roman"/>
          <w:color w:val="000000"/>
          <w:szCs w:val="24"/>
          <w:lang w:eastAsia="en-AU"/>
        </w:rPr>
        <w:t>SUNVEPRA</w:t>
      </w:r>
      <w:r w:rsidRPr="00575068">
        <w:rPr>
          <w:rFonts w:ascii="Times New Roman" w:hAnsi="Times New Roman"/>
          <w:color w:val="000000"/>
          <w:szCs w:val="24"/>
          <w:lang w:eastAsia="en-AU"/>
        </w:rPr>
        <w:t xml:space="preserve"> is 100 mg once daily. No dose adjustment of </w:t>
      </w:r>
      <w:r>
        <w:rPr>
          <w:rFonts w:ascii="Times New Roman" w:hAnsi="Times New Roman"/>
          <w:color w:val="000000"/>
          <w:szCs w:val="24"/>
          <w:lang w:eastAsia="en-AU"/>
        </w:rPr>
        <w:t>SUNVEPRA</w:t>
      </w:r>
      <w:r w:rsidRPr="00575068">
        <w:rPr>
          <w:rFonts w:ascii="Times New Roman" w:hAnsi="Times New Roman"/>
          <w:color w:val="000000"/>
          <w:szCs w:val="24"/>
          <w:lang w:eastAsia="en-AU"/>
        </w:rPr>
        <w:t xml:space="preserve"> is required for the majority of renally impaired patients including those receiving hemodialysis or those with mild or moderate renal impairment (CrCl 30 mL/min or greater) </w:t>
      </w:r>
      <w:r w:rsidR="003846E0">
        <w:rPr>
          <w:rFonts w:ascii="Times New Roman" w:hAnsi="Times New Roman"/>
          <w:color w:val="000000"/>
          <w:szCs w:val="24"/>
          <w:lang w:eastAsia="en-AU"/>
        </w:rPr>
        <w:t>[</w:t>
      </w:r>
      <w:r w:rsidRPr="00575068">
        <w:rPr>
          <w:rFonts w:ascii="Times New Roman" w:hAnsi="Times New Roman"/>
          <w:color w:val="000000"/>
          <w:szCs w:val="24"/>
          <w:lang w:eastAsia="en-AU"/>
        </w:rPr>
        <w:t xml:space="preserve">see </w:t>
      </w:r>
      <w:r w:rsidR="000E7DB5">
        <w:rPr>
          <w:rFonts w:ascii="Times New Roman" w:hAnsi="Times New Roman"/>
          <w:color w:val="000000"/>
          <w:szCs w:val="24"/>
          <w:lang w:eastAsia="en-AU"/>
        </w:rPr>
        <w:t>PHARMACOLOGY]</w:t>
      </w:r>
      <w:r w:rsidRPr="00575068">
        <w:rPr>
          <w:rFonts w:ascii="Times New Roman" w:hAnsi="Times New Roman"/>
          <w:color w:val="000000"/>
          <w:szCs w:val="24"/>
          <w:lang w:eastAsia="en-AU"/>
        </w:rPr>
        <w:t>.</w:t>
      </w:r>
    </w:p>
    <w:p w:rsidR="00E61859" w:rsidRPr="00575068" w:rsidRDefault="00E61859" w:rsidP="00E61859">
      <w:pPr>
        <w:spacing w:after="120" w:line="240" w:lineRule="auto"/>
        <w:jc w:val="both"/>
        <w:rPr>
          <w:rFonts w:ascii="Times New Roman" w:hAnsi="Times New Roman"/>
          <w:color w:val="000000"/>
          <w:szCs w:val="24"/>
          <w:lang w:eastAsia="en-AU"/>
        </w:rPr>
      </w:pP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OVERDOSAGE</w:t>
      </w:r>
    </w:p>
    <w:p w:rsidR="00376E13" w:rsidRPr="00376E13" w:rsidRDefault="00376E13" w:rsidP="00E61859">
      <w:pPr>
        <w:spacing w:after="120" w:line="240" w:lineRule="auto"/>
        <w:jc w:val="both"/>
        <w:rPr>
          <w:rFonts w:ascii="Times New Roman" w:eastAsia="TimesNewRomanPSMT" w:hAnsi="Times New Roman"/>
          <w:color w:val="000000"/>
          <w:lang w:eastAsia="en-AU"/>
        </w:rPr>
      </w:pPr>
      <w:r w:rsidRPr="00376E13">
        <w:rPr>
          <w:rFonts w:ascii="Times New Roman" w:eastAsia="TimesNewRomanPSMT" w:hAnsi="Times New Roman"/>
          <w:color w:val="000000"/>
          <w:lang w:eastAsia="en-AU"/>
        </w:rPr>
        <w:t xml:space="preserve">There is limited clinical experience of overdose with </w:t>
      </w:r>
      <w:r>
        <w:rPr>
          <w:rFonts w:ascii="Times New Roman" w:eastAsia="TimesNewRomanPSMT" w:hAnsi="Times New Roman"/>
          <w:color w:val="000000"/>
          <w:lang w:eastAsia="en-AU"/>
        </w:rPr>
        <w:t>SUNVEPRA</w:t>
      </w:r>
      <w:r w:rsidRPr="00376E13">
        <w:rPr>
          <w:rFonts w:ascii="Times New Roman" w:eastAsia="TimesNewRomanPSMT" w:hAnsi="Times New Roman"/>
          <w:color w:val="000000"/>
          <w:lang w:eastAsia="en-AU"/>
        </w:rPr>
        <w:t>. In phase 1 clinical trials, healthy subjects who received up to 300 mg twice daily (gelatin capsule) for up to 10 days had no unexpected adverse events. In clinical trials, asunaprevir doses higher than the recommended dose were associated with elevated liver enzymes.</w:t>
      </w:r>
    </w:p>
    <w:p w:rsidR="00376E13" w:rsidRPr="00376E13" w:rsidRDefault="00376E13" w:rsidP="00E61859">
      <w:pPr>
        <w:spacing w:after="120" w:line="240" w:lineRule="auto"/>
        <w:jc w:val="both"/>
        <w:rPr>
          <w:rFonts w:ascii="Times New Roman" w:eastAsia="TimesNewRomanPSMT" w:hAnsi="Times New Roman"/>
          <w:color w:val="000000"/>
          <w:lang w:eastAsia="en-AU"/>
        </w:rPr>
      </w:pPr>
      <w:r w:rsidRPr="00376E13">
        <w:rPr>
          <w:rFonts w:ascii="Times New Roman" w:eastAsia="TimesNewRomanPSMT" w:hAnsi="Times New Roman"/>
          <w:color w:val="000000"/>
          <w:lang w:eastAsia="en-AU"/>
        </w:rPr>
        <w:t xml:space="preserve">There is no known antidote for overdose of </w:t>
      </w:r>
      <w:r>
        <w:rPr>
          <w:rFonts w:ascii="Times New Roman" w:eastAsia="TimesNewRomanPSMT" w:hAnsi="Times New Roman"/>
          <w:color w:val="000000"/>
          <w:lang w:eastAsia="en-AU"/>
        </w:rPr>
        <w:t>SUNVEPRA</w:t>
      </w:r>
      <w:r w:rsidRPr="00376E13">
        <w:rPr>
          <w:rFonts w:ascii="Times New Roman" w:eastAsia="TimesNewRomanPSMT" w:hAnsi="Times New Roman"/>
          <w:color w:val="000000"/>
          <w:lang w:eastAsia="en-AU"/>
        </w:rPr>
        <w:t xml:space="preserve">. Treatment of overdose with </w:t>
      </w:r>
      <w:r>
        <w:rPr>
          <w:rFonts w:ascii="Times New Roman" w:eastAsia="TimesNewRomanPSMT" w:hAnsi="Times New Roman"/>
          <w:color w:val="000000"/>
          <w:lang w:eastAsia="en-AU"/>
        </w:rPr>
        <w:t>SUNVEPRA</w:t>
      </w:r>
      <w:r w:rsidRPr="00376E13">
        <w:rPr>
          <w:rFonts w:ascii="Times New Roman" w:eastAsia="TimesNewRomanPSMT" w:hAnsi="Times New Roman"/>
          <w:color w:val="000000"/>
          <w:lang w:eastAsia="en-AU"/>
        </w:rPr>
        <w:t xml:space="preserve"> should consist of general supportive measures, including monitoring of vital signs and observation of the patient’s clinical status. Because asunaprevir is highly protein bound (&gt;99%) and has a molecular weight greater than 700, dialysis is unlikely to significantly reduce plasma concentrations of the drug.</w:t>
      </w:r>
    </w:p>
    <w:p w:rsidR="00240220" w:rsidRDefault="00240220" w:rsidP="00E61859">
      <w:pPr>
        <w:spacing w:after="120" w:line="240" w:lineRule="auto"/>
        <w:jc w:val="both"/>
        <w:rPr>
          <w:rFonts w:ascii="Times New Roman" w:hAnsi="Times New Roman"/>
          <w:i/>
          <w:iCs/>
        </w:rPr>
      </w:pPr>
      <w:r w:rsidRPr="00240220">
        <w:rPr>
          <w:rFonts w:ascii="Times New Roman" w:hAnsi="Times New Roman"/>
          <w:i/>
          <w:iCs/>
        </w:rPr>
        <w:t xml:space="preserve">For information on the management of overdose, contact the Poison Information Centre on 131126 (Australia). </w:t>
      </w:r>
    </w:p>
    <w:p w:rsidR="00E61859" w:rsidRPr="00240220" w:rsidRDefault="00E61859" w:rsidP="00E61859">
      <w:pPr>
        <w:spacing w:after="120" w:line="240" w:lineRule="auto"/>
        <w:jc w:val="both"/>
        <w:rPr>
          <w:rFonts w:ascii="Times New Roman" w:hAnsi="Times New Roman"/>
          <w:color w:val="000000"/>
          <w:lang w:eastAsia="en-AU"/>
        </w:rPr>
      </w:pP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PRESENTATION AND STORAGE CONDITIONS</w:t>
      </w:r>
    </w:p>
    <w:p w:rsidR="005679DA" w:rsidRDefault="00881CA7" w:rsidP="00E61859">
      <w:pPr>
        <w:autoSpaceDE w:val="0"/>
        <w:autoSpaceDN w:val="0"/>
        <w:adjustRightInd w:val="0"/>
        <w:spacing w:after="120" w:line="240" w:lineRule="auto"/>
        <w:jc w:val="both"/>
        <w:rPr>
          <w:rFonts w:ascii="TimesNewRoman" w:hAnsi="TimesNewRoman" w:cs="TimesNewRoman"/>
          <w:szCs w:val="24"/>
          <w:lang w:eastAsia="en-AU"/>
        </w:rPr>
      </w:pPr>
      <w:r>
        <w:rPr>
          <w:rFonts w:ascii="Times New Roman" w:hAnsi="Times New Roman"/>
          <w:color w:val="000000"/>
          <w:lang w:eastAsia="en-AU"/>
        </w:rPr>
        <w:t>SUNVEPRA</w:t>
      </w:r>
      <w:r w:rsidRPr="00881CA7">
        <w:rPr>
          <w:rFonts w:ascii="Times New Roman" w:hAnsi="Times New Roman"/>
          <w:color w:val="000000"/>
          <w:lang w:eastAsia="en-AU"/>
        </w:rPr>
        <w:t xml:space="preserve"> is supplied as oval, opaque white to pale-yellow, soft gelatin capsules containing 100 mg of asunaprevir. </w:t>
      </w:r>
    </w:p>
    <w:p w:rsidR="00881CA7" w:rsidRPr="00551EA9" w:rsidRDefault="00881CA7" w:rsidP="00E61859">
      <w:pPr>
        <w:autoSpaceDE w:val="0"/>
        <w:autoSpaceDN w:val="0"/>
        <w:adjustRightInd w:val="0"/>
        <w:spacing w:after="120" w:line="240" w:lineRule="auto"/>
        <w:jc w:val="both"/>
        <w:rPr>
          <w:rFonts w:cs="Arial"/>
          <w:sz w:val="14"/>
          <w:szCs w:val="14"/>
          <w:lang w:eastAsia="en-AU"/>
        </w:rPr>
      </w:pPr>
      <w:r w:rsidRPr="00881CA7">
        <w:rPr>
          <w:rFonts w:ascii="Times New Roman" w:hAnsi="Times New Roman"/>
          <w:color w:val="000000"/>
          <w:lang w:eastAsia="en-AU"/>
        </w:rPr>
        <w:t>Capsules are imprinted with “BMS” in black on one line and “711” in bl</w:t>
      </w:r>
      <w:r w:rsidR="00B15189">
        <w:rPr>
          <w:rFonts w:ascii="Times New Roman" w:hAnsi="Times New Roman"/>
          <w:color w:val="000000"/>
          <w:lang w:eastAsia="en-AU"/>
        </w:rPr>
        <w:t>ack on a second line below “BMS</w:t>
      </w:r>
      <w:r w:rsidRPr="00881CA7">
        <w:rPr>
          <w:rFonts w:ascii="Times New Roman" w:hAnsi="Times New Roman"/>
          <w:color w:val="000000"/>
          <w:lang w:eastAsia="en-AU"/>
        </w:rPr>
        <w:t>”</w:t>
      </w:r>
      <w:r w:rsidR="00B15189" w:rsidRPr="00B15189">
        <w:rPr>
          <w:rFonts w:ascii="Times New Roman" w:hAnsi="Times New Roman"/>
          <w:szCs w:val="24"/>
          <w:lang w:eastAsia="en-AU"/>
        </w:rPr>
        <w:t xml:space="preserve"> </w:t>
      </w:r>
      <w:r w:rsidR="00B15189" w:rsidRPr="005679DA">
        <w:rPr>
          <w:rFonts w:ascii="Times New Roman" w:hAnsi="Times New Roman"/>
          <w:szCs w:val="24"/>
          <w:lang w:eastAsia="en-AU"/>
        </w:rPr>
        <w:t>and filled with a clear solution</w:t>
      </w:r>
      <w:r w:rsidR="00B15189">
        <w:rPr>
          <w:rFonts w:ascii="Times New Roman" w:hAnsi="Times New Roman"/>
          <w:szCs w:val="24"/>
          <w:lang w:eastAsia="en-AU"/>
        </w:rPr>
        <w:t xml:space="preserve">. </w:t>
      </w:r>
      <w:r w:rsidRPr="00881CA7">
        <w:rPr>
          <w:rFonts w:ascii="Times New Roman" w:hAnsi="Times New Roman"/>
          <w:color w:val="000000"/>
          <w:lang w:eastAsia="en-AU"/>
        </w:rPr>
        <w:t xml:space="preserve"> </w:t>
      </w:r>
      <w:r w:rsidRPr="00551EA9">
        <w:rPr>
          <w:rFonts w:ascii="Times New Roman" w:hAnsi="Times New Roman"/>
          <w:color w:val="000000"/>
          <w:lang w:eastAsia="en-AU"/>
        </w:rPr>
        <w:t xml:space="preserve">Capsules are packaged in </w:t>
      </w:r>
      <w:r w:rsidR="00E37810" w:rsidRPr="00551EA9">
        <w:rPr>
          <w:rFonts w:ascii="Times New Roman" w:hAnsi="Times New Roman"/>
          <w:szCs w:val="24"/>
          <w:lang w:eastAsia="en-AU"/>
        </w:rPr>
        <w:t>PVC/PCTFE (Aclar)/Al</w:t>
      </w:r>
      <w:r w:rsidR="00E37810" w:rsidRPr="00551EA9">
        <w:rPr>
          <w:rFonts w:cs="Arial"/>
          <w:sz w:val="14"/>
          <w:szCs w:val="14"/>
          <w:lang w:eastAsia="en-AU"/>
        </w:rPr>
        <w:t xml:space="preserve"> </w:t>
      </w:r>
      <w:r w:rsidRPr="00551EA9">
        <w:rPr>
          <w:rFonts w:ascii="Times New Roman" w:hAnsi="Times New Roman"/>
          <w:color w:val="000000"/>
          <w:lang w:eastAsia="en-AU"/>
        </w:rPr>
        <w:t xml:space="preserve">blisters containing </w:t>
      </w:r>
      <w:r w:rsidR="005679DA" w:rsidRPr="00551EA9">
        <w:rPr>
          <w:rFonts w:ascii="Times New Roman" w:hAnsi="Times New Roman"/>
          <w:color w:val="000000"/>
          <w:lang w:eastAsia="en-AU"/>
        </w:rPr>
        <w:t xml:space="preserve">14 and </w:t>
      </w:r>
      <w:r w:rsidRPr="00551EA9">
        <w:rPr>
          <w:rFonts w:ascii="Times New Roman" w:hAnsi="Times New Roman"/>
          <w:color w:val="000000"/>
          <w:lang w:eastAsia="en-AU"/>
        </w:rPr>
        <w:t>56 capsules each.</w:t>
      </w:r>
    </w:p>
    <w:p w:rsidR="00881CA7" w:rsidRDefault="00881CA7" w:rsidP="00E61859">
      <w:pPr>
        <w:spacing w:after="120" w:line="240" w:lineRule="auto"/>
        <w:jc w:val="both"/>
        <w:rPr>
          <w:rFonts w:ascii="Times New Roman" w:hAnsi="Times New Roman"/>
          <w:color w:val="000000"/>
          <w:lang w:eastAsia="en-AU"/>
        </w:rPr>
      </w:pPr>
      <w:r w:rsidRPr="00551EA9">
        <w:rPr>
          <w:rFonts w:ascii="Times New Roman" w:hAnsi="Times New Roman"/>
          <w:color w:val="000000"/>
          <w:lang w:eastAsia="en-AU"/>
        </w:rPr>
        <w:t xml:space="preserve">Store SUNVEPRA capsules below </w:t>
      </w:r>
      <w:r w:rsidR="00286756" w:rsidRPr="00551EA9">
        <w:rPr>
          <w:rFonts w:ascii="Times New Roman" w:hAnsi="Times New Roman"/>
          <w:color w:val="000000"/>
          <w:lang w:eastAsia="en-AU"/>
        </w:rPr>
        <w:t>25</w:t>
      </w:r>
      <w:r w:rsidRPr="00551EA9">
        <w:rPr>
          <w:rFonts w:ascii="Times New Roman" w:hAnsi="Times New Roman"/>
          <w:color w:val="000000"/>
          <w:lang w:eastAsia="en-AU"/>
        </w:rPr>
        <w:sym w:font="Symbol" w:char="F0B0"/>
      </w:r>
      <w:r w:rsidRPr="00551EA9">
        <w:rPr>
          <w:rFonts w:ascii="Times New Roman" w:hAnsi="Times New Roman"/>
          <w:color w:val="000000"/>
          <w:lang w:eastAsia="en-AU"/>
        </w:rPr>
        <w:t>C. Protect from light.</w:t>
      </w:r>
      <w:r w:rsidR="00E37810" w:rsidRPr="00551EA9">
        <w:rPr>
          <w:rFonts w:ascii="Times New Roman" w:hAnsi="Times New Roman"/>
          <w:color w:val="000000"/>
          <w:lang w:eastAsia="en-AU"/>
        </w:rPr>
        <w:t xml:space="preserve"> Keep in original container.</w:t>
      </w:r>
    </w:p>
    <w:p w:rsidR="00E61859" w:rsidRPr="00881CA7" w:rsidRDefault="00E61859" w:rsidP="00E61859">
      <w:pPr>
        <w:spacing w:after="120" w:line="240" w:lineRule="auto"/>
        <w:jc w:val="both"/>
        <w:rPr>
          <w:rFonts w:ascii="Times New Roman" w:hAnsi="Times New Roman"/>
          <w:color w:val="000000"/>
          <w:lang w:eastAsia="en-AU"/>
        </w:rPr>
      </w:pPr>
    </w:p>
    <w:p w:rsidR="00954716" w:rsidRPr="00ED2048" w:rsidRDefault="00954716" w:rsidP="00E61859">
      <w:pPr>
        <w:pStyle w:val="A-Heading1"/>
        <w:spacing w:before="0" w:line="240" w:lineRule="auto"/>
        <w:rPr>
          <w:rFonts w:ascii="Times New Roman" w:hAnsi="Times New Roman"/>
        </w:rPr>
      </w:pPr>
      <w:r w:rsidRPr="00ED2048">
        <w:rPr>
          <w:rFonts w:ascii="Times New Roman" w:hAnsi="Times New Roman"/>
        </w:rPr>
        <w:t>NAME AND ADDRESS OF SPONSOR</w:t>
      </w:r>
    </w:p>
    <w:p w:rsidR="00954716" w:rsidRDefault="00954716" w:rsidP="00E61859">
      <w:pPr>
        <w:pStyle w:val="A-Guided"/>
        <w:spacing w:before="0" w:after="120" w:line="240" w:lineRule="auto"/>
        <w:rPr>
          <w:rFonts w:ascii="Times New Roman" w:hAnsi="Times New Roman"/>
          <w:lang w:val="en-AU"/>
        </w:rPr>
      </w:pPr>
      <w:r w:rsidRPr="008D28D2">
        <w:rPr>
          <w:rFonts w:ascii="Times New Roman" w:hAnsi="Times New Roman"/>
          <w:lang w:val="en-AU"/>
        </w:rPr>
        <w:t>Bristol-Myers Squibb Australia Pty Ltd</w:t>
      </w:r>
      <w:r w:rsidRPr="008D28D2">
        <w:rPr>
          <w:rFonts w:ascii="Times New Roman" w:hAnsi="Times New Roman"/>
          <w:lang w:val="en-AU"/>
        </w:rPr>
        <w:br/>
      </w:r>
      <w:r w:rsidR="005679DA">
        <w:rPr>
          <w:rFonts w:ascii="Times New Roman" w:hAnsi="Times New Roman"/>
          <w:lang w:val="en-AU"/>
        </w:rPr>
        <w:t xml:space="preserve">Level 2, </w:t>
      </w:r>
      <w:r w:rsidRPr="008D28D2">
        <w:rPr>
          <w:rFonts w:ascii="Times New Roman" w:hAnsi="Times New Roman"/>
          <w:lang w:val="en-AU"/>
        </w:rPr>
        <w:t>4 Nexus Court</w:t>
      </w:r>
      <w:r w:rsidRPr="008D28D2">
        <w:rPr>
          <w:rFonts w:ascii="Times New Roman" w:hAnsi="Times New Roman"/>
          <w:lang w:val="en-AU"/>
        </w:rPr>
        <w:br/>
        <w:t>MULGRAVE VIC 3170</w:t>
      </w:r>
    </w:p>
    <w:p w:rsidR="00E61859" w:rsidRPr="008D28D2" w:rsidRDefault="00E61859" w:rsidP="00E61859">
      <w:pPr>
        <w:pStyle w:val="A-Guided"/>
        <w:spacing w:before="0" w:after="120" w:line="240" w:lineRule="auto"/>
        <w:rPr>
          <w:rFonts w:ascii="Times New Roman" w:hAnsi="Times New Roman"/>
          <w:lang w:val="en-AU"/>
        </w:rPr>
      </w:pP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POISON SCHEDULE OF THE MEDICINE</w:t>
      </w:r>
    </w:p>
    <w:p w:rsidR="00954716" w:rsidRDefault="00954716" w:rsidP="00E61859">
      <w:pPr>
        <w:pStyle w:val="A-Guided"/>
        <w:spacing w:before="0" w:after="120" w:line="240" w:lineRule="auto"/>
        <w:rPr>
          <w:rFonts w:ascii="Times New Roman" w:hAnsi="Times New Roman"/>
          <w:lang w:val="en-AU"/>
        </w:rPr>
      </w:pPr>
      <w:r w:rsidRPr="008D28D2">
        <w:rPr>
          <w:rFonts w:ascii="Times New Roman" w:hAnsi="Times New Roman"/>
          <w:lang w:val="en-AU"/>
        </w:rPr>
        <w:t>Schedule 4</w:t>
      </w:r>
    </w:p>
    <w:p w:rsidR="00E61859" w:rsidRPr="008D28D2" w:rsidRDefault="00E61859" w:rsidP="00E61859">
      <w:pPr>
        <w:pStyle w:val="A-Guided"/>
        <w:spacing w:before="0" w:after="120" w:line="240" w:lineRule="auto"/>
        <w:rPr>
          <w:rFonts w:ascii="Times New Roman" w:hAnsi="Times New Roman"/>
          <w:lang w:val="en-AU"/>
        </w:rPr>
      </w:pPr>
    </w:p>
    <w:p w:rsidR="00954716" w:rsidRPr="008D28D2" w:rsidRDefault="00954716" w:rsidP="00E61859">
      <w:pPr>
        <w:pStyle w:val="A-Heading1"/>
        <w:spacing w:before="0" w:line="240" w:lineRule="auto"/>
        <w:rPr>
          <w:rFonts w:ascii="Times New Roman" w:hAnsi="Times New Roman"/>
        </w:rPr>
      </w:pPr>
      <w:r w:rsidRPr="008D28D2">
        <w:rPr>
          <w:rFonts w:ascii="Times New Roman" w:hAnsi="Times New Roman"/>
        </w:rPr>
        <w:t xml:space="preserve">DATE OF </w:t>
      </w:r>
      <w:r w:rsidR="00542E8F">
        <w:rPr>
          <w:rFonts w:ascii="Times New Roman" w:hAnsi="Times New Roman"/>
        </w:rPr>
        <w:t>INCLUSION IN THE artg</w:t>
      </w:r>
    </w:p>
    <w:p w:rsidR="00954716" w:rsidRDefault="00333ABD">
      <w:pPr>
        <w:pStyle w:val="A-Guided"/>
        <w:spacing w:before="0"/>
        <w:rPr>
          <w:rFonts w:ascii="Times New Roman" w:hAnsi="Times New Roman"/>
        </w:rPr>
      </w:pPr>
      <w:r>
        <w:rPr>
          <w:rFonts w:ascii="Times New Roman" w:hAnsi="Times New Roman"/>
        </w:rPr>
        <w:t>25 May 2015</w:t>
      </w:r>
    </w:p>
    <w:p w:rsidR="007D3E7D" w:rsidRDefault="007D3E7D">
      <w:pPr>
        <w:pStyle w:val="A-Guided"/>
        <w:spacing w:before="0"/>
        <w:rPr>
          <w:rFonts w:ascii="Times New Roman" w:hAnsi="Times New Roman"/>
        </w:rPr>
      </w:pPr>
    </w:p>
    <w:p w:rsidR="007D3E7D" w:rsidRPr="007D3E7D" w:rsidRDefault="007D3E7D">
      <w:pPr>
        <w:pStyle w:val="A-Guided"/>
        <w:spacing w:before="0"/>
        <w:rPr>
          <w:rFonts w:ascii="Times New Roman" w:hAnsi="Times New Roman"/>
          <w:sz w:val="20"/>
        </w:rPr>
      </w:pPr>
      <w:r w:rsidRPr="007D3E7D">
        <w:rPr>
          <w:rFonts w:ascii="Times New Roman" w:hAnsi="Times New Roman"/>
          <w:sz w:val="20"/>
        </w:rPr>
        <w:t>SUNVEPRA</w:t>
      </w:r>
      <w:r w:rsidRPr="007D3E7D">
        <w:rPr>
          <w:rFonts w:ascii="Times New Roman" w:hAnsi="Times New Roman"/>
          <w:sz w:val="20"/>
          <w:vertAlign w:val="superscript"/>
        </w:rPr>
        <w:t>®</w:t>
      </w:r>
      <w:r w:rsidRPr="007D3E7D">
        <w:rPr>
          <w:rFonts w:ascii="Times New Roman" w:hAnsi="Times New Roman"/>
          <w:sz w:val="20"/>
        </w:rPr>
        <w:t xml:space="preserve"> </w:t>
      </w:r>
      <w:r w:rsidR="00644782">
        <w:rPr>
          <w:rFonts w:ascii="Times New Roman" w:hAnsi="Times New Roman"/>
          <w:sz w:val="20"/>
        </w:rPr>
        <w:t>and DAKLINZA</w:t>
      </w:r>
      <w:r w:rsidR="00644782" w:rsidRPr="007D3E7D">
        <w:rPr>
          <w:rFonts w:ascii="Times New Roman" w:hAnsi="Times New Roman"/>
          <w:sz w:val="20"/>
          <w:vertAlign w:val="superscript"/>
        </w:rPr>
        <w:t>®</w:t>
      </w:r>
      <w:r w:rsidR="00644782">
        <w:rPr>
          <w:rFonts w:ascii="Times New Roman" w:hAnsi="Times New Roman"/>
          <w:sz w:val="20"/>
          <w:vertAlign w:val="superscript"/>
        </w:rPr>
        <w:t xml:space="preserve"> </w:t>
      </w:r>
      <w:r w:rsidR="00644782">
        <w:rPr>
          <w:rFonts w:ascii="Times New Roman" w:hAnsi="Times New Roman"/>
          <w:sz w:val="20"/>
        </w:rPr>
        <w:t>are</w:t>
      </w:r>
      <w:r w:rsidRPr="007D3E7D">
        <w:rPr>
          <w:rFonts w:ascii="Times New Roman" w:hAnsi="Times New Roman"/>
          <w:sz w:val="20"/>
        </w:rPr>
        <w:t xml:space="preserve"> registered trademark</w:t>
      </w:r>
      <w:r w:rsidR="00644782">
        <w:rPr>
          <w:rFonts w:ascii="Times New Roman" w:hAnsi="Times New Roman"/>
          <w:sz w:val="20"/>
        </w:rPr>
        <w:t>s</w:t>
      </w:r>
      <w:r w:rsidRPr="007D3E7D">
        <w:rPr>
          <w:rFonts w:ascii="Times New Roman" w:hAnsi="Times New Roman"/>
          <w:sz w:val="20"/>
        </w:rPr>
        <w:t xml:space="preserve"> of Bristol-Myers Squibb</w:t>
      </w:r>
    </w:p>
    <w:sectPr w:rsidR="007D3E7D" w:rsidRPr="007D3E7D" w:rsidSect="00F9148D">
      <w:headerReference w:type="default" r:id="rId14"/>
      <w:footerReference w:type="default" r:id="rId15"/>
      <w:pgSz w:w="11909" w:h="16834" w:code="9"/>
      <w:pgMar w:top="1418" w:right="1418" w:bottom="1134" w:left="1701" w:header="731"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46" w:rsidRDefault="00B81246">
      <w:pPr>
        <w:spacing w:after="0" w:line="240" w:lineRule="auto"/>
      </w:pPr>
      <w:r>
        <w:separator/>
      </w:r>
    </w:p>
  </w:endnote>
  <w:endnote w:type="continuationSeparator" w:id="0">
    <w:p w:rsidR="00B81246" w:rsidRDefault="00B8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A1" w:rsidRDefault="00491EA1" w:rsidP="00F9148D">
    <w:pPr>
      <w:pStyle w:val="Footer"/>
      <w:pBdr>
        <w:bottom w:val="single" w:sz="4" w:space="0" w:color="auto"/>
      </w:pBdr>
      <w:tabs>
        <w:tab w:val="center" w:pos="4680"/>
      </w:tabs>
      <w:rPr>
        <w:rStyle w:val="PageNumber"/>
        <w:sz w:val="18"/>
        <w:szCs w:val="18"/>
      </w:rPr>
    </w:pPr>
  </w:p>
  <w:p w:rsidR="00491EA1" w:rsidRDefault="00333ABD" w:rsidP="00F9148D">
    <w:pPr>
      <w:pStyle w:val="Footer"/>
      <w:pBdr>
        <w:bottom w:val="single" w:sz="4" w:space="0" w:color="auto"/>
      </w:pBdr>
      <w:tabs>
        <w:tab w:val="center" w:pos="4680"/>
      </w:tabs>
      <w:rPr>
        <w:rStyle w:val="PageNumber"/>
      </w:rPr>
    </w:pPr>
    <w:r>
      <w:rPr>
        <w:rStyle w:val="PageNumber"/>
        <w:sz w:val="18"/>
        <w:szCs w:val="18"/>
      </w:rPr>
      <w:t>AU_SUNVEPRA V1.0_25</w:t>
    </w:r>
    <w:r w:rsidR="00491EA1">
      <w:rPr>
        <w:rStyle w:val="PageNumber"/>
        <w:sz w:val="18"/>
        <w:szCs w:val="18"/>
      </w:rPr>
      <w:t xml:space="preserve"> May 2015</w:t>
    </w:r>
    <w:r w:rsidR="00491EA1">
      <w:rPr>
        <w:rStyle w:val="PageNumber"/>
      </w:rPr>
      <w:t xml:space="preserve">                               </w:t>
    </w:r>
    <w:r w:rsidR="00491EA1">
      <w:rPr>
        <w:rStyle w:val="PageNumber"/>
      </w:rPr>
      <w:fldChar w:fldCharType="begin"/>
    </w:r>
    <w:r w:rsidR="00491EA1">
      <w:rPr>
        <w:rStyle w:val="PageNumber"/>
      </w:rPr>
      <w:instrText xml:space="preserve"> PAGE </w:instrText>
    </w:r>
    <w:r w:rsidR="00491EA1">
      <w:rPr>
        <w:rStyle w:val="PageNumber"/>
      </w:rPr>
      <w:fldChar w:fldCharType="separate"/>
    </w:r>
    <w:r w:rsidR="008734B3">
      <w:rPr>
        <w:rStyle w:val="PageNumber"/>
        <w:noProof/>
      </w:rPr>
      <w:t>1</w:t>
    </w:r>
    <w:r w:rsidR="00491EA1">
      <w:rPr>
        <w:rStyle w:val="PageNumber"/>
      </w:rPr>
      <w:fldChar w:fldCharType="end"/>
    </w:r>
    <w:r w:rsidR="00491EA1">
      <w:rPr>
        <w:rStyle w:val="PageNumber"/>
      </w:rPr>
      <w:t>(</w:t>
    </w:r>
    <w:r w:rsidR="00491EA1">
      <w:rPr>
        <w:rStyle w:val="PageNumber"/>
      </w:rPr>
      <w:fldChar w:fldCharType="begin"/>
    </w:r>
    <w:r w:rsidR="00491EA1">
      <w:rPr>
        <w:rStyle w:val="PageNumber"/>
      </w:rPr>
      <w:instrText xml:space="preserve"> NUMPAGES </w:instrText>
    </w:r>
    <w:r w:rsidR="00491EA1">
      <w:rPr>
        <w:rStyle w:val="PageNumber"/>
      </w:rPr>
      <w:fldChar w:fldCharType="separate"/>
    </w:r>
    <w:r w:rsidR="008734B3">
      <w:rPr>
        <w:rStyle w:val="PageNumber"/>
        <w:noProof/>
      </w:rPr>
      <w:t>23</w:t>
    </w:r>
    <w:r w:rsidR="00491EA1">
      <w:rPr>
        <w:rStyle w:val="PageNumber"/>
      </w:rPr>
      <w:fldChar w:fldCharType="end"/>
    </w:r>
    <w:r w:rsidR="00491EA1">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46" w:rsidRDefault="00B81246">
      <w:pPr>
        <w:spacing w:after="0" w:line="240" w:lineRule="auto"/>
      </w:pPr>
      <w:r>
        <w:separator/>
      </w:r>
    </w:p>
  </w:footnote>
  <w:footnote w:type="continuationSeparator" w:id="0">
    <w:p w:rsidR="00B81246" w:rsidRDefault="00B81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734B3" w:rsidRPr="008734B3" w:rsidTr="00FC1CF8">
      <w:tc>
        <w:tcPr>
          <w:tcW w:w="8720" w:type="dxa"/>
          <w:shd w:val="clear" w:color="auto" w:fill="E4F2E0"/>
        </w:tcPr>
        <w:p w:rsidR="008734B3" w:rsidRPr="008734B3" w:rsidRDefault="008734B3" w:rsidP="00FC1CF8">
          <w:pPr>
            <w:spacing w:before="40" w:after="40"/>
            <w:rPr>
              <w:rFonts w:ascii="Cambria" w:hAnsi="Cambria"/>
              <w:b/>
              <w:sz w:val="20"/>
              <w:szCs w:val="20"/>
            </w:rPr>
          </w:pPr>
          <w:r w:rsidRPr="008734B3">
            <w:rPr>
              <w:rFonts w:ascii="Cambria" w:hAnsi="Cambria"/>
              <w:b/>
              <w:sz w:val="20"/>
              <w:szCs w:val="20"/>
            </w:rPr>
            <w:t xml:space="preserve">Attachment 1: Product information for AusPAR Sunvepra asunaprevir Bristol-Myers Squibb Australia Pty Ltd PM- </w:t>
          </w:r>
          <w:r w:rsidRPr="008734B3">
            <w:rPr>
              <w:rFonts w:ascii="Cambria" w:hAnsi="Cambria"/>
              <w:b/>
              <w:noProof/>
              <w:sz w:val="20"/>
              <w:szCs w:val="20"/>
            </w:rPr>
            <w:t xml:space="preserve">2014-00648-1-2 </w:t>
          </w:r>
          <w:r w:rsidRPr="008734B3">
            <w:rPr>
              <w:rFonts w:ascii="Cambria" w:hAnsi="Cambria"/>
              <w:b/>
              <w:sz w:val="20"/>
              <w:szCs w:val="20"/>
            </w:rPr>
            <w:t>Final 14 December 2015. This Product Information was approved at the time this AusPAR was published.</w:t>
          </w:r>
        </w:p>
      </w:tc>
    </w:tr>
  </w:tbl>
  <w:p w:rsidR="008734B3" w:rsidRDefault="00873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C61AC1"/>
    <w:multiLevelType w:val="hybridMultilevel"/>
    <w:tmpl w:val="39FABA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0430FED"/>
    <w:multiLevelType w:val="hybridMultilevel"/>
    <w:tmpl w:val="3C9469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4">
    <w:nsid w:val="1B0E1E0C"/>
    <w:multiLevelType w:val="hybridMultilevel"/>
    <w:tmpl w:val="D646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C16D3"/>
    <w:multiLevelType w:val="hybridMultilevel"/>
    <w:tmpl w:val="BAA0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046B8"/>
    <w:multiLevelType w:val="hybridMultilevel"/>
    <w:tmpl w:val="709E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80838"/>
    <w:multiLevelType w:val="hybridMultilevel"/>
    <w:tmpl w:val="58F0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161CD9"/>
    <w:multiLevelType w:val="singleLevel"/>
    <w:tmpl w:val="1BBC6388"/>
    <w:lvl w:ilvl="0">
      <w:start w:val="1"/>
      <w:numFmt w:val="decimal"/>
      <w:pStyle w:val="TableList"/>
      <w:lvlText w:val="%1."/>
      <w:lvlJc w:val="left"/>
      <w:pPr>
        <w:tabs>
          <w:tab w:val="num" w:pos="360"/>
        </w:tabs>
        <w:ind w:left="360" w:hanging="360"/>
      </w:pPr>
    </w:lvl>
  </w:abstractNum>
  <w:abstractNum w:abstractNumId="10">
    <w:nsid w:val="27203307"/>
    <w:multiLevelType w:val="multilevel"/>
    <w:tmpl w:val="144866AE"/>
    <w:lvl w:ilvl="0">
      <w:start w:val="1"/>
      <w:numFmt w:val="decimal"/>
      <w:pStyle w:val="BMSHeading1"/>
      <w:lvlText w:val="%1"/>
      <w:lvlJc w:val="left"/>
      <w:pPr>
        <w:tabs>
          <w:tab w:val="num" w:pos="1152"/>
        </w:tabs>
        <w:ind w:left="1152" w:hanging="1152"/>
      </w:pPr>
      <w:rPr>
        <w:rFonts w:hint="default"/>
      </w:rPr>
    </w:lvl>
    <w:lvl w:ilvl="1">
      <w:start w:val="1"/>
      <w:numFmt w:val="decimal"/>
      <w:pStyle w:val="BMSHeading2"/>
      <w:lvlText w:val="%1.%2"/>
      <w:lvlJc w:val="left"/>
      <w:pPr>
        <w:tabs>
          <w:tab w:val="num" w:pos="1152"/>
        </w:tabs>
        <w:ind w:left="1152" w:hanging="1152"/>
      </w:pPr>
      <w:rPr>
        <w:rFonts w:hint="default"/>
      </w:rPr>
    </w:lvl>
    <w:lvl w:ilvl="2">
      <w:start w:val="1"/>
      <w:numFmt w:val="decimal"/>
      <w:pStyle w:val="BMSHeading3"/>
      <w:lvlText w:val="%1.%2.%3"/>
      <w:lvlJc w:val="left"/>
      <w:pPr>
        <w:tabs>
          <w:tab w:val="num" w:pos="1152"/>
        </w:tabs>
        <w:ind w:left="1152" w:hanging="1152"/>
      </w:pPr>
      <w:rPr>
        <w:rFonts w:hint="default"/>
      </w:rPr>
    </w:lvl>
    <w:lvl w:ilvl="3">
      <w:start w:val="1"/>
      <w:numFmt w:val="decimal"/>
      <w:pStyle w:val="BMSHeading4"/>
      <w:lvlText w:val="%1.%2.%3.%4"/>
      <w:lvlJc w:val="left"/>
      <w:pPr>
        <w:tabs>
          <w:tab w:val="num" w:pos="1152"/>
        </w:tabs>
        <w:ind w:left="1152" w:hanging="115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2842E48"/>
    <w:multiLevelType w:val="hybridMultilevel"/>
    <w:tmpl w:val="2C32D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13">
    <w:nsid w:val="357B6118"/>
    <w:multiLevelType w:val="hybridMultilevel"/>
    <w:tmpl w:val="48E8741C"/>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1B60DE"/>
    <w:multiLevelType w:val="hybridMultilevel"/>
    <w:tmpl w:val="F3EA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FA50E5"/>
    <w:multiLevelType w:val="hybridMultilevel"/>
    <w:tmpl w:val="61209D58"/>
    <w:lvl w:ilvl="0" w:tplc="C0B0B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C84D6C"/>
    <w:multiLevelType w:val="hybridMultilevel"/>
    <w:tmpl w:val="AE8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EA298B"/>
    <w:multiLevelType w:val="hybridMultilevel"/>
    <w:tmpl w:val="DBAA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8216A"/>
    <w:multiLevelType w:val="hybridMultilevel"/>
    <w:tmpl w:val="D14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733CBC"/>
    <w:multiLevelType w:val="hybridMultilevel"/>
    <w:tmpl w:val="F104A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C916CEE"/>
    <w:multiLevelType w:val="hybridMultilevel"/>
    <w:tmpl w:val="7E0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B1E6B"/>
    <w:multiLevelType w:val="hybridMultilevel"/>
    <w:tmpl w:val="4C08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1F63607"/>
    <w:multiLevelType w:val="hybridMultilevel"/>
    <w:tmpl w:val="F250A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74566F1"/>
    <w:multiLevelType w:val="hybridMultilevel"/>
    <w:tmpl w:val="11F074AA"/>
    <w:lvl w:ilvl="0" w:tplc="7534C8FC">
      <w:start w:val="1"/>
      <w:numFmt w:val="lowerLetter"/>
      <w:pStyle w:val="A-Lista"/>
      <w:lvlText w:val="(%1)"/>
      <w:lvlJc w:val="left"/>
      <w:pPr>
        <w:tabs>
          <w:tab w:val="num" w:pos="994"/>
        </w:tabs>
        <w:ind w:left="994" w:hanging="994"/>
      </w:pPr>
      <w:rPr>
        <w:rFonts w:hint="default"/>
      </w:rPr>
    </w:lvl>
    <w:lvl w:ilvl="1" w:tplc="10ECAFCC" w:tentative="1">
      <w:start w:val="1"/>
      <w:numFmt w:val="lowerLetter"/>
      <w:lvlText w:val="%2."/>
      <w:lvlJc w:val="left"/>
      <w:pPr>
        <w:tabs>
          <w:tab w:val="num" w:pos="1440"/>
        </w:tabs>
        <w:ind w:left="1440" w:hanging="360"/>
      </w:pPr>
    </w:lvl>
    <w:lvl w:ilvl="2" w:tplc="B58EB012" w:tentative="1">
      <w:start w:val="1"/>
      <w:numFmt w:val="lowerRoman"/>
      <w:lvlText w:val="%3."/>
      <w:lvlJc w:val="right"/>
      <w:pPr>
        <w:tabs>
          <w:tab w:val="num" w:pos="2160"/>
        </w:tabs>
        <w:ind w:left="2160" w:hanging="180"/>
      </w:pPr>
    </w:lvl>
    <w:lvl w:ilvl="3" w:tplc="27740DA6" w:tentative="1">
      <w:start w:val="1"/>
      <w:numFmt w:val="decimal"/>
      <w:lvlText w:val="%4."/>
      <w:lvlJc w:val="left"/>
      <w:pPr>
        <w:tabs>
          <w:tab w:val="num" w:pos="2880"/>
        </w:tabs>
        <w:ind w:left="2880" w:hanging="360"/>
      </w:pPr>
    </w:lvl>
    <w:lvl w:ilvl="4" w:tplc="E0884BC0" w:tentative="1">
      <w:start w:val="1"/>
      <w:numFmt w:val="lowerLetter"/>
      <w:lvlText w:val="%5."/>
      <w:lvlJc w:val="left"/>
      <w:pPr>
        <w:tabs>
          <w:tab w:val="num" w:pos="3600"/>
        </w:tabs>
        <w:ind w:left="3600" w:hanging="360"/>
      </w:pPr>
    </w:lvl>
    <w:lvl w:ilvl="5" w:tplc="97C02C74" w:tentative="1">
      <w:start w:val="1"/>
      <w:numFmt w:val="lowerRoman"/>
      <w:lvlText w:val="%6."/>
      <w:lvlJc w:val="right"/>
      <w:pPr>
        <w:tabs>
          <w:tab w:val="num" w:pos="4320"/>
        </w:tabs>
        <w:ind w:left="4320" w:hanging="180"/>
      </w:pPr>
    </w:lvl>
    <w:lvl w:ilvl="6" w:tplc="B1269CFE" w:tentative="1">
      <w:start w:val="1"/>
      <w:numFmt w:val="decimal"/>
      <w:lvlText w:val="%7."/>
      <w:lvlJc w:val="left"/>
      <w:pPr>
        <w:tabs>
          <w:tab w:val="num" w:pos="5040"/>
        </w:tabs>
        <w:ind w:left="5040" w:hanging="360"/>
      </w:pPr>
    </w:lvl>
    <w:lvl w:ilvl="7" w:tplc="59127690" w:tentative="1">
      <w:start w:val="1"/>
      <w:numFmt w:val="lowerLetter"/>
      <w:lvlText w:val="%8."/>
      <w:lvlJc w:val="left"/>
      <w:pPr>
        <w:tabs>
          <w:tab w:val="num" w:pos="5760"/>
        </w:tabs>
        <w:ind w:left="5760" w:hanging="360"/>
      </w:pPr>
    </w:lvl>
    <w:lvl w:ilvl="8" w:tplc="FEA0F860" w:tentative="1">
      <w:start w:val="1"/>
      <w:numFmt w:val="lowerRoman"/>
      <w:lvlText w:val="%9."/>
      <w:lvlJc w:val="right"/>
      <w:pPr>
        <w:tabs>
          <w:tab w:val="num" w:pos="6480"/>
        </w:tabs>
        <w:ind w:left="6480" w:hanging="180"/>
      </w:pPr>
    </w:lvl>
  </w:abstractNum>
  <w:abstractNum w:abstractNumId="24">
    <w:nsid w:val="7B8914BF"/>
    <w:multiLevelType w:val="hybridMultilevel"/>
    <w:tmpl w:val="437E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2"/>
  </w:num>
  <w:num w:numId="4">
    <w:abstractNumId w:val="3"/>
  </w:num>
  <w:num w:numId="5">
    <w:abstractNumId w:val="23"/>
  </w:num>
  <w:num w:numId="6">
    <w:abstractNumId w:val="8"/>
  </w:num>
  <w:num w:numId="7">
    <w:abstractNumId w:val="15"/>
  </w:num>
  <w:num w:numId="8">
    <w:abstractNumId w:val="13"/>
  </w:num>
  <w:num w:numId="9">
    <w:abstractNumId w:val="1"/>
  </w:num>
  <w:num w:numId="10">
    <w:abstractNumId w:val="21"/>
  </w:num>
  <w:num w:numId="11">
    <w:abstractNumId w:val="5"/>
  </w:num>
  <w:num w:numId="12">
    <w:abstractNumId w:val="6"/>
  </w:num>
  <w:num w:numId="13">
    <w:abstractNumId w:val="9"/>
  </w:num>
  <w:num w:numId="14">
    <w:abstractNumId w:val="10"/>
  </w:num>
  <w:num w:numId="1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7"/>
  </w:num>
  <w:num w:numId="19">
    <w:abstractNumId w:val="16"/>
  </w:num>
  <w:num w:numId="20">
    <w:abstractNumId w:val="22"/>
  </w:num>
  <w:num w:numId="21">
    <w:abstractNumId w:val="19"/>
  </w:num>
  <w:num w:numId="22">
    <w:abstractNumId w:val="11"/>
  </w:num>
  <w:num w:numId="23">
    <w:abstractNumId w:val="18"/>
  </w:num>
  <w:num w:numId="24">
    <w:abstractNumId w:val="24"/>
  </w:num>
  <w:num w:numId="25">
    <w:abstractNumId w:val="17"/>
  </w:num>
  <w:num w:numId="26">
    <w:abstractNumId w:val="4"/>
  </w:num>
  <w:num w:numId="27">
    <w:abstractNumId w:val="2"/>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877690"/>
    <w:rsid w:val="000029B3"/>
    <w:rsid w:val="0000345E"/>
    <w:rsid w:val="00004990"/>
    <w:rsid w:val="0001480B"/>
    <w:rsid w:val="000320C0"/>
    <w:rsid w:val="0003344B"/>
    <w:rsid w:val="000426FC"/>
    <w:rsid w:val="000465D2"/>
    <w:rsid w:val="00061CD5"/>
    <w:rsid w:val="0006264B"/>
    <w:rsid w:val="00064908"/>
    <w:rsid w:val="00066DF9"/>
    <w:rsid w:val="000703D9"/>
    <w:rsid w:val="00071C50"/>
    <w:rsid w:val="000772D7"/>
    <w:rsid w:val="00077339"/>
    <w:rsid w:val="00077385"/>
    <w:rsid w:val="000774C9"/>
    <w:rsid w:val="00077743"/>
    <w:rsid w:val="00096993"/>
    <w:rsid w:val="000A0B0D"/>
    <w:rsid w:val="000A3F9D"/>
    <w:rsid w:val="000A48B1"/>
    <w:rsid w:val="000A590D"/>
    <w:rsid w:val="000B1DA8"/>
    <w:rsid w:val="000B4998"/>
    <w:rsid w:val="000C5F3D"/>
    <w:rsid w:val="000C6A11"/>
    <w:rsid w:val="000E2DC4"/>
    <w:rsid w:val="000E495E"/>
    <w:rsid w:val="000E520E"/>
    <w:rsid w:val="000E6257"/>
    <w:rsid w:val="000E6535"/>
    <w:rsid w:val="000E7DB5"/>
    <w:rsid w:val="000F3B6E"/>
    <w:rsid w:val="000F5D7F"/>
    <w:rsid w:val="000F7C6B"/>
    <w:rsid w:val="00100190"/>
    <w:rsid w:val="00104256"/>
    <w:rsid w:val="00104AC9"/>
    <w:rsid w:val="00105E4A"/>
    <w:rsid w:val="001064CE"/>
    <w:rsid w:val="00106751"/>
    <w:rsid w:val="001136F6"/>
    <w:rsid w:val="0011536A"/>
    <w:rsid w:val="00115402"/>
    <w:rsid w:val="00121F02"/>
    <w:rsid w:val="00123144"/>
    <w:rsid w:val="001265DD"/>
    <w:rsid w:val="0013061B"/>
    <w:rsid w:val="00132286"/>
    <w:rsid w:val="0013611B"/>
    <w:rsid w:val="001365CA"/>
    <w:rsid w:val="00140EDE"/>
    <w:rsid w:val="0014307C"/>
    <w:rsid w:val="001439D4"/>
    <w:rsid w:val="00153B12"/>
    <w:rsid w:val="001620E5"/>
    <w:rsid w:val="00165827"/>
    <w:rsid w:val="0016785D"/>
    <w:rsid w:val="00167BB8"/>
    <w:rsid w:val="001726A3"/>
    <w:rsid w:val="00185B3B"/>
    <w:rsid w:val="001968A2"/>
    <w:rsid w:val="001972D2"/>
    <w:rsid w:val="001A1D9A"/>
    <w:rsid w:val="001A1E9B"/>
    <w:rsid w:val="001A3A20"/>
    <w:rsid w:val="001A4B2F"/>
    <w:rsid w:val="001B00EA"/>
    <w:rsid w:val="001C12DA"/>
    <w:rsid w:val="001D16CE"/>
    <w:rsid w:val="001E2DE6"/>
    <w:rsid w:val="001E7781"/>
    <w:rsid w:val="001F5ABC"/>
    <w:rsid w:val="002009C9"/>
    <w:rsid w:val="00200D2D"/>
    <w:rsid w:val="00205F10"/>
    <w:rsid w:val="00210DBA"/>
    <w:rsid w:val="00210EF7"/>
    <w:rsid w:val="0021366A"/>
    <w:rsid w:val="00216636"/>
    <w:rsid w:val="00220DD4"/>
    <w:rsid w:val="00221A0F"/>
    <w:rsid w:val="00221A5D"/>
    <w:rsid w:val="002246D0"/>
    <w:rsid w:val="002311FE"/>
    <w:rsid w:val="002324D7"/>
    <w:rsid w:val="00236A02"/>
    <w:rsid w:val="00237B63"/>
    <w:rsid w:val="002400AF"/>
    <w:rsid w:val="00240220"/>
    <w:rsid w:val="002423F0"/>
    <w:rsid w:val="00242523"/>
    <w:rsid w:val="00243236"/>
    <w:rsid w:val="00243930"/>
    <w:rsid w:val="0025014C"/>
    <w:rsid w:val="00250685"/>
    <w:rsid w:val="00251935"/>
    <w:rsid w:val="002525F6"/>
    <w:rsid w:val="00271635"/>
    <w:rsid w:val="00272C6E"/>
    <w:rsid w:val="00273296"/>
    <w:rsid w:val="00273468"/>
    <w:rsid w:val="00273FA0"/>
    <w:rsid w:val="002748D4"/>
    <w:rsid w:val="00274ED7"/>
    <w:rsid w:val="00286756"/>
    <w:rsid w:val="00295CB3"/>
    <w:rsid w:val="002963B4"/>
    <w:rsid w:val="00296EC1"/>
    <w:rsid w:val="002A03E3"/>
    <w:rsid w:val="002A191C"/>
    <w:rsid w:val="002A1924"/>
    <w:rsid w:val="002A5868"/>
    <w:rsid w:val="002A7340"/>
    <w:rsid w:val="002B40E1"/>
    <w:rsid w:val="002B6ABD"/>
    <w:rsid w:val="002C1FE9"/>
    <w:rsid w:val="002C5B40"/>
    <w:rsid w:val="002C5CCB"/>
    <w:rsid w:val="002C65E1"/>
    <w:rsid w:val="002D2670"/>
    <w:rsid w:val="002D7C72"/>
    <w:rsid w:val="002D7E79"/>
    <w:rsid w:val="002E5436"/>
    <w:rsid w:val="002E6C5E"/>
    <w:rsid w:val="002F67DB"/>
    <w:rsid w:val="0030273A"/>
    <w:rsid w:val="00302E6C"/>
    <w:rsid w:val="0030305D"/>
    <w:rsid w:val="00303708"/>
    <w:rsid w:val="0030790C"/>
    <w:rsid w:val="00307CB1"/>
    <w:rsid w:val="0031045A"/>
    <w:rsid w:val="00323442"/>
    <w:rsid w:val="003243BA"/>
    <w:rsid w:val="00327548"/>
    <w:rsid w:val="00333ABD"/>
    <w:rsid w:val="003455AA"/>
    <w:rsid w:val="003467A9"/>
    <w:rsid w:val="003517ED"/>
    <w:rsid w:val="003557A7"/>
    <w:rsid w:val="00361062"/>
    <w:rsid w:val="00361651"/>
    <w:rsid w:val="00363858"/>
    <w:rsid w:val="00363FE0"/>
    <w:rsid w:val="003668A9"/>
    <w:rsid w:val="0037559D"/>
    <w:rsid w:val="00376E13"/>
    <w:rsid w:val="00381790"/>
    <w:rsid w:val="00383FDD"/>
    <w:rsid w:val="003846E0"/>
    <w:rsid w:val="0039294C"/>
    <w:rsid w:val="003A07F2"/>
    <w:rsid w:val="003A45CB"/>
    <w:rsid w:val="003A57AC"/>
    <w:rsid w:val="003A60BB"/>
    <w:rsid w:val="003A613E"/>
    <w:rsid w:val="003A751E"/>
    <w:rsid w:val="003B3405"/>
    <w:rsid w:val="003B59ED"/>
    <w:rsid w:val="003B648A"/>
    <w:rsid w:val="003C0749"/>
    <w:rsid w:val="003C23A7"/>
    <w:rsid w:val="003C3BA8"/>
    <w:rsid w:val="003C54D7"/>
    <w:rsid w:val="003D1EE4"/>
    <w:rsid w:val="003D5FEB"/>
    <w:rsid w:val="003F1796"/>
    <w:rsid w:val="00402CB8"/>
    <w:rsid w:val="00405312"/>
    <w:rsid w:val="00410820"/>
    <w:rsid w:val="004126A7"/>
    <w:rsid w:val="004234C9"/>
    <w:rsid w:val="00423F07"/>
    <w:rsid w:val="00427183"/>
    <w:rsid w:val="00427406"/>
    <w:rsid w:val="004306A1"/>
    <w:rsid w:val="00436DD9"/>
    <w:rsid w:val="00441DBE"/>
    <w:rsid w:val="00450FF6"/>
    <w:rsid w:val="00451854"/>
    <w:rsid w:val="00453C3A"/>
    <w:rsid w:val="004550D1"/>
    <w:rsid w:val="004558D3"/>
    <w:rsid w:val="00474345"/>
    <w:rsid w:val="004748DC"/>
    <w:rsid w:val="004836CC"/>
    <w:rsid w:val="0048618E"/>
    <w:rsid w:val="00487C70"/>
    <w:rsid w:val="00490005"/>
    <w:rsid w:val="00490812"/>
    <w:rsid w:val="00491EA1"/>
    <w:rsid w:val="004A4E90"/>
    <w:rsid w:val="004B13F9"/>
    <w:rsid w:val="004B3E7F"/>
    <w:rsid w:val="004D32FA"/>
    <w:rsid w:val="004D5A3A"/>
    <w:rsid w:val="004E3036"/>
    <w:rsid w:val="004E305A"/>
    <w:rsid w:val="004E4EFD"/>
    <w:rsid w:val="004E7E34"/>
    <w:rsid w:val="004E7F7C"/>
    <w:rsid w:val="004F5210"/>
    <w:rsid w:val="005077D5"/>
    <w:rsid w:val="00530FFE"/>
    <w:rsid w:val="0053228B"/>
    <w:rsid w:val="00534083"/>
    <w:rsid w:val="00534124"/>
    <w:rsid w:val="00540514"/>
    <w:rsid w:val="00540EEC"/>
    <w:rsid w:val="00542E8F"/>
    <w:rsid w:val="00545475"/>
    <w:rsid w:val="00547CA8"/>
    <w:rsid w:val="00550F32"/>
    <w:rsid w:val="00551EA9"/>
    <w:rsid w:val="00552BA2"/>
    <w:rsid w:val="00554037"/>
    <w:rsid w:val="005578CD"/>
    <w:rsid w:val="00560A83"/>
    <w:rsid w:val="0056419E"/>
    <w:rsid w:val="005679DA"/>
    <w:rsid w:val="00571A3A"/>
    <w:rsid w:val="00574AC4"/>
    <w:rsid w:val="00575068"/>
    <w:rsid w:val="00581498"/>
    <w:rsid w:val="005922F1"/>
    <w:rsid w:val="00595C74"/>
    <w:rsid w:val="00597A01"/>
    <w:rsid w:val="005A08AF"/>
    <w:rsid w:val="005A5651"/>
    <w:rsid w:val="005B2333"/>
    <w:rsid w:val="005B31DB"/>
    <w:rsid w:val="005B65F9"/>
    <w:rsid w:val="005C4FCA"/>
    <w:rsid w:val="005D279D"/>
    <w:rsid w:val="005D41B1"/>
    <w:rsid w:val="005D4D85"/>
    <w:rsid w:val="005D526C"/>
    <w:rsid w:val="005D667C"/>
    <w:rsid w:val="005D73AC"/>
    <w:rsid w:val="005E3DF8"/>
    <w:rsid w:val="005E562D"/>
    <w:rsid w:val="005E7766"/>
    <w:rsid w:val="005F4C73"/>
    <w:rsid w:val="006042C7"/>
    <w:rsid w:val="00605ACC"/>
    <w:rsid w:val="00607681"/>
    <w:rsid w:val="00614B1E"/>
    <w:rsid w:val="006163D9"/>
    <w:rsid w:val="00621A5B"/>
    <w:rsid w:val="006306B0"/>
    <w:rsid w:val="00630AFB"/>
    <w:rsid w:val="00633D46"/>
    <w:rsid w:val="0063512C"/>
    <w:rsid w:val="006352E8"/>
    <w:rsid w:val="00635740"/>
    <w:rsid w:val="00636D31"/>
    <w:rsid w:val="00643AAE"/>
    <w:rsid w:val="00644782"/>
    <w:rsid w:val="00645C96"/>
    <w:rsid w:val="006555A6"/>
    <w:rsid w:val="00663527"/>
    <w:rsid w:val="00665DAE"/>
    <w:rsid w:val="00667483"/>
    <w:rsid w:val="00672681"/>
    <w:rsid w:val="006731AA"/>
    <w:rsid w:val="00674DD2"/>
    <w:rsid w:val="006801D2"/>
    <w:rsid w:val="006808F8"/>
    <w:rsid w:val="00681A20"/>
    <w:rsid w:val="00687140"/>
    <w:rsid w:val="006A5AE7"/>
    <w:rsid w:val="006B46F4"/>
    <w:rsid w:val="006B6F10"/>
    <w:rsid w:val="006C031E"/>
    <w:rsid w:val="006C70C6"/>
    <w:rsid w:val="006C755B"/>
    <w:rsid w:val="006E2326"/>
    <w:rsid w:val="006E2C80"/>
    <w:rsid w:val="006E4B15"/>
    <w:rsid w:val="006E4CBC"/>
    <w:rsid w:val="006E65B7"/>
    <w:rsid w:val="006F5A42"/>
    <w:rsid w:val="006F750F"/>
    <w:rsid w:val="007006D4"/>
    <w:rsid w:val="00702BA1"/>
    <w:rsid w:val="00705E44"/>
    <w:rsid w:val="00706301"/>
    <w:rsid w:val="007120B6"/>
    <w:rsid w:val="00715822"/>
    <w:rsid w:val="00716D44"/>
    <w:rsid w:val="00717200"/>
    <w:rsid w:val="00720F6B"/>
    <w:rsid w:val="00721BD1"/>
    <w:rsid w:val="007411C6"/>
    <w:rsid w:val="00745F15"/>
    <w:rsid w:val="00752F9D"/>
    <w:rsid w:val="00754CCE"/>
    <w:rsid w:val="00763FB8"/>
    <w:rsid w:val="00766AB7"/>
    <w:rsid w:val="007671BF"/>
    <w:rsid w:val="00767264"/>
    <w:rsid w:val="0077428C"/>
    <w:rsid w:val="00774FC2"/>
    <w:rsid w:val="007778BD"/>
    <w:rsid w:val="00780FC1"/>
    <w:rsid w:val="00786DCD"/>
    <w:rsid w:val="0079580A"/>
    <w:rsid w:val="00795D69"/>
    <w:rsid w:val="00797AEE"/>
    <w:rsid w:val="007A0F05"/>
    <w:rsid w:val="007B285B"/>
    <w:rsid w:val="007B3CF4"/>
    <w:rsid w:val="007B4B0B"/>
    <w:rsid w:val="007B5CDB"/>
    <w:rsid w:val="007B7B3A"/>
    <w:rsid w:val="007C0CAB"/>
    <w:rsid w:val="007D1A28"/>
    <w:rsid w:val="007D3E7D"/>
    <w:rsid w:val="007D5F9E"/>
    <w:rsid w:val="007D7971"/>
    <w:rsid w:val="007E16F0"/>
    <w:rsid w:val="007E28E2"/>
    <w:rsid w:val="007E34C6"/>
    <w:rsid w:val="008024A6"/>
    <w:rsid w:val="008033BE"/>
    <w:rsid w:val="00803854"/>
    <w:rsid w:val="008047B9"/>
    <w:rsid w:val="00804932"/>
    <w:rsid w:val="00805C99"/>
    <w:rsid w:val="008076AB"/>
    <w:rsid w:val="008130EC"/>
    <w:rsid w:val="008162DE"/>
    <w:rsid w:val="00821FDD"/>
    <w:rsid w:val="00823FC8"/>
    <w:rsid w:val="00832CD0"/>
    <w:rsid w:val="00835D65"/>
    <w:rsid w:val="008365C7"/>
    <w:rsid w:val="00845CA9"/>
    <w:rsid w:val="00853CFB"/>
    <w:rsid w:val="00853E53"/>
    <w:rsid w:val="00855B00"/>
    <w:rsid w:val="00863602"/>
    <w:rsid w:val="00863E6B"/>
    <w:rsid w:val="008642FC"/>
    <w:rsid w:val="00870BA8"/>
    <w:rsid w:val="008721F3"/>
    <w:rsid w:val="008734B3"/>
    <w:rsid w:val="00877690"/>
    <w:rsid w:val="00881CA7"/>
    <w:rsid w:val="0088341C"/>
    <w:rsid w:val="00884418"/>
    <w:rsid w:val="00890A7A"/>
    <w:rsid w:val="008917C7"/>
    <w:rsid w:val="00893BA8"/>
    <w:rsid w:val="008967CB"/>
    <w:rsid w:val="008A03FA"/>
    <w:rsid w:val="008A0767"/>
    <w:rsid w:val="008A28B2"/>
    <w:rsid w:val="008A73F7"/>
    <w:rsid w:val="008B2B60"/>
    <w:rsid w:val="008B3D95"/>
    <w:rsid w:val="008B4CC4"/>
    <w:rsid w:val="008B6725"/>
    <w:rsid w:val="008B6778"/>
    <w:rsid w:val="008C1A2E"/>
    <w:rsid w:val="008C1FAC"/>
    <w:rsid w:val="008C3B60"/>
    <w:rsid w:val="008D28D2"/>
    <w:rsid w:val="008D47F4"/>
    <w:rsid w:val="008D606C"/>
    <w:rsid w:val="008E0055"/>
    <w:rsid w:val="008E21A6"/>
    <w:rsid w:val="008E31EE"/>
    <w:rsid w:val="008E45D3"/>
    <w:rsid w:val="008F0F18"/>
    <w:rsid w:val="008F3EE8"/>
    <w:rsid w:val="00911A1B"/>
    <w:rsid w:val="00912CD9"/>
    <w:rsid w:val="009143F2"/>
    <w:rsid w:val="00917CDE"/>
    <w:rsid w:val="009306C7"/>
    <w:rsid w:val="00932E15"/>
    <w:rsid w:val="0093440F"/>
    <w:rsid w:val="00936940"/>
    <w:rsid w:val="00937C28"/>
    <w:rsid w:val="009429DC"/>
    <w:rsid w:val="00943A5F"/>
    <w:rsid w:val="00944EB1"/>
    <w:rsid w:val="00945A3E"/>
    <w:rsid w:val="00954716"/>
    <w:rsid w:val="0095515F"/>
    <w:rsid w:val="00963214"/>
    <w:rsid w:val="009637C0"/>
    <w:rsid w:val="009675B5"/>
    <w:rsid w:val="00972132"/>
    <w:rsid w:val="00973470"/>
    <w:rsid w:val="0097400D"/>
    <w:rsid w:val="00977B78"/>
    <w:rsid w:val="009A16B9"/>
    <w:rsid w:val="009A3B02"/>
    <w:rsid w:val="009A5932"/>
    <w:rsid w:val="009A6764"/>
    <w:rsid w:val="009A6FC2"/>
    <w:rsid w:val="009B732B"/>
    <w:rsid w:val="009C4E12"/>
    <w:rsid w:val="009C6A9D"/>
    <w:rsid w:val="009E18C0"/>
    <w:rsid w:val="009E4211"/>
    <w:rsid w:val="009E5133"/>
    <w:rsid w:val="009E5D97"/>
    <w:rsid w:val="009E7AF1"/>
    <w:rsid w:val="009E7F41"/>
    <w:rsid w:val="009F1E29"/>
    <w:rsid w:val="00A007D2"/>
    <w:rsid w:val="00A06DBF"/>
    <w:rsid w:val="00A21EFF"/>
    <w:rsid w:val="00A25543"/>
    <w:rsid w:val="00A27F25"/>
    <w:rsid w:val="00A34F45"/>
    <w:rsid w:val="00A3583E"/>
    <w:rsid w:val="00A43C73"/>
    <w:rsid w:val="00A5312F"/>
    <w:rsid w:val="00A53FB1"/>
    <w:rsid w:val="00A57C5F"/>
    <w:rsid w:val="00A60581"/>
    <w:rsid w:val="00A64CE6"/>
    <w:rsid w:val="00A65862"/>
    <w:rsid w:val="00A81123"/>
    <w:rsid w:val="00A828C0"/>
    <w:rsid w:val="00A84151"/>
    <w:rsid w:val="00A84FDC"/>
    <w:rsid w:val="00A90635"/>
    <w:rsid w:val="00A95DA2"/>
    <w:rsid w:val="00A97B06"/>
    <w:rsid w:val="00A97CD7"/>
    <w:rsid w:val="00AA0BC1"/>
    <w:rsid w:val="00AA2B4A"/>
    <w:rsid w:val="00AA463A"/>
    <w:rsid w:val="00AA6764"/>
    <w:rsid w:val="00AA7510"/>
    <w:rsid w:val="00AB17A2"/>
    <w:rsid w:val="00AB5B47"/>
    <w:rsid w:val="00AC0340"/>
    <w:rsid w:val="00AC15E4"/>
    <w:rsid w:val="00AC373E"/>
    <w:rsid w:val="00AD01DB"/>
    <w:rsid w:val="00AE0378"/>
    <w:rsid w:val="00AE602F"/>
    <w:rsid w:val="00AF57F6"/>
    <w:rsid w:val="00AF5A8D"/>
    <w:rsid w:val="00AF64B8"/>
    <w:rsid w:val="00AF655B"/>
    <w:rsid w:val="00AF705C"/>
    <w:rsid w:val="00B01276"/>
    <w:rsid w:val="00B11FA1"/>
    <w:rsid w:val="00B14876"/>
    <w:rsid w:val="00B15189"/>
    <w:rsid w:val="00B2096D"/>
    <w:rsid w:val="00B22B82"/>
    <w:rsid w:val="00B25132"/>
    <w:rsid w:val="00B27C86"/>
    <w:rsid w:val="00B34DFF"/>
    <w:rsid w:val="00B35468"/>
    <w:rsid w:val="00B36DFE"/>
    <w:rsid w:val="00B410BA"/>
    <w:rsid w:val="00B41961"/>
    <w:rsid w:val="00B45280"/>
    <w:rsid w:val="00B52833"/>
    <w:rsid w:val="00B662B0"/>
    <w:rsid w:val="00B75F84"/>
    <w:rsid w:val="00B77FE5"/>
    <w:rsid w:val="00B81246"/>
    <w:rsid w:val="00B81841"/>
    <w:rsid w:val="00B8283A"/>
    <w:rsid w:val="00BA3517"/>
    <w:rsid w:val="00BA429F"/>
    <w:rsid w:val="00BB31AA"/>
    <w:rsid w:val="00BB6289"/>
    <w:rsid w:val="00BC0F48"/>
    <w:rsid w:val="00BC14CF"/>
    <w:rsid w:val="00BC57D1"/>
    <w:rsid w:val="00BD53E3"/>
    <w:rsid w:val="00BD7F13"/>
    <w:rsid w:val="00BE24AB"/>
    <w:rsid w:val="00BE6F21"/>
    <w:rsid w:val="00BF0067"/>
    <w:rsid w:val="00BF129B"/>
    <w:rsid w:val="00BF7DFF"/>
    <w:rsid w:val="00C02BD7"/>
    <w:rsid w:val="00C11267"/>
    <w:rsid w:val="00C17046"/>
    <w:rsid w:val="00C207BD"/>
    <w:rsid w:val="00C271E9"/>
    <w:rsid w:val="00C338F3"/>
    <w:rsid w:val="00C41224"/>
    <w:rsid w:val="00C461BB"/>
    <w:rsid w:val="00C50EAF"/>
    <w:rsid w:val="00C55873"/>
    <w:rsid w:val="00C57DDF"/>
    <w:rsid w:val="00C61C2D"/>
    <w:rsid w:val="00C63D49"/>
    <w:rsid w:val="00C70EB1"/>
    <w:rsid w:val="00C718CF"/>
    <w:rsid w:val="00C71DB4"/>
    <w:rsid w:val="00C8019C"/>
    <w:rsid w:val="00C81996"/>
    <w:rsid w:val="00C83070"/>
    <w:rsid w:val="00C83392"/>
    <w:rsid w:val="00C83C8A"/>
    <w:rsid w:val="00C92E4E"/>
    <w:rsid w:val="00C93B80"/>
    <w:rsid w:val="00C94584"/>
    <w:rsid w:val="00CA1779"/>
    <w:rsid w:val="00CA3DB1"/>
    <w:rsid w:val="00CB1254"/>
    <w:rsid w:val="00CB77AC"/>
    <w:rsid w:val="00CC09DA"/>
    <w:rsid w:val="00CC13B0"/>
    <w:rsid w:val="00CC6DDF"/>
    <w:rsid w:val="00CC7333"/>
    <w:rsid w:val="00CD2000"/>
    <w:rsid w:val="00CD2742"/>
    <w:rsid w:val="00CD691F"/>
    <w:rsid w:val="00CD7461"/>
    <w:rsid w:val="00CE1CEB"/>
    <w:rsid w:val="00CE46BE"/>
    <w:rsid w:val="00CE75D1"/>
    <w:rsid w:val="00CF3E17"/>
    <w:rsid w:val="00CF4D64"/>
    <w:rsid w:val="00D02AAD"/>
    <w:rsid w:val="00D06C61"/>
    <w:rsid w:val="00D14B55"/>
    <w:rsid w:val="00D177FA"/>
    <w:rsid w:val="00D317A4"/>
    <w:rsid w:val="00D33E11"/>
    <w:rsid w:val="00D4209A"/>
    <w:rsid w:val="00D436FF"/>
    <w:rsid w:val="00D46BC1"/>
    <w:rsid w:val="00D46DF5"/>
    <w:rsid w:val="00D5241B"/>
    <w:rsid w:val="00D5563C"/>
    <w:rsid w:val="00D60F9A"/>
    <w:rsid w:val="00D61C48"/>
    <w:rsid w:val="00D64D21"/>
    <w:rsid w:val="00D71943"/>
    <w:rsid w:val="00D71C8E"/>
    <w:rsid w:val="00D75018"/>
    <w:rsid w:val="00D756A4"/>
    <w:rsid w:val="00D83799"/>
    <w:rsid w:val="00D83FCB"/>
    <w:rsid w:val="00D9201E"/>
    <w:rsid w:val="00DA59B6"/>
    <w:rsid w:val="00DA7D8A"/>
    <w:rsid w:val="00DB14B9"/>
    <w:rsid w:val="00DC19CB"/>
    <w:rsid w:val="00DC2B3D"/>
    <w:rsid w:val="00DD4FA2"/>
    <w:rsid w:val="00DD58C4"/>
    <w:rsid w:val="00DE347B"/>
    <w:rsid w:val="00DE3D09"/>
    <w:rsid w:val="00DF2398"/>
    <w:rsid w:val="00DF265B"/>
    <w:rsid w:val="00DF475F"/>
    <w:rsid w:val="00DF75CC"/>
    <w:rsid w:val="00E02662"/>
    <w:rsid w:val="00E11130"/>
    <w:rsid w:val="00E162C0"/>
    <w:rsid w:val="00E17E49"/>
    <w:rsid w:val="00E21914"/>
    <w:rsid w:val="00E24FB4"/>
    <w:rsid w:val="00E2724C"/>
    <w:rsid w:val="00E310BC"/>
    <w:rsid w:val="00E31E86"/>
    <w:rsid w:val="00E3516D"/>
    <w:rsid w:val="00E37810"/>
    <w:rsid w:val="00E40B3A"/>
    <w:rsid w:val="00E411F4"/>
    <w:rsid w:val="00E44954"/>
    <w:rsid w:val="00E60F24"/>
    <w:rsid w:val="00E61859"/>
    <w:rsid w:val="00E66BBA"/>
    <w:rsid w:val="00E76256"/>
    <w:rsid w:val="00E76EA4"/>
    <w:rsid w:val="00E82905"/>
    <w:rsid w:val="00E8357B"/>
    <w:rsid w:val="00E84AC7"/>
    <w:rsid w:val="00E86837"/>
    <w:rsid w:val="00E87579"/>
    <w:rsid w:val="00E878F1"/>
    <w:rsid w:val="00E87A29"/>
    <w:rsid w:val="00E90480"/>
    <w:rsid w:val="00E93802"/>
    <w:rsid w:val="00EA08D7"/>
    <w:rsid w:val="00EA0DCB"/>
    <w:rsid w:val="00EA40CA"/>
    <w:rsid w:val="00EB07A1"/>
    <w:rsid w:val="00EB2B09"/>
    <w:rsid w:val="00EB2DCD"/>
    <w:rsid w:val="00EB4117"/>
    <w:rsid w:val="00EB71DF"/>
    <w:rsid w:val="00EC01D7"/>
    <w:rsid w:val="00EC19DB"/>
    <w:rsid w:val="00EC2400"/>
    <w:rsid w:val="00EC4F60"/>
    <w:rsid w:val="00EC71FD"/>
    <w:rsid w:val="00ED2048"/>
    <w:rsid w:val="00ED38E2"/>
    <w:rsid w:val="00ED5B4E"/>
    <w:rsid w:val="00EE13B9"/>
    <w:rsid w:val="00EE2938"/>
    <w:rsid w:val="00EE7484"/>
    <w:rsid w:val="00EE7719"/>
    <w:rsid w:val="00EF34C7"/>
    <w:rsid w:val="00EF63C2"/>
    <w:rsid w:val="00F05326"/>
    <w:rsid w:val="00F05847"/>
    <w:rsid w:val="00F23C8F"/>
    <w:rsid w:val="00F40637"/>
    <w:rsid w:val="00F4171A"/>
    <w:rsid w:val="00F45FCB"/>
    <w:rsid w:val="00F47DBD"/>
    <w:rsid w:val="00F61B8E"/>
    <w:rsid w:val="00F6304F"/>
    <w:rsid w:val="00F73D05"/>
    <w:rsid w:val="00F816AD"/>
    <w:rsid w:val="00F87384"/>
    <w:rsid w:val="00F90697"/>
    <w:rsid w:val="00F9148D"/>
    <w:rsid w:val="00F93B01"/>
    <w:rsid w:val="00F96CD9"/>
    <w:rsid w:val="00F97748"/>
    <w:rsid w:val="00FA0D44"/>
    <w:rsid w:val="00FA58ED"/>
    <w:rsid w:val="00FA5BA0"/>
    <w:rsid w:val="00FB7AA5"/>
    <w:rsid w:val="00FC1878"/>
    <w:rsid w:val="00FC41C7"/>
    <w:rsid w:val="00FD0651"/>
    <w:rsid w:val="00FD0784"/>
    <w:rsid w:val="00FD7D9D"/>
    <w:rsid w:val="00FE3193"/>
    <w:rsid w:val="00FE4968"/>
    <w:rsid w:val="00FF3051"/>
    <w:rsid w:val="00FF43C6"/>
    <w:rsid w:val="00FF700A"/>
    <w:rsid w:val="00FF7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1E"/>
    <w:pPr>
      <w:spacing w:after="240" w:line="280" w:lineRule="atLeast"/>
    </w:pPr>
    <w:rPr>
      <w:rFonts w:ascii="Arial" w:hAnsi="Arial"/>
      <w:sz w:val="24"/>
      <w:lang w:eastAsia="en-US"/>
    </w:rPr>
  </w:style>
  <w:style w:type="paragraph" w:styleId="Heading1">
    <w:name w:val="heading 1"/>
    <w:next w:val="Normal"/>
    <w:qFormat/>
    <w:rsid w:val="006C031E"/>
    <w:pPr>
      <w:keepNext/>
      <w:numPr>
        <w:numId w:val="2"/>
      </w:numPr>
      <w:spacing w:before="480" w:after="240"/>
      <w:outlineLvl w:val="0"/>
    </w:pPr>
    <w:rPr>
      <w:b/>
      <w:caps/>
      <w:sz w:val="28"/>
      <w:lang w:val="en-GB" w:eastAsia="en-US"/>
    </w:rPr>
  </w:style>
  <w:style w:type="paragraph" w:styleId="Heading2">
    <w:name w:val="heading 2"/>
    <w:next w:val="Normal"/>
    <w:qFormat/>
    <w:rsid w:val="006C031E"/>
    <w:pPr>
      <w:keepNext/>
      <w:numPr>
        <w:ilvl w:val="1"/>
        <w:numId w:val="2"/>
      </w:numPr>
      <w:spacing w:before="120" w:after="120"/>
      <w:outlineLvl w:val="1"/>
    </w:pPr>
    <w:rPr>
      <w:b/>
      <w:sz w:val="28"/>
      <w:lang w:val="en-GB" w:eastAsia="en-US"/>
    </w:rPr>
  </w:style>
  <w:style w:type="paragraph" w:styleId="Heading3">
    <w:name w:val="heading 3"/>
    <w:next w:val="Normal"/>
    <w:qFormat/>
    <w:rsid w:val="006C031E"/>
    <w:pPr>
      <w:keepNext/>
      <w:numPr>
        <w:ilvl w:val="2"/>
        <w:numId w:val="2"/>
      </w:numPr>
      <w:spacing w:after="120"/>
      <w:outlineLvl w:val="2"/>
    </w:pPr>
    <w:rPr>
      <w:i/>
      <w:sz w:val="24"/>
      <w:lang w:val="en-GB" w:eastAsia="en-US"/>
    </w:rPr>
  </w:style>
  <w:style w:type="paragraph" w:styleId="Heading4">
    <w:name w:val="heading 4"/>
    <w:next w:val="Normal"/>
    <w:qFormat/>
    <w:rsid w:val="006C031E"/>
    <w:pPr>
      <w:keepNext/>
      <w:numPr>
        <w:ilvl w:val="3"/>
        <w:numId w:val="2"/>
      </w:numPr>
      <w:spacing w:after="120"/>
      <w:outlineLvl w:val="3"/>
    </w:pPr>
    <w:rPr>
      <w:i/>
      <w:sz w:val="24"/>
      <w:lang w:val="en-GB" w:eastAsia="en-US"/>
    </w:rPr>
  </w:style>
  <w:style w:type="paragraph" w:styleId="Heading5">
    <w:name w:val="heading 5"/>
    <w:basedOn w:val="Normal"/>
    <w:next w:val="Normal"/>
    <w:qFormat/>
    <w:rsid w:val="006C031E"/>
    <w:pPr>
      <w:keepNext/>
      <w:spacing w:after="120"/>
      <w:outlineLvl w:val="4"/>
    </w:pPr>
    <w:rPr>
      <w:u w:val="single"/>
      <w:lang w:val="en-GB"/>
    </w:rPr>
  </w:style>
  <w:style w:type="paragraph" w:styleId="Heading6">
    <w:name w:val="heading 6"/>
    <w:next w:val="Normal"/>
    <w:qFormat/>
    <w:rsid w:val="006C031E"/>
    <w:pPr>
      <w:keepNext/>
      <w:spacing w:after="120"/>
      <w:outlineLvl w:val="5"/>
    </w:pPr>
    <w:rPr>
      <w:b/>
      <w:sz w:val="24"/>
      <w:lang w:val="en-GB" w:eastAsia="en-US"/>
    </w:rPr>
  </w:style>
  <w:style w:type="paragraph" w:styleId="Heading7">
    <w:name w:val="heading 7"/>
    <w:aliases w:val="Appendix Heading"/>
    <w:next w:val="Normal"/>
    <w:qFormat/>
    <w:rsid w:val="006C031E"/>
    <w:pPr>
      <w:keepNext/>
      <w:spacing w:after="120"/>
      <w:outlineLvl w:val="6"/>
    </w:pPr>
    <w:rPr>
      <w:b/>
      <w:sz w:val="24"/>
      <w:lang w:val="en-GB" w:eastAsia="en-US"/>
    </w:rPr>
  </w:style>
  <w:style w:type="paragraph" w:styleId="Heading8">
    <w:name w:val="heading 8"/>
    <w:next w:val="Normal"/>
    <w:qFormat/>
    <w:rsid w:val="006C031E"/>
    <w:pPr>
      <w:keepNext/>
      <w:spacing w:after="120"/>
      <w:outlineLvl w:val="7"/>
    </w:pPr>
    <w:rPr>
      <w:b/>
      <w:sz w:val="24"/>
      <w:lang w:val="en-GB" w:eastAsia="en-US"/>
    </w:rPr>
  </w:style>
  <w:style w:type="paragraph" w:styleId="Heading9">
    <w:name w:val="heading 9"/>
    <w:next w:val="Normal"/>
    <w:qFormat/>
    <w:rsid w:val="006C031E"/>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6C031E"/>
    <w:rPr>
      <w:rFonts w:ascii="Arial" w:hAnsi="Arial"/>
      <w:sz w:val="16"/>
      <w:lang w:val="en-GB" w:eastAsia="en-US"/>
    </w:rPr>
  </w:style>
  <w:style w:type="paragraph" w:styleId="Footer">
    <w:name w:val="footer"/>
    <w:semiHidden/>
    <w:rsid w:val="006C031E"/>
    <w:rPr>
      <w:rFonts w:ascii="Arial" w:hAnsi="Arial"/>
      <w:sz w:val="16"/>
      <w:lang w:val="en-GB" w:eastAsia="en-US"/>
    </w:rPr>
  </w:style>
  <w:style w:type="paragraph" w:customStyle="1" w:styleId="A-Guided">
    <w:name w:val="A-Guided"/>
    <w:basedOn w:val="Normal"/>
    <w:rsid w:val="006C031E"/>
    <w:pPr>
      <w:spacing w:before="60"/>
    </w:pPr>
    <w:rPr>
      <w:lang w:val="en-GB"/>
    </w:rPr>
  </w:style>
  <w:style w:type="paragraph" w:customStyle="1" w:styleId="A-GuidedBold">
    <w:name w:val="A-Guided Bold"/>
    <w:basedOn w:val="Normal"/>
    <w:rsid w:val="006C031E"/>
    <w:pPr>
      <w:spacing w:before="60" w:after="120"/>
    </w:pPr>
    <w:rPr>
      <w:b/>
      <w:lang w:val="en-GB"/>
    </w:rPr>
  </w:style>
  <w:style w:type="character" w:customStyle="1" w:styleId="Z-RedHidden">
    <w:name w:val="Z-Red Hidden"/>
    <w:basedOn w:val="DefaultParagraphFont"/>
    <w:rsid w:val="006C031E"/>
    <w:rPr>
      <w:rFonts w:ascii="Arial" w:hAnsi="Arial"/>
      <w:vanish/>
      <w:color w:val="FF0000"/>
      <w:sz w:val="16"/>
    </w:rPr>
  </w:style>
  <w:style w:type="paragraph" w:customStyle="1" w:styleId="A-StudyTitle">
    <w:name w:val="A-Study Title"/>
    <w:basedOn w:val="Normal"/>
    <w:rsid w:val="006C031E"/>
    <w:pPr>
      <w:spacing w:after="120"/>
      <w:jc w:val="center"/>
    </w:pPr>
    <w:rPr>
      <w:b/>
      <w:sz w:val="32"/>
      <w:lang w:val="en-GB"/>
    </w:rPr>
  </w:style>
  <w:style w:type="paragraph" w:styleId="TOC1">
    <w:name w:val="toc 1"/>
    <w:next w:val="TOC2"/>
    <w:semiHidden/>
    <w:rsid w:val="006C031E"/>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6C031E"/>
    <w:rPr>
      <w:caps w:val="0"/>
    </w:rPr>
  </w:style>
  <w:style w:type="paragraph" w:styleId="TOC3">
    <w:name w:val="toc 3"/>
    <w:basedOn w:val="TOC1"/>
    <w:next w:val="TOC4"/>
    <w:semiHidden/>
    <w:rsid w:val="006C031E"/>
    <w:pPr>
      <w:spacing w:before="0"/>
    </w:pPr>
    <w:rPr>
      <w:caps w:val="0"/>
    </w:rPr>
  </w:style>
  <w:style w:type="paragraph" w:styleId="TOC4">
    <w:name w:val="toc 4"/>
    <w:basedOn w:val="TOC1"/>
    <w:semiHidden/>
    <w:rsid w:val="006C031E"/>
    <w:pPr>
      <w:spacing w:before="0"/>
    </w:pPr>
    <w:rPr>
      <w:caps w:val="0"/>
    </w:rPr>
  </w:style>
  <w:style w:type="character" w:styleId="PageNumber">
    <w:name w:val="page number"/>
    <w:basedOn w:val="DefaultParagraphFont"/>
    <w:semiHidden/>
    <w:rsid w:val="006C031E"/>
    <w:rPr>
      <w:rFonts w:ascii="Arial" w:hAnsi="Arial"/>
      <w:sz w:val="20"/>
    </w:rPr>
  </w:style>
  <w:style w:type="paragraph" w:customStyle="1" w:styleId="A-TableText">
    <w:name w:val="A-Table Text"/>
    <w:basedOn w:val="Normal"/>
    <w:rsid w:val="006C031E"/>
    <w:pPr>
      <w:spacing w:before="60" w:after="60"/>
    </w:pPr>
    <w:rPr>
      <w:sz w:val="22"/>
      <w:lang w:val="en-GB"/>
    </w:rPr>
  </w:style>
  <w:style w:type="paragraph" w:styleId="Caption">
    <w:name w:val="caption"/>
    <w:next w:val="Normal"/>
    <w:qFormat/>
    <w:rsid w:val="006C031E"/>
    <w:pPr>
      <w:keepNext/>
      <w:spacing w:after="120" w:line="280" w:lineRule="atLeast"/>
      <w:ind w:left="1418" w:hanging="1418"/>
    </w:pPr>
    <w:rPr>
      <w:b/>
      <w:sz w:val="24"/>
      <w:lang w:val="en-GB" w:eastAsia="en-US"/>
    </w:rPr>
  </w:style>
  <w:style w:type="paragraph" w:styleId="TOC5">
    <w:name w:val="toc 5"/>
    <w:basedOn w:val="TOC1"/>
    <w:next w:val="Normal"/>
    <w:semiHidden/>
    <w:rsid w:val="006C031E"/>
    <w:pPr>
      <w:ind w:firstLine="0"/>
    </w:pPr>
  </w:style>
  <w:style w:type="paragraph" w:styleId="TOC6">
    <w:name w:val="toc 6"/>
    <w:basedOn w:val="TOC2"/>
    <w:next w:val="Normal"/>
    <w:semiHidden/>
    <w:rsid w:val="006C031E"/>
    <w:pPr>
      <w:ind w:firstLine="0"/>
    </w:pPr>
  </w:style>
  <w:style w:type="paragraph" w:styleId="TOC7">
    <w:name w:val="toc 7"/>
    <w:basedOn w:val="TOC3"/>
    <w:next w:val="Normal"/>
    <w:semiHidden/>
    <w:rsid w:val="006C031E"/>
    <w:pPr>
      <w:ind w:firstLine="0"/>
    </w:pPr>
  </w:style>
  <w:style w:type="paragraph" w:styleId="TOC8">
    <w:name w:val="toc 8"/>
    <w:basedOn w:val="TOC4"/>
    <w:next w:val="Normal"/>
    <w:semiHidden/>
    <w:rsid w:val="006C031E"/>
    <w:pPr>
      <w:ind w:firstLine="0"/>
    </w:pPr>
  </w:style>
  <w:style w:type="paragraph" w:styleId="TOC9">
    <w:name w:val="toc 9"/>
    <w:basedOn w:val="TOC1"/>
    <w:next w:val="Normal"/>
    <w:semiHidden/>
    <w:rsid w:val="006C031E"/>
    <w:pPr>
      <w:ind w:firstLine="0"/>
    </w:pPr>
  </w:style>
  <w:style w:type="paragraph" w:customStyle="1" w:styleId="A-LandscapeFont">
    <w:name w:val="A-Landscape Font"/>
    <w:rsid w:val="006C031E"/>
    <w:pPr>
      <w:spacing w:line="280" w:lineRule="atLeast"/>
    </w:pPr>
    <w:rPr>
      <w:rFonts w:ascii="Courier" w:hAnsi="Courier"/>
      <w:sz w:val="16"/>
      <w:lang w:val="en-GB" w:eastAsia="en-US"/>
    </w:rPr>
  </w:style>
  <w:style w:type="paragraph" w:customStyle="1" w:styleId="A-TableHeader">
    <w:name w:val="A-Table Header"/>
    <w:basedOn w:val="Normal"/>
    <w:next w:val="A-TableText"/>
    <w:rsid w:val="006C031E"/>
    <w:pPr>
      <w:keepNext/>
      <w:spacing w:before="60" w:after="60"/>
    </w:pPr>
    <w:rPr>
      <w:b/>
      <w:sz w:val="20"/>
      <w:lang w:val="en-GB"/>
    </w:rPr>
  </w:style>
  <w:style w:type="paragraph" w:styleId="TableofFigures">
    <w:name w:val="table of figures"/>
    <w:next w:val="Normal"/>
    <w:semiHidden/>
    <w:rsid w:val="006C031E"/>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6C031E"/>
    <w:pPr>
      <w:tabs>
        <w:tab w:val="left" w:pos="1800"/>
      </w:tabs>
      <w:spacing w:after="120"/>
      <w:ind w:left="1800" w:hanging="1800"/>
    </w:pPr>
    <w:rPr>
      <w:b/>
      <w:sz w:val="28"/>
      <w:lang w:val="en-GB"/>
    </w:rPr>
  </w:style>
  <w:style w:type="paragraph" w:customStyle="1" w:styleId="Z-Box">
    <w:name w:val="Z-Box"/>
    <w:basedOn w:val="Normal"/>
    <w:rsid w:val="006C031E"/>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6C031E"/>
    <w:rPr>
      <w:lang w:val="en-GB"/>
    </w:rPr>
  </w:style>
  <w:style w:type="paragraph" w:customStyle="1" w:styleId="A-Unnumbered">
    <w:name w:val="A-Unnumbered"/>
    <w:basedOn w:val="Normal"/>
    <w:next w:val="Normal"/>
    <w:rsid w:val="006C031E"/>
    <w:pPr>
      <w:keepNext/>
      <w:spacing w:before="480"/>
    </w:pPr>
    <w:rPr>
      <w:b/>
      <w:caps/>
      <w:sz w:val="28"/>
      <w:lang w:val="en-GB"/>
    </w:rPr>
  </w:style>
  <w:style w:type="paragraph" w:customStyle="1" w:styleId="A-Unassigned">
    <w:name w:val="A-Unassigned"/>
    <w:basedOn w:val="Normal"/>
    <w:next w:val="Normal"/>
    <w:rsid w:val="006C031E"/>
    <w:pPr>
      <w:keepNext/>
      <w:spacing w:before="120" w:after="120"/>
    </w:pPr>
    <w:rPr>
      <w:b/>
      <w:lang w:val="en-GB"/>
    </w:rPr>
  </w:style>
  <w:style w:type="paragraph" w:customStyle="1" w:styleId="A-ListBullet">
    <w:name w:val="A-List Bullet"/>
    <w:basedOn w:val="Normal"/>
    <w:rsid w:val="006C031E"/>
    <w:pPr>
      <w:numPr>
        <w:numId w:val="3"/>
      </w:numPr>
    </w:pPr>
    <w:rPr>
      <w:lang w:val="en-GB"/>
    </w:rPr>
  </w:style>
  <w:style w:type="paragraph" w:customStyle="1" w:styleId="A-ListNumber">
    <w:name w:val="A-List Number"/>
    <w:basedOn w:val="Normal"/>
    <w:rsid w:val="006C031E"/>
    <w:pPr>
      <w:tabs>
        <w:tab w:val="left" w:pos="994"/>
      </w:tabs>
      <w:ind w:left="994" w:hanging="994"/>
    </w:pPr>
    <w:rPr>
      <w:lang w:val="en-GB"/>
    </w:rPr>
  </w:style>
  <w:style w:type="paragraph" w:customStyle="1" w:styleId="A-ListSubsidiary">
    <w:name w:val="A-List Subsidiary"/>
    <w:basedOn w:val="Normal"/>
    <w:rsid w:val="006C031E"/>
    <w:pPr>
      <w:numPr>
        <w:numId w:val="4"/>
      </w:numPr>
      <w:tabs>
        <w:tab w:val="clear" w:pos="1987"/>
        <w:tab w:val="left" w:pos="1440"/>
      </w:tabs>
      <w:ind w:left="1440" w:hanging="446"/>
    </w:pPr>
    <w:rPr>
      <w:lang w:val="en-GB"/>
    </w:rPr>
  </w:style>
  <w:style w:type="paragraph" w:customStyle="1" w:styleId="A-NormalIndent">
    <w:name w:val="A-Normal Indent"/>
    <w:basedOn w:val="Normal"/>
    <w:next w:val="Normal"/>
    <w:rsid w:val="006C031E"/>
    <w:pPr>
      <w:ind w:left="992"/>
    </w:pPr>
    <w:rPr>
      <w:lang w:val="en-GB"/>
    </w:rPr>
  </w:style>
  <w:style w:type="paragraph" w:customStyle="1" w:styleId="A-Lista">
    <w:name w:val="A-List (a)"/>
    <w:basedOn w:val="Normal"/>
    <w:next w:val="Normal"/>
    <w:rsid w:val="006C031E"/>
    <w:pPr>
      <w:numPr>
        <w:numId w:val="5"/>
      </w:numPr>
    </w:pPr>
    <w:rPr>
      <w:lang w:val="en-GB"/>
    </w:rPr>
  </w:style>
  <w:style w:type="paragraph" w:customStyle="1" w:styleId="A-Listi">
    <w:name w:val="A-List (i)"/>
    <w:basedOn w:val="Normal"/>
    <w:next w:val="Normal"/>
    <w:rsid w:val="006C031E"/>
    <w:pPr>
      <w:numPr>
        <w:numId w:val="6"/>
      </w:numPr>
    </w:pPr>
    <w:rPr>
      <w:lang w:val="en-GB"/>
    </w:rPr>
  </w:style>
  <w:style w:type="paragraph" w:customStyle="1" w:styleId="A-TableTitle">
    <w:name w:val="A-Table Title"/>
    <w:basedOn w:val="Normal"/>
    <w:next w:val="Normal"/>
    <w:rsid w:val="006C031E"/>
    <w:pPr>
      <w:keepNext/>
      <w:tabs>
        <w:tab w:val="left" w:pos="1800"/>
      </w:tabs>
      <w:spacing w:after="120"/>
      <w:ind w:left="1800" w:hanging="1800"/>
    </w:pPr>
    <w:rPr>
      <w:b/>
      <w:lang w:val="en-GB"/>
    </w:rPr>
  </w:style>
  <w:style w:type="paragraph" w:customStyle="1" w:styleId="A-FigureTitle">
    <w:name w:val="A-Figure Title"/>
    <w:basedOn w:val="Normal"/>
    <w:next w:val="Normal"/>
    <w:rsid w:val="006C031E"/>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6C031E"/>
    <w:pPr>
      <w:tabs>
        <w:tab w:val="left" w:pos="432"/>
      </w:tabs>
      <w:ind w:left="432" w:hanging="432"/>
    </w:pPr>
    <w:rPr>
      <w:sz w:val="18"/>
      <w:lang w:val="en-GB"/>
    </w:rPr>
  </w:style>
  <w:style w:type="paragraph" w:customStyle="1" w:styleId="Z-LogoHeader">
    <w:name w:val="Z-Logo Header"/>
    <w:basedOn w:val="Header"/>
    <w:rsid w:val="006C031E"/>
    <w:pPr>
      <w:spacing w:before="240"/>
    </w:pPr>
  </w:style>
  <w:style w:type="paragraph" w:customStyle="1" w:styleId="Z-Signature">
    <w:name w:val="Z-Signature"/>
    <w:next w:val="Normal"/>
    <w:rsid w:val="006C031E"/>
    <w:pPr>
      <w:spacing w:before="360" w:line="280" w:lineRule="atLeast"/>
    </w:pPr>
    <w:rPr>
      <w:sz w:val="24"/>
      <w:lang w:val="en-GB" w:eastAsia="en-US"/>
    </w:rPr>
  </w:style>
  <w:style w:type="paragraph" w:customStyle="1" w:styleId="TocHeaders">
    <w:name w:val="TocHeaders"/>
    <w:next w:val="Normal"/>
    <w:rsid w:val="006C031E"/>
    <w:pPr>
      <w:keepNext/>
      <w:spacing w:before="480" w:after="240"/>
      <w:outlineLvl w:val="0"/>
    </w:pPr>
    <w:rPr>
      <w:b/>
      <w:caps/>
      <w:sz w:val="28"/>
      <w:lang w:val="en-GB" w:eastAsia="en-US"/>
    </w:rPr>
  </w:style>
  <w:style w:type="character" w:styleId="Hyperlink">
    <w:name w:val="Hyperlink"/>
    <w:basedOn w:val="DefaultParagraphFont"/>
    <w:semiHidden/>
    <w:rsid w:val="006C031E"/>
    <w:rPr>
      <w:color w:val="auto"/>
      <w:u w:val="none"/>
    </w:rPr>
  </w:style>
  <w:style w:type="character" w:styleId="FollowedHyperlink">
    <w:name w:val="FollowedHyperlink"/>
    <w:basedOn w:val="DefaultParagraphFont"/>
    <w:semiHidden/>
    <w:rsid w:val="006C031E"/>
    <w:rPr>
      <w:color w:val="auto"/>
      <w:u w:val="none"/>
    </w:rPr>
  </w:style>
  <w:style w:type="paragraph" w:customStyle="1" w:styleId="A-Heading1">
    <w:name w:val="A-Heading 1"/>
    <w:basedOn w:val="Normal"/>
    <w:next w:val="Normal"/>
    <w:rsid w:val="006C031E"/>
    <w:pPr>
      <w:keepNext/>
      <w:spacing w:before="480"/>
      <w:outlineLvl w:val="0"/>
    </w:pPr>
    <w:rPr>
      <w:b/>
      <w:caps/>
      <w:lang w:val="en-GB"/>
    </w:rPr>
  </w:style>
  <w:style w:type="paragraph" w:customStyle="1" w:styleId="A-Heading2">
    <w:name w:val="A-Heading 2"/>
    <w:basedOn w:val="Normal"/>
    <w:next w:val="Normal"/>
    <w:rsid w:val="006C031E"/>
    <w:pPr>
      <w:keepNext/>
      <w:spacing w:before="120" w:after="120"/>
      <w:outlineLvl w:val="1"/>
    </w:pPr>
    <w:rPr>
      <w:b/>
      <w:lang w:val="en-GB"/>
    </w:rPr>
  </w:style>
  <w:style w:type="paragraph" w:customStyle="1" w:styleId="A-Heading3">
    <w:name w:val="A-Heading 3"/>
    <w:basedOn w:val="Normal"/>
    <w:next w:val="Normal"/>
    <w:rsid w:val="006C031E"/>
    <w:pPr>
      <w:keepNext/>
      <w:spacing w:after="120"/>
      <w:outlineLvl w:val="2"/>
    </w:pPr>
    <w:rPr>
      <w:b/>
      <w:i/>
      <w:lang w:val="en-GB"/>
    </w:rPr>
  </w:style>
  <w:style w:type="paragraph" w:customStyle="1" w:styleId="A-Heading4">
    <w:name w:val="A-Heading 4"/>
    <w:basedOn w:val="Normal"/>
    <w:next w:val="Normal"/>
    <w:rsid w:val="006C031E"/>
    <w:pPr>
      <w:keepNext/>
      <w:spacing w:after="120"/>
      <w:outlineLvl w:val="3"/>
    </w:pPr>
    <w:rPr>
      <w:i/>
      <w:lang w:val="en-GB"/>
    </w:rPr>
  </w:style>
  <w:style w:type="paragraph" w:customStyle="1" w:styleId="Tableheading">
    <w:name w:val="Table heading"/>
    <w:basedOn w:val="Normal"/>
    <w:rsid w:val="006C031E"/>
    <w:pPr>
      <w:spacing w:line="240" w:lineRule="auto"/>
    </w:pPr>
    <w:rPr>
      <w:b/>
      <w:sz w:val="20"/>
      <w:szCs w:val="24"/>
    </w:rPr>
  </w:style>
  <w:style w:type="paragraph" w:styleId="FootnoteText">
    <w:name w:val="footnote text"/>
    <w:next w:val="Normal"/>
    <w:semiHidden/>
    <w:rsid w:val="006C031E"/>
    <w:pPr>
      <w:tabs>
        <w:tab w:val="left" w:pos="431"/>
      </w:tabs>
      <w:ind w:left="431" w:hanging="431"/>
    </w:pPr>
    <w:rPr>
      <w:rFonts w:ascii="Arial" w:hAnsi="Arial"/>
      <w:lang w:val="en-GB" w:eastAsia="en-US"/>
    </w:rPr>
  </w:style>
  <w:style w:type="paragraph" w:customStyle="1" w:styleId="Tabletext">
    <w:name w:val="Table text"/>
    <w:basedOn w:val="Normal"/>
    <w:rsid w:val="006C031E"/>
    <w:pPr>
      <w:spacing w:line="240" w:lineRule="auto"/>
    </w:pPr>
    <w:rPr>
      <w:sz w:val="20"/>
      <w:szCs w:val="24"/>
    </w:rPr>
  </w:style>
  <w:style w:type="paragraph" w:styleId="DocumentMap">
    <w:name w:val="Document Map"/>
    <w:basedOn w:val="Normal"/>
    <w:semiHidden/>
    <w:rsid w:val="006C031E"/>
    <w:pPr>
      <w:shd w:val="clear" w:color="auto" w:fill="000080"/>
    </w:pPr>
    <w:rPr>
      <w:rFonts w:ascii="Tahoma" w:hAnsi="Tahoma" w:cs="Tahoma"/>
    </w:rPr>
  </w:style>
  <w:style w:type="character" w:customStyle="1" w:styleId="BMSTableNote">
    <w:name w:val="BMS Table Note"/>
    <w:basedOn w:val="DefaultParagraphFont"/>
    <w:rsid w:val="006C031E"/>
    <w:rPr>
      <w:rFonts w:ascii="Times New Roman" w:hAnsi="Times New Roman" w:cs="Times New Roman"/>
      <w:color w:val="auto"/>
      <w:sz w:val="28"/>
      <w:szCs w:val="28"/>
      <w:vertAlign w:val="superscript"/>
    </w:rPr>
  </w:style>
  <w:style w:type="paragraph" w:customStyle="1" w:styleId="A-studytitle2">
    <w:name w:val="A-study title 2"/>
    <w:basedOn w:val="A-StudyTitle"/>
    <w:rsid w:val="006C031E"/>
    <w:rPr>
      <w:b w:val="0"/>
      <w:sz w:val="24"/>
    </w:rPr>
  </w:style>
  <w:style w:type="paragraph" w:customStyle="1" w:styleId="A-studytitle3">
    <w:name w:val="A-study title 3"/>
    <w:basedOn w:val="A-StudyTitle"/>
    <w:rsid w:val="006C031E"/>
    <w:rPr>
      <w:caps/>
      <w:sz w:val="24"/>
    </w:rPr>
  </w:style>
  <w:style w:type="paragraph" w:customStyle="1" w:styleId="A-Heading5">
    <w:name w:val="A-Heading 5"/>
    <w:basedOn w:val="A-Heading4"/>
    <w:rsid w:val="006C031E"/>
    <w:rPr>
      <w:i w:val="0"/>
      <w:u w:val="single"/>
    </w:rPr>
  </w:style>
  <w:style w:type="character" w:customStyle="1" w:styleId="BMSSuperscript">
    <w:name w:val="BMS Superscript"/>
    <w:rsid w:val="006C031E"/>
    <w:rPr>
      <w:sz w:val="28"/>
      <w:vertAlign w:val="superscript"/>
    </w:rPr>
  </w:style>
  <w:style w:type="character" w:styleId="CommentReference">
    <w:name w:val="annotation reference"/>
    <w:basedOn w:val="DefaultParagraphFont"/>
    <w:uiPriority w:val="99"/>
    <w:rsid w:val="006C031E"/>
    <w:rPr>
      <w:rFonts w:ascii="Times New Roman" w:hAnsi="Times New Roman" w:cs="Times New Roman"/>
      <w:sz w:val="16"/>
      <w:szCs w:val="16"/>
    </w:rPr>
  </w:style>
  <w:style w:type="paragraph" w:styleId="CommentText">
    <w:name w:val="annotation text"/>
    <w:aliases w:val="Annotationtext"/>
    <w:basedOn w:val="Normal"/>
    <w:link w:val="CommentTextChar"/>
    <w:rsid w:val="006C031E"/>
    <w:rPr>
      <w:rFonts w:cs="Arial"/>
      <w:sz w:val="20"/>
    </w:rPr>
  </w:style>
  <w:style w:type="character" w:customStyle="1" w:styleId="BMSSubscript">
    <w:name w:val="BMS Subscript"/>
    <w:rsid w:val="006C031E"/>
    <w:rPr>
      <w:sz w:val="28"/>
      <w:vertAlign w:val="subscript"/>
    </w:rPr>
  </w:style>
  <w:style w:type="paragraph" w:styleId="BodyText">
    <w:name w:val="Body Text"/>
    <w:basedOn w:val="Normal"/>
    <w:semiHidden/>
    <w:rsid w:val="006C031E"/>
    <w:pPr>
      <w:pBdr>
        <w:top w:val="single" w:sz="4" w:space="1" w:color="auto"/>
        <w:left w:val="single" w:sz="4" w:space="4" w:color="auto"/>
        <w:bottom w:val="single" w:sz="4" w:space="1" w:color="auto"/>
        <w:right w:val="single" w:sz="4" w:space="4" w:color="auto"/>
      </w:pBdr>
    </w:pPr>
    <w:rPr>
      <w:rFonts w:cs="Arial"/>
      <w:b/>
    </w:rPr>
  </w:style>
  <w:style w:type="character" w:styleId="FootnoteReference">
    <w:name w:val="footnote reference"/>
    <w:basedOn w:val="DefaultParagraphFont"/>
    <w:semiHidden/>
    <w:rsid w:val="006C031E"/>
    <w:rPr>
      <w:vertAlign w:val="superscript"/>
    </w:rPr>
  </w:style>
  <w:style w:type="paragraph" w:customStyle="1" w:styleId="BMSTableNoteInfo">
    <w:name w:val="BMS Table Note Info"/>
    <w:basedOn w:val="Normal"/>
    <w:next w:val="Normal"/>
    <w:link w:val="BMSTableNoteInfoChar"/>
    <w:rsid w:val="006C031E"/>
    <w:pPr>
      <w:tabs>
        <w:tab w:val="left" w:pos="216"/>
      </w:tabs>
      <w:spacing w:before="40" w:after="0" w:line="240" w:lineRule="auto"/>
      <w:ind w:left="216" w:hanging="216"/>
      <w:jc w:val="both"/>
    </w:pPr>
    <w:rPr>
      <w:rFonts w:ascii="Times New Roman" w:hAnsi="Times New Roman"/>
      <w:color w:val="000000"/>
      <w:sz w:val="20"/>
      <w:lang w:val="en-US" w:eastAsia="ja-JP"/>
    </w:rPr>
  </w:style>
  <w:style w:type="paragraph" w:customStyle="1" w:styleId="BMSBodyText">
    <w:name w:val="BMS Body Text"/>
    <w:link w:val="BMSBodyTextChar"/>
    <w:qFormat/>
    <w:rsid w:val="006C031E"/>
    <w:pPr>
      <w:spacing w:before="120" w:after="120" w:line="300" w:lineRule="auto"/>
      <w:jc w:val="both"/>
    </w:pPr>
    <w:rPr>
      <w:color w:val="000000"/>
      <w:sz w:val="24"/>
      <w:lang w:val="en-US" w:eastAsia="ja-JP"/>
    </w:rPr>
  </w:style>
  <w:style w:type="paragraph" w:customStyle="1" w:styleId="BMSTableHeader">
    <w:name w:val="BMS Table Header"/>
    <w:basedOn w:val="BMSTableText"/>
    <w:link w:val="BMSTableHeaderChar"/>
    <w:rsid w:val="006C031E"/>
    <w:rPr>
      <w:b/>
    </w:rPr>
  </w:style>
  <w:style w:type="paragraph" w:customStyle="1" w:styleId="BMSTableText">
    <w:name w:val="BMS Table Text"/>
    <w:link w:val="BMSTableTextChar"/>
    <w:rsid w:val="006C031E"/>
    <w:pPr>
      <w:tabs>
        <w:tab w:val="left" w:pos="360"/>
      </w:tabs>
      <w:spacing w:before="60" w:after="60"/>
      <w:jc w:val="center"/>
    </w:pPr>
    <w:rPr>
      <w:lang w:val="en-US" w:eastAsia="ja-JP"/>
    </w:rPr>
  </w:style>
  <w:style w:type="paragraph" w:styleId="ListBullet2">
    <w:name w:val="List Bullet 2"/>
    <w:basedOn w:val="Normal"/>
    <w:autoRedefine/>
    <w:semiHidden/>
    <w:rsid w:val="006C031E"/>
    <w:pPr>
      <w:widowControl w:val="0"/>
      <w:tabs>
        <w:tab w:val="num" w:pos="992"/>
      </w:tabs>
      <w:spacing w:after="0" w:line="240" w:lineRule="auto"/>
      <w:ind w:left="992" w:hanging="992"/>
    </w:pPr>
    <w:rPr>
      <w:rFonts w:ascii="Times New Roman" w:hAnsi="Times New Roman"/>
      <w:snapToGrid w:val="0"/>
      <w:lang w:val="en-US"/>
    </w:rPr>
  </w:style>
  <w:style w:type="paragraph" w:styleId="BlockText">
    <w:name w:val="Block Text"/>
    <w:basedOn w:val="Normal"/>
    <w:rsid w:val="006C031E"/>
    <w:pPr>
      <w:spacing w:after="120" w:line="240" w:lineRule="auto"/>
      <w:ind w:left="1440" w:right="1440"/>
    </w:pPr>
    <w:rPr>
      <w:rFonts w:ascii="Times New Roman" w:hAnsi="Times New Roman"/>
      <w:sz w:val="20"/>
      <w:lang w:val="en-US" w:eastAsia="ja-JP"/>
    </w:rPr>
  </w:style>
  <w:style w:type="paragraph" w:styleId="BodyText3">
    <w:name w:val="Body Text 3"/>
    <w:basedOn w:val="Normal"/>
    <w:semiHidden/>
    <w:rsid w:val="006C031E"/>
    <w:pPr>
      <w:spacing w:after="120" w:line="240" w:lineRule="auto"/>
    </w:pPr>
    <w:rPr>
      <w:rFonts w:ascii="Times New Roman" w:hAnsi="Times New Roman"/>
      <w:sz w:val="16"/>
      <w:lang w:val="en-US" w:eastAsia="ja-JP"/>
    </w:rPr>
  </w:style>
  <w:style w:type="paragraph" w:styleId="CommentSubject">
    <w:name w:val="annotation subject"/>
    <w:basedOn w:val="CommentText"/>
    <w:next w:val="CommentText"/>
    <w:link w:val="CommentSubjectChar"/>
    <w:uiPriority w:val="99"/>
    <w:semiHidden/>
    <w:unhideWhenUsed/>
    <w:rsid w:val="00547CA8"/>
    <w:rPr>
      <w:rFonts w:cs="Times New Roman"/>
      <w:b/>
      <w:bCs/>
    </w:rPr>
  </w:style>
  <w:style w:type="character" w:customStyle="1" w:styleId="CommentTextChar">
    <w:name w:val="Comment Text Char"/>
    <w:aliases w:val="Annotationtext Char"/>
    <w:basedOn w:val="DefaultParagraphFont"/>
    <w:link w:val="CommentText"/>
    <w:rsid w:val="00547CA8"/>
    <w:rPr>
      <w:rFonts w:ascii="Arial" w:hAnsi="Arial" w:cs="Arial"/>
      <w:lang w:eastAsia="en-US"/>
    </w:rPr>
  </w:style>
  <w:style w:type="character" w:customStyle="1" w:styleId="CommentSubjectChar">
    <w:name w:val="Comment Subject Char"/>
    <w:basedOn w:val="CommentTextChar"/>
    <w:link w:val="CommentSubject"/>
    <w:rsid w:val="00547CA8"/>
    <w:rPr>
      <w:rFonts w:ascii="Arial" w:hAnsi="Arial" w:cs="Arial"/>
      <w:lang w:eastAsia="en-US"/>
    </w:rPr>
  </w:style>
  <w:style w:type="paragraph" w:styleId="BalloonText">
    <w:name w:val="Balloon Text"/>
    <w:basedOn w:val="Normal"/>
    <w:link w:val="BalloonTextChar"/>
    <w:uiPriority w:val="99"/>
    <w:semiHidden/>
    <w:unhideWhenUsed/>
    <w:rsid w:val="00547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CA8"/>
    <w:rPr>
      <w:rFonts w:ascii="Tahoma" w:hAnsi="Tahoma" w:cs="Tahoma"/>
      <w:sz w:val="16"/>
      <w:szCs w:val="16"/>
      <w:lang w:eastAsia="en-US"/>
    </w:rPr>
  </w:style>
  <w:style w:type="paragraph" w:styleId="Revision">
    <w:name w:val="Revision"/>
    <w:hidden/>
    <w:uiPriority w:val="99"/>
    <w:semiHidden/>
    <w:rsid w:val="00A3583E"/>
    <w:rPr>
      <w:rFonts w:ascii="Arial" w:hAnsi="Arial"/>
      <w:sz w:val="24"/>
      <w:lang w:eastAsia="en-US"/>
    </w:rPr>
  </w:style>
  <w:style w:type="paragraph" w:customStyle="1" w:styleId="BMSTableTitle">
    <w:name w:val="BMS Table Title"/>
    <w:next w:val="BMSBodyText"/>
    <w:link w:val="BMSTableTitleChar"/>
    <w:rsid w:val="008721F3"/>
    <w:pPr>
      <w:keepNext/>
      <w:keepLines/>
      <w:tabs>
        <w:tab w:val="left" w:pos="2160"/>
      </w:tabs>
      <w:spacing w:before="120" w:after="120"/>
      <w:ind w:left="2160" w:hanging="2160"/>
    </w:pPr>
    <w:rPr>
      <w:b/>
      <w:sz w:val="24"/>
    </w:rPr>
  </w:style>
  <w:style w:type="character" w:customStyle="1" w:styleId="BMSBodyTextChar">
    <w:name w:val="BMS Body Text Char"/>
    <w:link w:val="BMSBodyText"/>
    <w:rsid w:val="008721F3"/>
    <w:rPr>
      <w:color w:val="000000"/>
      <w:sz w:val="24"/>
      <w:lang w:val="en-US" w:eastAsia="ja-JP" w:bidi="ar-SA"/>
    </w:rPr>
  </w:style>
  <w:style w:type="character" w:customStyle="1" w:styleId="BMSTableTextChar">
    <w:name w:val="BMS Table Text Char"/>
    <w:link w:val="BMSTableText"/>
    <w:rsid w:val="008721F3"/>
    <w:rPr>
      <w:lang w:val="en-US" w:eastAsia="ja-JP" w:bidi="ar-SA"/>
    </w:rPr>
  </w:style>
  <w:style w:type="character" w:customStyle="1" w:styleId="BMSTableHeaderChar">
    <w:name w:val="BMS Table Header Char"/>
    <w:link w:val="BMSTableHeader"/>
    <w:rsid w:val="008721F3"/>
    <w:rPr>
      <w:b/>
      <w:lang w:val="en-US" w:eastAsia="ja-JP"/>
    </w:rPr>
  </w:style>
  <w:style w:type="character" w:customStyle="1" w:styleId="BMSTableTitleChar">
    <w:name w:val="BMS Table Title Char"/>
    <w:link w:val="BMSTableTitle"/>
    <w:rsid w:val="008721F3"/>
    <w:rPr>
      <w:b/>
      <w:sz w:val="24"/>
      <w:lang w:bidi="ar-SA"/>
    </w:rPr>
  </w:style>
  <w:style w:type="paragraph" w:customStyle="1" w:styleId="EMEABodyText">
    <w:name w:val="EMEA Body Text"/>
    <w:basedOn w:val="Normal"/>
    <w:link w:val="EMEABodyTextChar"/>
    <w:rsid w:val="008721F3"/>
    <w:pPr>
      <w:spacing w:after="0" w:line="240" w:lineRule="auto"/>
    </w:pPr>
    <w:rPr>
      <w:rFonts w:ascii="Times New Roman" w:hAnsi="Times New Roman"/>
      <w:sz w:val="22"/>
      <w:lang w:val="en-GB"/>
    </w:rPr>
  </w:style>
  <w:style w:type="character" w:customStyle="1" w:styleId="EMEABodyTextChar">
    <w:name w:val="EMEA Body Text Char"/>
    <w:basedOn w:val="DefaultParagraphFont"/>
    <w:link w:val="EMEABodyText"/>
    <w:rsid w:val="008721F3"/>
    <w:rPr>
      <w:sz w:val="22"/>
      <w:lang w:val="en-GB" w:eastAsia="en-US"/>
    </w:rPr>
  </w:style>
  <w:style w:type="paragraph" w:customStyle="1" w:styleId="TableList">
    <w:name w:val="Table List"/>
    <w:basedOn w:val="Normal"/>
    <w:uiPriority w:val="99"/>
    <w:rsid w:val="00F40637"/>
    <w:pPr>
      <w:numPr>
        <w:numId w:val="13"/>
      </w:numPr>
      <w:overflowPunct w:val="0"/>
      <w:autoSpaceDE w:val="0"/>
      <w:autoSpaceDN w:val="0"/>
      <w:adjustRightInd w:val="0"/>
      <w:spacing w:before="120" w:after="120" w:line="240" w:lineRule="auto"/>
      <w:textAlignment w:val="baseline"/>
    </w:pPr>
    <w:rPr>
      <w:rFonts w:ascii="Times New Roman" w:hAnsi="Times New Roman"/>
      <w:sz w:val="22"/>
      <w:lang w:val="en-US"/>
    </w:rPr>
  </w:style>
  <w:style w:type="paragraph" w:customStyle="1" w:styleId="BMSHeading1">
    <w:name w:val="BMS Heading 1"/>
    <w:next w:val="BMSBodyText"/>
    <w:rsid w:val="006E2326"/>
    <w:pPr>
      <w:keepNext/>
      <w:keepLines/>
      <w:numPr>
        <w:numId w:val="14"/>
      </w:numPr>
      <w:spacing w:before="120" w:after="120"/>
      <w:outlineLvl w:val="0"/>
    </w:pPr>
    <w:rPr>
      <w:rFonts w:ascii="Arial" w:hAnsi="Arial"/>
      <w:b/>
      <w:caps/>
      <w:color w:val="000000"/>
      <w:sz w:val="24"/>
      <w:lang w:val="en-US" w:eastAsia="en-US"/>
    </w:rPr>
  </w:style>
  <w:style w:type="paragraph" w:customStyle="1" w:styleId="BMSHeading2">
    <w:name w:val="BMS Heading 2"/>
    <w:next w:val="BMSBodyText"/>
    <w:rsid w:val="006E2326"/>
    <w:pPr>
      <w:keepNext/>
      <w:keepLines/>
      <w:numPr>
        <w:ilvl w:val="1"/>
        <w:numId w:val="14"/>
      </w:numPr>
      <w:spacing w:before="120" w:after="120"/>
      <w:outlineLvl w:val="1"/>
    </w:pPr>
    <w:rPr>
      <w:rFonts w:ascii="Arial" w:hAnsi="Arial"/>
      <w:b/>
      <w:color w:val="000000"/>
      <w:sz w:val="24"/>
      <w:lang w:val="en-US" w:eastAsia="en-US"/>
    </w:rPr>
  </w:style>
  <w:style w:type="paragraph" w:customStyle="1" w:styleId="BMSHeading3">
    <w:name w:val="BMS Heading 3"/>
    <w:next w:val="BMSBodyText"/>
    <w:link w:val="BMSHeading3Char"/>
    <w:rsid w:val="006E2326"/>
    <w:pPr>
      <w:keepNext/>
      <w:keepLines/>
      <w:numPr>
        <w:ilvl w:val="2"/>
        <w:numId w:val="14"/>
      </w:numPr>
      <w:spacing w:before="120" w:after="120"/>
      <w:outlineLvl w:val="2"/>
    </w:pPr>
    <w:rPr>
      <w:rFonts w:ascii="Arial" w:hAnsi="Arial"/>
      <w:b/>
      <w:i/>
      <w:color w:val="000000"/>
      <w:sz w:val="24"/>
      <w:lang w:val="en-US" w:eastAsia="en-US"/>
    </w:rPr>
  </w:style>
  <w:style w:type="paragraph" w:customStyle="1" w:styleId="BMSHeading4">
    <w:name w:val="BMS Heading 4"/>
    <w:next w:val="BMSBodyText"/>
    <w:rsid w:val="006E2326"/>
    <w:pPr>
      <w:keepNext/>
      <w:keepLines/>
      <w:numPr>
        <w:ilvl w:val="3"/>
        <w:numId w:val="14"/>
      </w:numPr>
      <w:spacing w:before="120" w:after="120"/>
      <w:outlineLvl w:val="3"/>
    </w:pPr>
    <w:rPr>
      <w:rFonts w:ascii="Arial" w:hAnsi="Arial"/>
      <w:b/>
      <w:i/>
      <w:color w:val="000000"/>
      <w:sz w:val="24"/>
      <w:lang w:val="en-US" w:eastAsia="en-US"/>
    </w:rPr>
  </w:style>
  <w:style w:type="character" w:customStyle="1" w:styleId="BMSHeading3Char">
    <w:name w:val="BMS Heading 3 Char"/>
    <w:basedOn w:val="DefaultParagraphFont"/>
    <w:link w:val="BMSHeading3"/>
    <w:rsid w:val="00AF64B8"/>
    <w:rPr>
      <w:rFonts w:ascii="Arial" w:hAnsi="Arial"/>
      <w:b/>
      <w:i/>
      <w:color w:val="000000"/>
      <w:sz w:val="24"/>
      <w:lang w:val="en-US" w:eastAsia="en-US" w:bidi="ar-SA"/>
    </w:rPr>
  </w:style>
  <w:style w:type="character" w:customStyle="1" w:styleId="BMSInstructionText">
    <w:name w:val="BMS Instruction Text"/>
    <w:rsid w:val="00AF64B8"/>
    <w:rPr>
      <w:rFonts w:ascii="Times New Roman" w:hAnsi="Times New Roman"/>
      <w:i/>
      <w:dstrike w:val="0"/>
      <w:vanish/>
      <w:color w:val="FF0000"/>
      <w:sz w:val="24"/>
      <w:u w:val="none"/>
      <w:vertAlign w:val="baseline"/>
    </w:rPr>
  </w:style>
  <w:style w:type="character" w:customStyle="1" w:styleId="BMSTableNoteInfoChar">
    <w:name w:val="BMS Table Note Info Char"/>
    <w:basedOn w:val="DefaultParagraphFont"/>
    <w:link w:val="BMSTableNoteInfo"/>
    <w:locked/>
    <w:rsid w:val="000B4998"/>
    <w:rPr>
      <w:color w:val="000000"/>
      <w:lang w:val="en-US" w:eastAsia="ja-JP"/>
    </w:rPr>
  </w:style>
  <w:style w:type="paragraph" w:customStyle="1" w:styleId="Default">
    <w:name w:val="Default"/>
    <w:rsid w:val="00E37810"/>
    <w:pPr>
      <w:autoSpaceDE w:val="0"/>
      <w:autoSpaceDN w:val="0"/>
      <w:adjustRightInd w:val="0"/>
    </w:pPr>
    <w:rPr>
      <w:color w:val="000000"/>
      <w:sz w:val="24"/>
      <w:szCs w:val="24"/>
    </w:rPr>
  </w:style>
  <w:style w:type="character" w:styleId="EndnoteReference">
    <w:name w:val="endnote reference"/>
    <w:semiHidden/>
    <w:rsid w:val="00C93B80"/>
    <w:rPr>
      <w:sz w:val="28"/>
      <w:vertAlign w:val="superscript"/>
    </w:rPr>
  </w:style>
  <w:style w:type="paragraph" w:styleId="EndnoteText">
    <w:name w:val="endnote text"/>
    <w:basedOn w:val="BMSBodyText"/>
    <w:link w:val="EndnoteTextChar"/>
    <w:rsid w:val="00BE24AB"/>
    <w:pPr>
      <w:tabs>
        <w:tab w:val="left" w:pos="360"/>
      </w:tabs>
      <w:spacing w:before="0" w:line="240" w:lineRule="auto"/>
      <w:ind w:left="360" w:hanging="360"/>
    </w:pPr>
  </w:style>
  <w:style w:type="character" w:customStyle="1" w:styleId="EndnoteTextChar">
    <w:name w:val="Endnote Text Char"/>
    <w:basedOn w:val="DefaultParagraphFont"/>
    <w:link w:val="EndnoteText"/>
    <w:rsid w:val="00BE24AB"/>
    <w:rPr>
      <w:color w:val="000000"/>
      <w:sz w:val="24"/>
    </w:rPr>
  </w:style>
  <w:style w:type="table" w:styleId="TableGrid">
    <w:name w:val="Table Grid"/>
    <w:basedOn w:val="TableNormal"/>
    <w:uiPriority w:val="59"/>
    <w:rsid w:val="008734B3"/>
    <w:rPr>
      <w:rFonts w:asciiTheme="minorHAnsi" w:eastAsia="Cambr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1E"/>
    <w:pPr>
      <w:spacing w:after="240" w:line="280" w:lineRule="atLeast"/>
    </w:pPr>
    <w:rPr>
      <w:rFonts w:ascii="Arial" w:hAnsi="Arial"/>
      <w:sz w:val="24"/>
      <w:lang w:eastAsia="en-US"/>
    </w:rPr>
  </w:style>
  <w:style w:type="paragraph" w:styleId="Heading1">
    <w:name w:val="heading 1"/>
    <w:next w:val="Normal"/>
    <w:qFormat/>
    <w:rsid w:val="006C031E"/>
    <w:pPr>
      <w:keepNext/>
      <w:numPr>
        <w:numId w:val="2"/>
      </w:numPr>
      <w:spacing w:before="480" w:after="240"/>
      <w:outlineLvl w:val="0"/>
    </w:pPr>
    <w:rPr>
      <w:b/>
      <w:caps/>
      <w:sz w:val="28"/>
      <w:lang w:val="en-GB" w:eastAsia="en-US"/>
    </w:rPr>
  </w:style>
  <w:style w:type="paragraph" w:styleId="Heading2">
    <w:name w:val="heading 2"/>
    <w:next w:val="Normal"/>
    <w:qFormat/>
    <w:rsid w:val="006C031E"/>
    <w:pPr>
      <w:keepNext/>
      <w:numPr>
        <w:ilvl w:val="1"/>
        <w:numId w:val="2"/>
      </w:numPr>
      <w:spacing w:before="120" w:after="120"/>
      <w:outlineLvl w:val="1"/>
    </w:pPr>
    <w:rPr>
      <w:b/>
      <w:sz w:val="28"/>
      <w:lang w:val="en-GB" w:eastAsia="en-US"/>
    </w:rPr>
  </w:style>
  <w:style w:type="paragraph" w:styleId="Heading3">
    <w:name w:val="heading 3"/>
    <w:next w:val="Normal"/>
    <w:qFormat/>
    <w:rsid w:val="006C031E"/>
    <w:pPr>
      <w:keepNext/>
      <w:numPr>
        <w:ilvl w:val="2"/>
        <w:numId w:val="2"/>
      </w:numPr>
      <w:spacing w:after="120"/>
      <w:outlineLvl w:val="2"/>
    </w:pPr>
    <w:rPr>
      <w:i/>
      <w:sz w:val="24"/>
      <w:lang w:val="en-GB" w:eastAsia="en-US"/>
    </w:rPr>
  </w:style>
  <w:style w:type="paragraph" w:styleId="Heading4">
    <w:name w:val="heading 4"/>
    <w:next w:val="Normal"/>
    <w:qFormat/>
    <w:rsid w:val="006C031E"/>
    <w:pPr>
      <w:keepNext/>
      <w:numPr>
        <w:ilvl w:val="3"/>
        <w:numId w:val="2"/>
      </w:numPr>
      <w:spacing w:after="120"/>
      <w:outlineLvl w:val="3"/>
    </w:pPr>
    <w:rPr>
      <w:i/>
      <w:sz w:val="24"/>
      <w:lang w:val="en-GB" w:eastAsia="en-US"/>
    </w:rPr>
  </w:style>
  <w:style w:type="paragraph" w:styleId="Heading5">
    <w:name w:val="heading 5"/>
    <w:basedOn w:val="Normal"/>
    <w:next w:val="Normal"/>
    <w:qFormat/>
    <w:rsid w:val="006C031E"/>
    <w:pPr>
      <w:keepNext/>
      <w:spacing w:after="120"/>
      <w:outlineLvl w:val="4"/>
    </w:pPr>
    <w:rPr>
      <w:u w:val="single"/>
      <w:lang w:val="en-GB"/>
    </w:rPr>
  </w:style>
  <w:style w:type="paragraph" w:styleId="Heading6">
    <w:name w:val="heading 6"/>
    <w:next w:val="Normal"/>
    <w:qFormat/>
    <w:rsid w:val="006C031E"/>
    <w:pPr>
      <w:keepNext/>
      <w:spacing w:after="120"/>
      <w:outlineLvl w:val="5"/>
    </w:pPr>
    <w:rPr>
      <w:b/>
      <w:sz w:val="24"/>
      <w:lang w:val="en-GB" w:eastAsia="en-US"/>
    </w:rPr>
  </w:style>
  <w:style w:type="paragraph" w:styleId="Heading7">
    <w:name w:val="heading 7"/>
    <w:aliases w:val="Appendix Heading"/>
    <w:next w:val="Normal"/>
    <w:qFormat/>
    <w:rsid w:val="006C031E"/>
    <w:pPr>
      <w:keepNext/>
      <w:spacing w:after="120"/>
      <w:outlineLvl w:val="6"/>
    </w:pPr>
    <w:rPr>
      <w:b/>
      <w:sz w:val="24"/>
      <w:lang w:val="en-GB" w:eastAsia="en-US"/>
    </w:rPr>
  </w:style>
  <w:style w:type="paragraph" w:styleId="Heading8">
    <w:name w:val="heading 8"/>
    <w:next w:val="Normal"/>
    <w:qFormat/>
    <w:rsid w:val="006C031E"/>
    <w:pPr>
      <w:keepNext/>
      <w:spacing w:after="120"/>
      <w:outlineLvl w:val="7"/>
    </w:pPr>
    <w:rPr>
      <w:b/>
      <w:sz w:val="24"/>
      <w:lang w:val="en-GB" w:eastAsia="en-US"/>
    </w:rPr>
  </w:style>
  <w:style w:type="paragraph" w:styleId="Heading9">
    <w:name w:val="heading 9"/>
    <w:next w:val="Normal"/>
    <w:qFormat/>
    <w:rsid w:val="006C031E"/>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6C031E"/>
    <w:rPr>
      <w:rFonts w:ascii="Arial" w:hAnsi="Arial"/>
      <w:sz w:val="16"/>
      <w:lang w:val="en-GB" w:eastAsia="en-US"/>
    </w:rPr>
  </w:style>
  <w:style w:type="paragraph" w:styleId="Footer">
    <w:name w:val="footer"/>
    <w:semiHidden/>
    <w:rsid w:val="006C031E"/>
    <w:rPr>
      <w:rFonts w:ascii="Arial" w:hAnsi="Arial"/>
      <w:sz w:val="16"/>
      <w:lang w:val="en-GB" w:eastAsia="en-US"/>
    </w:rPr>
  </w:style>
  <w:style w:type="paragraph" w:customStyle="1" w:styleId="A-Guided">
    <w:name w:val="A-Guided"/>
    <w:basedOn w:val="Normal"/>
    <w:rsid w:val="006C031E"/>
    <w:pPr>
      <w:spacing w:before="60"/>
    </w:pPr>
    <w:rPr>
      <w:lang w:val="en-GB"/>
    </w:rPr>
  </w:style>
  <w:style w:type="paragraph" w:customStyle="1" w:styleId="A-GuidedBold">
    <w:name w:val="A-Guided Bold"/>
    <w:basedOn w:val="Normal"/>
    <w:rsid w:val="006C031E"/>
    <w:pPr>
      <w:spacing w:before="60" w:after="120"/>
    </w:pPr>
    <w:rPr>
      <w:b/>
      <w:lang w:val="en-GB"/>
    </w:rPr>
  </w:style>
  <w:style w:type="character" w:customStyle="1" w:styleId="Z-RedHidden">
    <w:name w:val="Z-Red Hidden"/>
    <w:basedOn w:val="DefaultParagraphFont"/>
    <w:rsid w:val="006C031E"/>
    <w:rPr>
      <w:rFonts w:ascii="Arial" w:hAnsi="Arial"/>
      <w:vanish/>
      <w:color w:val="FF0000"/>
      <w:sz w:val="16"/>
    </w:rPr>
  </w:style>
  <w:style w:type="paragraph" w:customStyle="1" w:styleId="A-StudyTitle">
    <w:name w:val="A-Study Title"/>
    <w:basedOn w:val="Normal"/>
    <w:rsid w:val="006C031E"/>
    <w:pPr>
      <w:spacing w:after="120"/>
      <w:jc w:val="center"/>
    </w:pPr>
    <w:rPr>
      <w:b/>
      <w:sz w:val="32"/>
      <w:lang w:val="en-GB"/>
    </w:rPr>
  </w:style>
  <w:style w:type="paragraph" w:styleId="TOC1">
    <w:name w:val="toc 1"/>
    <w:next w:val="TOC2"/>
    <w:semiHidden/>
    <w:rsid w:val="006C031E"/>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6C031E"/>
    <w:rPr>
      <w:caps w:val="0"/>
    </w:rPr>
  </w:style>
  <w:style w:type="paragraph" w:styleId="TOC3">
    <w:name w:val="toc 3"/>
    <w:basedOn w:val="TOC1"/>
    <w:next w:val="TOC4"/>
    <w:semiHidden/>
    <w:rsid w:val="006C031E"/>
    <w:pPr>
      <w:spacing w:before="0"/>
    </w:pPr>
    <w:rPr>
      <w:caps w:val="0"/>
    </w:rPr>
  </w:style>
  <w:style w:type="paragraph" w:styleId="TOC4">
    <w:name w:val="toc 4"/>
    <w:basedOn w:val="TOC1"/>
    <w:semiHidden/>
    <w:rsid w:val="006C031E"/>
    <w:pPr>
      <w:spacing w:before="0"/>
    </w:pPr>
    <w:rPr>
      <w:caps w:val="0"/>
    </w:rPr>
  </w:style>
  <w:style w:type="character" w:styleId="PageNumber">
    <w:name w:val="page number"/>
    <w:basedOn w:val="DefaultParagraphFont"/>
    <w:semiHidden/>
    <w:rsid w:val="006C031E"/>
    <w:rPr>
      <w:rFonts w:ascii="Arial" w:hAnsi="Arial"/>
      <w:sz w:val="20"/>
    </w:rPr>
  </w:style>
  <w:style w:type="paragraph" w:customStyle="1" w:styleId="A-TableText">
    <w:name w:val="A-Table Text"/>
    <w:basedOn w:val="Normal"/>
    <w:rsid w:val="006C031E"/>
    <w:pPr>
      <w:spacing w:before="60" w:after="60"/>
    </w:pPr>
    <w:rPr>
      <w:sz w:val="22"/>
      <w:lang w:val="en-GB"/>
    </w:rPr>
  </w:style>
  <w:style w:type="paragraph" w:styleId="Caption">
    <w:name w:val="caption"/>
    <w:next w:val="Normal"/>
    <w:qFormat/>
    <w:rsid w:val="006C031E"/>
    <w:pPr>
      <w:keepNext/>
      <w:spacing w:after="120" w:line="280" w:lineRule="atLeast"/>
      <w:ind w:left="1418" w:hanging="1418"/>
    </w:pPr>
    <w:rPr>
      <w:b/>
      <w:sz w:val="24"/>
      <w:lang w:val="en-GB" w:eastAsia="en-US"/>
    </w:rPr>
  </w:style>
  <w:style w:type="paragraph" w:styleId="TOC5">
    <w:name w:val="toc 5"/>
    <w:basedOn w:val="TOC1"/>
    <w:next w:val="Normal"/>
    <w:semiHidden/>
    <w:rsid w:val="006C031E"/>
    <w:pPr>
      <w:ind w:firstLine="0"/>
    </w:pPr>
  </w:style>
  <w:style w:type="paragraph" w:styleId="TOC6">
    <w:name w:val="toc 6"/>
    <w:basedOn w:val="TOC2"/>
    <w:next w:val="Normal"/>
    <w:semiHidden/>
    <w:rsid w:val="006C031E"/>
    <w:pPr>
      <w:ind w:firstLine="0"/>
    </w:pPr>
  </w:style>
  <w:style w:type="paragraph" w:styleId="TOC7">
    <w:name w:val="toc 7"/>
    <w:basedOn w:val="TOC3"/>
    <w:next w:val="Normal"/>
    <w:semiHidden/>
    <w:rsid w:val="006C031E"/>
    <w:pPr>
      <w:ind w:firstLine="0"/>
    </w:pPr>
  </w:style>
  <w:style w:type="paragraph" w:styleId="TOC8">
    <w:name w:val="toc 8"/>
    <w:basedOn w:val="TOC4"/>
    <w:next w:val="Normal"/>
    <w:semiHidden/>
    <w:rsid w:val="006C031E"/>
    <w:pPr>
      <w:ind w:firstLine="0"/>
    </w:pPr>
  </w:style>
  <w:style w:type="paragraph" w:styleId="TOC9">
    <w:name w:val="toc 9"/>
    <w:basedOn w:val="TOC1"/>
    <w:next w:val="Normal"/>
    <w:semiHidden/>
    <w:rsid w:val="006C031E"/>
    <w:pPr>
      <w:ind w:firstLine="0"/>
    </w:pPr>
  </w:style>
  <w:style w:type="paragraph" w:customStyle="1" w:styleId="A-LandscapeFont">
    <w:name w:val="A-Landscape Font"/>
    <w:rsid w:val="006C031E"/>
    <w:pPr>
      <w:spacing w:line="280" w:lineRule="atLeast"/>
    </w:pPr>
    <w:rPr>
      <w:rFonts w:ascii="Courier" w:hAnsi="Courier"/>
      <w:sz w:val="16"/>
      <w:lang w:val="en-GB" w:eastAsia="en-US"/>
    </w:rPr>
  </w:style>
  <w:style w:type="paragraph" w:customStyle="1" w:styleId="A-TableHeader">
    <w:name w:val="A-Table Header"/>
    <w:basedOn w:val="Normal"/>
    <w:next w:val="A-TableText"/>
    <w:rsid w:val="006C031E"/>
    <w:pPr>
      <w:keepNext/>
      <w:spacing w:before="60" w:after="60"/>
    </w:pPr>
    <w:rPr>
      <w:b/>
      <w:sz w:val="20"/>
      <w:lang w:val="en-GB"/>
    </w:rPr>
  </w:style>
  <w:style w:type="paragraph" w:styleId="TableofFigures">
    <w:name w:val="table of figures"/>
    <w:next w:val="Normal"/>
    <w:semiHidden/>
    <w:rsid w:val="006C031E"/>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6C031E"/>
    <w:pPr>
      <w:tabs>
        <w:tab w:val="left" w:pos="1800"/>
      </w:tabs>
      <w:spacing w:after="120"/>
      <w:ind w:left="1800" w:hanging="1800"/>
    </w:pPr>
    <w:rPr>
      <w:b/>
      <w:sz w:val="28"/>
      <w:lang w:val="en-GB"/>
    </w:rPr>
  </w:style>
  <w:style w:type="paragraph" w:customStyle="1" w:styleId="Z-Box">
    <w:name w:val="Z-Box"/>
    <w:basedOn w:val="Normal"/>
    <w:rsid w:val="006C031E"/>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6C031E"/>
    <w:rPr>
      <w:lang w:val="en-GB"/>
    </w:rPr>
  </w:style>
  <w:style w:type="paragraph" w:customStyle="1" w:styleId="A-Unnumbered">
    <w:name w:val="A-Unnumbered"/>
    <w:basedOn w:val="Normal"/>
    <w:next w:val="Normal"/>
    <w:rsid w:val="006C031E"/>
    <w:pPr>
      <w:keepNext/>
      <w:spacing w:before="480"/>
    </w:pPr>
    <w:rPr>
      <w:b/>
      <w:caps/>
      <w:sz w:val="28"/>
      <w:lang w:val="en-GB"/>
    </w:rPr>
  </w:style>
  <w:style w:type="paragraph" w:customStyle="1" w:styleId="A-Unassigned">
    <w:name w:val="A-Unassigned"/>
    <w:basedOn w:val="Normal"/>
    <w:next w:val="Normal"/>
    <w:rsid w:val="006C031E"/>
    <w:pPr>
      <w:keepNext/>
      <w:spacing w:before="120" w:after="120"/>
    </w:pPr>
    <w:rPr>
      <w:b/>
      <w:lang w:val="en-GB"/>
    </w:rPr>
  </w:style>
  <w:style w:type="paragraph" w:customStyle="1" w:styleId="A-ListBullet">
    <w:name w:val="A-List Bullet"/>
    <w:basedOn w:val="Normal"/>
    <w:rsid w:val="006C031E"/>
    <w:pPr>
      <w:numPr>
        <w:numId w:val="3"/>
      </w:numPr>
    </w:pPr>
    <w:rPr>
      <w:lang w:val="en-GB"/>
    </w:rPr>
  </w:style>
  <w:style w:type="paragraph" w:customStyle="1" w:styleId="A-ListNumber">
    <w:name w:val="A-List Number"/>
    <w:basedOn w:val="Normal"/>
    <w:rsid w:val="006C031E"/>
    <w:pPr>
      <w:tabs>
        <w:tab w:val="left" w:pos="994"/>
      </w:tabs>
      <w:ind w:left="994" w:hanging="994"/>
    </w:pPr>
    <w:rPr>
      <w:lang w:val="en-GB"/>
    </w:rPr>
  </w:style>
  <w:style w:type="paragraph" w:customStyle="1" w:styleId="A-ListSubsidiary">
    <w:name w:val="A-List Subsidiary"/>
    <w:basedOn w:val="Normal"/>
    <w:rsid w:val="006C031E"/>
    <w:pPr>
      <w:numPr>
        <w:numId w:val="4"/>
      </w:numPr>
      <w:tabs>
        <w:tab w:val="clear" w:pos="1987"/>
        <w:tab w:val="left" w:pos="1440"/>
      </w:tabs>
      <w:ind w:left="1440" w:hanging="446"/>
    </w:pPr>
    <w:rPr>
      <w:lang w:val="en-GB"/>
    </w:rPr>
  </w:style>
  <w:style w:type="paragraph" w:customStyle="1" w:styleId="A-NormalIndent">
    <w:name w:val="A-Normal Indent"/>
    <w:basedOn w:val="Normal"/>
    <w:next w:val="Normal"/>
    <w:rsid w:val="006C031E"/>
    <w:pPr>
      <w:ind w:left="992"/>
    </w:pPr>
    <w:rPr>
      <w:lang w:val="en-GB"/>
    </w:rPr>
  </w:style>
  <w:style w:type="paragraph" w:customStyle="1" w:styleId="A-Lista">
    <w:name w:val="A-List (a)"/>
    <w:basedOn w:val="Normal"/>
    <w:next w:val="Normal"/>
    <w:rsid w:val="006C031E"/>
    <w:pPr>
      <w:numPr>
        <w:numId w:val="5"/>
      </w:numPr>
    </w:pPr>
    <w:rPr>
      <w:lang w:val="en-GB"/>
    </w:rPr>
  </w:style>
  <w:style w:type="paragraph" w:customStyle="1" w:styleId="A-Listi">
    <w:name w:val="A-List (i)"/>
    <w:basedOn w:val="Normal"/>
    <w:next w:val="Normal"/>
    <w:rsid w:val="006C031E"/>
    <w:pPr>
      <w:numPr>
        <w:numId w:val="6"/>
      </w:numPr>
    </w:pPr>
    <w:rPr>
      <w:lang w:val="en-GB"/>
    </w:rPr>
  </w:style>
  <w:style w:type="paragraph" w:customStyle="1" w:styleId="A-TableTitle">
    <w:name w:val="A-Table Title"/>
    <w:basedOn w:val="Normal"/>
    <w:next w:val="Normal"/>
    <w:rsid w:val="006C031E"/>
    <w:pPr>
      <w:keepNext/>
      <w:tabs>
        <w:tab w:val="left" w:pos="1800"/>
      </w:tabs>
      <w:spacing w:after="120"/>
      <w:ind w:left="1800" w:hanging="1800"/>
    </w:pPr>
    <w:rPr>
      <w:b/>
      <w:lang w:val="en-GB"/>
    </w:rPr>
  </w:style>
  <w:style w:type="paragraph" w:customStyle="1" w:styleId="A-FigureTitle">
    <w:name w:val="A-Figure Title"/>
    <w:basedOn w:val="Normal"/>
    <w:next w:val="Normal"/>
    <w:rsid w:val="006C031E"/>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6C031E"/>
    <w:pPr>
      <w:tabs>
        <w:tab w:val="left" w:pos="432"/>
      </w:tabs>
      <w:ind w:left="432" w:hanging="432"/>
    </w:pPr>
    <w:rPr>
      <w:sz w:val="18"/>
      <w:lang w:val="en-GB"/>
    </w:rPr>
  </w:style>
  <w:style w:type="paragraph" w:customStyle="1" w:styleId="Z-LogoHeader">
    <w:name w:val="Z-Logo Header"/>
    <w:basedOn w:val="Header"/>
    <w:rsid w:val="006C031E"/>
    <w:pPr>
      <w:spacing w:before="240"/>
    </w:pPr>
  </w:style>
  <w:style w:type="paragraph" w:customStyle="1" w:styleId="Z-Signature">
    <w:name w:val="Z-Signature"/>
    <w:next w:val="Normal"/>
    <w:rsid w:val="006C031E"/>
    <w:pPr>
      <w:spacing w:before="360" w:line="280" w:lineRule="atLeast"/>
    </w:pPr>
    <w:rPr>
      <w:sz w:val="24"/>
      <w:lang w:val="en-GB" w:eastAsia="en-US"/>
    </w:rPr>
  </w:style>
  <w:style w:type="paragraph" w:customStyle="1" w:styleId="TocHeaders">
    <w:name w:val="TocHeaders"/>
    <w:next w:val="Normal"/>
    <w:rsid w:val="006C031E"/>
    <w:pPr>
      <w:keepNext/>
      <w:spacing w:before="480" w:after="240"/>
      <w:outlineLvl w:val="0"/>
    </w:pPr>
    <w:rPr>
      <w:b/>
      <w:caps/>
      <w:sz w:val="28"/>
      <w:lang w:val="en-GB" w:eastAsia="en-US"/>
    </w:rPr>
  </w:style>
  <w:style w:type="character" w:styleId="Hyperlink">
    <w:name w:val="Hyperlink"/>
    <w:basedOn w:val="DefaultParagraphFont"/>
    <w:semiHidden/>
    <w:rsid w:val="006C031E"/>
    <w:rPr>
      <w:color w:val="auto"/>
      <w:u w:val="none"/>
    </w:rPr>
  </w:style>
  <w:style w:type="character" w:styleId="FollowedHyperlink">
    <w:name w:val="FollowedHyperlink"/>
    <w:basedOn w:val="DefaultParagraphFont"/>
    <w:semiHidden/>
    <w:rsid w:val="006C031E"/>
    <w:rPr>
      <w:color w:val="auto"/>
      <w:u w:val="none"/>
    </w:rPr>
  </w:style>
  <w:style w:type="paragraph" w:customStyle="1" w:styleId="A-Heading1">
    <w:name w:val="A-Heading 1"/>
    <w:basedOn w:val="Normal"/>
    <w:next w:val="Normal"/>
    <w:rsid w:val="006C031E"/>
    <w:pPr>
      <w:keepNext/>
      <w:spacing w:before="480"/>
      <w:outlineLvl w:val="0"/>
    </w:pPr>
    <w:rPr>
      <w:b/>
      <w:caps/>
      <w:lang w:val="en-GB"/>
    </w:rPr>
  </w:style>
  <w:style w:type="paragraph" w:customStyle="1" w:styleId="A-Heading2">
    <w:name w:val="A-Heading 2"/>
    <w:basedOn w:val="Normal"/>
    <w:next w:val="Normal"/>
    <w:rsid w:val="006C031E"/>
    <w:pPr>
      <w:keepNext/>
      <w:spacing w:before="120" w:after="120"/>
      <w:outlineLvl w:val="1"/>
    </w:pPr>
    <w:rPr>
      <w:b/>
      <w:lang w:val="en-GB"/>
    </w:rPr>
  </w:style>
  <w:style w:type="paragraph" w:customStyle="1" w:styleId="A-Heading3">
    <w:name w:val="A-Heading 3"/>
    <w:basedOn w:val="Normal"/>
    <w:next w:val="Normal"/>
    <w:rsid w:val="006C031E"/>
    <w:pPr>
      <w:keepNext/>
      <w:spacing w:after="120"/>
      <w:outlineLvl w:val="2"/>
    </w:pPr>
    <w:rPr>
      <w:b/>
      <w:i/>
      <w:lang w:val="en-GB"/>
    </w:rPr>
  </w:style>
  <w:style w:type="paragraph" w:customStyle="1" w:styleId="A-Heading4">
    <w:name w:val="A-Heading 4"/>
    <w:basedOn w:val="Normal"/>
    <w:next w:val="Normal"/>
    <w:rsid w:val="006C031E"/>
    <w:pPr>
      <w:keepNext/>
      <w:spacing w:after="120"/>
      <w:outlineLvl w:val="3"/>
    </w:pPr>
    <w:rPr>
      <w:i/>
      <w:lang w:val="en-GB"/>
    </w:rPr>
  </w:style>
  <w:style w:type="paragraph" w:customStyle="1" w:styleId="Tableheading">
    <w:name w:val="Table heading"/>
    <w:basedOn w:val="Normal"/>
    <w:rsid w:val="006C031E"/>
    <w:pPr>
      <w:spacing w:line="240" w:lineRule="auto"/>
    </w:pPr>
    <w:rPr>
      <w:b/>
      <w:sz w:val="20"/>
      <w:szCs w:val="24"/>
    </w:rPr>
  </w:style>
  <w:style w:type="paragraph" w:styleId="FootnoteText">
    <w:name w:val="footnote text"/>
    <w:next w:val="Normal"/>
    <w:semiHidden/>
    <w:rsid w:val="006C031E"/>
    <w:pPr>
      <w:tabs>
        <w:tab w:val="left" w:pos="431"/>
      </w:tabs>
      <w:ind w:left="431" w:hanging="431"/>
    </w:pPr>
    <w:rPr>
      <w:rFonts w:ascii="Arial" w:hAnsi="Arial"/>
      <w:lang w:val="en-GB" w:eastAsia="en-US"/>
    </w:rPr>
  </w:style>
  <w:style w:type="paragraph" w:customStyle="1" w:styleId="Tabletext">
    <w:name w:val="Table text"/>
    <w:basedOn w:val="Normal"/>
    <w:rsid w:val="006C031E"/>
    <w:pPr>
      <w:spacing w:line="240" w:lineRule="auto"/>
    </w:pPr>
    <w:rPr>
      <w:sz w:val="20"/>
      <w:szCs w:val="24"/>
    </w:rPr>
  </w:style>
  <w:style w:type="paragraph" w:styleId="DocumentMap">
    <w:name w:val="Document Map"/>
    <w:basedOn w:val="Normal"/>
    <w:semiHidden/>
    <w:rsid w:val="006C031E"/>
    <w:pPr>
      <w:shd w:val="clear" w:color="auto" w:fill="000080"/>
    </w:pPr>
    <w:rPr>
      <w:rFonts w:ascii="Tahoma" w:hAnsi="Tahoma" w:cs="Tahoma"/>
    </w:rPr>
  </w:style>
  <w:style w:type="character" w:customStyle="1" w:styleId="BMSTableNote">
    <w:name w:val="BMS Table Note"/>
    <w:basedOn w:val="DefaultParagraphFont"/>
    <w:rsid w:val="006C031E"/>
    <w:rPr>
      <w:rFonts w:ascii="Times New Roman" w:hAnsi="Times New Roman" w:cs="Times New Roman"/>
      <w:color w:val="auto"/>
      <w:sz w:val="28"/>
      <w:szCs w:val="28"/>
      <w:vertAlign w:val="superscript"/>
    </w:rPr>
  </w:style>
  <w:style w:type="paragraph" w:customStyle="1" w:styleId="A-studytitle2">
    <w:name w:val="A-study title 2"/>
    <w:basedOn w:val="A-StudyTitle"/>
    <w:rsid w:val="006C031E"/>
    <w:rPr>
      <w:b w:val="0"/>
      <w:sz w:val="24"/>
    </w:rPr>
  </w:style>
  <w:style w:type="paragraph" w:customStyle="1" w:styleId="A-studytitle3">
    <w:name w:val="A-study title 3"/>
    <w:basedOn w:val="A-StudyTitle"/>
    <w:rsid w:val="006C031E"/>
    <w:rPr>
      <w:caps/>
      <w:sz w:val="24"/>
    </w:rPr>
  </w:style>
  <w:style w:type="paragraph" w:customStyle="1" w:styleId="A-Heading5">
    <w:name w:val="A-Heading 5"/>
    <w:basedOn w:val="A-Heading4"/>
    <w:rsid w:val="006C031E"/>
    <w:rPr>
      <w:i w:val="0"/>
      <w:u w:val="single"/>
    </w:rPr>
  </w:style>
  <w:style w:type="character" w:customStyle="1" w:styleId="BMSSuperscript">
    <w:name w:val="BMS Superscript"/>
    <w:rsid w:val="006C031E"/>
    <w:rPr>
      <w:sz w:val="28"/>
      <w:vertAlign w:val="superscript"/>
    </w:rPr>
  </w:style>
  <w:style w:type="character" w:styleId="CommentReference">
    <w:name w:val="annotation reference"/>
    <w:basedOn w:val="DefaultParagraphFont"/>
    <w:uiPriority w:val="99"/>
    <w:rsid w:val="006C031E"/>
    <w:rPr>
      <w:rFonts w:ascii="Times New Roman" w:hAnsi="Times New Roman" w:cs="Times New Roman"/>
      <w:sz w:val="16"/>
      <w:szCs w:val="16"/>
    </w:rPr>
  </w:style>
  <w:style w:type="paragraph" w:styleId="CommentText">
    <w:name w:val="annotation text"/>
    <w:aliases w:val="Annotationtext"/>
    <w:basedOn w:val="Normal"/>
    <w:link w:val="CommentTextChar"/>
    <w:rsid w:val="006C031E"/>
    <w:rPr>
      <w:rFonts w:cs="Arial"/>
      <w:sz w:val="20"/>
    </w:rPr>
  </w:style>
  <w:style w:type="character" w:customStyle="1" w:styleId="BMSSubscript">
    <w:name w:val="BMS Subscript"/>
    <w:rsid w:val="006C031E"/>
    <w:rPr>
      <w:sz w:val="28"/>
      <w:vertAlign w:val="subscript"/>
    </w:rPr>
  </w:style>
  <w:style w:type="paragraph" w:styleId="BodyText">
    <w:name w:val="Body Text"/>
    <w:basedOn w:val="Normal"/>
    <w:semiHidden/>
    <w:rsid w:val="006C031E"/>
    <w:pPr>
      <w:pBdr>
        <w:top w:val="single" w:sz="4" w:space="1" w:color="auto"/>
        <w:left w:val="single" w:sz="4" w:space="4" w:color="auto"/>
        <w:bottom w:val="single" w:sz="4" w:space="1" w:color="auto"/>
        <w:right w:val="single" w:sz="4" w:space="4" w:color="auto"/>
      </w:pBdr>
    </w:pPr>
    <w:rPr>
      <w:rFonts w:cs="Arial"/>
      <w:b/>
    </w:rPr>
  </w:style>
  <w:style w:type="character" w:styleId="FootnoteReference">
    <w:name w:val="footnote reference"/>
    <w:basedOn w:val="DefaultParagraphFont"/>
    <w:semiHidden/>
    <w:rsid w:val="006C031E"/>
    <w:rPr>
      <w:vertAlign w:val="superscript"/>
    </w:rPr>
  </w:style>
  <w:style w:type="paragraph" w:customStyle="1" w:styleId="BMSTableNoteInfo">
    <w:name w:val="BMS Table Note Info"/>
    <w:basedOn w:val="Normal"/>
    <w:next w:val="Normal"/>
    <w:link w:val="BMSTableNoteInfoChar"/>
    <w:rsid w:val="006C031E"/>
    <w:pPr>
      <w:tabs>
        <w:tab w:val="left" w:pos="216"/>
      </w:tabs>
      <w:spacing w:before="40" w:after="0" w:line="240" w:lineRule="auto"/>
      <w:ind w:left="216" w:hanging="216"/>
      <w:jc w:val="both"/>
    </w:pPr>
    <w:rPr>
      <w:rFonts w:ascii="Times New Roman" w:hAnsi="Times New Roman"/>
      <w:color w:val="000000"/>
      <w:sz w:val="20"/>
      <w:lang w:val="en-US" w:eastAsia="ja-JP"/>
    </w:rPr>
  </w:style>
  <w:style w:type="paragraph" w:customStyle="1" w:styleId="BMSBodyText">
    <w:name w:val="BMS Body Text"/>
    <w:link w:val="BMSBodyTextChar"/>
    <w:qFormat/>
    <w:rsid w:val="006C031E"/>
    <w:pPr>
      <w:spacing w:before="120" w:after="120" w:line="300" w:lineRule="auto"/>
      <w:jc w:val="both"/>
    </w:pPr>
    <w:rPr>
      <w:color w:val="000000"/>
      <w:sz w:val="24"/>
      <w:lang w:val="en-US" w:eastAsia="ja-JP"/>
    </w:rPr>
  </w:style>
  <w:style w:type="paragraph" w:customStyle="1" w:styleId="BMSTableHeader">
    <w:name w:val="BMS Table Header"/>
    <w:basedOn w:val="BMSTableText"/>
    <w:link w:val="BMSTableHeaderChar"/>
    <w:rsid w:val="006C031E"/>
    <w:rPr>
      <w:b/>
    </w:rPr>
  </w:style>
  <w:style w:type="paragraph" w:customStyle="1" w:styleId="BMSTableText">
    <w:name w:val="BMS Table Text"/>
    <w:link w:val="BMSTableTextChar"/>
    <w:rsid w:val="006C031E"/>
    <w:pPr>
      <w:tabs>
        <w:tab w:val="left" w:pos="360"/>
      </w:tabs>
      <w:spacing w:before="60" w:after="60"/>
      <w:jc w:val="center"/>
    </w:pPr>
    <w:rPr>
      <w:lang w:val="en-US" w:eastAsia="ja-JP"/>
    </w:rPr>
  </w:style>
  <w:style w:type="paragraph" w:styleId="ListBullet2">
    <w:name w:val="List Bullet 2"/>
    <w:basedOn w:val="Normal"/>
    <w:autoRedefine/>
    <w:semiHidden/>
    <w:rsid w:val="006C031E"/>
    <w:pPr>
      <w:widowControl w:val="0"/>
      <w:tabs>
        <w:tab w:val="num" w:pos="992"/>
      </w:tabs>
      <w:spacing w:after="0" w:line="240" w:lineRule="auto"/>
      <w:ind w:left="992" w:hanging="992"/>
    </w:pPr>
    <w:rPr>
      <w:rFonts w:ascii="Times New Roman" w:hAnsi="Times New Roman"/>
      <w:snapToGrid w:val="0"/>
      <w:lang w:val="en-US"/>
    </w:rPr>
  </w:style>
  <w:style w:type="paragraph" w:styleId="BlockText">
    <w:name w:val="Block Text"/>
    <w:basedOn w:val="Normal"/>
    <w:rsid w:val="006C031E"/>
    <w:pPr>
      <w:spacing w:after="120" w:line="240" w:lineRule="auto"/>
      <w:ind w:left="1440" w:right="1440"/>
    </w:pPr>
    <w:rPr>
      <w:rFonts w:ascii="Times New Roman" w:hAnsi="Times New Roman"/>
      <w:sz w:val="20"/>
      <w:lang w:val="en-US" w:eastAsia="ja-JP"/>
    </w:rPr>
  </w:style>
  <w:style w:type="paragraph" w:styleId="BodyText3">
    <w:name w:val="Body Text 3"/>
    <w:basedOn w:val="Normal"/>
    <w:semiHidden/>
    <w:rsid w:val="006C031E"/>
    <w:pPr>
      <w:spacing w:after="120" w:line="240" w:lineRule="auto"/>
    </w:pPr>
    <w:rPr>
      <w:rFonts w:ascii="Times New Roman" w:hAnsi="Times New Roman"/>
      <w:sz w:val="16"/>
      <w:lang w:val="en-US" w:eastAsia="ja-JP"/>
    </w:rPr>
  </w:style>
  <w:style w:type="paragraph" w:styleId="CommentSubject">
    <w:name w:val="annotation subject"/>
    <w:basedOn w:val="CommentText"/>
    <w:next w:val="CommentText"/>
    <w:link w:val="CommentSubjectChar"/>
    <w:uiPriority w:val="99"/>
    <w:semiHidden/>
    <w:unhideWhenUsed/>
    <w:rsid w:val="00547CA8"/>
    <w:rPr>
      <w:rFonts w:cs="Times New Roman"/>
      <w:b/>
      <w:bCs/>
    </w:rPr>
  </w:style>
  <w:style w:type="character" w:customStyle="1" w:styleId="CommentTextChar">
    <w:name w:val="Comment Text Char"/>
    <w:aliases w:val="Annotationtext Char"/>
    <w:basedOn w:val="DefaultParagraphFont"/>
    <w:link w:val="CommentText"/>
    <w:rsid w:val="00547CA8"/>
    <w:rPr>
      <w:rFonts w:ascii="Arial" w:hAnsi="Arial" w:cs="Arial"/>
      <w:lang w:eastAsia="en-US"/>
    </w:rPr>
  </w:style>
  <w:style w:type="character" w:customStyle="1" w:styleId="CommentSubjectChar">
    <w:name w:val="Comment Subject Char"/>
    <w:basedOn w:val="CommentTextChar"/>
    <w:link w:val="CommentSubject"/>
    <w:rsid w:val="00547CA8"/>
    <w:rPr>
      <w:rFonts w:ascii="Arial" w:hAnsi="Arial" w:cs="Arial"/>
      <w:lang w:eastAsia="en-US"/>
    </w:rPr>
  </w:style>
  <w:style w:type="paragraph" w:styleId="BalloonText">
    <w:name w:val="Balloon Text"/>
    <w:basedOn w:val="Normal"/>
    <w:link w:val="BalloonTextChar"/>
    <w:uiPriority w:val="99"/>
    <w:semiHidden/>
    <w:unhideWhenUsed/>
    <w:rsid w:val="00547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CA8"/>
    <w:rPr>
      <w:rFonts w:ascii="Tahoma" w:hAnsi="Tahoma" w:cs="Tahoma"/>
      <w:sz w:val="16"/>
      <w:szCs w:val="16"/>
      <w:lang w:eastAsia="en-US"/>
    </w:rPr>
  </w:style>
  <w:style w:type="paragraph" w:styleId="Revision">
    <w:name w:val="Revision"/>
    <w:hidden/>
    <w:uiPriority w:val="99"/>
    <w:semiHidden/>
    <w:rsid w:val="00A3583E"/>
    <w:rPr>
      <w:rFonts w:ascii="Arial" w:hAnsi="Arial"/>
      <w:sz w:val="24"/>
      <w:lang w:eastAsia="en-US"/>
    </w:rPr>
  </w:style>
  <w:style w:type="paragraph" w:customStyle="1" w:styleId="BMSTableTitle">
    <w:name w:val="BMS Table Title"/>
    <w:next w:val="BMSBodyText"/>
    <w:link w:val="BMSTableTitleChar"/>
    <w:rsid w:val="008721F3"/>
    <w:pPr>
      <w:keepNext/>
      <w:keepLines/>
      <w:tabs>
        <w:tab w:val="left" w:pos="2160"/>
      </w:tabs>
      <w:spacing w:before="120" w:after="120"/>
      <w:ind w:left="2160" w:hanging="2160"/>
    </w:pPr>
    <w:rPr>
      <w:b/>
      <w:sz w:val="24"/>
    </w:rPr>
  </w:style>
  <w:style w:type="character" w:customStyle="1" w:styleId="BMSBodyTextChar">
    <w:name w:val="BMS Body Text Char"/>
    <w:link w:val="BMSBodyText"/>
    <w:rsid w:val="008721F3"/>
    <w:rPr>
      <w:color w:val="000000"/>
      <w:sz w:val="24"/>
      <w:lang w:val="en-US" w:eastAsia="ja-JP" w:bidi="ar-SA"/>
    </w:rPr>
  </w:style>
  <w:style w:type="character" w:customStyle="1" w:styleId="BMSTableTextChar">
    <w:name w:val="BMS Table Text Char"/>
    <w:link w:val="BMSTableText"/>
    <w:rsid w:val="008721F3"/>
    <w:rPr>
      <w:lang w:val="en-US" w:eastAsia="ja-JP" w:bidi="ar-SA"/>
    </w:rPr>
  </w:style>
  <w:style w:type="character" w:customStyle="1" w:styleId="BMSTableHeaderChar">
    <w:name w:val="BMS Table Header Char"/>
    <w:link w:val="BMSTableHeader"/>
    <w:rsid w:val="008721F3"/>
    <w:rPr>
      <w:b/>
      <w:lang w:val="en-US" w:eastAsia="ja-JP"/>
    </w:rPr>
  </w:style>
  <w:style w:type="character" w:customStyle="1" w:styleId="BMSTableTitleChar">
    <w:name w:val="BMS Table Title Char"/>
    <w:link w:val="BMSTableTitle"/>
    <w:rsid w:val="008721F3"/>
    <w:rPr>
      <w:b/>
      <w:sz w:val="24"/>
      <w:lang w:bidi="ar-SA"/>
    </w:rPr>
  </w:style>
  <w:style w:type="paragraph" w:customStyle="1" w:styleId="EMEABodyText">
    <w:name w:val="EMEA Body Text"/>
    <w:basedOn w:val="Normal"/>
    <w:link w:val="EMEABodyTextChar"/>
    <w:rsid w:val="008721F3"/>
    <w:pPr>
      <w:spacing w:after="0" w:line="240" w:lineRule="auto"/>
    </w:pPr>
    <w:rPr>
      <w:rFonts w:ascii="Times New Roman" w:hAnsi="Times New Roman"/>
      <w:sz w:val="22"/>
      <w:lang w:val="en-GB"/>
    </w:rPr>
  </w:style>
  <w:style w:type="character" w:customStyle="1" w:styleId="EMEABodyTextChar">
    <w:name w:val="EMEA Body Text Char"/>
    <w:basedOn w:val="DefaultParagraphFont"/>
    <w:link w:val="EMEABodyText"/>
    <w:rsid w:val="008721F3"/>
    <w:rPr>
      <w:sz w:val="22"/>
      <w:lang w:val="en-GB" w:eastAsia="en-US"/>
    </w:rPr>
  </w:style>
  <w:style w:type="paragraph" w:customStyle="1" w:styleId="TableList">
    <w:name w:val="Table List"/>
    <w:basedOn w:val="Normal"/>
    <w:uiPriority w:val="99"/>
    <w:rsid w:val="00F40637"/>
    <w:pPr>
      <w:numPr>
        <w:numId w:val="13"/>
      </w:numPr>
      <w:overflowPunct w:val="0"/>
      <w:autoSpaceDE w:val="0"/>
      <w:autoSpaceDN w:val="0"/>
      <w:adjustRightInd w:val="0"/>
      <w:spacing w:before="120" w:after="120" w:line="240" w:lineRule="auto"/>
      <w:textAlignment w:val="baseline"/>
    </w:pPr>
    <w:rPr>
      <w:rFonts w:ascii="Times New Roman" w:hAnsi="Times New Roman"/>
      <w:sz w:val="22"/>
      <w:lang w:val="en-US"/>
    </w:rPr>
  </w:style>
  <w:style w:type="paragraph" w:customStyle="1" w:styleId="BMSHeading1">
    <w:name w:val="BMS Heading 1"/>
    <w:next w:val="BMSBodyText"/>
    <w:rsid w:val="006E2326"/>
    <w:pPr>
      <w:keepNext/>
      <w:keepLines/>
      <w:numPr>
        <w:numId w:val="14"/>
      </w:numPr>
      <w:spacing w:before="120" w:after="120"/>
      <w:outlineLvl w:val="0"/>
    </w:pPr>
    <w:rPr>
      <w:rFonts w:ascii="Arial" w:hAnsi="Arial"/>
      <w:b/>
      <w:caps/>
      <w:color w:val="000000"/>
      <w:sz w:val="24"/>
      <w:lang w:val="en-US" w:eastAsia="en-US"/>
    </w:rPr>
  </w:style>
  <w:style w:type="paragraph" w:customStyle="1" w:styleId="BMSHeading2">
    <w:name w:val="BMS Heading 2"/>
    <w:next w:val="BMSBodyText"/>
    <w:rsid w:val="006E2326"/>
    <w:pPr>
      <w:keepNext/>
      <w:keepLines/>
      <w:numPr>
        <w:ilvl w:val="1"/>
        <w:numId w:val="14"/>
      </w:numPr>
      <w:spacing w:before="120" w:after="120"/>
      <w:outlineLvl w:val="1"/>
    </w:pPr>
    <w:rPr>
      <w:rFonts w:ascii="Arial" w:hAnsi="Arial"/>
      <w:b/>
      <w:color w:val="000000"/>
      <w:sz w:val="24"/>
      <w:lang w:val="en-US" w:eastAsia="en-US"/>
    </w:rPr>
  </w:style>
  <w:style w:type="paragraph" w:customStyle="1" w:styleId="BMSHeading3">
    <w:name w:val="BMS Heading 3"/>
    <w:next w:val="BMSBodyText"/>
    <w:link w:val="BMSHeading3Char"/>
    <w:rsid w:val="006E2326"/>
    <w:pPr>
      <w:keepNext/>
      <w:keepLines/>
      <w:numPr>
        <w:ilvl w:val="2"/>
        <w:numId w:val="14"/>
      </w:numPr>
      <w:spacing w:before="120" w:after="120"/>
      <w:outlineLvl w:val="2"/>
    </w:pPr>
    <w:rPr>
      <w:rFonts w:ascii="Arial" w:hAnsi="Arial"/>
      <w:b/>
      <w:i/>
      <w:color w:val="000000"/>
      <w:sz w:val="24"/>
      <w:lang w:val="en-US" w:eastAsia="en-US"/>
    </w:rPr>
  </w:style>
  <w:style w:type="paragraph" w:customStyle="1" w:styleId="BMSHeading4">
    <w:name w:val="BMS Heading 4"/>
    <w:next w:val="BMSBodyText"/>
    <w:rsid w:val="006E2326"/>
    <w:pPr>
      <w:keepNext/>
      <w:keepLines/>
      <w:numPr>
        <w:ilvl w:val="3"/>
        <w:numId w:val="14"/>
      </w:numPr>
      <w:spacing w:before="120" w:after="120"/>
      <w:outlineLvl w:val="3"/>
    </w:pPr>
    <w:rPr>
      <w:rFonts w:ascii="Arial" w:hAnsi="Arial"/>
      <w:b/>
      <w:i/>
      <w:color w:val="000000"/>
      <w:sz w:val="24"/>
      <w:lang w:val="en-US" w:eastAsia="en-US"/>
    </w:rPr>
  </w:style>
  <w:style w:type="character" w:customStyle="1" w:styleId="BMSHeading3Char">
    <w:name w:val="BMS Heading 3 Char"/>
    <w:basedOn w:val="DefaultParagraphFont"/>
    <w:link w:val="BMSHeading3"/>
    <w:rsid w:val="00AF64B8"/>
    <w:rPr>
      <w:rFonts w:ascii="Arial" w:hAnsi="Arial"/>
      <w:b/>
      <w:i/>
      <w:color w:val="000000"/>
      <w:sz w:val="24"/>
      <w:lang w:val="en-US" w:eastAsia="en-US" w:bidi="ar-SA"/>
    </w:rPr>
  </w:style>
  <w:style w:type="character" w:customStyle="1" w:styleId="BMSInstructionText">
    <w:name w:val="BMS Instruction Text"/>
    <w:rsid w:val="00AF64B8"/>
    <w:rPr>
      <w:rFonts w:ascii="Times New Roman" w:hAnsi="Times New Roman"/>
      <w:i/>
      <w:dstrike w:val="0"/>
      <w:vanish/>
      <w:color w:val="FF0000"/>
      <w:sz w:val="24"/>
      <w:u w:val="none"/>
      <w:vertAlign w:val="baseline"/>
    </w:rPr>
  </w:style>
  <w:style w:type="character" w:customStyle="1" w:styleId="BMSTableNoteInfoChar">
    <w:name w:val="BMS Table Note Info Char"/>
    <w:basedOn w:val="DefaultParagraphFont"/>
    <w:link w:val="BMSTableNoteInfo"/>
    <w:locked/>
    <w:rsid w:val="000B4998"/>
    <w:rPr>
      <w:color w:val="000000"/>
      <w:lang w:val="en-US" w:eastAsia="ja-JP"/>
    </w:rPr>
  </w:style>
  <w:style w:type="paragraph" w:customStyle="1" w:styleId="Default">
    <w:name w:val="Default"/>
    <w:rsid w:val="00E37810"/>
    <w:pPr>
      <w:autoSpaceDE w:val="0"/>
      <w:autoSpaceDN w:val="0"/>
      <w:adjustRightInd w:val="0"/>
    </w:pPr>
    <w:rPr>
      <w:color w:val="000000"/>
      <w:sz w:val="24"/>
      <w:szCs w:val="24"/>
    </w:rPr>
  </w:style>
  <w:style w:type="character" w:styleId="EndnoteReference">
    <w:name w:val="endnote reference"/>
    <w:semiHidden/>
    <w:rsid w:val="00C93B80"/>
    <w:rPr>
      <w:sz w:val="28"/>
      <w:vertAlign w:val="superscript"/>
    </w:rPr>
  </w:style>
  <w:style w:type="paragraph" w:styleId="EndnoteText">
    <w:name w:val="endnote text"/>
    <w:basedOn w:val="BMSBodyText"/>
    <w:link w:val="EndnoteTextChar"/>
    <w:rsid w:val="00BE24AB"/>
    <w:pPr>
      <w:tabs>
        <w:tab w:val="left" w:pos="360"/>
      </w:tabs>
      <w:spacing w:before="0" w:line="240" w:lineRule="auto"/>
      <w:ind w:left="360" w:hanging="360"/>
    </w:pPr>
  </w:style>
  <w:style w:type="character" w:customStyle="1" w:styleId="EndnoteTextChar">
    <w:name w:val="Endnote Text Char"/>
    <w:basedOn w:val="DefaultParagraphFont"/>
    <w:link w:val="EndnoteText"/>
    <w:rsid w:val="00BE24AB"/>
    <w:rPr>
      <w:color w:val="000000"/>
      <w:sz w:val="24"/>
    </w:rPr>
  </w:style>
  <w:style w:type="table" w:styleId="TableGrid">
    <w:name w:val="Table Grid"/>
    <w:basedOn w:val="TableNormal"/>
    <w:uiPriority w:val="59"/>
    <w:rsid w:val="008734B3"/>
    <w:rPr>
      <w:rFonts w:asciiTheme="minorHAnsi" w:eastAsia="Cambr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44">
      <w:bodyDiv w:val="1"/>
      <w:marLeft w:val="0"/>
      <w:marRight w:val="0"/>
      <w:marTop w:val="0"/>
      <w:marBottom w:val="0"/>
      <w:divBdr>
        <w:top w:val="none" w:sz="0" w:space="0" w:color="auto"/>
        <w:left w:val="none" w:sz="0" w:space="0" w:color="auto"/>
        <w:bottom w:val="none" w:sz="0" w:space="0" w:color="auto"/>
        <w:right w:val="none" w:sz="0" w:space="0" w:color="auto"/>
      </w:divBdr>
    </w:div>
    <w:div w:id="1887834816">
      <w:bodyDiv w:val="1"/>
      <w:marLeft w:val="0"/>
      <w:marRight w:val="0"/>
      <w:marTop w:val="0"/>
      <w:marBottom w:val="0"/>
      <w:divBdr>
        <w:top w:val="none" w:sz="0" w:space="0" w:color="auto"/>
        <w:left w:val="none" w:sz="0" w:space="0" w:color="auto"/>
        <w:bottom w:val="none" w:sz="0" w:space="0" w:color="auto"/>
        <w:right w:val="none" w:sz="0" w:space="0" w:color="auto"/>
      </w:divBdr>
    </w:div>
    <w:div w:id="20300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80E56C3280947B8509C3AD6160FF1" ma:contentTypeVersion="0" ma:contentTypeDescription="Create a new document." ma:contentTypeScope="" ma:versionID="1722d38771870a4421944fae90447368">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06552-1407-461F-9772-79520601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D010C1-267B-4904-BCA2-0B9025476661}">
  <ds:schemaRefs>
    <ds:schemaRef ds:uri="http://schemas.microsoft.com/office/2006/metadata/longProperties"/>
  </ds:schemaRefs>
</ds:datastoreItem>
</file>

<file path=customXml/itemProps3.xml><?xml version="1.0" encoding="utf-8"?>
<ds:datastoreItem xmlns:ds="http://schemas.openxmlformats.org/officeDocument/2006/customXml" ds:itemID="{893540E8-49E9-419E-AD9D-3705DD78210B}">
  <ds:schemaRefs>
    <ds:schemaRef ds:uri="http://schemas.microsoft.com/sharepoint/v3/contenttype/forms"/>
  </ds:schemaRefs>
</ds:datastoreItem>
</file>

<file path=customXml/itemProps4.xml><?xml version="1.0" encoding="utf-8"?>
<ds:datastoreItem xmlns:ds="http://schemas.openxmlformats.org/officeDocument/2006/customXml" ds:itemID="{819B10AA-AFD9-44D3-81E9-97AD91843FB7}">
  <ds:schemaRef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FF86968C-2309-4C5D-808B-02706BB3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8101</Words>
  <Characters>48008</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AU_SUNVEPRA_PI_v0-3_11 Mar</vt:lpstr>
    </vt:vector>
  </TitlesOfParts>
  <Company>AstraZeneca</Company>
  <LinksUpToDate>false</LinksUpToDate>
  <CharactersWithSpaces>55998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AU_SUNVEPRA_PI_v0-3_11 Mar</dc:title>
  <dc:creator>Ajinkya, Reshma</dc:creator>
  <cp:keywords>Version 2.0</cp:keywords>
  <dc:description>Word 2000_x000d_
File Date 16 March 2005</dc:description>
  <cp:lastModifiedBy>Lack, Janet</cp:lastModifiedBy>
  <cp:revision>3</cp:revision>
  <cp:lastPrinted>2015-05-03T23:54:00Z</cp:lastPrinted>
  <dcterms:created xsi:type="dcterms:W3CDTF">2015-12-14T00:31:00Z</dcterms:created>
  <dcterms:modified xsi:type="dcterms:W3CDTF">2015-12-15T03:29:00Z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y fmtid="{D5CDD505-2E9C-101B-9397-08002B2CF9AE}" pid="5" name="_NewReviewCycle">
    <vt:lpwstr/>
  </property>
  <property fmtid="{D5CDD505-2E9C-101B-9397-08002B2CF9AE}" pid="6" name="ContentType">
    <vt:lpwstr>Document</vt:lpwstr>
  </property>
</Properties>
</file>